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89A89" w14:textId="72211E39" w:rsidR="00BE32A6" w:rsidRPr="00BE32A6" w:rsidRDefault="00BE32A6" w:rsidP="00BE32A6">
      <w:pPr>
        <w:pBdr>
          <w:top w:val="single" w:sz="8" w:space="1" w:color="auto"/>
          <w:left w:val="single" w:sz="8" w:space="4" w:color="auto"/>
          <w:bottom w:val="single" w:sz="8" w:space="1" w:color="auto"/>
          <w:right w:val="single" w:sz="8" w:space="4" w:color="auto"/>
        </w:pBdr>
        <w:spacing w:line="360" w:lineRule="auto"/>
        <w:ind w:left="4110"/>
        <w:jc w:val="center"/>
        <w:rPr>
          <w:rFonts w:ascii="Times New Roman" w:hAnsi="Times New Roman"/>
          <w:b/>
          <w:sz w:val="28"/>
          <w:szCs w:val="24"/>
        </w:rPr>
      </w:pPr>
      <w:r w:rsidRPr="00BE32A6">
        <w:rPr>
          <w:rFonts w:ascii="Times New Roman" w:hAnsi="Times New Roman"/>
          <w:b/>
          <w:sz w:val="28"/>
          <w:szCs w:val="24"/>
        </w:rPr>
        <w:t>НАРОДНО СЪБРАНИЕ</w:t>
      </w:r>
    </w:p>
    <w:p w14:paraId="7B9174CD" w14:textId="0A91B6B1" w:rsidR="00BE32A6" w:rsidRPr="00BE32A6" w:rsidRDefault="00BE32A6" w:rsidP="00BE32A6">
      <w:pPr>
        <w:pBdr>
          <w:top w:val="single" w:sz="8" w:space="1" w:color="auto"/>
          <w:left w:val="single" w:sz="8" w:space="4" w:color="auto"/>
          <w:bottom w:val="single" w:sz="8" w:space="1" w:color="auto"/>
          <w:right w:val="single" w:sz="8" w:space="4" w:color="auto"/>
        </w:pBdr>
        <w:spacing w:line="360" w:lineRule="auto"/>
        <w:ind w:left="4110"/>
        <w:rPr>
          <w:rFonts w:ascii="Times New Roman" w:hAnsi="Times New Roman"/>
          <w:b/>
          <w:sz w:val="28"/>
          <w:szCs w:val="24"/>
        </w:rPr>
      </w:pPr>
      <w:r w:rsidRPr="00BE32A6">
        <w:rPr>
          <w:rFonts w:ascii="Times New Roman" w:hAnsi="Times New Roman"/>
          <w:b/>
          <w:sz w:val="28"/>
          <w:szCs w:val="24"/>
        </w:rPr>
        <w:t>Вх. №:</w:t>
      </w:r>
      <w:r>
        <w:rPr>
          <w:rFonts w:ascii="Times New Roman" w:hAnsi="Times New Roman"/>
          <w:b/>
          <w:sz w:val="28"/>
          <w:szCs w:val="24"/>
        </w:rPr>
        <w:t xml:space="preserve"> 52-602-01-19</w:t>
      </w:r>
    </w:p>
    <w:p w14:paraId="760F0C74" w14:textId="7A78E7DD" w:rsidR="00BE32A6" w:rsidRDefault="00BE32A6" w:rsidP="00BE32A6">
      <w:pPr>
        <w:pBdr>
          <w:top w:val="single" w:sz="8" w:space="1" w:color="auto"/>
          <w:left w:val="single" w:sz="8" w:space="4" w:color="auto"/>
          <w:bottom w:val="single" w:sz="8" w:space="1" w:color="auto"/>
          <w:right w:val="single" w:sz="8" w:space="4" w:color="auto"/>
        </w:pBdr>
        <w:spacing w:line="360" w:lineRule="auto"/>
        <w:ind w:left="4110"/>
        <w:rPr>
          <w:rFonts w:ascii="Times New Roman" w:hAnsi="Times New Roman"/>
          <w:b/>
          <w:szCs w:val="24"/>
        </w:rPr>
      </w:pPr>
      <w:r w:rsidRPr="00BE32A6">
        <w:rPr>
          <w:rFonts w:ascii="Times New Roman" w:hAnsi="Times New Roman"/>
          <w:b/>
          <w:sz w:val="28"/>
          <w:szCs w:val="24"/>
        </w:rPr>
        <w:t>Дата:</w:t>
      </w:r>
      <w:r>
        <w:rPr>
          <w:rFonts w:ascii="Times New Roman" w:hAnsi="Times New Roman"/>
          <w:b/>
          <w:sz w:val="28"/>
          <w:szCs w:val="24"/>
        </w:rPr>
        <w:t>01.07.2026 г.</w:t>
      </w:r>
      <w:r w:rsidR="00873735">
        <w:rPr>
          <w:rFonts w:ascii="Times New Roman" w:hAnsi="Times New Roman"/>
          <w:b/>
          <w:sz w:val="28"/>
          <w:szCs w:val="24"/>
        </w:rPr>
        <w:t xml:space="preserve">    </w:t>
      </w:r>
      <w:r>
        <w:rPr>
          <w:rFonts w:ascii="Times New Roman" w:hAnsi="Times New Roman"/>
          <w:b/>
          <w:sz w:val="28"/>
          <w:szCs w:val="24"/>
        </w:rPr>
        <w:t xml:space="preserve"> 17:58 ч.</w:t>
      </w:r>
    </w:p>
    <w:p w14:paraId="6C7B88EF" w14:textId="77777777" w:rsidR="00BE32A6" w:rsidRDefault="00BE32A6" w:rsidP="00906EDB">
      <w:pPr>
        <w:spacing w:line="360" w:lineRule="auto"/>
        <w:ind w:firstLine="5103"/>
        <w:rPr>
          <w:rFonts w:ascii="Times New Roman" w:hAnsi="Times New Roman"/>
          <w:b/>
          <w:szCs w:val="24"/>
        </w:rPr>
      </w:pPr>
    </w:p>
    <w:p w14:paraId="0E737383" w14:textId="337A3B85" w:rsidR="00B146C6" w:rsidRPr="00906EDB" w:rsidRDefault="00544B38" w:rsidP="00906EDB">
      <w:pPr>
        <w:spacing w:line="360" w:lineRule="auto"/>
        <w:ind w:firstLine="5103"/>
        <w:rPr>
          <w:rFonts w:ascii="Times New Roman" w:hAnsi="Times New Roman"/>
          <w:b/>
          <w:szCs w:val="24"/>
        </w:rPr>
      </w:pPr>
      <w:r>
        <w:rPr>
          <w:noProof/>
          <w:lang w:eastAsia="bg-BG"/>
        </w:rPr>
        <mc:AlternateContent>
          <mc:Choice Requires="wps">
            <w:drawing>
              <wp:anchor distT="0" distB="0" distL="114300" distR="114300" simplePos="0" relativeHeight="251657728" behindDoc="0" locked="0" layoutInCell="1" allowOverlap="1" wp14:anchorId="2B54DD37" wp14:editId="27A856D4">
                <wp:simplePos x="0" y="0"/>
                <wp:positionH relativeFrom="column">
                  <wp:posOffset>23495</wp:posOffset>
                </wp:positionH>
                <wp:positionV relativeFrom="paragraph">
                  <wp:posOffset>-100330</wp:posOffset>
                </wp:positionV>
                <wp:extent cx="2927985" cy="202628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985" cy="2026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FFC7F" w14:textId="7EF531EC" w:rsidR="00406B4D" w:rsidRDefault="00406B4D" w:rsidP="00C27607">
                            <w:pPr>
                              <w:pBdr>
                                <w:bottom w:val="single" w:sz="6" w:space="1" w:color="auto"/>
                              </w:pBdr>
                              <w:jc w:val="center"/>
                              <w:rPr>
                                <w:rFonts w:ascii="Times New Roman" w:hAnsi="Times New Roman"/>
                                <w:b/>
                                <w:spacing w:val="40"/>
                                <w:kern w:val="144"/>
                                <w:szCs w:val="24"/>
                              </w:rPr>
                            </w:pPr>
                            <w:r>
                              <w:rPr>
                                <w:noProof/>
                                <w:lang w:eastAsia="bg-BG"/>
                              </w:rPr>
                              <w:drawing>
                                <wp:inline distT="0" distB="0" distL="0" distR="0" wp14:anchorId="4954B92D" wp14:editId="2116B39C">
                                  <wp:extent cx="990600" cy="7715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71525"/>
                                          </a:xfrm>
                                          <a:prstGeom prst="rect">
                                            <a:avLst/>
                                          </a:prstGeom>
                                          <a:noFill/>
                                          <a:ln>
                                            <a:noFill/>
                                          </a:ln>
                                        </pic:spPr>
                                      </pic:pic>
                                    </a:graphicData>
                                  </a:graphic>
                                </wp:inline>
                              </w:drawing>
                            </w:r>
                          </w:p>
                          <w:p w14:paraId="06D65B8C" w14:textId="77777777" w:rsidR="00406B4D" w:rsidRPr="005373EE" w:rsidRDefault="00406B4D" w:rsidP="005373EE">
                            <w:pPr>
                              <w:pStyle w:val="Heading7"/>
                              <w:jc w:val="center"/>
                              <w:rPr>
                                <w:rFonts w:ascii="Times New Roman" w:hAnsi="Times New Roman"/>
                                <w:spacing w:val="40"/>
                                <w:szCs w:val="24"/>
                              </w:rPr>
                            </w:pPr>
                            <w:r>
                              <w:rPr>
                                <w:rFonts w:ascii="Times New Roman" w:hAnsi="Times New Roman"/>
                                <w:spacing w:val="40"/>
                                <w:sz w:val="24"/>
                                <w:szCs w:val="24"/>
                              </w:rPr>
                              <w:t>МИНИСТЕРСКИ СЪВЕТ</w:t>
                            </w:r>
                          </w:p>
                          <w:p w14:paraId="6882C14E" w14:textId="404F0B88" w:rsidR="00406B4D" w:rsidRDefault="00406B4D" w:rsidP="00906EDB">
                            <w:pPr>
                              <w:jc w:val="center"/>
                              <w:rPr>
                                <w:rFonts w:ascii="Times New Roman" w:hAnsi="Times New Roman"/>
                                <w:b/>
                                <w:sz w:val="22"/>
                              </w:rPr>
                            </w:pPr>
                            <w:r>
                              <w:rPr>
                                <w:rFonts w:ascii="Times New Roman" w:hAnsi="Times New Roman"/>
                                <w:b/>
                                <w:sz w:val="22"/>
                              </w:rPr>
                              <w:pict w14:anchorId="6ED69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Ред за подпис на Microsoft Office..." style="width:171.9pt;height:85.6pt">
                                  <v:imagedata r:id="rId8" o:title=""/>
                                  <o:lock v:ext="edit" ungrouping="t" rotation="t" cropping="t" verticies="t" text="t" grouping="t"/>
                                  <o:signatureline v:ext="edit" id="{584DD8F5-82AD-43F5-AE49-D55B87674733}" provid="{00000000-0000-0000-0000-000000000000}" issignatureline="t"/>
                                </v:shape>
                              </w:pi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54DD37" id="_x0000_t202" coordsize="21600,21600" o:spt="202" path="m,l,21600r21600,l21600,xe">
                <v:stroke joinstyle="miter"/>
                <v:path gradientshapeok="t" o:connecttype="rect"/>
              </v:shapetype>
              <v:shape id="Text Box 2" o:spid="_x0000_s1026" type="#_x0000_t202" style="position:absolute;left:0;text-align:left;margin-left:1.85pt;margin-top:-7.9pt;width:230.55pt;height:15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" stroked="f">
                <v:textbox>
                  <w:txbxContent>
                    <w:p w14:paraId="388FFC7F" w14:textId="7EF531EC" w:rsidR="00406B4D" w:rsidRDefault="00406B4D" w:rsidP="00C27607">
                      <w:pPr>
                        <w:pBdr>
                          <w:bottom w:val="single" w:sz="6" w:space="1" w:color="auto"/>
                        </w:pBdr>
                        <w:jc w:val="center"/>
                        <w:rPr>
                          <w:rFonts w:ascii="Times New Roman" w:hAnsi="Times New Roman"/>
                          <w:b/>
                          <w:spacing w:val="40"/>
                          <w:kern w:val="144"/>
                          <w:szCs w:val="24"/>
                        </w:rPr>
                      </w:pPr>
                      <w:r>
                        <w:rPr>
                          <w:noProof/>
                          <w:lang w:eastAsia="bg-BG"/>
                        </w:rPr>
                        <w:drawing>
                          <wp:inline distT="0" distB="0" distL="0" distR="0" wp14:anchorId="4954B92D" wp14:editId="2116B39C">
                            <wp:extent cx="990600" cy="7715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71525"/>
                                    </a:xfrm>
                                    <a:prstGeom prst="rect">
                                      <a:avLst/>
                                    </a:prstGeom>
                                    <a:noFill/>
                                    <a:ln>
                                      <a:noFill/>
                                    </a:ln>
                                  </pic:spPr>
                                </pic:pic>
                              </a:graphicData>
                            </a:graphic>
                          </wp:inline>
                        </w:drawing>
                      </w:r>
                    </w:p>
                    <w:p w14:paraId="06D65B8C" w14:textId="77777777" w:rsidR="00406B4D" w:rsidRPr="005373EE" w:rsidRDefault="00406B4D" w:rsidP="005373EE">
                      <w:pPr>
                        <w:pStyle w:val="Heading7"/>
                        <w:jc w:val="center"/>
                        <w:rPr>
                          <w:rFonts w:ascii="Times New Roman" w:hAnsi="Times New Roman"/>
                          <w:spacing w:val="40"/>
                          <w:szCs w:val="24"/>
                        </w:rPr>
                      </w:pPr>
                      <w:r>
                        <w:rPr>
                          <w:rFonts w:ascii="Times New Roman" w:hAnsi="Times New Roman"/>
                          <w:spacing w:val="40"/>
                          <w:sz w:val="24"/>
                          <w:szCs w:val="24"/>
                        </w:rPr>
                        <w:t>МИНИСТЕРСКИ СЪВЕТ</w:t>
                      </w:r>
                    </w:p>
                    <w:p w14:paraId="6882C14E" w14:textId="404F0B88" w:rsidR="00406B4D" w:rsidRDefault="00406B4D" w:rsidP="00906EDB">
                      <w:pPr>
                        <w:jc w:val="center"/>
                        <w:rPr>
                          <w:rFonts w:ascii="Times New Roman" w:hAnsi="Times New Roman"/>
                          <w:b/>
                          <w:sz w:val="22"/>
                        </w:rPr>
                      </w:pPr>
                      <w:r>
                        <w:rPr>
                          <w:rFonts w:ascii="Times New Roman" w:hAnsi="Times New Roman"/>
                          <w:b/>
                          <w:sz w:val="22"/>
                        </w:rPr>
                        <w:pict w14:anchorId="6ED6910D">
                          <v:shape id="_x0000_i1026" type="#_x0000_t75" alt="Ред за подпис на Microsoft Office..." style="width:171.9pt;height:85.6pt">
                            <v:imagedata r:id="rId8" o:title=""/>
                            <o:lock v:ext="edit" ungrouping="t" rotation="t" cropping="t" verticies="t" text="t" grouping="t"/>
                            <o:signatureline v:ext="edit" id="{584DD8F5-82AD-43F5-AE49-D55B87674733}" provid="{00000000-0000-0000-0000-000000000000}" issignatureline="t"/>
                          </v:shape>
                        </w:pict>
                      </w:r>
                    </w:p>
                  </w:txbxContent>
                </v:textbox>
              </v:shape>
            </w:pict>
          </mc:Fallback>
        </mc:AlternateContent>
      </w:r>
    </w:p>
    <w:p w14:paraId="7E2314B8" w14:textId="77777777" w:rsidR="00B146C6" w:rsidRPr="00906EDB" w:rsidRDefault="00B146C6" w:rsidP="00906EDB">
      <w:pPr>
        <w:spacing w:line="360" w:lineRule="auto"/>
        <w:ind w:firstLine="5103"/>
        <w:rPr>
          <w:rFonts w:ascii="Times New Roman" w:hAnsi="Times New Roman"/>
          <w:b/>
          <w:szCs w:val="24"/>
        </w:rPr>
      </w:pPr>
    </w:p>
    <w:p w14:paraId="436969A7" w14:textId="77777777" w:rsidR="000E74DF" w:rsidRPr="00906EDB" w:rsidRDefault="000E74DF" w:rsidP="000E74DF">
      <w:pPr>
        <w:spacing w:line="360" w:lineRule="auto"/>
        <w:ind w:firstLine="5130"/>
        <w:rPr>
          <w:rFonts w:ascii="Times New Roman" w:hAnsi="Times New Roman"/>
          <w:b/>
          <w:szCs w:val="24"/>
        </w:rPr>
      </w:pPr>
      <w:r w:rsidRPr="00906EDB">
        <w:rPr>
          <w:rFonts w:ascii="Times New Roman" w:hAnsi="Times New Roman"/>
          <w:b/>
          <w:szCs w:val="24"/>
        </w:rPr>
        <w:t>ДО</w:t>
      </w:r>
    </w:p>
    <w:p w14:paraId="3E070DE6" w14:textId="77777777" w:rsidR="000E74DF" w:rsidRPr="00906EDB" w:rsidRDefault="000E74DF" w:rsidP="000E74DF">
      <w:pPr>
        <w:spacing w:line="360" w:lineRule="auto"/>
        <w:ind w:firstLine="5130"/>
        <w:rPr>
          <w:rFonts w:ascii="Times New Roman" w:hAnsi="Times New Roman"/>
          <w:b/>
          <w:szCs w:val="24"/>
        </w:rPr>
      </w:pPr>
      <w:r w:rsidRPr="00906EDB">
        <w:rPr>
          <w:rFonts w:ascii="Times New Roman" w:hAnsi="Times New Roman"/>
          <w:b/>
          <w:szCs w:val="24"/>
        </w:rPr>
        <w:t xml:space="preserve">Г-ЖА </w:t>
      </w:r>
      <w:r>
        <w:rPr>
          <w:rFonts w:ascii="Times New Roman" w:hAnsi="Times New Roman"/>
          <w:b/>
          <w:szCs w:val="24"/>
        </w:rPr>
        <w:t>МИХАЕЛА ДОЦОВА</w:t>
      </w:r>
    </w:p>
    <w:p w14:paraId="2FAD0F6A" w14:textId="77777777" w:rsidR="000E74DF" w:rsidRDefault="000E74DF" w:rsidP="000E74DF">
      <w:pPr>
        <w:spacing w:line="360" w:lineRule="auto"/>
        <w:ind w:left="5130"/>
        <w:rPr>
          <w:rFonts w:ascii="Times New Roman" w:hAnsi="Times New Roman"/>
          <w:b/>
          <w:szCs w:val="24"/>
        </w:rPr>
      </w:pPr>
      <w:r w:rsidRPr="00906EDB">
        <w:rPr>
          <w:rFonts w:ascii="Times New Roman" w:hAnsi="Times New Roman"/>
          <w:b/>
          <w:szCs w:val="24"/>
        </w:rPr>
        <w:t xml:space="preserve">ПРЕДСЕДАТЕЛ НА </w:t>
      </w:r>
    </w:p>
    <w:p w14:paraId="65965C0F" w14:textId="1D352DB3" w:rsidR="00B146C6" w:rsidRPr="00906EDB" w:rsidRDefault="000E74DF" w:rsidP="000E74DF">
      <w:pPr>
        <w:spacing w:line="360" w:lineRule="auto"/>
        <w:ind w:left="5130"/>
        <w:rPr>
          <w:rFonts w:ascii="Times New Roman" w:hAnsi="Times New Roman"/>
          <w:b/>
          <w:szCs w:val="24"/>
        </w:rPr>
      </w:pPr>
      <w:r>
        <w:rPr>
          <w:rFonts w:ascii="Times New Roman" w:hAnsi="Times New Roman"/>
          <w:b/>
          <w:szCs w:val="24"/>
        </w:rPr>
        <w:t xml:space="preserve">52-ОТО </w:t>
      </w:r>
      <w:r w:rsidRPr="00906EDB">
        <w:rPr>
          <w:rFonts w:ascii="Times New Roman" w:hAnsi="Times New Roman"/>
          <w:b/>
          <w:szCs w:val="24"/>
        </w:rPr>
        <w:t>НАРОДНО</w:t>
      </w:r>
      <w:r>
        <w:rPr>
          <w:rFonts w:ascii="Times New Roman" w:hAnsi="Times New Roman"/>
          <w:b/>
          <w:szCs w:val="24"/>
        </w:rPr>
        <w:t xml:space="preserve"> </w:t>
      </w:r>
      <w:r w:rsidRPr="00906EDB">
        <w:rPr>
          <w:rFonts w:ascii="Times New Roman" w:hAnsi="Times New Roman"/>
          <w:b/>
          <w:szCs w:val="24"/>
        </w:rPr>
        <w:t>СЪБРАНИЕ</w:t>
      </w:r>
    </w:p>
    <w:p w14:paraId="54569D6A" w14:textId="77777777" w:rsidR="00B146C6" w:rsidRPr="00906EDB" w:rsidRDefault="00B146C6" w:rsidP="00906EDB">
      <w:pPr>
        <w:spacing w:line="360" w:lineRule="auto"/>
        <w:rPr>
          <w:rFonts w:ascii="Times New Roman" w:hAnsi="Times New Roman"/>
          <w:b/>
          <w:szCs w:val="24"/>
        </w:rPr>
      </w:pPr>
    </w:p>
    <w:p w14:paraId="19E1CFEA" w14:textId="0DA75B57" w:rsidR="00B146C6" w:rsidRPr="002969AB" w:rsidRDefault="00B146C6" w:rsidP="002E0424">
      <w:pPr>
        <w:spacing w:before="120"/>
        <w:ind w:firstLine="1134"/>
        <w:jc w:val="both"/>
        <w:rPr>
          <w:rFonts w:ascii="Times New Roman" w:hAnsi="Times New Roman"/>
          <w:i/>
          <w:szCs w:val="24"/>
        </w:rPr>
      </w:pPr>
      <w:r w:rsidRPr="00906EDB">
        <w:rPr>
          <w:rFonts w:ascii="Times New Roman" w:hAnsi="Times New Roman"/>
          <w:b/>
          <w:szCs w:val="24"/>
        </w:rPr>
        <w:t>О</w:t>
      </w:r>
      <w:r w:rsidR="000E74DF" w:rsidRPr="00906EDB">
        <w:rPr>
          <w:rFonts w:ascii="Times New Roman" w:hAnsi="Times New Roman"/>
          <w:b/>
          <w:szCs w:val="24"/>
        </w:rPr>
        <w:t>тносно</w:t>
      </w:r>
      <w:r w:rsidRPr="00906EDB">
        <w:rPr>
          <w:rFonts w:ascii="Times New Roman" w:hAnsi="Times New Roman"/>
          <w:b/>
          <w:szCs w:val="24"/>
        </w:rPr>
        <w:t xml:space="preserve">: </w:t>
      </w:r>
      <w:r w:rsidRPr="000E74DF">
        <w:rPr>
          <w:rFonts w:ascii="Times New Roman" w:hAnsi="Times New Roman"/>
          <w:iCs/>
          <w:szCs w:val="24"/>
        </w:rPr>
        <w:t xml:space="preserve">Решение № </w:t>
      </w:r>
      <w:r w:rsidR="005C3420">
        <w:rPr>
          <w:rFonts w:ascii="Times New Roman" w:hAnsi="Times New Roman"/>
          <w:iCs/>
          <w:szCs w:val="24"/>
          <w:lang w:val="en-US"/>
        </w:rPr>
        <w:t>484</w:t>
      </w:r>
      <w:r w:rsidRPr="000E74DF">
        <w:rPr>
          <w:rFonts w:ascii="Times New Roman" w:hAnsi="Times New Roman"/>
          <w:iCs/>
          <w:szCs w:val="24"/>
          <w:lang w:val="en-US"/>
        </w:rPr>
        <w:t xml:space="preserve"> </w:t>
      </w:r>
      <w:r w:rsidRPr="000E74DF">
        <w:rPr>
          <w:rFonts w:ascii="Times New Roman" w:hAnsi="Times New Roman"/>
          <w:iCs/>
          <w:szCs w:val="24"/>
        </w:rPr>
        <w:t>на Министерския съвет от 202</w:t>
      </w:r>
      <w:r w:rsidR="00296246" w:rsidRPr="000E74DF">
        <w:rPr>
          <w:rFonts w:ascii="Times New Roman" w:hAnsi="Times New Roman"/>
          <w:iCs/>
          <w:szCs w:val="24"/>
          <w:lang w:val="en-US"/>
        </w:rPr>
        <w:t>6</w:t>
      </w:r>
      <w:r w:rsidRPr="000E74DF">
        <w:rPr>
          <w:rFonts w:ascii="Times New Roman" w:hAnsi="Times New Roman"/>
          <w:iCs/>
          <w:szCs w:val="24"/>
        </w:rPr>
        <w:t xml:space="preserve"> г.</w:t>
      </w:r>
      <w:r w:rsidRPr="002969AB">
        <w:rPr>
          <w:rFonts w:ascii="Times New Roman" w:hAnsi="Times New Roman"/>
          <w:i/>
          <w:szCs w:val="24"/>
        </w:rPr>
        <w:t xml:space="preserve"> </w:t>
      </w:r>
    </w:p>
    <w:p w14:paraId="0DFA8757" w14:textId="4FB5292F" w:rsidR="00B146C6" w:rsidRPr="00906EDB" w:rsidRDefault="00B146C6" w:rsidP="00915BC0">
      <w:pPr>
        <w:spacing w:before="120" w:line="360" w:lineRule="auto"/>
        <w:ind w:firstLine="1134"/>
        <w:jc w:val="both"/>
        <w:rPr>
          <w:rFonts w:ascii="Times New Roman" w:hAnsi="Times New Roman"/>
          <w:b/>
          <w:szCs w:val="24"/>
        </w:rPr>
      </w:pPr>
      <w:r w:rsidRPr="00906EDB">
        <w:rPr>
          <w:rFonts w:ascii="Times New Roman" w:hAnsi="Times New Roman"/>
          <w:b/>
          <w:szCs w:val="24"/>
        </w:rPr>
        <w:t xml:space="preserve">УВАЖАЕМА ГОСПОЖО </w:t>
      </w:r>
      <w:r w:rsidR="000E74DF">
        <w:rPr>
          <w:rFonts w:ascii="Times New Roman" w:hAnsi="Times New Roman"/>
          <w:b/>
          <w:szCs w:val="24"/>
        </w:rPr>
        <w:t>ДОЦОВА</w:t>
      </w:r>
      <w:r w:rsidRPr="00906EDB">
        <w:rPr>
          <w:rFonts w:ascii="Times New Roman" w:hAnsi="Times New Roman"/>
          <w:b/>
          <w:szCs w:val="24"/>
        </w:rPr>
        <w:t>,</w:t>
      </w:r>
    </w:p>
    <w:p w14:paraId="030FEA6E" w14:textId="77777777" w:rsidR="00873735" w:rsidRDefault="009E40CD" w:rsidP="001E6160">
      <w:pPr>
        <w:spacing w:before="120" w:line="336" w:lineRule="auto"/>
        <w:ind w:firstLine="1134"/>
        <w:jc w:val="both"/>
        <w:rPr>
          <w:rFonts w:ascii="Times New Roman" w:hAnsi="Times New Roman"/>
          <w:szCs w:val="24"/>
        </w:rPr>
      </w:pPr>
      <w:r w:rsidRPr="003F15BF">
        <w:rPr>
          <w:rFonts w:ascii="Times New Roman" w:hAnsi="Times New Roman"/>
          <w:szCs w:val="24"/>
        </w:rPr>
        <w:t xml:space="preserve">На основание чл. 87, ал. 2 от Конституцията на Република България и чл. 79, ал. </w:t>
      </w:r>
      <w:r w:rsidR="00601C60">
        <w:rPr>
          <w:rFonts w:ascii="Times New Roman" w:hAnsi="Times New Roman"/>
          <w:szCs w:val="24"/>
        </w:rPr>
        <w:t>4</w:t>
      </w:r>
      <w:r w:rsidRPr="003F15BF">
        <w:rPr>
          <w:rFonts w:ascii="Times New Roman" w:hAnsi="Times New Roman"/>
          <w:szCs w:val="24"/>
        </w:rPr>
        <w:t xml:space="preserve"> от Закона за публичните финанси изпращам Ви одобрения с Решение </w:t>
      </w:r>
      <w:r w:rsidRPr="003F15BF">
        <w:rPr>
          <w:rFonts w:ascii="Times New Roman" w:hAnsi="Times New Roman"/>
          <w:szCs w:val="24"/>
        </w:rPr>
        <w:sym w:font="Times New Roman" w:char="2116"/>
      </w:r>
      <w:r w:rsidRPr="003F15BF">
        <w:rPr>
          <w:rFonts w:ascii="Times New Roman" w:hAnsi="Times New Roman"/>
          <w:szCs w:val="24"/>
        </w:rPr>
        <w:t xml:space="preserve"> </w:t>
      </w:r>
      <w:r w:rsidR="005C3420">
        <w:rPr>
          <w:rFonts w:ascii="Times New Roman" w:hAnsi="Times New Roman"/>
          <w:szCs w:val="24"/>
          <w:lang w:val="en-US"/>
        </w:rPr>
        <w:t>484</w:t>
      </w:r>
      <w:r w:rsidRPr="003F15BF">
        <w:rPr>
          <w:rFonts w:ascii="Times New Roman" w:hAnsi="Times New Roman"/>
          <w:szCs w:val="24"/>
        </w:rPr>
        <w:t xml:space="preserve"> на Министерския съвет от 202</w:t>
      </w:r>
      <w:r w:rsidR="00296246">
        <w:rPr>
          <w:rFonts w:ascii="Times New Roman" w:hAnsi="Times New Roman"/>
          <w:szCs w:val="24"/>
          <w:lang w:val="en-US"/>
        </w:rPr>
        <w:t>6</w:t>
      </w:r>
      <w:r w:rsidRPr="003F15BF">
        <w:rPr>
          <w:rFonts w:ascii="Times New Roman" w:hAnsi="Times New Roman"/>
          <w:szCs w:val="24"/>
        </w:rPr>
        <w:t xml:space="preserve"> г. проект на Закон за държавния бюджет на Република България за 202</w:t>
      </w:r>
      <w:r w:rsidR="006E3FCB">
        <w:rPr>
          <w:rFonts w:ascii="Times New Roman" w:hAnsi="Times New Roman"/>
          <w:szCs w:val="24"/>
          <w:lang w:val="en-US"/>
        </w:rPr>
        <w:t>6</w:t>
      </w:r>
      <w:r w:rsidRPr="003F15BF">
        <w:rPr>
          <w:rFonts w:ascii="Times New Roman" w:hAnsi="Times New Roman"/>
          <w:szCs w:val="24"/>
        </w:rPr>
        <w:t xml:space="preserve"> г. </w:t>
      </w:r>
    </w:p>
    <w:p w14:paraId="7B9728D6" w14:textId="007AD37C" w:rsidR="009E40CD" w:rsidRPr="003F15BF" w:rsidRDefault="009E40CD" w:rsidP="001E6160">
      <w:pPr>
        <w:spacing w:before="120" w:line="336" w:lineRule="auto"/>
        <w:ind w:firstLine="1134"/>
        <w:jc w:val="both"/>
        <w:rPr>
          <w:rFonts w:ascii="Times New Roman" w:hAnsi="Times New Roman"/>
          <w:szCs w:val="24"/>
        </w:rPr>
      </w:pPr>
      <w:r w:rsidRPr="003F15BF">
        <w:rPr>
          <w:rFonts w:ascii="Times New Roman" w:hAnsi="Times New Roman"/>
          <w:szCs w:val="24"/>
        </w:rPr>
        <w:t>Съгласно § 1а от Допълнителните разпоредби на Закона за нормативните актове глава втора и трета на същия закон не се прилагат по отношение на проекта на Закон за държавния бюджет на Република България за 202</w:t>
      </w:r>
      <w:r w:rsidR="00697FD3">
        <w:rPr>
          <w:rFonts w:ascii="Times New Roman" w:hAnsi="Times New Roman"/>
          <w:szCs w:val="24"/>
        </w:rPr>
        <w:t>6</w:t>
      </w:r>
      <w:r w:rsidRPr="003F15BF">
        <w:rPr>
          <w:rFonts w:ascii="Times New Roman" w:hAnsi="Times New Roman"/>
          <w:szCs w:val="24"/>
        </w:rPr>
        <w:t xml:space="preserve"> г.</w:t>
      </w:r>
    </w:p>
    <w:p w14:paraId="4E397905" w14:textId="67AFD3AF" w:rsidR="00B146C6" w:rsidRDefault="009E40CD" w:rsidP="001E6160">
      <w:pPr>
        <w:pStyle w:val="ListParagraph"/>
        <w:spacing w:line="288" w:lineRule="auto"/>
        <w:ind w:left="1134"/>
        <w:jc w:val="both"/>
        <w:rPr>
          <w:rFonts w:ascii="Times New Roman" w:hAnsi="Times New Roman"/>
          <w:szCs w:val="24"/>
        </w:rPr>
      </w:pPr>
      <w:r w:rsidRPr="00DA6299">
        <w:rPr>
          <w:rFonts w:ascii="Times New Roman" w:hAnsi="Times New Roman"/>
          <w:b/>
          <w:szCs w:val="24"/>
        </w:rPr>
        <w:t>Приложени</w:t>
      </w:r>
      <w:r w:rsidR="001C008F">
        <w:rPr>
          <w:rFonts w:ascii="Times New Roman" w:hAnsi="Times New Roman"/>
          <w:b/>
          <w:szCs w:val="24"/>
        </w:rPr>
        <w:t>я</w:t>
      </w:r>
      <w:r w:rsidRPr="00DA6299">
        <w:rPr>
          <w:rFonts w:ascii="Times New Roman" w:hAnsi="Times New Roman"/>
          <w:b/>
          <w:szCs w:val="24"/>
        </w:rPr>
        <w:t>:</w:t>
      </w:r>
      <w:r w:rsidRPr="003F15BF">
        <w:rPr>
          <w:rFonts w:ascii="Times New Roman" w:hAnsi="Times New Roman"/>
          <w:szCs w:val="24"/>
        </w:rPr>
        <w:t xml:space="preserve"> </w:t>
      </w:r>
    </w:p>
    <w:p w14:paraId="6B58B624" w14:textId="2200379D" w:rsidR="001C008F" w:rsidRDefault="001C008F" w:rsidP="00F64909">
      <w:pPr>
        <w:pStyle w:val="ListParagraph"/>
        <w:numPr>
          <w:ilvl w:val="0"/>
          <w:numId w:val="1"/>
        </w:numPr>
        <w:spacing w:line="288" w:lineRule="auto"/>
        <w:jc w:val="both"/>
        <w:rPr>
          <w:rFonts w:ascii="Times New Roman" w:hAnsi="Times New Roman"/>
          <w:szCs w:val="24"/>
        </w:rPr>
      </w:pPr>
      <w:r>
        <w:rPr>
          <w:rFonts w:ascii="Times New Roman" w:hAnsi="Times New Roman"/>
          <w:szCs w:val="24"/>
        </w:rPr>
        <w:t xml:space="preserve">Препис от Решение № </w:t>
      </w:r>
      <w:r w:rsidR="005C3420">
        <w:rPr>
          <w:rFonts w:ascii="Times New Roman" w:hAnsi="Times New Roman"/>
          <w:szCs w:val="24"/>
          <w:lang w:val="en-US"/>
        </w:rPr>
        <w:t>484</w:t>
      </w:r>
      <w:r>
        <w:rPr>
          <w:rFonts w:ascii="Times New Roman" w:hAnsi="Times New Roman"/>
          <w:szCs w:val="24"/>
        </w:rPr>
        <w:t xml:space="preserve"> на Министерския съвет от 2026 г.</w:t>
      </w:r>
    </w:p>
    <w:p w14:paraId="22736E75" w14:textId="33BA8D42" w:rsidR="00930214" w:rsidRDefault="00930214" w:rsidP="00F64909">
      <w:pPr>
        <w:pStyle w:val="ListParagraph"/>
        <w:numPr>
          <w:ilvl w:val="0"/>
          <w:numId w:val="1"/>
        </w:numPr>
        <w:spacing w:line="288" w:lineRule="auto"/>
        <w:jc w:val="both"/>
        <w:rPr>
          <w:rFonts w:ascii="Times New Roman" w:hAnsi="Times New Roman"/>
          <w:szCs w:val="24"/>
        </w:rPr>
      </w:pPr>
      <w:r w:rsidRPr="003F15BF">
        <w:rPr>
          <w:rFonts w:ascii="Times New Roman" w:hAnsi="Times New Roman"/>
          <w:szCs w:val="24"/>
        </w:rPr>
        <w:t>Проект на Закон за държавния бюджет на Република България за 202</w:t>
      </w:r>
      <w:r>
        <w:rPr>
          <w:rFonts w:ascii="Times New Roman" w:hAnsi="Times New Roman"/>
          <w:szCs w:val="24"/>
          <w:lang w:val="en-US"/>
        </w:rPr>
        <w:t>6</w:t>
      </w:r>
      <w:r w:rsidRPr="003F15BF">
        <w:rPr>
          <w:rFonts w:ascii="Times New Roman" w:hAnsi="Times New Roman"/>
          <w:szCs w:val="24"/>
        </w:rPr>
        <w:t xml:space="preserve"> г.</w:t>
      </w:r>
    </w:p>
    <w:p w14:paraId="5CE92347" w14:textId="5555ED6E" w:rsidR="00930214" w:rsidRDefault="00930214" w:rsidP="00F64909">
      <w:pPr>
        <w:pStyle w:val="ListParagraph"/>
        <w:numPr>
          <w:ilvl w:val="0"/>
          <w:numId w:val="1"/>
        </w:numPr>
        <w:spacing w:line="288" w:lineRule="auto"/>
        <w:ind w:left="0" w:firstLine="1134"/>
        <w:jc w:val="both"/>
        <w:rPr>
          <w:rFonts w:ascii="Times New Roman" w:hAnsi="Times New Roman"/>
          <w:szCs w:val="24"/>
        </w:rPr>
      </w:pPr>
      <w:r w:rsidRPr="003F15BF">
        <w:rPr>
          <w:rFonts w:ascii="Times New Roman" w:hAnsi="Times New Roman"/>
          <w:caps/>
          <w:szCs w:val="24"/>
        </w:rPr>
        <w:t>а</w:t>
      </w:r>
      <w:r w:rsidRPr="003F15BF">
        <w:rPr>
          <w:rFonts w:ascii="Times New Roman" w:hAnsi="Times New Roman"/>
          <w:szCs w:val="24"/>
        </w:rPr>
        <w:t>ктуализираната средносрочна бюджетна прогноза за периода 202</w:t>
      </w:r>
      <w:r>
        <w:rPr>
          <w:rFonts w:ascii="Times New Roman" w:hAnsi="Times New Roman"/>
          <w:szCs w:val="24"/>
        </w:rPr>
        <w:t>6</w:t>
      </w:r>
      <w:r w:rsidRPr="003F15BF">
        <w:rPr>
          <w:rFonts w:ascii="Times New Roman" w:hAnsi="Times New Roman"/>
          <w:szCs w:val="24"/>
        </w:rPr>
        <w:t>-202</w:t>
      </w:r>
      <w:r>
        <w:rPr>
          <w:rFonts w:ascii="Times New Roman" w:hAnsi="Times New Roman"/>
          <w:szCs w:val="24"/>
        </w:rPr>
        <w:t>8</w:t>
      </w:r>
      <w:r w:rsidRPr="003F15BF">
        <w:rPr>
          <w:rFonts w:ascii="Times New Roman" w:hAnsi="Times New Roman"/>
          <w:szCs w:val="24"/>
        </w:rPr>
        <w:t xml:space="preserve"> г., представляваща мотиви към законопроекта</w:t>
      </w:r>
      <w:r>
        <w:rPr>
          <w:rFonts w:ascii="Times New Roman" w:hAnsi="Times New Roman"/>
          <w:szCs w:val="24"/>
        </w:rPr>
        <w:t>.</w:t>
      </w:r>
    </w:p>
    <w:p w14:paraId="65A7D364" w14:textId="029C06A6" w:rsidR="00930214" w:rsidRDefault="00930214" w:rsidP="00F64909">
      <w:pPr>
        <w:pStyle w:val="ListParagraph"/>
        <w:numPr>
          <w:ilvl w:val="0"/>
          <w:numId w:val="1"/>
        </w:numPr>
        <w:spacing w:line="288" w:lineRule="auto"/>
        <w:ind w:left="0" w:firstLine="1134"/>
        <w:jc w:val="both"/>
        <w:rPr>
          <w:rFonts w:ascii="Times New Roman" w:hAnsi="Times New Roman"/>
          <w:szCs w:val="24"/>
        </w:rPr>
      </w:pPr>
      <w:r w:rsidRPr="003F15BF">
        <w:rPr>
          <w:rFonts w:ascii="Times New Roman" w:hAnsi="Times New Roman"/>
          <w:szCs w:val="24"/>
        </w:rPr>
        <w:t>Становището на Министерския съвет по проекта на бюджет на съдебната власт за 202</w:t>
      </w:r>
      <w:r>
        <w:rPr>
          <w:rFonts w:ascii="Times New Roman" w:hAnsi="Times New Roman"/>
          <w:szCs w:val="24"/>
        </w:rPr>
        <w:t>6</w:t>
      </w:r>
      <w:r w:rsidRPr="003F15BF">
        <w:rPr>
          <w:rFonts w:ascii="Times New Roman" w:hAnsi="Times New Roman"/>
          <w:szCs w:val="24"/>
        </w:rPr>
        <w:t xml:space="preserve"> г.</w:t>
      </w:r>
    </w:p>
    <w:p w14:paraId="4263E966" w14:textId="2892FB10" w:rsidR="00930214" w:rsidRDefault="00930214" w:rsidP="00F64909">
      <w:pPr>
        <w:pStyle w:val="ListParagraph"/>
        <w:numPr>
          <w:ilvl w:val="0"/>
          <w:numId w:val="1"/>
        </w:numPr>
        <w:spacing w:line="288" w:lineRule="auto"/>
        <w:ind w:left="0" w:firstLine="1134"/>
        <w:jc w:val="both"/>
        <w:rPr>
          <w:rFonts w:ascii="Times New Roman" w:hAnsi="Times New Roman"/>
          <w:szCs w:val="24"/>
        </w:rPr>
      </w:pPr>
      <w:r>
        <w:rPr>
          <w:rFonts w:ascii="Times New Roman" w:hAnsi="Times New Roman"/>
          <w:szCs w:val="24"/>
        </w:rPr>
        <w:t>Справка за постъпилите бележки и предложения от министерствата и ведомствата от проведеното междуведомствено съгласуване по проекта на акт.</w:t>
      </w:r>
    </w:p>
    <w:p w14:paraId="4EBF21C5" w14:textId="157F7270" w:rsidR="00900714" w:rsidRPr="00915BC0" w:rsidRDefault="00900714" w:rsidP="00F64909">
      <w:pPr>
        <w:pStyle w:val="ListParagraph"/>
        <w:numPr>
          <w:ilvl w:val="0"/>
          <w:numId w:val="1"/>
        </w:numPr>
        <w:spacing w:line="288" w:lineRule="auto"/>
        <w:ind w:left="0" w:firstLine="1134"/>
        <w:jc w:val="both"/>
        <w:rPr>
          <w:rFonts w:ascii="Times New Roman" w:hAnsi="Times New Roman"/>
          <w:szCs w:val="24"/>
        </w:rPr>
      </w:pPr>
      <w:r w:rsidRPr="003F15BF">
        <w:rPr>
          <w:rFonts w:ascii="Times New Roman" w:hAnsi="Times New Roman"/>
          <w:szCs w:val="24"/>
        </w:rPr>
        <w:t>Протокол от консултациите с Националното сдружение на общините в Република България по чл. 77 от Закона за публичните финанси.</w:t>
      </w:r>
    </w:p>
    <w:p w14:paraId="1FCF4ADA" w14:textId="0CC72768" w:rsidR="00915BC0" w:rsidRPr="00906EDB" w:rsidRDefault="00915BC0" w:rsidP="00F64909">
      <w:pPr>
        <w:pStyle w:val="ListParagraph"/>
        <w:numPr>
          <w:ilvl w:val="0"/>
          <w:numId w:val="1"/>
        </w:numPr>
        <w:spacing w:line="288" w:lineRule="auto"/>
        <w:ind w:left="0" w:firstLine="1134"/>
        <w:jc w:val="both"/>
        <w:rPr>
          <w:rFonts w:ascii="Times New Roman" w:hAnsi="Times New Roman"/>
          <w:szCs w:val="24"/>
        </w:rPr>
      </w:pPr>
      <w:r>
        <w:rPr>
          <w:rFonts w:ascii="Times New Roman" w:hAnsi="Times New Roman"/>
          <w:szCs w:val="24"/>
          <w:lang w:val="en-US"/>
        </w:rPr>
        <w:t xml:space="preserve"> </w:t>
      </w:r>
      <w:r w:rsidRPr="003F15BF">
        <w:rPr>
          <w:rFonts w:ascii="Times New Roman" w:hAnsi="Times New Roman"/>
          <w:szCs w:val="24"/>
        </w:rPr>
        <w:t>Програмни</w:t>
      </w:r>
      <w:r>
        <w:rPr>
          <w:rFonts w:ascii="Times New Roman" w:hAnsi="Times New Roman"/>
          <w:szCs w:val="24"/>
          <w:lang w:val="en-US"/>
        </w:rPr>
        <w:t xml:space="preserve"> </w:t>
      </w:r>
      <w:r w:rsidRPr="003F15BF">
        <w:rPr>
          <w:rFonts w:ascii="Times New Roman" w:hAnsi="Times New Roman"/>
          <w:szCs w:val="24"/>
        </w:rPr>
        <w:t>формати на бюджети на първостепенните разпоредители с бюджет по държавния бюджет</w:t>
      </w:r>
      <w:r>
        <w:rPr>
          <w:rFonts w:ascii="Times New Roman" w:hAnsi="Times New Roman"/>
          <w:szCs w:val="24"/>
        </w:rPr>
        <w:t>,</w:t>
      </w:r>
      <w:r w:rsidRPr="003F15BF">
        <w:rPr>
          <w:rFonts w:ascii="Times New Roman" w:hAnsi="Times New Roman"/>
          <w:szCs w:val="24"/>
        </w:rPr>
        <w:t xml:space="preserve"> съответстващи на параметрите на законопроекта и на Актуализираната средносрочна бюджетна прогноза.</w:t>
      </w:r>
    </w:p>
    <w:p w14:paraId="0DE497A6" w14:textId="2EA1BB73" w:rsidR="00B146C6" w:rsidRPr="005343D5" w:rsidRDefault="005343D5" w:rsidP="005343D5">
      <w:pPr>
        <w:spacing w:line="312" w:lineRule="auto"/>
        <w:ind w:left="1134"/>
        <w:jc w:val="both"/>
        <w:rPr>
          <w:rFonts w:ascii="Times New Roman" w:hAnsi="Times New Roman"/>
          <w:b/>
          <w:bCs/>
          <w:szCs w:val="24"/>
        </w:rPr>
      </w:pPr>
      <w:r w:rsidRPr="005343D5">
        <w:rPr>
          <w:rFonts w:ascii="Times New Roman" w:hAnsi="Times New Roman"/>
          <w:b/>
          <w:bCs/>
          <w:szCs w:val="24"/>
        </w:rPr>
        <w:t>РУМЕН РАДЕВ</w:t>
      </w:r>
    </w:p>
    <w:p w14:paraId="159A8530" w14:textId="77777777" w:rsidR="00B146C6" w:rsidRPr="00906EDB" w:rsidRDefault="00B146C6" w:rsidP="00B20EC8">
      <w:pPr>
        <w:ind w:firstLine="1134"/>
        <w:jc w:val="both"/>
        <w:rPr>
          <w:rFonts w:ascii="Times New Roman" w:hAnsi="Times New Roman"/>
          <w:b/>
          <w:szCs w:val="24"/>
        </w:rPr>
      </w:pPr>
      <w:r w:rsidRPr="00906EDB">
        <w:rPr>
          <w:rFonts w:ascii="Times New Roman" w:hAnsi="Times New Roman"/>
          <w:b/>
          <w:szCs w:val="24"/>
        </w:rPr>
        <w:t>МИНИСТЪР-ПРЕДСЕДАТЕЛ:</w:t>
      </w:r>
    </w:p>
    <w:p w14:paraId="63F439A8" w14:textId="09737606" w:rsidR="00B146C6" w:rsidRDefault="00873735" w:rsidP="00B20EC8">
      <w:pPr>
        <w:ind w:firstLine="3544"/>
        <w:jc w:val="center"/>
        <w:rPr>
          <w:rFonts w:ascii="Times New Roman" w:hAnsi="Times New Roman"/>
          <w:iCs/>
          <w:szCs w:val="24"/>
        </w:rPr>
      </w:pPr>
      <w:r>
        <w:rPr>
          <w:rFonts w:ascii="Times New Roman" w:hAnsi="Times New Roman"/>
          <w:iCs/>
          <w:szCs w:val="24"/>
        </w:rPr>
        <w:pict w14:anchorId="6442CAA9">
          <v:shape id="_x0000_i1027" type="#_x0000_t75" alt="Ред за подпис на Microsoft Office..." style="width:168pt;height:84.3pt">
            <v:imagedata r:id="rId8" o:title=""/>
            <o:lock v:ext="edit" ungrouping="t" rotation="t" cropping="t" verticies="t" text="t" grouping="t"/>
            <o:signatureline v:ext="edit" id="{026DD639-15E5-4C5F-B502-515DEA123A7B}" provid="{00000000-0000-0000-0000-000000000000}" issignatureline="t"/>
          </v:shape>
        </w:pict>
      </w:r>
    </w:p>
    <w:p w14:paraId="337CC38D" w14:textId="77777777" w:rsidR="00761800" w:rsidRDefault="00761800" w:rsidP="00B20EC8">
      <w:pPr>
        <w:ind w:firstLine="3544"/>
        <w:jc w:val="center"/>
        <w:rPr>
          <w:rFonts w:ascii="Times New Roman" w:hAnsi="Times New Roman"/>
          <w:i/>
          <w:szCs w:val="24"/>
        </w:rPr>
        <w:sectPr w:rsidR="00761800" w:rsidSect="001E6160">
          <w:footerReference w:type="first" r:id="rId9"/>
          <w:pgSz w:w="11907" w:h="16840" w:code="9"/>
          <w:pgMar w:top="426" w:right="1134" w:bottom="568" w:left="1276" w:header="1" w:footer="130" w:gutter="0"/>
          <w:cols w:space="708"/>
          <w:noEndnote/>
          <w:docGrid w:linePitch="326"/>
        </w:sectPr>
      </w:pPr>
    </w:p>
    <w:p w14:paraId="7C087022" w14:textId="5466BDD5" w:rsidR="00761800" w:rsidRDefault="00761800" w:rsidP="00B20EC8">
      <w:pPr>
        <w:ind w:firstLine="3544"/>
        <w:jc w:val="center"/>
        <w:rPr>
          <w:rFonts w:ascii="Times New Roman" w:hAnsi="Times New Roman"/>
          <w:i/>
          <w:szCs w:val="24"/>
        </w:rPr>
      </w:pPr>
    </w:p>
    <w:p w14:paraId="422602A3" w14:textId="77777777" w:rsidR="00761800" w:rsidRPr="00761800" w:rsidRDefault="00761800" w:rsidP="00761800">
      <w:pPr>
        <w:tabs>
          <w:tab w:val="left" w:pos="1985"/>
        </w:tabs>
        <w:jc w:val="center"/>
        <w:rPr>
          <w:rFonts w:ascii="Times New Roman" w:hAnsi="Times New Roman"/>
          <w:b/>
          <w:spacing w:val="50"/>
          <w:sz w:val="22"/>
        </w:rPr>
      </w:pPr>
      <w:r w:rsidRPr="00761800">
        <w:rPr>
          <w:rFonts w:ascii="Times New Roman" w:hAnsi="Times New Roman"/>
          <w:b/>
          <w:noProof/>
          <w:spacing w:val="50"/>
          <w:sz w:val="22"/>
        </w:rPr>
        <w:drawing>
          <wp:inline distT="0" distB="0" distL="0" distR="0" wp14:anchorId="7C6C2511" wp14:editId="5BD6F06A">
            <wp:extent cx="895350" cy="781050"/>
            <wp:effectExtent l="0" t="0" r="0" b="0"/>
            <wp:docPr id="2"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Картина 3"/>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5350" cy="781050"/>
                    </a:xfrm>
                    <a:prstGeom prst="rect">
                      <a:avLst/>
                    </a:prstGeom>
                    <a:noFill/>
                    <a:ln>
                      <a:noFill/>
                    </a:ln>
                  </pic:spPr>
                </pic:pic>
              </a:graphicData>
            </a:graphic>
          </wp:inline>
        </w:drawing>
      </w:r>
    </w:p>
    <w:p w14:paraId="47400B65" w14:textId="77777777" w:rsidR="00761800" w:rsidRPr="00761800" w:rsidRDefault="00761800" w:rsidP="00761800">
      <w:pPr>
        <w:tabs>
          <w:tab w:val="left" w:pos="1985"/>
        </w:tabs>
        <w:jc w:val="center"/>
        <w:rPr>
          <w:rFonts w:ascii="Times New Roman" w:hAnsi="Times New Roman"/>
          <w:b/>
          <w:spacing w:val="50"/>
          <w:szCs w:val="24"/>
        </w:rPr>
      </w:pPr>
      <w:r w:rsidRPr="00761800">
        <w:rPr>
          <w:rFonts w:ascii="Times New Roman" w:hAnsi="Times New Roman"/>
          <w:b/>
          <w:spacing w:val="50"/>
          <w:szCs w:val="24"/>
        </w:rPr>
        <w:t>Р Е П У Б Л И К А   Б Ъ Л Г А Р И Я</w:t>
      </w:r>
    </w:p>
    <w:p w14:paraId="7F01F5E8" w14:textId="77777777" w:rsidR="00761800" w:rsidRPr="00761800" w:rsidRDefault="00761800" w:rsidP="00761800">
      <w:pPr>
        <w:pBdr>
          <w:bottom w:val="single" w:sz="12" w:space="1" w:color="auto"/>
        </w:pBdr>
        <w:jc w:val="center"/>
        <w:rPr>
          <w:rFonts w:ascii="Times New Roman" w:hAnsi="Times New Roman"/>
          <w:b/>
          <w:spacing w:val="100"/>
          <w:sz w:val="32"/>
        </w:rPr>
      </w:pPr>
      <w:r w:rsidRPr="00761800">
        <w:rPr>
          <w:rFonts w:ascii="Times New Roman" w:hAnsi="Times New Roman"/>
          <w:b/>
          <w:spacing w:val="60"/>
          <w:sz w:val="32"/>
        </w:rPr>
        <w:t xml:space="preserve">М И Н И С Т Е Р С К И   С Ъ В Е </w:t>
      </w:r>
      <w:r w:rsidRPr="00761800">
        <w:rPr>
          <w:rFonts w:ascii="Times New Roman" w:hAnsi="Times New Roman"/>
          <w:b/>
          <w:spacing w:val="100"/>
          <w:sz w:val="32"/>
        </w:rPr>
        <w:t>Т</w:t>
      </w:r>
    </w:p>
    <w:p w14:paraId="0943CBC8" w14:textId="77777777" w:rsidR="00761800" w:rsidRPr="00761800" w:rsidRDefault="00761800" w:rsidP="00761800">
      <w:pPr>
        <w:jc w:val="right"/>
        <w:rPr>
          <w:rFonts w:ascii="Times New Roman" w:hAnsi="Times New Roman"/>
          <w:b/>
          <w:szCs w:val="24"/>
        </w:rPr>
      </w:pPr>
      <w:r w:rsidRPr="00761800">
        <w:rPr>
          <w:rFonts w:ascii="Times New Roman" w:hAnsi="Times New Roman"/>
          <w:b/>
          <w:sz w:val="26"/>
          <w:szCs w:val="26"/>
        </w:rPr>
        <w:t>Препис</w:t>
      </w:r>
    </w:p>
    <w:p w14:paraId="0F4DB1F3" w14:textId="77777777" w:rsidR="00761800" w:rsidRPr="00761800" w:rsidRDefault="00761800" w:rsidP="00873735">
      <w:pPr>
        <w:rPr>
          <w:rFonts w:ascii="Times New Roman" w:hAnsi="Times New Roman"/>
          <w:sz w:val="22"/>
        </w:rPr>
      </w:pPr>
    </w:p>
    <w:p w14:paraId="3497A450" w14:textId="446E1686" w:rsidR="00761800" w:rsidRPr="00873735" w:rsidRDefault="00761800" w:rsidP="00873735">
      <w:pPr>
        <w:spacing w:line="360" w:lineRule="auto"/>
        <w:jc w:val="center"/>
        <w:rPr>
          <w:rFonts w:ascii="Times New Roman" w:hAnsi="Times New Roman"/>
          <w:b/>
          <w:spacing w:val="100"/>
          <w:sz w:val="40"/>
          <w:szCs w:val="40"/>
        </w:rPr>
      </w:pPr>
      <w:r w:rsidRPr="00761800">
        <w:rPr>
          <w:rFonts w:ascii="Times New Roman" w:hAnsi="Times New Roman"/>
          <w:b/>
          <w:spacing w:val="100"/>
          <w:sz w:val="40"/>
          <w:szCs w:val="40"/>
        </w:rPr>
        <w:t xml:space="preserve">Р Е Ш Е Н И Е   </w:t>
      </w:r>
      <w:r w:rsidRPr="00761800">
        <w:rPr>
          <w:rFonts w:ascii="Times New Roman" w:hAnsi="Times New Roman"/>
          <w:b/>
          <w:spacing w:val="100"/>
          <w:sz w:val="40"/>
          <w:szCs w:val="40"/>
        </w:rPr>
        <w:sym w:font="Times New Roman" w:char="2116"/>
      </w:r>
      <w:r w:rsidRPr="00761800">
        <w:rPr>
          <w:rFonts w:ascii="Times New Roman" w:hAnsi="Times New Roman"/>
          <w:b/>
          <w:spacing w:val="100"/>
          <w:sz w:val="40"/>
          <w:szCs w:val="40"/>
        </w:rPr>
        <w:t xml:space="preserve"> 484</w:t>
      </w:r>
    </w:p>
    <w:p w14:paraId="65F1AB59" w14:textId="7468AD12" w:rsidR="00761800" w:rsidRPr="00873735" w:rsidRDefault="00761800" w:rsidP="00873735">
      <w:pPr>
        <w:jc w:val="center"/>
        <w:rPr>
          <w:rFonts w:ascii="Times New Roman" w:hAnsi="Times New Roman"/>
          <w:b/>
          <w:sz w:val="30"/>
          <w:szCs w:val="30"/>
        </w:rPr>
      </w:pPr>
      <w:r w:rsidRPr="00761800">
        <w:rPr>
          <w:rFonts w:ascii="Times New Roman" w:hAnsi="Times New Roman"/>
          <w:b/>
          <w:sz w:val="30"/>
          <w:szCs w:val="30"/>
        </w:rPr>
        <w:t>от     1     юли     2026 година</w:t>
      </w:r>
    </w:p>
    <w:p w14:paraId="03475FF6" w14:textId="77777777" w:rsidR="00761800" w:rsidRPr="00761800" w:rsidRDefault="00761800" w:rsidP="00761800">
      <w:pPr>
        <w:spacing w:line="288" w:lineRule="auto"/>
        <w:ind w:left="1559" w:right="754" w:hanging="425"/>
        <w:jc w:val="both"/>
        <w:rPr>
          <w:rFonts w:ascii="Times New Roman" w:hAnsi="Times New Roman"/>
          <w:b/>
          <w:smallCaps/>
          <w:sz w:val="28"/>
          <w:szCs w:val="28"/>
        </w:rPr>
      </w:pPr>
      <w:r w:rsidRPr="00761800">
        <w:rPr>
          <w:rFonts w:ascii="Times New Roman" w:hAnsi="Times New Roman"/>
          <w:b/>
          <w:caps/>
          <w:sz w:val="28"/>
          <w:szCs w:val="28"/>
        </w:rPr>
        <w:t>ЗА</w:t>
      </w:r>
      <w:r w:rsidRPr="00761800">
        <w:rPr>
          <w:rFonts w:ascii="Times New Roman" w:hAnsi="Times New Roman"/>
          <w:b/>
          <w:smallCaps/>
          <w:sz w:val="28"/>
          <w:szCs w:val="28"/>
        </w:rPr>
        <w:t xml:space="preserve"> одобряване на законопроект</w:t>
      </w:r>
    </w:p>
    <w:p w14:paraId="6438FFAF" w14:textId="77777777" w:rsidR="00761800" w:rsidRPr="00761800" w:rsidRDefault="00761800" w:rsidP="00761800">
      <w:pPr>
        <w:spacing w:line="288" w:lineRule="auto"/>
        <w:ind w:firstLine="1134"/>
        <w:rPr>
          <w:rFonts w:ascii="Times New Roman" w:hAnsi="Times New Roman"/>
          <w:sz w:val="28"/>
          <w:szCs w:val="28"/>
        </w:rPr>
      </w:pPr>
    </w:p>
    <w:p w14:paraId="79B5D9EE" w14:textId="77777777" w:rsidR="00761800" w:rsidRPr="00761800" w:rsidRDefault="00761800" w:rsidP="00761800">
      <w:pPr>
        <w:spacing w:line="360" w:lineRule="auto"/>
        <w:ind w:firstLine="1134"/>
        <w:jc w:val="both"/>
        <w:rPr>
          <w:rFonts w:ascii="Times New Roman" w:hAnsi="Times New Roman"/>
          <w:sz w:val="28"/>
          <w:szCs w:val="28"/>
        </w:rPr>
      </w:pPr>
      <w:r w:rsidRPr="00761800">
        <w:rPr>
          <w:rFonts w:ascii="Times New Roman" w:hAnsi="Times New Roman"/>
          <w:sz w:val="28"/>
          <w:szCs w:val="28"/>
        </w:rPr>
        <w:t>На основание чл. 87, ал. 2 от Конституцията на Република България и чл. 79, ал. 3 от Закона за публичните финанси</w:t>
      </w:r>
    </w:p>
    <w:p w14:paraId="50766BE2" w14:textId="77777777" w:rsidR="00761800" w:rsidRPr="00761800" w:rsidRDefault="00761800" w:rsidP="00761800">
      <w:pPr>
        <w:spacing w:line="288" w:lineRule="auto"/>
        <w:jc w:val="center"/>
        <w:rPr>
          <w:rFonts w:ascii="Times New Roman" w:hAnsi="Times New Roman"/>
          <w:spacing w:val="40"/>
          <w:sz w:val="26"/>
          <w:szCs w:val="26"/>
        </w:rPr>
      </w:pPr>
    </w:p>
    <w:p w14:paraId="6A1590A5" w14:textId="77777777" w:rsidR="00761800" w:rsidRPr="00761800" w:rsidRDefault="00761800" w:rsidP="00761800">
      <w:pPr>
        <w:spacing w:line="360" w:lineRule="auto"/>
        <w:jc w:val="center"/>
        <w:rPr>
          <w:rFonts w:ascii="Times New Roman" w:hAnsi="Times New Roman"/>
          <w:b/>
          <w:spacing w:val="40"/>
          <w:sz w:val="28"/>
          <w:szCs w:val="28"/>
        </w:rPr>
      </w:pPr>
      <w:r w:rsidRPr="00761800">
        <w:rPr>
          <w:rFonts w:ascii="Times New Roman" w:hAnsi="Times New Roman"/>
          <w:b/>
          <w:spacing w:val="40"/>
          <w:sz w:val="28"/>
          <w:szCs w:val="28"/>
        </w:rPr>
        <w:t>М И Н И С Т Е Р С К И Я Т    С Ъ В Е Т</w:t>
      </w:r>
    </w:p>
    <w:p w14:paraId="585AF816" w14:textId="77777777" w:rsidR="00761800" w:rsidRPr="00761800" w:rsidRDefault="00761800" w:rsidP="00761800">
      <w:pPr>
        <w:jc w:val="center"/>
        <w:rPr>
          <w:rFonts w:ascii="Times New Roman" w:hAnsi="Times New Roman"/>
          <w:b/>
          <w:spacing w:val="40"/>
          <w:sz w:val="28"/>
          <w:szCs w:val="28"/>
        </w:rPr>
      </w:pPr>
      <w:r w:rsidRPr="00761800">
        <w:rPr>
          <w:rFonts w:ascii="Times New Roman" w:hAnsi="Times New Roman"/>
          <w:b/>
          <w:spacing w:val="40"/>
          <w:sz w:val="28"/>
          <w:szCs w:val="28"/>
        </w:rPr>
        <w:t>Р Е Ш И:</w:t>
      </w:r>
    </w:p>
    <w:p w14:paraId="34EC3E48" w14:textId="77777777" w:rsidR="00761800" w:rsidRPr="00761800" w:rsidRDefault="00761800" w:rsidP="00761800">
      <w:pPr>
        <w:spacing w:line="288" w:lineRule="auto"/>
        <w:jc w:val="center"/>
        <w:rPr>
          <w:rFonts w:ascii="Times New Roman" w:hAnsi="Times New Roman"/>
          <w:spacing w:val="40"/>
          <w:sz w:val="26"/>
          <w:szCs w:val="26"/>
        </w:rPr>
      </w:pPr>
    </w:p>
    <w:p w14:paraId="661E2546" w14:textId="77777777" w:rsidR="00761800" w:rsidRPr="00761800" w:rsidRDefault="00761800" w:rsidP="00761800">
      <w:pPr>
        <w:spacing w:before="120" w:line="360" w:lineRule="auto"/>
        <w:ind w:firstLine="1134"/>
        <w:jc w:val="both"/>
        <w:rPr>
          <w:rFonts w:ascii="Times New Roman" w:hAnsi="Times New Roman"/>
          <w:bCs/>
          <w:sz w:val="28"/>
          <w:szCs w:val="28"/>
        </w:rPr>
      </w:pPr>
      <w:r w:rsidRPr="00761800">
        <w:rPr>
          <w:rFonts w:ascii="Times New Roman" w:hAnsi="Times New Roman"/>
          <w:b/>
          <w:sz w:val="28"/>
          <w:szCs w:val="28"/>
        </w:rPr>
        <w:t>1.</w:t>
      </w:r>
      <w:r w:rsidRPr="00761800">
        <w:rPr>
          <w:rFonts w:ascii="Times New Roman" w:hAnsi="Times New Roman"/>
          <w:bCs/>
          <w:sz w:val="28"/>
          <w:szCs w:val="28"/>
        </w:rPr>
        <w:t xml:space="preserve"> Одобрява проекта на Закон за държавния бюджет на Република България за 2026 г.</w:t>
      </w:r>
    </w:p>
    <w:p w14:paraId="2D88D575" w14:textId="77777777" w:rsidR="00761800" w:rsidRPr="00761800" w:rsidRDefault="00761800" w:rsidP="00761800">
      <w:pPr>
        <w:spacing w:before="120" w:line="360" w:lineRule="auto"/>
        <w:ind w:firstLine="1134"/>
        <w:jc w:val="both"/>
        <w:rPr>
          <w:rFonts w:ascii="Times New Roman" w:hAnsi="Times New Roman"/>
          <w:bCs/>
          <w:sz w:val="28"/>
          <w:szCs w:val="28"/>
        </w:rPr>
      </w:pPr>
      <w:r w:rsidRPr="00761800">
        <w:rPr>
          <w:rFonts w:ascii="Times New Roman" w:hAnsi="Times New Roman"/>
          <w:b/>
          <w:sz w:val="28"/>
          <w:szCs w:val="28"/>
        </w:rPr>
        <w:t>2.</w:t>
      </w:r>
      <w:r w:rsidRPr="00761800">
        <w:rPr>
          <w:rFonts w:ascii="Times New Roman" w:hAnsi="Times New Roman"/>
          <w:bCs/>
          <w:sz w:val="28"/>
          <w:szCs w:val="28"/>
        </w:rPr>
        <w:t xml:space="preserve"> Приема становището по проекта на бюджет на съдебната власт за 2026 г.</w:t>
      </w:r>
    </w:p>
    <w:p w14:paraId="7571B9F9" w14:textId="77777777" w:rsidR="00761800" w:rsidRPr="00761800" w:rsidRDefault="00761800" w:rsidP="00761800">
      <w:pPr>
        <w:spacing w:before="120" w:line="360" w:lineRule="auto"/>
        <w:ind w:firstLine="1134"/>
        <w:jc w:val="both"/>
        <w:rPr>
          <w:rFonts w:ascii="Times New Roman" w:hAnsi="Times New Roman"/>
          <w:bCs/>
          <w:sz w:val="28"/>
          <w:szCs w:val="28"/>
        </w:rPr>
      </w:pPr>
      <w:r w:rsidRPr="00761800">
        <w:rPr>
          <w:rFonts w:ascii="Times New Roman" w:hAnsi="Times New Roman"/>
          <w:b/>
          <w:sz w:val="28"/>
          <w:szCs w:val="28"/>
        </w:rPr>
        <w:t>3.</w:t>
      </w:r>
      <w:r w:rsidRPr="00761800">
        <w:rPr>
          <w:rFonts w:ascii="Times New Roman" w:hAnsi="Times New Roman"/>
          <w:bCs/>
          <w:sz w:val="28"/>
          <w:szCs w:val="28"/>
        </w:rPr>
        <w:t xml:space="preserve"> Предлага на Народното събрание да разгледа и приеме законопроекта по т. 1, като вземе предвид становището по т. 2.</w:t>
      </w:r>
    </w:p>
    <w:p w14:paraId="26F888CF" w14:textId="77777777" w:rsidR="00761800" w:rsidRPr="00761800" w:rsidRDefault="00761800" w:rsidP="00761800">
      <w:pPr>
        <w:spacing w:before="120" w:line="360" w:lineRule="auto"/>
        <w:ind w:firstLine="1134"/>
        <w:jc w:val="both"/>
        <w:rPr>
          <w:rFonts w:ascii="Times New Roman" w:hAnsi="Times New Roman"/>
          <w:bCs/>
          <w:sz w:val="28"/>
          <w:szCs w:val="28"/>
        </w:rPr>
      </w:pPr>
      <w:r w:rsidRPr="00761800">
        <w:rPr>
          <w:rFonts w:ascii="Times New Roman" w:hAnsi="Times New Roman"/>
          <w:b/>
          <w:sz w:val="28"/>
          <w:szCs w:val="28"/>
        </w:rPr>
        <w:t>4.</w:t>
      </w:r>
      <w:r w:rsidRPr="00761800">
        <w:rPr>
          <w:rFonts w:ascii="Times New Roman" w:hAnsi="Times New Roman"/>
          <w:bCs/>
          <w:sz w:val="28"/>
          <w:szCs w:val="28"/>
        </w:rPr>
        <w:t xml:space="preserve"> Одобрява Актуализираната средносрочна бюджетна прогноза за периода 2026-2028 г. съгласно приложението.</w:t>
      </w:r>
    </w:p>
    <w:p w14:paraId="27A530B6" w14:textId="77777777" w:rsidR="00761800" w:rsidRPr="00761800" w:rsidRDefault="00761800" w:rsidP="00761800">
      <w:pPr>
        <w:spacing w:before="120" w:line="360" w:lineRule="auto"/>
        <w:ind w:firstLine="1134"/>
        <w:jc w:val="both"/>
        <w:rPr>
          <w:rFonts w:ascii="Times New Roman" w:hAnsi="Times New Roman"/>
          <w:bCs/>
          <w:sz w:val="28"/>
          <w:szCs w:val="28"/>
        </w:rPr>
      </w:pPr>
      <w:r w:rsidRPr="00761800">
        <w:rPr>
          <w:rFonts w:ascii="Times New Roman" w:hAnsi="Times New Roman"/>
          <w:b/>
          <w:sz w:val="28"/>
          <w:szCs w:val="28"/>
        </w:rPr>
        <w:t>5.</w:t>
      </w:r>
      <w:r w:rsidRPr="00761800">
        <w:rPr>
          <w:rFonts w:ascii="Times New Roman" w:hAnsi="Times New Roman"/>
          <w:bCs/>
          <w:sz w:val="28"/>
          <w:szCs w:val="28"/>
        </w:rPr>
        <w:t xml:space="preserve"> Заместник министър-председателят и министър на финансите да представи законопроекта по т. 1 в Народното събрание.</w:t>
      </w:r>
    </w:p>
    <w:p w14:paraId="6A50125E" w14:textId="77777777" w:rsidR="00761800" w:rsidRPr="00761800" w:rsidRDefault="00761800" w:rsidP="00761800">
      <w:pPr>
        <w:spacing w:before="120" w:line="360" w:lineRule="auto"/>
        <w:ind w:firstLine="1134"/>
        <w:jc w:val="both"/>
        <w:rPr>
          <w:rFonts w:ascii="Times New Roman" w:hAnsi="Times New Roman"/>
          <w:bCs/>
          <w:sz w:val="28"/>
          <w:szCs w:val="28"/>
        </w:rPr>
      </w:pPr>
      <w:r w:rsidRPr="00761800">
        <w:rPr>
          <w:rFonts w:ascii="Times New Roman" w:hAnsi="Times New Roman"/>
          <w:b/>
          <w:sz w:val="28"/>
          <w:szCs w:val="28"/>
        </w:rPr>
        <w:t>6.</w:t>
      </w:r>
      <w:r w:rsidRPr="00761800">
        <w:rPr>
          <w:rFonts w:ascii="Times New Roman" w:hAnsi="Times New Roman"/>
          <w:bCs/>
          <w:sz w:val="28"/>
          <w:szCs w:val="28"/>
        </w:rPr>
        <w:t xml:space="preserve"> Отменя Решение № 860 на Министерския съвет от 8 декември 2025 г. за одобряване на законопроект.</w:t>
      </w:r>
    </w:p>
    <w:p w14:paraId="7D4C2F24" w14:textId="77777777" w:rsidR="00761800" w:rsidRPr="00761800" w:rsidRDefault="00761800" w:rsidP="00761800">
      <w:pPr>
        <w:spacing w:before="120"/>
        <w:ind w:firstLine="1134"/>
        <w:jc w:val="both"/>
        <w:rPr>
          <w:rFonts w:ascii="Times New Roman" w:hAnsi="Times New Roman"/>
        </w:rPr>
      </w:pPr>
    </w:p>
    <w:p w14:paraId="5A2BCC37" w14:textId="41275DDF" w:rsidR="00761800" w:rsidRPr="00761800" w:rsidRDefault="00761800" w:rsidP="00873735">
      <w:pPr>
        <w:ind w:firstLine="1134"/>
        <w:rPr>
          <w:rFonts w:ascii="Times New Roman" w:hAnsi="Times New Roman"/>
          <w:b/>
          <w:sz w:val="26"/>
          <w:szCs w:val="26"/>
          <w:lang w:val="en-GB"/>
        </w:rPr>
      </w:pPr>
      <w:r w:rsidRPr="00761800">
        <w:rPr>
          <w:rFonts w:ascii="Times New Roman" w:hAnsi="Times New Roman"/>
          <w:b/>
          <w:sz w:val="26"/>
          <w:szCs w:val="26"/>
          <w:lang w:val="en-GB"/>
        </w:rPr>
        <w:t>МИНИСТЪР-ПРЕДСЕДАТЕЛ: /п/ РУМЕН РАДЕВ</w:t>
      </w:r>
    </w:p>
    <w:p w14:paraId="5D4641E8" w14:textId="77777777" w:rsidR="00761800" w:rsidRPr="00761800" w:rsidRDefault="00761800" w:rsidP="00761800">
      <w:pPr>
        <w:ind w:firstLine="1134"/>
        <w:rPr>
          <w:rFonts w:ascii="Times New Roman" w:hAnsi="Times New Roman"/>
          <w:b/>
          <w:sz w:val="26"/>
          <w:szCs w:val="26"/>
          <w:lang w:val="en-GB"/>
        </w:rPr>
      </w:pPr>
      <w:r w:rsidRPr="00761800">
        <w:rPr>
          <w:rFonts w:ascii="Times New Roman" w:hAnsi="Times New Roman"/>
          <w:b/>
          <w:sz w:val="26"/>
          <w:szCs w:val="26"/>
          <w:lang w:val="en-GB"/>
        </w:rPr>
        <w:t>ГЛАВЕН СЕКРЕТАР НА</w:t>
      </w:r>
    </w:p>
    <w:p w14:paraId="25990A34" w14:textId="1E4912F3" w:rsidR="00761800" w:rsidRPr="00761800" w:rsidRDefault="00761800" w:rsidP="00873735">
      <w:pPr>
        <w:ind w:firstLine="1134"/>
        <w:rPr>
          <w:rFonts w:ascii="Times New Roman" w:hAnsi="Times New Roman"/>
          <w:b/>
          <w:sz w:val="26"/>
          <w:szCs w:val="26"/>
          <w:lang w:val="en-GB"/>
        </w:rPr>
      </w:pPr>
      <w:r w:rsidRPr="00761800">
        <w:rPr>
          <w:rFonts w:ascii="Times New Roman" w:hAnsi="Times New Roman"/>
          <w:b/>
          <w:sz w:val="26"/>
          <w:szCs w:val="26"/>
          <w:lang w:val="en-GB"/>
        </w:rPr>
        <w:t>МИНИСТЕРСКИЯ СЪВЕТ: /п/ МАРИЯ ТОМОВА</w:t>
      </w:r>
    </w:p>
    <w:p w14:paraId="7B2934E5" w14:textId="77777777" w:rsidR="00761800" w:rsidRPr="00761800" w:rsidRDefault="00761800" w:rsidP="00761800">
      <w:pPr>
        <w:ind w:firstLine="1134"/>
        <w:rPr>
          <w:rFonts w:ascii="Times New Roman" w:hAnsi="Times New Roman"/>
          <w:b/>
          <w:sz w:val="26"/>
          <w:szCs w:val="26"/>
          <w:lang w:val="en-GB"/>
        </w:rPr>
      </w:pPr>
      <w:r w:rsidRPr="00761800">
        <w:rPr>
          <w:rFonts w:ascii="Times New Roman" w:hAnsi="Times New Roman"/>
          <w:b/>
          <w:sz w:val="26"/>
          <w:szCs w:val="26"/>
          <w:lang w:val="en-GB"/>
        </w:rPr>
        <w:t>НАЧАЛНИК НА ОТДЕЛ</w:t>
      </w:r>
    </w:p>
    <w:p w14:paraId="76DF2462" w14:textId="77777777" w:rsidR="00761800" w:rsidRPr="00761800" w:rsidRDefault="00761800" w:rsidP="00761800">
      <w:pPr>
        <w:ind w:firstLine="1134"/>
        <w:rPr>
          <w:rFonts w:ascii="Times New Roman" w:hAnsi="Times New Roman"/>
          <w:b/>
          <w:sz w:val="26"/>
          <w:szCs w:val="26"/>
          <w:lang w:val="en-GB"/>
        </w:rPr>
      </w:pPr>
      <w:r w:rsidRPr="00761800">
        <w:rPr>
          <w:rFonts w:ascii="Times New Roman" w:hAnsi="Times New Roman"/>
          <w:b/>
          <w:sz w:val="26"/>
          <w:szCs w:val="26"/>
          <w:lang w:val="en-GB"/>
        </w:rPr>
        <w:t>“ДЕЛОВОДСТВО И АРХИВ”:</w:t>
      </w:r>
    </w:p>
    <w:p w14:paraId="6983B2B8" w14:textId="77777777" w:rsidR="00761800" w:rsidRPr="00761800" w:rsidRDefault="00761800" w:rsidP="00761800">
      <w:pPr>
        <w:ind w:left="4678"/>
        <w:rPr>
          <w:rFonts w:ascii="Times New Roman" w:hAnsi="Times New Roman"/>
          <w:b/>
          <w:sz w:val="26"/>
          <w:szCs w:val="26"/>
          <w:lang w:val="en-GB"/>
        </w:rPr>
      </w:pPr>
      <w:r w:rsidRPr="00761800">
        <w:rPr>
          <w:rFonts w:ascii="Times New Roman" w:hAnsi="Times New Roman"/>
          <w:b/>
          <w:sz w:val="26"/>
          <w:szCs w:val="26"/>
          <w:lang w:val="en-GB"/>
        </w:rPr>
        <w:t>ЖАНА КАДЪНКОВА</w:t>
      </w:r>
    </w:p>
    <w:p w14:paraId="1C419733" w14:textId="77777777" w:rsidR="00761800" w:rsidRDefault="00761800" w:rsidP="00B20EC8">
      <w:pPr>
        <w:ind w:firstLine="3544"/>
        <w:jc w:val="center"/>
        <w:rPr>
          <w:rFonts w:ascii="Times New Roman" w:hAnsi="Times New Roman"/>
          <w:i/>
          <w:szCs w:val="24"/>
        </w:rPr>
        <w:sectPr w:rsidR="00761800" w:rsidSect="001E6160">
          <w:pgSz w:w="11907" w:h="16840" w:code="9"/>
          <w:pgMar w:top="426" w:right="1134" w:bottom="568" w:left="1276" w:header="1" w:footer="130" w:gutter="0"/>
          <w:cols w:space="708"/>
          <w:noEndnote/>
          <w:docGrid w:linePitch="326"/>
        </w:sectPr>
      </w:pPr>
    </w:p>
    <w:tbl>
      <w:tblPr>
        <w:tblW w:w="14253" w:type="dxa"/>
        <w:tblCellMar>
          <w:left w:w="70" w:type="dxa"/>
          <w:right w:w="70" w:type="dxa"/>
        </w:tblCellMar>
        <w:tblLook w:val="04A0" w:firstRow="1" w:lastRow="0" w:firstColumn="1" w:lastColumn="0" w:noHBand="0" w:noVBand="1"/>
      </w:tblPr>
      <w:tblGrid>
        <w:gridCol w:w="1013"/>
        <w:gridCol w:w="11062"/>
        <w:gridCol w:w="2178"/>
      </w:tblGrid>
      <w:tr w:rsidR="00761800" w:rsidRPr="00761800" w14:paraId="20D23BBF" w14:textId="77777777" w:rsidTr="00406B4D">
        <w:trPr>
          <w:trHeight w:val="300"/>
        </w:trPr>
        <w:tc>
          <w:tcPr>
            <w:tcW w:w="1013" w:type="dxa"/>
            <w:tcBorders>
              <w:top w:val="nil"/>
              <w:left w:val="nil"/>
              <w:bottom w:val="nil"/>
              <w:right w:val="nil"/>
            </w:tcBorders>
            <w:shd w:val="clear" w:color="000000" w:fill="FFFFFF"/>
            <w:noWrap/>
            <w:vAlign w:val="bottom"/>
            <w:hideMark/>
          </w:tcPr>
          <w:p w14:paraId="7A01AD3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lastRenderedPageBreak/>
              <w:t> </w:t>
            </w:r>
          </w:p>
        </w:tc>
        <w:tc>
          <w:tcPr>
            <w:tcW w:w="11062" w:type="dxa"/>
            <w:tcBorders>
              <w:top w:val="nil"/>
              <w:left w:val="nil"/>
              <w:bottom w:val="nil"/>
              <w:right w:val="nil"/>
            </w:tcBorders>
            <w:shd w:val="clear" w:color="000000" w:fill="FFFFFF"/>
            <w:noWrap/>
            <w:vAlign w:val="bottom"/>
            <w:hideMark/>
          </w:tcPr>
          <w:p w14:paraId="2D5FD700" w14:textId="77777777" w:rsidR="00761800" w:rsidRPr="00761800" w:rsidRDefault="00761800" w:rsidP="00761800">
            <w:pPr>
              <w:jc w:val="center"/>
              <w:rPr>
                <w:rFonts w:ascii="Times New Roman" w:hAnsi="Times New Roman"/>
                <w:b/>
                <w:bCs/>
                <w:sz w:val="28"/>
                <w:szCs w:val="28"/>
                <w:lang w:eastAsia="bg-BG"/>
              </w:rPr>
            </w:pPr>
            <w:r w:rsidRPr="00761800">
              <w:rPr>
                <w:rFonts w:ascii="Times New Roman" w:hAnsi="Times New Roman"/>
                <w:b/>
                <w:bCs/>
                <w:sz w:val="28"/>
                <w:szCs w:val="28"/>
                <w:lang w:eastAsia="bg-BG"/>
              </w:rPr>
              <w:t>Р  Е  П  У  Б  Л  И  К  А    Б  Ъ  Л  Г  А  Р  И  Я</w:t>
            </w:r>
          </w:p>
        </w:tc>
        <w:tc>
          <w:tcPr>
            <w:tcW w:w="2178" w:type="dxa"/>
            <w:tcBorders>
              <w:top w:val="nil"/>
              <w:left w:val="nil"/>
              <w:bottom w:val="nil"/>
              <w:right w:val="nil"/>
            </w:tcBorders>
            <w:shd w:val="clear" w:color="000000" w:fill="FFFFFF"/>
            <w:noWrap/>
            <w:vAlign w:val="bottom"/>
            <w:hideMark/>
          </w:tcPr>
          <w:p w14:paraId="50C7ECB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4454A26" w14:textId="77777777" w:rsidTr="00406B4D">
        <w:trPr>
          <w:trHeight w:val="300"/>
        </w:trPr>
        <w:tc>
          <w:tcPr>
            <w:tcW w:w="1013" w:type="dxa"/>
            <w:tcBorders>
              <w:top w:val="nil"/>
              <w:left w:val="nil"/>
              <w:bottom w:val="nil"/>
              <w:right w:val="nil"/>
            </w:tcBorders>
            <w:shd w:val="clear" w:color="000000" w:fill="FFFFFF"/>
            <w:noWrap/>
            <w:vAlign w:val="bottom"/>
            <w:hideMark/>
          </w:tcPr>
          <w:p w14:paraId="3C4AD87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1E6025E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nil"/>
              <w:bottom w:val="nil"/>
              <w:right w:val="nil"/>
            </w:tcBorders>
            <w:shd w:val="clear" w:color="000000" w:fill="FFFFFF"/>
            <w:noWrap/>
            <w:vAlign w:val="bottom"/>
            <w:hideMark/>
          </w:tcPr>
          <w:p w14:paraId="699AD75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C29B034" w14:textId="77777777" w:rsidTr="00406B4D">
        <w:trPr>
          <w:trHeight w:val="315"/>
        </w:trPr>
        <w:tc>
          <w:tcPr>
            <w:tcW w:w="1013" w:type="dxa"/>
            <w:tcBorders>
              <w:top w:val="nil"/>
              <w:left w:val="nil"/>
              <w:bottom w:val="double" w:sz="6" w:space="0" w:color="auto"/>
              <w:right w:val="nil"/>
            </w:tcBorders>
            <w:shd w:val="clear" w:color="000000" w:fill="FFFFFF"/>
            <w:noWrap/>
            <w:vAlign w:val="bottom"/>
            <w:hideMark/>
          </w:tcPr>
          <w:p w14:paraId="213A909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double" w:sz="6" w:space="0" w:color="auto"/>
              <w:right w:val="nil"/>
            </w:tcBorders>
            <w:shd w:val="clear" w:color="000000" w:fill="FFFFFF"/>
            <w:noWrap/>
            <w:vAlign w:val="bottom"/>
            <w:hideMark/>
          </w:tcPr>
          <w:p w14:paraId="5EC8A86C" w14:textId="77777777" w:rsidR="00761800" w:rsidRPr="00761800" w:rsidRDefault="00761800" w:rsidP="00761800">
            <w:pPr>
              <w:jc w:val="center"/>
              <w:rPr>
                <w:rFonts w:ascii="Times New Roman" w:hAnsi="Times New Roman"/>
                <w:b/>
                <w:bCs/>
                <w:sz w:val="28"/>
                <w:szCs w:val="28"/>
                <w:lang w:eastAsia="bg-BG"/>
              </w:rPr>
            </w:pPr>
            <w:r w:rsidRPr="00761800">
              <w:rPr>
                <w:rFonts w:ascii="Times New Roman" w:hAnsi="Times New Roman"/>
                <w:b/>
                <w:bCs/>
                <w:sz w:val="28"/>
                <w:szCs w:val="28"/>
                <w:lang w:eastAsia="bg-BG"/>
              </w:rPr>
              <w:t>Н  А  Р  О  Д  Н  О    С  Ъ  Б  Р  А  Н  И  Е</w:t>
            </w:r>
          </w:p>
        </w:tc>
        <w:tc>
          <w:tcPr>
            <w:tcW w:w="2178" w:type="dxa"/>
            <w:tcBorders>
              <w:top w:val="nil"/>
              <w:left w:val="nil"/>
              <w:bottom w:val="double" w:sz="6" w:space="0" w:color="auto"/>
              <w:right w:val="nil"/>
            </w:tcBorders>
            <w:shd w:val="clear" w:color="000000" w:fill="FFFFFF"/>
            <w:noWrap/>
            <w:vAlign w:val="bottom"/>
            <w:hideMark/>
          </w:tcPr>
          <w:p w14:paraId="52F2155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8AE9D42" w14:textId="77777777" w:rsidTr="00406B4D">
        <w:trPr>
          <w:trHeight w:val="315"/>
        </w:trPr>
        <w:tc>
          <w:tcPr>
            <w:tcW w:w="1013" w:type="dxa"/>
            <w:tcBorders>
              <w:top w:val="nil"/>
              <w:left w:val="nil"/>
              <w:bottom w:val="nil"/>
              <w:right w:val="nil"/>
            </w:tcBorders>
            <w:shd w:val="clear" w:color="000000" w:fill="FFFFFF"/>
            <w:noWrap/>
            <w:vAlign w:val="bottom"/>
            <w:hideMark/>
          </w:tcPr>
          <w:p w14:paraId="56598F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44E54487"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2178" w:type="dxa"/>
            <w:tcBorders>
              <w:top w:val="nil"/>
              <w:left w:val="nil"/>
              <w:bottom w:val="nil"/>
              <w:right w:val="nil"/>
            </w:tcBorders>
            <w:shd w:val="clear" w:color="000000" w:fill="FFFFFF"/>
            <w:noWrap/>
            <w:vAlign w:val="bottom"/>
            <w:hideMark/>
          </w:tcPr>
          <w:p w14:paraId="2A82D83E" w14:textId="77777777" w:rsidR="00761800" w:rsidRPr="00761800" w:rsidRDefault="00761800" w:rsidP="00761800">
            <w:pPr>
              <w:ind w:firstLineChars="100" w:firstLine="221"/>
              <w:jc w:val="right"/>
              <w:rPr>
                <w:rFonts w:ascii="Times New Roman" w:hAnsi="Times New Roman"/>
                <w:b/>
                <w:bCs/>
                <w:i/>
                <w:iCs/>
                <w:sz w:val="22"/>
                <w:szCs w:val="22"/>
                <w:lang w:eastAsia="bg-BG"/>
              </w:rPr>
            </w:pPr>
            <w:r w:rsidRPr="00761800">
              <w:rPr>
                <w:rFonts w:ascii="Times New Roman" w:hAnsi="Times New Roman"/>
                <w:b/>
                <w:bCs/>
                <w:i/>
                <w:iCs/>
                <w:sz w:val="22"/>
                <w:szCs w:val="22"/>
                <w:lang w:eastAsia="bg-BG"/>
              </w:rPr>
              <w:t>Проект</w:t>
            </w:r>
          </w:p>
        </w:tc>
      </w:tr>
      <w:tr w:rsidR="00761800" w:rsidRPr="00761800" w14:paraId="06024DD6" w14:textId="77777777" w:rsidTr="00406B4D">
        <w:trPr>
          <w:trHeight w:val="300"/>
        </w:trPr>
        <w:tc>
          <w:tcPr>
            <w:tcW w:w="1013" w:type="dxa"/>
            <w:tcBorders>
              <w:top w:val="nil"/>
              <w:left w:val="nil"/>
              <w:bottom w:val="nil"/>
              <w:right w:val="nil"/>
            </w:tcBorders>
            <w:shd w:val="clear" w:color="000000" w:fill="FFFFFF"/>
            <w:noWrap/>
            <w:vAlign w:val="bottom"/>
            <w:hideMark/>
          </w:tcPr>
          <w:p w14:paraId="5DD3EB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260DF1BC"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2178" w:type="dxa"/>
            <w:tcBorders>
              <w:top w:val="nil"/>
              <w:left w:val="nil"/>
              <w:bottom w:val="nil"/>
              <w:right w:val="nil"/>
            </w:tcBorders>
            <w:shd w:val="clear" w:color="000000" w:fill="FFFFFF"/>
            <w:noWrap/>
            <w:vAlign w:val="bottom"/>
            <w:hideMark/>
          </w:tcPr>
          <w:p w14:paraId="7FFF73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4EF2912" w14:textId="77777777" w:rsidTr="00406B4D">
        <w:trPr>
          <w:trHeight w:val="300"/>
        </w:trPr>
        <w:tc>
          <w:tcPr>
            <w:tcW w:w="1013" w:type="dxa"/>
            <w:tcBorders>
              <w:top w:val="nil"/>
              <w:left w:val="nil"/>
              <w:bottom w:val="nil"/>
              <w:right w:val="nil"/>
            </w:tcBorders>
            <w:shd w:val="clear" w:color="000000" w:fill="FFFFFF"/>
            <w:noWrap/>
            <w:vAlign w:val="bottom"/>
            <w:hideMark/>
          </w:tcPr>
          <w:p w14:paraId="2170C6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7E7A6DC9" w14:textId="77777777" w:rsidR="00761800" w:rsidRPr="00761800" w:rsidRDefault="00761800" w:rsidP="00761800">
            <w:pPr>
              <w:jc w:val="center"/>
              <w:rPr>
                <w:rFonts w:ascii="Times New Roman" w:hAnsi="Times New Roman"/>
                <w:b/>
                <w:bCs/>
                <w:spacing w:val="120"/>
                <w:sz w:val="28"/>
                <w:szCs w:val="28"/>
                <w:lang w:eastAsia="bg-BG"/>
              </w:rPr>
            </w:pPr>
            <w:r w:rsidRPr="00761800">
              <w:rPr>
                <w:rFonts w:ascii="Times New Roman" w:hAnsi="Times New Roman"/>
                <w:b/>
                <w:bCs/>
                <w:spacing w:val="120"/>
                <w:sz w:val="28"/>
                <w:szCs w:val="28"/>
                <w:lang w:eastAsia="bg-BG"/>
              </w:rPr>
              <w:t>ЗАКОН</w:t>
            </w:r>
          </w:p>
        </w:tc>
        <w:tc>
          <w:tcPr>
            <w:tcW w:w="2178" w:type="dxa"/>
            <w:tcBorders>
              <w:top w:val="nil"/>
              <w:left w:val="nil"/>
              <w:bottom w:val="nil"/>
              <w:right w:val="nil"/>
            </w:tcBorders>
            <w:shd w:val="clear" w:color="000000" w:fill="FFFFFF"/>
            <w:noWrap/>
            <w:vAlign w:val="bottom"/>
            <w:hideMark/>
          </w:tcPr>
          <w:p w14:paraId="39D2BED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E4034E9" w14:textId="77777777" w:rsidTr="00406B4D">
        <w:trPr>
          <w:trHeight w:val="300"/>
        </w:trPr>
        <w:tc>
          <w:tcPr>
            <w:tcW w:w="1013" w:type="dxa"/>
            <w:tcBorders>
              <w:top w:val="nil"/>
              <w:left w:val="nil"/>
              <w:bottom w:val="nil"/>
              <w:right w:val="nil"/>
            </w:tcBorders>
            <w:shd w:val="clear" w:color="000000" w:fill="FFFFFF"/>
            <w:noWrap/>
            <w:vAlign w:val="bottom"/>
            <w:hideMark/>
          </w:tcPr>
          <w:p w14:paraId="46078C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2AB45873" w14:textId="77777777" w:rsidR="00761800" w:rsidRPr="00761800" w:rsidRDefault="00761800" w:rsidP="00761800">
            <w:pPr>
              <w:jc w:val="center"/>
              <w:rPr>
                <w:rFonts w:ascii="Times New Roman" w:hAnsi="Times New Roman"/>
                <w:b/>
                <w:bCs/>
                <w:smallCaps/>
                <w:sz w:val="22"/>
                <w:szCs w:val="22"/>
                <w:lang w:eastAsia="bg-BG"/>
              </w:rPr>
            </w:pPr>
            <w:r w:rsidRPr="00761800">
              <w:rPr>
                <w:rFonts w:ascii="Times New Roman" w:hAnsi="Times New Roman"/>
                <w:b/>
                <w:bCs/>
                <w:smallCaps/>
                <w:sz w:val="22"/>
                <w:szCs w:val="22"/>
                <w:lang w:eastAsia="bg-BG"/>
              </w:rPr>
              <w:t xml:space="preserve">за държавния бюджет на </w:t>
            </w:r>
          </w:p>
        </w:tc>
        <w:tc>
          <w:tcPr>
            <w:tcW w:w="2178" w:type="dxa"/>
            <w:tcBorders>
              <w:top w:val="nil"/>
              <w:left w:val="nil"/>
              <w:bottom w:val="nil"/>
              <w:right w:val="nil"/>
            </w:tcBorders>
            <w:shd w:val="clear" w:color="000000" w:fill="FFFFFF"/>
            <w:noWrap/>
            <w:vAlign w:val="bottom"/>
            <w:hideMark/>
          </w:tcPr>
          <w:p w14:paraId="63B1FC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9825024" w14:textId="77777777" w:rsidTr="00406B4D">
        <w:trPr>
          <w:trHeight w:val="300"/>
        </w:trPr>
        <w:tc>
          <w:tcPr>
            <w:tcW w:w="1013" w:type="dxa"/>
            <w:tcBorders>
              <w:top w:val="nil"/>
              <w:left w:val="nil"/>
              <w:bottom w:val="nil"/>
              <w:right w:val="nil"/>
            </w:tcBorders>
            <w:shd w:val="clear" w:color="000000" w:fill="FFFFFF"/>
            <w:noWrap/>
            <w:vAlign w:val="bottom"/>
            <w:hideMark/>
          </w:tcPr>
          <w:p w14:paraId="403AA6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250B1279" w14:textId="77777777" w:rsidR="00761800" w:rsidRPr="00761800" w:rsidRDefault="00761800" w:rsidP="00761800">
            <w:pPr>
              <w:jc w:val="center"/>
              <w:rPr>
                <w:rFonts w:ascii="Times New Roman" w:hAnsi="Times New Roman"/>
                <w:b/>
                <w:bCs/>
                <w:smallCaps/>
                <w:sz w:val="22"/>
                <w:szCs w:val="22"/>
                <w:lang w:eastAsia="bg-BG"/>
              </w:rPr>
            </w:pPr>
            <w:r w:rsidRPr="00761800">
              <w:rPr>
                <w:rFonts w:ascii="Times New Roman" w:hAnsi="Times New Roman"/>
                <w:b/>
                <w:bCs/>
                <w:smallCaps/>
                <w:szCs w:val="24"/>
                <w:lang w:eastAsia="bg-BG"/>
              </w:rPr>
              <w:t>Р</w:t>
            </w:r>
            <w:r w:rsidRPr="00761800">
              <w:rPr>
                <w:rFonts w:ascii="Times New Roman" w:hAnsi="Times New Roman"/>
                <w:b/>
                <w:bCs/>
                <w:smallCaps/>
                <w:sz w:val="22"/>
                <w:szCs w:val="22"/>
                <w:lang w:eastAsia="bg-BG"/>
              </w:rPr>
              <w:t xml:space="preserve">епублика </w:t>
            </w:r>
            <w:r w:rsidRPr="00761800">
              <w:rPr>
                <w:rFonts w:ascii="Times New Roman" w:hAnsi="Times New Roman"/>
                <w:b/>
                <w:bCs/>
                <w:smallCaps/>
                <w:szCs w:val="24"/>
                <w:lang w:eastAsia="bg-BG"/>
              </w:rPr>
              <w:t>Б</w:t>
            </w:r>
            <w:r w:rsidRPr="00761800">
              <w:rPr>
                <w:rFonts w:ascii="Times New Roman" w:hAnsi="Times New Roman"/>
                <w:b/>
                <w:bCs/>
                <w:smallCaps/>
                <w:sz w:val="22"/>
                <w:szCs w:val="22"/>
                <w:lang w:eastAsia="bg-BG"/>
              </w:rPr>
              <w:t>ългария за 2026 г.</w:t>
            </w:r>
          </w:p>
        </w:tc>
        <w:tc>
          <w:tcPr>
            <w:tcW w:w="2178" w:type="dxa"/>
            <w:tcBorders>
              <w:top w:val="nil"/>
              <w:left w:val="nil"/>
              <w:bottom w:val="nil"/>
              <w:right w:val="nil"/>
            </w:tcBorders>
            <w:shd w:val="clear" w:color="000000" w:fill="FFFFFF"/>
            <w:noWrap/>
            <w:vAlign w:val="bottom"/>
            <w:hideMark/>
          </w:tcPr>
          <w:p w14:paraId="34D063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1F7ACCF" w14:textId="77777777" w:rsidTr="00406B4D">
        <w:trPr>
          <w:trHeight w:val="300"/>
        </w:trPr>
        <w:tc>
          <w:tcPr>
            <w:tcW w:w="1013" w:type="dxa"/>
            <w:tcBorders>
              <w:top w:val="nil"/>
              <w:left w:val="nil"/>
              <w:bottom w:val="nil"/>
              <w:right w:val="nil"/>
            </w:tcBorders>
            <w:shd w:val="clear" w:color="000000" w:fill="FFFFFF"/>
            <w:noWrap/>
            <w:vAlign w:val="bottom"/>
            <w:hideMark/>
          </w:tcPr>
          <w:p w14:paraId="57495A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34176B84"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2178" w:type="dxa"/>
            <w:tcBorders>
              <w:top w:val="nil"/>
              <w:left w:val="nil"/>
              <w:bottom w:val="nil"/>
              <w:right w:val="nil"/>
            </w:tcBorders>
            <w:shd w:val="clear" w:color="000000" w:fill="FFFFFF"/>
            <w:noWrap/>
            <w:vAlign w:val="bottom"/>
            <w:hideMark/>
          </w:tcPr>
          <w:p w14:paraId="018477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9227457" w14:textId="77777777" w:rsidTr="00406B4D">
        <w:trPr>
          <w:trHeight w:val="300"/>
        </w:trPr>
        <w:tc>
          <w:tcPr>
            <w:tcW w:w="1013" w:type="dxa"/>
            <w:tcBorders>
              <w:top w:val="nil"/>
              <w:left w:val="nil"/>
              <w:bottom w:val="nil"/>
              <w:right w:val="nil"/>
            </w:tcBorders>
            <w:shd w:val="clear" w:color="000000" w:fill="FFFFFF"/>
            <w:noWrap/>
            <w:vAlign w:val="bottom"/>
            <w:hideMark/>
          </w:tcPr>
          <w:p w14:paraId="25AD52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053A1AE7"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2178" w:type="dxa"/>
            <w:tcBorders>
              <w:top w:val="nil"/>
              <w:left w:val="nil"/>
              <w:bottom w:val="nil"/>
              <w:right w:val="nil"/>
            </w:tcBorders>
            <w:shd w:val="clear" w:color="000000" w:fill="FFFFFF"/>
            <w:noWrap/>
            <w:vAlign w:val="bottom"/>
            <w:hideMark/>
          </w:tcPr>
          <w:p w14:paraId="2126D0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07D8ADB" w14:textId="77777777" w:rsidTr="00406B4D">
        <w:trPr>
          <w:trHeight w:val="300"/>
        </w:trPr>
        <w:tc>
          <w:tcPr>
            <w:tcW w:w="1013" w:type="dxa"/>
            <w:tcBorders>
              <w:top w:val="nil"/>
              <w:left w:val="nil"/>
              <w:bottom w:val="nil"/>
              <w:right w:val="nil"/>
            </w:tcBorders>
            <w:shd w:val="clear" w:color="000000" w:fill="FFC000"/>
            <w:noWrap/>
            <w:vAlign w:val="bottom"/>
            <w:hideMark/>
          </w:tcPr>
          <w:p w14:paraId="69D628B6" w14:textId="77777777" w:rsidR="00761800" w:rsidRPr="00761800" w:rsidRDefault="00761800" w:rsidP="00761800">
            <w:pPr>
              <w:rPr>
                <w:rFonts w:ascii="Times New Roman" w:hAnsi="Times New Roman"/>
                <w:b/>
                <w:bCs/>
                <w:color w:val="800000"/>
                <w:sz w:val="22"/>
                <w:szCs w:val="22"/>
                <w:u w:val="single"/>
                <w:lang w:eastAsia="bg-BG"/>
              </w:rPr>
            </w:pPr>
          </w:p>
        </w:tc>
        <w:tc>
          <w:tcPr>
            <w:tcW w:w="11062" w:type="dxa"/>
            <w:tcBorders>
              <w:top w:val="nil"/>
              <w:left w:val="nil"/>
              <w:bottom w:val="nil"/>
              <w:right w:val="nil"/>
            </w:tcBorders>
            <w:shd w:val="clear" w:color="000000" w:fill="FFC000"/>
            <w:noWrap/>
            <w:vAlign w:val="bottom"/>
            <w:hideMark/>
          </w:tcPr>
          <w:p w14:paraId="57E4B8AA" w14:textId="77777777" w:rsidR="00761800" w:rsidRPr="00761800" w:rsidRDefault="00761800" w:rsidP="00761800">
            <w:pPr>
              <w:jc w:val="center"/>
              <w:rPr>
                <w:rFonts w:ascii="Times New Roman" w:hAnsi="Times New Roman"/>
                <w:b/>
                <w:bCs/>
                <w:color w:val="800000"/>
                <w:sz w:val="22"/>
                <w:szCs w:val="22"/>
                <w:u w:val="single"/>
                <w:lang w:eastAsia="bg-BG"/>
              </w:rPr>
            </w:pPr>
            <w:r w:rsidRPr="00761800">
              <w:rPr>
                <w:rFonts w:ascii="Times New Roman" w:hAnsi="Times New Roman"/>
                <w:b/>
                <w:bCs/>
                <w:color w:val="800000"/>
                <w:sz w:val="22"/>
                <w:szCs w:val="22"/>
                <w:u w:val="single"/>
                <w:lang w:eastAsia="bg-BG"/>
              </w:rPr>
              <w:t>ЧЛ. 1. С ВКЛЮЧЕН ПРОЕКТ НА ВИСШИЯ СЪДЕБЕН СЪВЕТ</w:t>
            </w:r>
          </w:p>
        </w:tc>
        <w:tc>
          <w:tcPr>
            <w:tcW w:w="2178" w:type="dxa"/>
            <w:tcBorders>
              <w:top w:val="nil"/>
              <w:left w:val="nil"/>
              <w:bottom w:val="nil"/>
              <w:right w:val="nil"/>
            </w:tcBorders>
            <w:shd w:val="clear" w:color="000000" w:fill="FFC000"/>
            <w:noWrap/>
            <w:vAlign w:val="bottom"/>
            <w:hideMark/>
          </w:tcPr>
          <w:p w14:paraId="7C8D36D5"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bl>
    <w:p w14:paraId="7B44C899" w14:textId="77777777" w:rsidR="00761800" w:rsidRPr="00761800" w:rsidRDefault="00761800" w:rsidP="00761800">
      <w:pPr>
        <w:tabs>
          <w:tab w:val="left" w:pos="1083"/>
          <w:tab w:val="left" w:pos="12145"/>
        </w:tabs>
        <w:ind w:left="70"/>
        <w:rPr>
          <w:rFonts w:ascii="Times New Roman" w:hAnsi="Times New Roman"/>
          <w:sz w:val="22"/>
          <w:szCs w:val="22"/>
          <w:lang w:eastAsia="bg-BG"/>
        </w:rPr>
      </w:pPr>
      <w:r w:rsidRPr="00761800">
        <w:rPr>
          <w:rFonts w:ascii="Times New Roman" w:hAnsi="Times New Roman"/>
          <w:b/>
          <w:bCs/>
          <w:sz w:val="22"/>
          <w:szCs w:val="22"/>
          <w:lang w:eastAsia="bg-BG"/>
        </w:rPr>
        <w:t> </w:t>
      </w:r>
      <w:r w:rsidRPr="00761800">
        <w:rPr>
          <w:rFonts w:ascii="Times New Roman" w:hAnsi="Times New Roman"/>
          <w:b/>
          <w:bCs/>
          <w:sz w:val="22"/>
          <w:szCs w:val="22"/>
          <w:lang w:eastAsia="bg-BG"/>
        </w:rPr>
        <w:tab/>
        <w:t> </w:t>
      </w:r>
      <w:r w:rsidRPr="00761800">
        <w:rPr>
          <w:rFonts w:ascii="Times New Roman" w:hAnsi="Times New Roman"/>
          <w:b/>
          <w:bCs/>
          <w:sz w:val="22"/>
          <w:szCs w:val="22"/>
          <w:lang w:eastAsia="bg-BG"/>
        </w:rPr>
        <w:tab/>
      </w:r>
      <w:r w:rsidRPr="00761800">
        <w:rPr>
          <w:rFonts w:ascii="Times New Roman" w:hAnsi="Times New Roman"/>
          <w:sz w:val="22"/>
          <w:szCs w:val="22"/>
          <w:lang w:eastAsia="bg-BG"/>
        </w:rPr>
        <w:t> </w:t>
      </w:r>
    </w:p>
    <w:p w14:paraId="18D09C02" w14:textId="77777777" w:rsidR="00761800" w:rsidRPr="00761800" w:rsidRDefault="00761800" w:rsidP="00761800">
      <w:pPr>
        <w:tabs>
          <w:tab w:val="left" w:pos="12145"/>
        </w:tabs>
        <w:ind w:left="70"/>
        <w:rPr>
          <w:rFonts w:ascii="Times New Roman" w:hAnsi="Times New Roman"/>
          <w:color w:val="800000"/>
          <w:sz w:val="22"/>
          <w:szCs w:val="22"/>
          <w:lang w:eastAsia="bg-BG"/>
        </w:rPr>
      </w:pPr>
      <w:r w:rsidRPr="00761800">
        <w:rPr>
          <w:rFonts w:ascii="Times New Roman" w:hAnsi="Times New Roman"/>
          <w:b/>
          <w:bCs/>
          <w:color w:val="800000"/>
          <w:sz w:val="22"/>
          <w:szCs w:val="22"/>
          <w:lang w:eastAsia="bg-BG"/>
        </w:rPr>
        <w:t>Чл. 1.</w:t>
      </w:r>
      <w:r w:rsidRPr="00761800">
        <w:rPr>
          <w:rFonts w:ascii="Times New Roman" w:hAnsi="Times New Roman"/>
          <w:color w:val="800000"/>
          <w:sz w:val="22"/>
          <w:szCs w:val="22"/>
          <w:lang w:eastAsia="bg-BG"/>
        </w:rPr>
        <w:t xml:space="preserve"> (1) Приема  държавния бюджет за 2026 г. по приходите, помощите и даренията, както следва:           </w:t>
      </w:r>
      <w:r w:rsidRPr="00761800">
        <w:rPr>
          <w:rFonts w:ascii="Times New Roman" w:hAnsi="Times New Roman"/>
          <w:color w:val="800000"/>
          <w:sz w:val="22"/>
          <w:szCs w:val="22"/>
          <w:lang w:eastAsia="bg-BG"/>
        </w:rPr>
        <w:tab/>
      </w:r>
    </w:p>
    <w:tbl>
      <w:tblPr>
        <w:tblW w:w="14253" w:type="dxa"/>
        <w:tblCellMar>
          <w:left w:w="70" w:type="dxa"/>
          <w:right w:w="70" w:type="dxa"/>
        </w:tblCellMar>
        <w:tblLook w:val="04A0" w:firstRow="1" w:lastRow="0" w:firstColumn="1" w:lastColumn="0" w:noHBand="0" w:noVBand="1"/>
      </w:tblPr>
      <w:tblGrid>
        <w:gridCol w:w="1013"/>
        <w:gridCol w:w="11062"/>
        <w:gridCol w:w="2178"/>
      </w:tblGrid>
      <w:tr w:rsidR="00761800" w:rsidRPr="00761800" w14:paraId="7140EAD3"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5FDA71C"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F00A15B"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163B0524"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Сума</w:t>
            </w:r>
          </w:p>
        </w:tc>
      </w:tr>
      <w:tr w:rsidR="00761800" w:rsidRPr="00761800" w14:paraId="5BFFD4CA"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27D9C0F" w14:textId="77777777" w:rsidR="00761800" w:rsidRPr="00761800" w:rsidRDefault="00761800" w:rsidP="00761800">
            <w:pPr>
              <w:rPr>
                <w:rFonts w:ascii="Times New Roman" w:hAnsi="Times New Roman"/>
                <w:color w:val="800000"/>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07D8CB96" w14:textId="77777777" w:rsidR="00761800" w:rsidRPr="00761800" w:rsidRDefault="00761800" w:rsidP="00761800">
            <w:pPr>
              <w:rPr>
                <w:rFonts w:ascii="Times New Roman" w:hAnsi="Times New Roman"/>
                <w:color w:val="800000"/>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2306EEB2"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(хил. евро)</w:t>
            </w:r>
          </w:p>
        </w:tc>
      </w:tr>
      <w:tr w:rsidR="00761800" w:rsidRPr="00761800" w14:paraId="6A8B84F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center"/>
            <w:hideMark/>
          </w:tcPr>
          <w:p w14:paraId="00933715"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center"/>
            <w:hideMark/>
          </w:tcPr>
          <w:p w14:paraId="2AB4D11C"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center"/>
            <w:hideMark/>
          </w:tcPr>
          <w:p w14:paraId="75C6E6A7"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2</w:t>
            </w:r>
          </w:p>
        </w:tc>
      </w:tr>
      <w:tr w:rsidR="00761800" w:rsidRPr="00761800" w14:paraId="7CFE443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5782C4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I.</w:t>
            </w:r>
          </w:p>
        </w:tc>
        <w:tc>
          <w:tcPr>
            <w:tcW w:w="11062" w:type="dxa"/>
            <w:tcBorders>
              <w:top w:val="nil"/>
              <w:left w:val="nil"/>
              <w:bottom w:val="single" w:sz="4" w:space="0" w:color="auto"/>
              <w:right w:val="nil"/>
            </w:tcBorders>
            <w:shd w:val="clear" w:color="auto" w:fill="auto"/>
            <w:noWrap/>
            <w:hideMark/>
          </w:tcPr>
          <w:p w14:paraId="6E477D00"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79367B4"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28 455 734,1</w:t>
            </w:r>
          </w:p>
        </w:tc>
      </w:tr>
      <w:tr w:rsidR="00761800" w:rsidRPr="00761800" w14:paraId="529EFB2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18C24C2"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 1.</w:t>
            </w:r>
          </w:p>
        </w:tc>
        <w:tc>
          <w:tcPr>
            <w:tcW w:w="11062" w:type="dxa"/>
            <w:tcBorders>
              <w:top w:val="nil"/>
              <w:left w:val="nil"/>
              <w:bottom w:val="single" w:sz="4" w:space="0" w:color="auto"/>
              <w:right w:val="nil"/>
            </w:tcBorders>
            <w:shd w:val="clear" w:color="auto" w:fill="auto"/>
            <w:noWrap/>
            <w:hideMark/>
          </w:tcPr>
          <w:p w14:paraId="386B0F9A" w14:textId="77777777" w:rsidR="00761800" w:rsidRPr="00761800" w:rsidRDefault="00761800" w:rsidP="00761800">
            <w:pPr>
              <w:ind w:firstLineChars="100" w:firstLine="220"/>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Данъчни приходи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E425AB6" w14:textId="77777777" w:rsidR="00761800" w:rsidRPr="00761800" w:rsidRDefault="00761800" w:rsidP="00761800">
            <w:pPr>
              <w:jc w:val="right"/>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25 409 470,0</w:t>
            </w:r>
          </w:p>
        </w:tc>
      </w:tr>
      <w:tr w:rsidR="00761800" w:rsidRPr="00761800" w14:paraId="6C724FD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8166E9F"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1.1.</w:t>
            </w:r>
          </w:p>
        </w:tc>
        <w:tc>
          <w:tcPr>
            <w:tcW w:w="11062" w:type="dxa"/>
            <w:tcBorders>
              <w:top w:val="nil"/>
              <w:left w:val="nil"/>
              <w:bottom w:val="single" w:sz="4" w:space="0" w:color="auto"/>
              <w:right w:val="nil"/>
            </w:tcBorders>
            <w:shd w:val="clear" w:color="auto" w:fill="auto"/>
            <w:noWrap/>
            <w:hideMark/>
          </w:tcPr>
          <w:p w14:paraId="4F9EA6F9"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Корпоративен данък</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47876CD"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3 418 730,0</w:t>
            </w:r>
          </w:p>
        </w:tc>
      </w:tr>
      <w:tr w:rsidR="00761800" w:rsidRPr="00761800" w14:paraId="1F2F3300" w14:textId="77777777" w:rsidTr="00406B4D">
        <w:trPr>
          <w:trHeight w:val="300"/>
        </w:trPr>
        <w:tc>
          <w:tcPr>
            <w:tcW w:w="1013" w:type="dxa"/>
            <w:tcBorders>
              <w:top w:val="nil"/>
              <w:left w:val="single" w:sz="4" w:space="0" w:color="auto"/>
              <w:bottom w:val="nil"/>
              <w:right w:val="single" w:sz="4" w:space="0" w:color="auto"/>
            </w:tcBorders>
            <w:shd w:val="clear" w:color="auto" w:fill="auto"/>
            <w:noWrap/>
            <w:hideMark/>
          </w:tcPr>
          <w:p w14:paraId="786ED6BB"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1.2.</w:t>
            </w:r>
          </w:p>
        </w:tc>
        <w:tc>
          <w:tcPr>
            <w:tcW w:w="11062" w:type="dxa"/>
            <w:tcBorders>
              <w:top w:val="nil"/>
              <w:left w:val="nil"/>
              <w:bottom w:val="single" w:sz="4" w:space="0" w:color="auto"/>
              <w:right w:val="nil"/>
            </w:tcBorders>
            <w:shd w:val="clear" w:color="auto" w:fill="auto"/>
            <w:noWrap/>
            <w:hideMark/>
          </w:tcPr>
          <w:p w14:paraId="4F30B11B"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Данъци върху дивидентите, ликвидационните дялове и доходите на юридически лица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A072550"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79 730,0</w:t>
            </w:r>
          </w:p>
        </w:tc>
      </w:tr>
      <w:tr w:rsidR="00761800" w:rsidRPr="00761800" w14:paraId="7AF6FB13" w14:textId="77777777" w:rsidTr="00406B4D">
        <w:trPr>
          <w:trHeight w:val="300"/>
        </w:trPr>
        <w:tc>
          <w:tcPr>
            <w:tcW w:w="1013" w:type="dxa"/>
            <w:tcBorders>
              <w:top w:val="single" w:sz="4" w:space="0" w:color="auto"/>
              <w:left w:val="single" w:sz="4" w:space="0" w:color="auto"/>
              <w:bottom w:val="single" w:sz="4" w:space="0" w:color="auto"/>
              <w:right w:val="single" w:sz="4" w:space="0" w:color="auto"/>
            </w:tcBorders>
            <w:shd w:val="clear" w:color="auto" w:fill="auto"/>
            <w:noWrap/>
            <w:hideMark/>
          </w:tcPr>
          <w:p w14:paraId="70C43EAB"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1.3.</w:t>
            </w:r>
          </w:p>
        </w:tc>
        <w:tc>
          <w:tcPr>
            <w:tcW w:w="11062" w:type="dxa"/>
            <w:tcBorders>
              <w:top w:val="nil"/>
              <w:left w:val="nil"/>
              <w:bottom w:val="single" w:sz="4" w:space="0" w:color="auto"/>
              <w:right w:val="nil"/>
            </w:tcBorders>
            <w:shd w:val="clear" w:color="auto" w:fill="auto"/>
            <w:noWrap/>
            <w:hideMark/>
          </w:tcPr>
          <w:p w14:paraId="33A524C0"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Данъци върху доходите на физически лица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17FB2B0"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4 752 000,0</w:t>
            </w:r>
          </w:p>
        </w:tc>
      </w:tr>
      <w:tr w:rsidR="00761800" w:rsidRPr="00761800" w14:paraId="599842C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0B12B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1.4.</w:t>
            </w:r>
          </w:p>
        </w:tc>
        <w:tc>
          <w:tcPr>
            <w:tcW w:w="11062" w:type="dxa"/>
            <w:tcBorders>
              <w:top w:val="nil"/>
              <w:left w:val="nil"/>
              <w:bottom w:val="single" w:sz="4" w:space="0" w:color="auto"/>
              <w:right w:val="nil"/>
            </w:tcBorders>
            <w:shd w:val="clear" w:color="auto" w:fill="auto"/>
            <w:noWrap/>
            <w:hideMark/>
          </w:tcPr>
          <w:p w14:paraId="73DAF330"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Данък върху добавената стойност</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1B0757E"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12 803 830,0</w:t>
            </w:r>
          </w:p>
        </w:tc>
      </w:tr>
      <w:tr w:rsidR="00761800" w:rsidRPr="00761800" w14:paraId="3FA5F22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145DA1A"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1.5.</w:t>
            </w:r>
          </w:p>
        </w:tc>
        <w:tc>
          <w:tcPr>
            <w:tcW w:w="11062" w:type="dxa"/>
            <w:tcBorders>
              <w:top w:val="nil"/>
              <w:left w:val="nil"/>
              <w:bottom w:val="single" w:sz="4" w:space="0" w:color="auto"/>
              <w:right w:val="nil"/>
            </w:tcBorders>
            <w:shd w:val="clear" w:color="auto" w:fill="auto"/>
            <w:noWrap/>
            <w:hideMark/>
          </w:tcPr>
          <w:p w14:paraId="2FCCF82E"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Акцизи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559C34B"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3 963 500,0</w:t>
            </w:r>
          </w:p>
        </w:tc>
      </w:tr>
      <w:tr w:rsidR="00761800" w:rsidRPr="00761800" w14:paraId="1D43F69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C46CCA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1.6.</w:t>
            </w:r>
          </w:p>
        </w:tc>
        <w:tc>
          <w:tcPr>
            <w:tcW w:w="11062" w:type="dxa"/>
            <w:tcBorders>
              <w:top w:val="nil"/>
              <w:left w:val="nil"/>
              <w:bottom w:val="single" w:sz="4" w:space="0" w:color="auto"/>
              <w:right w:val="nil"/>
            </w:tcBorders>
            <w:shd w:val="clear" w:color="auto" w:fill="auto"/>
            <w:noWrap/>
            <w:hideMark/>
          </w:tcPr>
          <w:p w14:paraId="2327103F"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Данък върху застрахователните премии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CA6FCFB"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43 400,0</w:t>
            </w:r>
          </w:p>
        </w:tc>
      </w:tr>
      <w:tr w:rsidR="00761800" w:rsidRPr="00761800" w14:paraId="0986895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357A452"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1.7.</w:t>
            </w:r>
          </w:p>
        </w:tc>
        <w:tc>
          <w:tcPr>
            <w:tcW w:w="11062" w:type="dxa"/>
            <w:tcBorders>
              <w:top w:val="nil"/>
              <w:left w:val="nil"/>
              <w:bottom w:val="single" w:sz="4" w:space="0" w:color="auto"/>
              <w:right w:val="nil"/>
            </w:tcBorders>
            <w:shd w:val="clear" w:color="auto" w:fill="auto"/>
            <w:noWrap/>
            <w:hideMark/>
          </w:tcPr>
          <w:p w14:paraId="6447B0BC"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Мита и митнически такси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D53F90F"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220 000,0</w:t>
            </w:r>
          </w:p>
        </w:tc>
      </w:tr>
      <w:tr w:rsidR="00761800" w:rsidRPr="00761800" w14:paraId="3336B8C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94FC71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1.8.</w:t>
            </w:r>
          </w:p>
        </w:tc>
        <w:tc>
          <w:tcPr>
            <w:tcW w:w="11062" w:type="dxa"/>
            <w:tcBorders>
              <w:top w:val="nil"/>
              <w:left w:val="nil"/>
              <w:bottom w:val="single" w:sz="4" w:space="0" w:color="auto"/>
              <w:right w:val="nil"/>
            </w:tcBorders>
            <w:shd w:val="clear" w:color="auto" w:fill="auto"/>
            <w:noWrap/>
            <w:hideMark/>
          </w:tcPr>
          <w:p w14:paraId="54959A31"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Други данъци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A4925AB"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128 280,0</w:t>
            </w:r>
          </w:p>
        </w:tc>
      </w:tr>
      <w:tr w:rsidR="00761800" w:rsidRPr="00761800" w14:paraId="197F724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55AC7B0"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 2.</w:t>
            </w:r>
          </w:p>
        </w:tc>
        <w:tc>
          <w:tcPr>
            <w:tcW w:w="11062" w:type="dxa"/>
            <w:tcBorders>
              <w:top w:val="nil"/>
              <w:left w:val="nil"/>
              <w:bottom w:val="single" w:sz="4" w:space="0" w:color="auto"/>
              <w:right w:val="nil"/>
            </w:tcBorders>
            <w:shd w:val="clear" w:color="auto" w:fill="auto"/>
            <w:noWrap/>
            <w:hideMark/>
          </w:tcPr>
          <w:p w14:paraId="16AB8348" w14:textId="77777777" w:rsidR="00761800" w:rsidRPr="00761800" w:rsidRDefault="00761800" w:rsidP="00761800">
            <w:pPr>
              <w:ind w:firstLineChars="100" w:firstLine="220"/>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Неданъчни приходи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CD81A8D" w14:textId="77777777" w:rsidR="00761800" w:rsidRPr="00761800" w:rsidRDefault="00761800" w:rsidP="00761800">
            <w:pPr>
              <w:jc w:val="right"/>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3 046 008,5</w:t>
            </w:r>
          </w:p>
        </w:tc>
      </w:tr>
      <w:tr w:rsidR="00761800" w:rsidRPr="00761800" w14:paraId="3038AC9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951076E"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 3.</w:t>
            </w:r>
          </w:p>
        </w:tc>
        <w:tc>
          <w:tcPr>
            <w:tcW w:w="11062" w:type="dxa"/>
            <w:tcBorders>
              <w:top w:val="nil"/>
              <w:left w:val="nil"/>
              <w:bottom w:val="single" w:sz="4" w:space="0" w:color="auto"/>
              <w:right w:val="nil"/>
            </w:tcBorders>
            <w:shd w:val="clear" w:color="auto" w:fill="auto"/>
            <w:noWrap/>
            <w:hideMark/>
          </w:tcPr>
          <w:p w14:paraId="4496F2C8" w14:textId="77777777" w:rsidR="00761800" w:rsidRPr="00761800" w:rsidRDefault="00761800" w:rsidP="00761800">
            <w:pPr>
              <w:ind w:firstLineChars="100" w:firstLine="220"/>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Помощи и дарения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DECCB1B" w14:textId="77777777" w:rsidR="00761800" w:rsidRPr="00761800" w:rsidRDefault="00761800" w:rsidP="00761800">
            <w:pPr>
              <w:jc w:val="right"/>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255,6</w:t>
            </w:r>
          </w:p>
        </w:tc>
      </w:tr>
      <w:tr w:rsidR="00761800" w:rsidRPr="00761800" w14:paraId="0277018B" w14:textId="77777777" w:rsidTr="00406B4D">
        <w:trPr>
          <w:trHeight w:val="300"/>
        </w:trPr>
        <w:tc>
          <w:tcPr>
            <w:tcW w:w="1013" w:type="dxa"/>
            <w:tcBorders>
              <w:top w:val="nil"/>
              <w:left w:val="nil"/>
              <w:bottom w:val="nil"/>
              <w:right w:val="nil"/>
            </w:tcBorders>
            <w:shd w:val="clear" w:color="auto" w:fill="auto"/>
            <w:noWrap/>
            <w:vAlign w:val="bottom"/>
            <w:hideMark/>
          </w:tcPr>
          <w:p w14:paraId="0941F859" w14:textId="77777777" w:rsidR="00761800" w:rsidRPr="00761800" w:rsidRDefault="00761800" w:rsidP="00761800">
            <w:pPr>
              <w:jc w:val="right"/>
              <w:rPr>
                <w:rFonts w:ascii="Times New Roman" w:hAnsi="Times New Roman"/>
                <w:i/>
                <w:iCs/>
                <w:color w:val="800000"/>
                <w:sz w:val="22"/>
                <w:szCs w:val="22"/>
                <w:lang w:eastAsia="bg-BG"/>
              </w:rPr>
            </w:pPr>
          </w:p>
        </w:tc>
        <w:tc>
          <w:tcPr>
            <w:tcW w:w="11062" w:type="dxa"/>
            <w:tcBorders>
              <w:top w:val="nil"/>
              <w:left w:val="nil"/>
              <w:bottom w:val="nil"/>
              <w:right w:val="nil"/>
            </w:tcBorders>
            <w:shd w:val="clear" w:color="auto" w:fill="auto"/>
            <w:noWrap/>
            <w:vAlign w:val="bottom"/>
            <w:hideMark/>
          </w:tcPr>
          <w:p w14:paraId="42E1197E"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509BC23A" w14:textId="77777777" w:rsidR="00761800" w:rsidRPr="00761800" w:rsidRDefault="00761800" w:rsidP="00761800">
            <w:pPr>
              <w:rPr>
                <w:rFonts w:ascii="Times New Roman" w:hAnsi="Times New Roman"/>
                <w:sz w:val="20"/>
                <w:lang w:eastAsia="bg-BG"/>
              </w:rPr>
            </w:pPr>
          </w:p>
        </w:tc>
      </w:tr>
      <w:tr w:rsidR="00761800" w:rsidRPr="00761800" w14:paraId="785DCFBC" w14:textId="77777777" w:rsidTr="00406B4D">
        <w:trPr>
          <w:trHeight w:val="585"/>
        </w:trPr>
        <w:tc>
          <w:tcPr>
            <w:tcW w:w="14253" w:type="dxa"/>
            <w:gridSpan w:val="3"/>
            <w:tcBorders>
              <w:top w:val="nil"/>
              <w:left w:val="nil"/>
              <w:bottom w:val="single" w:sz="4" w:space="0" w:color="auto"/>
              <w:right w:val="nil"/>
            </w:tcBorders>
            <w:shd w:val="clear" w:color="auto" w:fill="auto"/>
            <w:vAlign w:val="bottom"/>
            <w:hideMark/>
          </w:tcPr>
          <w:p w14:paraId="2A82D623"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lastRenderedPageBreak/>
              <w:t>(2) Приема държавния бюджет за 2026 г. по разходите, бюджетните взаимоотношения и вноската в общия бюджет на Европейския съюз, както следва:</w:t>
            </w:r>
          </w:p>
        </w:tc>
      </w:tr>
      <w:tr w:rsidR="00761800" w:rsidRPr="00761800" w14:paraId="04E80E15"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F75A08"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45ACC3"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2178" w:type="dxa"/>
            <w:tcBorders>
              <w:top w:val="nil"/>
              <w:left w:val="nil"/>
              <w:bottom w:val="nil"/>
              <w:right w:val="single" w:sz="4" w:space="0" w:color="auto"/>
            </w:tcBorders>
            <w:shd w:val="clear" w:color="auto" w:fill="auto"/>
            <w:noWrap/>
            <w:vAlign w:val="bottom"/>
            <w:hideMark/>
          </w:tcPr>
          <w:p w14:paraId="1101961A"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Сума</w:t>
            </w:r>
          </w:p>
        </w:tc>
      </w:tr>
      <w:tr w:rsidR="00761800" w:rsidRPr="00761800" w14:paraId="6864B3D3"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570FCAA" w14:textId="77777777" w:rsidR="00761800" w:rsidRPr="00761800" w:rsidRDefault="00761800" w:rsidP="00761800">
            <w:pPr>
              <w:rPr>
                <w:rFonts w:ascii="Times New Roman" w:hAnsi="Times New Roman"/>
                <w:color w:val="800000"/>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6A99F912" w14:textId="77777777" w:rsidR="00761800" w:rsidRPr="00761800" w:rsidRDefault="00761800" w:rsidP="00761800">
            <w:pPr>
              <w:rPr>
                <w:rFonts w:ascii="Times New Roman" w:hAnsi="Times New Roman"/>
                <w:color w:val="800000"/>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2FF51649"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(хил. евро)</w:t>
            </w:r>
          </w:p>
        </w:tc>
      </w:tr>
      <w:tr w:rsidR="00761800" w:rsidRPr="00761800" w14:paraId="289542A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center"/>
            <w:hideMark/>
          </w:tcPr>
          <w:p w14:paraId="7A53A687"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center"/>
            <w:hideMark/>
          </w:tcPr>
          <w:p w14:paraId="76287310"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center"/>
            <w:hideMark/>
          </w:tcPr>
          <w:p w14:paraId="08D32DEB"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2</w:t>
            </w:r>
          </w:p>
        </w:tc>
      </w:tr>
      <w:tr w:rsidR="00761800" w:rsidRPr="00761800" w14:paraId="260F976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12AAF94"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II.</w:t>
            </w:r>
          </w:p>
        </w:tc>
        <w:tc>
          <w:tcPr>
            <w:tcW w:w="11062" w:type="dxa"/>
            <w:tcBorders>
              <w:top w:val="nil"/>
              <w:left w:val="nil"/>
              <w:bottom w:val="single" w:sz="4" w:space="0" w:color="auto"/>
              <w:right w:val="nil"/>
            </w:tcBorders>
            <w:shd w:val="clear" w:color="auto" w:fill="auto"/>
            <w:noWrap/>
            <w:hideMark/>
          </w:tcPr>
          <w:p w14:paraId="5D9E6900"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РАЗХОДИ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12F1399"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17 626 188,6</w:t>
            </w:r>
          </w:p>
        </w:tc>
      </w:tr>
      <w:tr w:rsidR="00761800" w:rsidRPr="00761800" w14:paraId="32ECE29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F30BE9C"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 1.</w:t>
            </w:r>
          </w:p>
        </w:tc>
        <w:tc>
          <w:tcPr>
            <w:tcW w:w="11062" w:type="dxa"/>
            <w:tcBorders>
              <w:top w:val="nil"/>
              <w:left w:val="nil"/>
              <w:bottom w:val="single" w:sz="4" w:space="0" w:color="auto"/>
              <w:right w:val="nil"/>
            </w:tcBorders>
            <w:shd w:val="clear" w:color="auto" w:fill="auto"/>
            <w:noWrap/>
            <w:hideMark/>
          </w:tcPr>
          <w:p w14:paraId="4C0D3F3D"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Текущи разходи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33FD576" w14:textId="77777777" w:rsidR="00761800" w:rsidRPr="00761800" w:rsidRDefault="00761800" w:rsidP="00761800">
            <w:pPr>
              <w:jc w:val="right"/>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14 379 285,2</w:t>
            </w:r>
          </w:p>
        </w:tc>
      </w:tr>
      <w:tr w:rsidR="00761800" w:rsidRPr="00761800" w14:paraId="1937026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4BD82B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000000" w:fill="FFFFFF"/>
            <w:noWrap/>
            <w:hideMark/>
          </w:tcPr>
          <w:p w14:paraId="354C6160"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E4070DF"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r w:rsidR="00761800" w:rsidRPr="00761800" w14:paraId="7AB3F03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E646975"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1.1.</w:t>
            </w:r>
          </w:p>
        </w:tc>
        <w:tc>
          <w:tcPr>
            <w:tcW w:w="11062" w:type="dxa"/>
            <w:tcBorders>
              <w:top w:val="nil"/>
              <w:left w:val="nil"/>
              <w:bottom w:val="single" w:sz="4" w:space="0" w:color="auto"/>
              <w:right w:val="nil"/>
            </w:tcBorders>
            <w:shd w:val="clear" w:color="000000" w:fill="FFFFFF"/>
            <w:noWrap/>
            <w:hideMark/>
          </w:tcPr>
          <w:p w14:paraId="1D2E9C40"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02D08B6"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6 720 443,2</w:t>
            </w:r>
          </w:p>
        </w:tc>
      </w:tr>
      <w:tr w:rsidR="00761800" w:rsidRPr="00761800" w14:paraId="66BE1AA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412DCAC"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1.2.</w:t>
            </w:r>
          </w:p>
        </w:tc>
        <w:tc>
          <w:tcPr>
            <w:tcW w:w="11062" w:type="dxa"/>
            <w:tcBorders>
              <w:top w:val="nil"/>
              <w:left w:val="nil"/>
              <w:bottom w:val="single" w:sz="4" w:space="0" w:color="auto"/>
              <w:right w:val="nil"/>
            </w:tcBorders>
            <w:shd w:val="clear" w:color="000000" w:fill="FFFFFF"/>
            <w:noWrap/>
            <w:hideMark/>
          </w:tcPr>
          <w:p w14:paraId="42A88DF9"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75B5AFA"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1 127 159,0</w:t>
            </w:r>
          </w:p>
        </w:tc>
      </w:tr>
      <w:tr w:rsidR="00761800" w:rsidRPr="00761800" w14:paraId="3F33AFC0"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610B5AF"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1.2.1.</w:t>
            </w:r>
          </w:p>
        </w:tc>
        <w:tc>
          <w:tcPr>
            <w:tcW w:w="11062" w:type="dxa"/>
            <w:tcBorders>
              <w:top w:val="nil"/>
              <w:left w:val="nil"/>
              <w:bottom w:val="single" w:sz="4" w:space="0" w:color="auto"/>
              <w:right w:val="nil"/>
            </w:tcBorders>
            <w:shd w:val="clear" w:color="000000" w:fill="FFFFFF"/>
            <w:noWrap/>
            <w:hideMark/>
          </w:tcPr>
          <w:p w14:paraId="6A16C593" w14:textId="77777777" w:rsidR="00761800" w:rsidRPr="00761800" w:rsidRDefault="00761800" w:rsidP="00761800">
            <w:pPr>
              <w:ind w:firstLineChars="300" w:firstLine="660"/>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6A691CA"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1 012 833,4</w:t>
            </w:r>
          </w:p>
        </w:tc>
      </w:tr>
      <w:tr w:rsidR="00761800" w:rsidRPr="00761800" w14:paraId="35A9480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CEA298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1.2.2.</w:t>
            </w:r>
          </w:p>
        </w:tc>
        <w:tc>
          <w:tcPr>
            <w:tcW w:w="11062" w:type="dxa"/>
            <w:tcBorders>
              <w:top w:val="nil"/>
              <w:left w:val="nil"/>
              <w:bottom w:val="single" w:sz="4" w:space="0" w:color="auto"/>
              <w:right w:val="nil"/>
            </w:tcBorders>
            <w:shd w:val="clear" w:color="000000" w:fill="FFFFFF"/>
            <w:noWrap/>
            <w:hideMark/>
          </w:tcPr>
          <w:p w14:paraId="7E47CC2C" w14:textId="77777777" w:rsidR="00761800" w:rsidRPr="00761800" w:rsidRDefault="00761800" w:rsidP="00761800">
            <w:pPr>
              <w:ind w:firstLineChars="300" w:firstLine="660"/>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370B3AA"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112 699,0</w:t>
            </w:r>
          </w:p>
        </w:tc>
      </w:tr>
      <w:tr w:rsidR="00761800" w:rsidRPr="00761800" w14:paraId="1EDA311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A3C9154"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1.2.3.</w:t>
            </w:r>
          </w:p>
        </w:tc>
        <w:tc>
          <w:tcPr>
            <w:tcW w:w="11062" w:type="dxa"/>
            <w:tcBorders>
              <w:top w:val="nil"/>
              <w:left w:val="nil"/>
              <w:bottom w:val="single" w:sz="4" w:space="0" w:color="auto"/>
              <w:right w:val="nil"/>
            </w:tcBorders>
            <w:shd w:val="clear" w:color="000000" w:fill="FFFFFF"/>
            <w:noWrap/>
            <w:hideMark/>
          </w:tcPr>
          <w:p w14:paraId="40A00F1E" w14:textId="77777777" w:rsidR="00761800" w:rsidRPr="00761800" w:rsidRDefault="00761800" w:rsidP="00761800">
            <w:pPr>
              <w:ind w:firstLineChars="300" w:firstLine="660"/>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Субсидии и други текущи трансфери за финансови институции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770D64D"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1 626,6</w:t>
            </w:r>
          </w:p>
        </w:tc>
      </w:tr>
      <w:tr w:rsidR="00761800" w:rsidRPr="00761800" w14:paraId="7E3038C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39A5FDA"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1.3.</w:t>
            </w:r>
          </w:p>
        </w:tc>
        <w:tc>
          <w:tcPr>
            <w:tcW w:w="11062" w:type="dxa"/>
            <w:tcBorders>
              <w:top w:val="nil"/>
              <w:left w:val="nil"/>
              <w:bottom w:val="single" w:sz="4" w:space="0" w:color="auto"/>
              <w:right w:val="nil"/>
            </w:tcBorders>
            <w:shd w:val="clear" w:color="000000" w:fill="FFFFFF"/>
            <w:noWrap/>
            <w:hideMark/>
          </w:tcPr>
          <w:p w14:paraId="445C0AE2"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Лихви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A1A4E08"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1 030 666,2</w:t>
            </w:r>
          </w:p>
        </w:tc>
      </w:tr>
      <w:tr w:rsidR="00761800" w:rsidRPr="00761800" w14:paraId="19A57AC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AFF537C"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1.4.</w:t>
            </w:r>
          </w:p>
        </w:tc>
        <w:tc>
          <w:tcPr>
            <w:tcW w:w="11062" w:type="dxa"/>
            <w:tcBorders>
              <w:top w:val="nil"/>
              <w:left w:val="nil"/>
              <w:bottom w:val="single" w:sz="4" w:space="0" w:color="auto"/>
              <w:right w:val="nil"/>
            </w:tcBorders>
            <w:shd w:val="clear" w:color="000000" w:fill="FFFFFF"/>
            <w:noWrap/>
            <w:hideMark/>
          </w:tcPr>
          <w:p w14:paraId="50327537"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Текущи трансфери, обезщетения и помощи за домакинствата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AC7AF86"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2 009 293,3</w:t>
            </w:r>
          </w:p>
        </w:tc>
      </w:tr>
      <w:tr w:rsidR="00761800" w:rsidRPr="00761800" w14:paraId="3E26B7F1"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C63E8A0"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 2.</w:t>
            </w:r>
          </w:p>
        </w:tc>
        <w:tc>
          <w:tcPr>
            <w:tcW w:w="11062" w:type="dxa"/>
            <w:tcBorders>
              <w:top w:val="nil"/>
              <w:left w:val="nil"/>
              <w:bottom w:val="single" w:sz="4" w:space="0" w:color="auto"/>
              <w:right w:val="nil"/>
            </w:tcBorders>
            <w:shd w:val="clear" w:color="000000" w:fill="FFFFFF"/>
            <w:noWrap/>
            <w:hideMark/>
          </w:tcPr>
          <w:p w14:paraId="1FE03524"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Капиталови разходи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7637905" w14:textId="77777777" w:rsidR="00761800" w:rsidRPr="00761800" w:rsidRDefault="00761800" w:rsidP="00761800">
            <w:pPr>
              <w:jc w:val="right"/>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3 118 034,5</w:t>
            </w:r>
          </w:p>
        </w:tc>
      </w:tr>
      <w:tr w:rsidR="00761800" w:rsidRPr="00761800" w14:paraId="15024A5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E6B6D9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2.1</w:t>
            </w:r>
          </w:p>
        </w:tc>
        <w:tc>
          <w:tcPr>
            <w:tcW w:w="11062" w:type="dxa"/>
            <w:tcBorders>
              <w:top w:val="nil"/>
              <w:left w:val="nil"/>
              <w:bottom w:val="single" w:sz="4" w:space="0" w:color="auto"/>
              <w:right w:val="nil"/>
            </w:tcBorders>
            <w:shd w:val="clear" w:color="000000" w:fill="FFFFFF"/>
            <w:noWrap/>
            <w:hideMark/>
          </w:tcPr>
          <w:p w14:paraId="2A584047"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Придобиване на дълготрайни активи и основен ремонт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6A6B88A"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2 910 847,5</w:t>
            </w:r>
          </w:p>
        </w:tc>
      </w:tr>
      <w:tr w:rsidR="00761800" w:rsidRPr="00761800" w14:paraId="13EEB65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3E9EA82"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2.2.</w:t>
            </w:r>
          </w:p>
        </w:tc>
        <w:tc>
          <w:tcPr>
            <w:tcW w:w="11062" w:type="dxa"/>
            <w:tcBorders>
              <w:top w:val="nil"/>
              <w:left w:val="nil"/>
              <w:bottom w:val="single" w:sz="4" w:space="0" w:color="auto"/>
              <w:right w:val="nil"/>
            </w:tcBorders>
            <w:shd w:val="clear" w:color="000000" w:fill="FFFFFF"/>
            <w:noWrap/>
            <w:hideMark/>
          </w:tcPr>
          <w:p w14:paraId="0FD631FB"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Капиталови трансфери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74818DE"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207 187,0</w:t>
            </w:r>
          </w:p>
        </w:tc>
      </w:tr>
      <w:tr w:rsidR="00761800" w:rsidRPr="00761800" w14:paraId="2934CC8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7D62290"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 3.</w:t>
            </w:r>
          </w:p>
        </w:tc>
        <w:tc>
          <w:tcPr>
            <w:tcW w:w="11062" w:type="dxa"/>
            <w:tcBorders>
              <w:top w:val="nil"/>
              <w:left w:val="nil"/>
              <w:bottom w:val="single" w:sz="4" w:space="0" w:color="auto"/>
              <w:right w:val="nil"/>
            </w:tcBorders>
            <w:shd w:val="clear" w:color="000000" w:fill="FFFFFF"/>
            <w:noWrap/>
            <w:hideMark/>
          </w:tcPr>
          <w:p w14:paraId="7CF8CAEC"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Прираст на държавния резерв (нето)</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F8DAD0D" w14:textId="77777777" w:rsidR="00761800" w:rsidRPr="00761800" w:rsidRDefault="00761800" w:rsidP="00761800">
            <w:pPr>
              <w:jc w:val="right"/>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47 490,7</w:t>
            </w:r>
          </w:p>
        </w:tc>
      </w:tr>
      <w:tr w:rsidR="00761800" w:rsidRPr="00761800" w14:paraId="66EE315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99713CF"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 4.</w:t>
            </w:r>
          </w:p>
        </w:tc>
        <w:tc>
          <w:tcPr>
            <w:tcW w:w="11062" w:type="dxa"/>
            <w:tcBorders>
              <w:top w:val="nil"/>
              <w:left w:val="nil"/>
              <w:bottom w:val="single" w:sz="4" w:space="0" w:color="auto"/>
              <w:right w:val="nil"/>
            </w:tcBorders>
            <w:shd w:val="clear" w:color="000000" w:fill="FFFFFF"/>
            <w:noWrap/>
            <w:hideMark/>
          </w:tcPr>
          <w:p w14:paraId="63DFD1F3"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Предоставени текущи и капиталови трансфери за чужбина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C864ABF" w14:textId="77777777" w:rsidR="00761800" w:rsidRPr="00761800" w:rsidRDefault="00761800" w:rsidP="00761800">
            <w:pPr>
              <w:jc w:val="right"/>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14 194,7</w:t>
            </w:r>
          </w:p>
        </w:tc>
      </w:tr>
      <w:tr w:rsidR="00761800" w:rsidRPr="00761800" w14:paraId="0AAAD7C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AE7BA09"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 5.</w:t>
            </w:r>
          </w:p>
        </w:tc>
        <w:tc>
          <w:tcPr>
            <w:tcW w:w="11062" w:type="dxa"/>
            <w:tcBorders>
              <w:top w:val="nil"/>
              <w:left w:val="nil"/>
              <w:bottom w:val="single" w:sz="4" w:space="0" w:color="auto"/>
              <w:right w:val="nil"/>
            </w:tcBorders>
            <w:shd w:val="clear" w:color="000000" w:fill="FFFFFF"/>
            <w:noWrap/>
            <w:hideMark/>
          </w:tcPr>
          <w:p w14:paraId="06D8C689"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Резерв за непредвидени и/или неотложни разходи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5453263" w14:textId="77777777" w:rsidR="00761800" w:rsidRPr="00761800" w:rsidRDefault="00761800" w:rsidP="00761800">
            <w:pPr>
              <w:jc w:val="right"/>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67 183,5</w:t>
            </w:r>
          </w:p>
        </w:tc>
      </w:tr>
      <w:tr w:rsidR="00761800" w:rsidRPr="00761800" w14:paraId="513B4AE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724E900"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5.1.</w:t>
            </w:r>
          </w:p>
        </w:tc>
        <w:tc>
          <w:tcPr>
            <w:tcW w:w="11062" w:type="dxa"/>
            <w:tcBorders>
              <w:top w:val="nil"/>
              <w:left w:val="nil"/>
              <w:bottom w:val="single" w:sz="4" w:space="0" w:color="auto"/>
              <w:right w:val="nil"/>
            </w:tcBorders>
            <w:shd w:val="clear" w:color="000000" w:fill="FFFFFF"/>
            <w:noWrap/>
            <w:hideMark/>
          </w:tcPr>
          <w:p w14:paraId="3E0B7A92"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По централния бюджет за предотвратяване, овладяване и преодоляване на последиците от бедствия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969F726"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66 467,9</w:t>
            </w:r>
          </w:p>
        </w:tc>
      </w:tr>
      <w:tr w:rsidR="00761800" w:rsidRPr="00761800" w14:paraId="64155270"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AB5D23D"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5.2.</w:t>
            </w:r>
          </w:p>
        </w:tc>
        <w:tc>
          <w:tcPr>
            <w:tcW w:w="11062" w:type="dxa"/>
            <w:tcBorders>
              <w:top w:val="nil"/>
              <w:left w:val="nil"/>
              <w:bottom w:val="single" w:sz="4" w:space="0" w:color="auto"/>
              <w:right w:val="nil"/>
            </w:tcBorders>
            <w:shd w:val="clear" w:color="000000" w:fill="FFFFFF"/>
            <w:noWrap/>
            <w:hideMark/>
          </w:tcPr>
          <w:p w14:paraId="5C4F6931"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По бюджета на съдебната власт</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D836061"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460,0</w:t>
            </w:r>
          </w:p>
        </w:tc>
      </w:tr>
      <w:tr w:rsidR="00761800" w:rsidRPr="00761800" w14:paraId="7EF994A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1086D6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5.3.</w:t>
            </w:r>
          </w:p>
        </w:tc>
        <w:tc>
          <w:tcPr>
            <w:tcW w:w="11062" w:type="dxa"/>
            <w:tcBorders>
              <w:top w:val="nil"/>
              <w:left w:val="nil"/>
              <w:bottom w:val="single" w:sz="4" w:space="0" w:color="auto"/>
              <w:right w:val="nil"/>
            </w:tcBorders>
            <w:shd w:val="clear" w:color="000000" w:fill="FFFFFF"/>
            <w:noWrap/>
            <w:hideMark/>
          </w:tcPr>
          <w:p w14:paraId="5B5AC729"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По бюджета на Народното събрание</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497648F"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255,6</w:t>
            </w:r>
          </w:p>
        </w:tc>
      </w:tr>
      <w:tr w:rsidR="00761800" w:rsidRPr="00761800" w14:paraId="7EA1427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7C95257"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1168B4F1"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8F2332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r w:rsidR="00761800" w:rsidRPr="00761800" w14:paraId="65E061E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B7F032F"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III.</w:t>
            </w:r>
          </w:p>
        </w:tc>
        <w:tc>
          <w:tcPr>
            <w:tcW w:w="11062" w:type="dxa"/>
            <w:tcBorders>
              <w:top w:val="nil"/>
              <w:left w:val="nil"/>
              <w:bottom w:val="single" w:sz="4" w:space="0" w:color="auto"/>
              <w:right w:val="nil"/>
            </w:tcBorders>
            <w:shd w:val="clear" w:color="auto" w:fill="auto"/>
            <w:noWrap/>
            <w:hideMark/>
          </w:tcPr>
          <w:p w14:paraId="22A9C79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БЮДЖЕТНИ ВЗАИМООТНОШЕНИЯ (ТРАНСФЕРИ) -  НЕТО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65BABF2"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16 897 918,8</w:t>
            </w:r>
          </w:p>
        </w:tc>
      </w:tr>
      <w:tr w:rsidR="00761800" w:rsidRPr="00761800" w14:paraId="6D1BB62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C1949A3"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1.</w:t>
            </w:r>
          </w:p>
        </w:tc>
        <w:tc>
          <w:tcPr>
            <w:tcW w:w="11062" w:type="dxa"/>
            <w:tcBorders>
              <w:top w:val="nil"/>
              <w:left w:val="nil"/>
              <w:bottom w:val="single" w:sz="4" w:space="0" w:color="auto"/>
              <w:right w:val="nil"/>
            </w:tcBorders>
            <w:shd w:val="clear" w:color="auto" w:fill="auto"/>
            <w:noWrap/>
            <w:hideMark/>
          </w:tcPr>
          <w:p w14:paraId="212AE72E"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  Предоставени трансфери за: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5F39805" w14:textId="77777777" w:rsidR="00761800" w:rsidRPr="00761800" w:rsidRDefault="00761800" w:rsidP="00761800">
            <w:pPr>
              <w:jc w:val="right"/>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16 904 770,2</w:t>
            </w:r>
          </w:p>
        </w:tc>
      </w:tr>
      <w:tr w:rsidR="00761800" w:rsidRPr="00761800" w14:paraId="1C16BA5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B27FB2A"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000000" w:fill="FFFFFF"/>
            <w:noWrap/>
            <w:hideMark/>
          </w:tcPr>
          <w:p w14:paraId="27DB63FC"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6977957"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r w:rsidR="00761800" w:rsidRPr="00761800" w14:paraId="4EBEAF6E"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EF6D314"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1.1.</w:t>
            </w:r>
          </w:p>
        </w:tc>
        <w:tc>
          <w:tcPr>
            <w:tcW w:w="11062" w:type="dxa"/>
            <w:tcBorders>
              <w:top w:val="nil"/>
              <w:left w:val="nil"/>
              <w:bottom w:val="single" w:sz="4" w:space="0" w:color="auto"/>
              <w:right w:val="nil"/>
            </w:tcBorders>
            <w:shd w:val="clear" w:color="000000" w:fill="FFFFFF"/>
            <w:noWrap/>
            <w:hideMark/>
          </w:tcPr>
          <w:p w14:paraId="4E0C6056"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Общините</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BD89450"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4 927 964,0</w:t>
            </w:r>
          </w:p>
        </w:tc>
      </w:tr>
      <w:tr w:rsidR="00761800" w:rsidRPr="00761800" w14:paraId="2ACA398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45CFE29"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lastRenderedPageBreak/>
              <w:t>1.2.</w:t>
            </w:r>
          </w:p>
        </w:tc>
        <w:tc>
          <w:tcPr>
            <w:tcW w:w="11062" w:type="dxa"/>
            <w:tcBorders>
              <w:top w:val="nil"/>
              <w:left w:val="nil"/>
              <w:bottom w:val="single" w:sz="4" w:space="0" w:color="auto"/>
              <w:right w:val="nil"/>
            </w:tcBorders>
            <w:shd w:val="clear" w:color="000000" w:fill="FFFFFF"/>
            <w:noWrap/>
            <w:hideMark/>
          </w:tcPr>
          <w:p w14:paraId="7E8F0D48"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Държавното обществено осигуряване</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0FD91AB"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6 744 937,1</w:t>
            </w:r>
          </w:p>
        </w:tc>
      </w:tr>
      <w:tr w:rsidR="00761800" w:rsidRPr="00761800" w14:paraId="3A9BBB0C"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B0E5CF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1.3.</w:t>
            </w:r>
          </w:p>
        </w:tc>
        <w:tc>
          <w:tcPr>
            <w:tcW w:w="11062" w:type="dxa"/>
            <w:tcBorders>
              <w:top w:val="nil"/>
              <w:left w:val="nil"/>
              <w:bottom w:val="single" w:sz="4" w:space="0" w:color="auto"/>
              <w:right w:val="nil"/>
            </w:tcBorders>
            <w:shd w:val="clear" w:color="000000" w:fill="FFFFFF"/>
            <w:noWrap/>
            <w:hideMark/>
          </w:tcPr>
          <w:p w14:paraId="611156E8"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Националната здравноосигурителна каса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13FE0B0"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2 052 233,7</w:t>
            </w:r>
          </w:p>
        </w:tc>
      </w:tr>
      <w:tr w:rsidR="00761800" w:rsidRPr="00761800" w14:paraId="5ADDC33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3637FA0"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000000" w:fill="FFFFFF"/>
            <w:noWrap/>
            <w:hideMark/>
          </w:tcPr>
          <w:p w14:paraId="1B23BC73"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501386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r w:rsidR="00761800" w:rsidRPr="00761800" w14:paraId="2F039DB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8965811"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1.3.1.</w:t>
            </w:r>
          </w:p>
        </w:tc>
        <w:tc>
          <w:tcPr>
            <w:tcW w:w="11062" w:type="dxa"/>
            <w:tcBorders>
              <w:top w:val="nil"/>
              <w:left w:val="nil"/>
              <w:bottom w:val="single" w:sz="4" w:space="0" w:color="auto"/>
              <w:right w:val="nil"/>
            </w:tcBorders>
            <w:shd w:val="clear" w:color="000000" w:fill="FFFFFF"/>
            <w:noWrap/>
            <w:hideMark/>
          </w:tcPr>
          <w:p w14:paraId="0ABD442B"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 от Министерството на здравеопазването</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9ECDDBF"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101 490,7</w:t>
            </w:r>
          </w:p>
        </w:tc>
      </w:tr>
      <w:tr w:rsidR="00761800" w:rsidRPr="00761800" w14:paraId="3DD1815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8C71BBA"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1.4.</w:t>
            </w:r>
          </w:p>
        </w:tc>
        <w:tc>
          <w:tcPr>
            <w:tcW w:w="11062" w:type="dxa"/>
            <w:tcBorders>
              <w:top w:val="nil"/>
              <w:left w:val="nil"/>
              <w:bottom w:val="single" w:sz="4" w:space="0" w:color="auto"/>
              <w:right w:val="nil"/>
            </w:tcBorders>
            <w:shd w:val="clear" w:color="000000" w:fill="FFFFFF"/>
            <w:noWrap/>
            <w:hideMark/>
          </w:tcPr>
          <w:p w14:paraId="497F6DA9"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Сметката за средствата от Европейския съюз на Националния фонд</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89EC3FD"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1 538 258,1</w:t>
            </w:r>
          </w:p>
        </w:tc>
      </w:tr>
      <w:tr w:rsidR="00761800" w:rsidRPr="00761800" w14:paraId="5EB9B35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95C1544"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1.5.</w:t>
            </w:r>
          </w:p>
        </w:tc>
        <w:tc>
          <w:tcPr>
            <w:tcW w:w="11062" w:type="dxa"/>
            <w:tcBorders>
              <w:top w:val="nil"/>
              <w:left w:val="nil"/>
              <w:bottom w:val="single" w:sz="4" w:space="0" w:color="auto"/>
              <w:right w:val="nil"/>
            </w:tcBorders>
            <w:shd w:val="clear" w:color="000000" w:fill="FFFFFF"/>
            <w:noWrap/>
            <w:hideMark/>
          </w:tcPr>
          <w:p w14:paraId="4CA894B0"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Сметката за средствата от Европейския съюз на Държавния фонд „Земеделие“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A5D0C9C"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482 749,6</w:t>
            </w:r>
          </w:p>
        </w:tc>
      </w:tr>
      <w:tr w:rsidR="00761800" w:rsidRPr="00761800" w14:paraId="732AC9C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5229F79"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6C4CB0A2"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5212239"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r w:rsidR="00761800" w:rsidRPr="00761800" w14:paraId="72A2645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B8BFF22"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2.</w:t>
            </w:r>
          </w:p>
        </w:tc>
        <w:tc>
          <w:tcPr>
            <w:tcW w:w="11062" w:type="dxa"/>
            <w:tcBorders>
              <w:top w:val="nil"/>
              <w:left w:val="nil"/>
              <w:bottom w:val="single" w:sz="4" w:space="0" w:color="auto"/>
              <w:right w:val="nil"/>
            </w:tcBorders>
            <w:shd w:val="clear" w:color="000000" w:fill="FFFFFF"/>
            <w:noWrap/>
            <w:hideMark/>
          </w:tcPr>
          <w:p w14:paraId="54C79065"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  Получени трансфери от:</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6FB52C1" w14:textId="77777777" w:rsidR="00761800" w:rsidRPr="00761800" w:rsidRDefault="00761800" w:rsidP="00761800">
            <w:pPr>
              <w:jc w:val="right"/>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6 851,4</w:t>
            </w:r>
          </w:p>
        </w:tc>
      </w:tr>
      <w:tr w:rsidR="00761800" w:rsidRPr="00761800" w14:paraId="65CD6025"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AF06094"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000000" w:fill="FFFFFF"/>
            <w:noWrap/>
            <w:hideMark/>
          </w:tcPr>
          <w:p w14:paraId="52B5FB1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A6E555B"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r w:rsidR="00761800" w:rsidRPr="00761800" w14:paraId="645EBE8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2EE4E5A"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2.1.</w:t>
            </w:r>
          </w:p>
        </w:tc>
        <w:tc>
          <w:tcPr>
            <w:tcW w:w="11062" w:type="dxa"/>
            <w:tcBorders>
              <w:top w:val="nil"/>
              <w:left w:val="nil"/>
              <w:bottom w:val="single" w:sz="4" w:space="0" w:color="auto"/>
              <w:right w:val="nil"/>
            </w:tcBorders>
            <w:shd w:val="clear" w:color="000000" w:fill="FFFFFF"/>
            <w:noWrap/>
            <w:hideMark/>
          </w:tcPr>
          <w:p w14:paraId="5B407D2E"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Държавното обществено осигуряване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40F272D"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3 783,6</w:t>
            </w:r>
          </w:p>
        </w:tc>
      </w:tr>
      <w:tr w:rsidR="00761800" w:rsidRPr="00761800" w14:paraId="1545D02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1C0A221"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2.1.1.</w:t>
            </w:r>
          </w:p>
        </w:tc>
        <w:tc>
          <w:tcPr>
            <w:tcW w:w="11062" w:type="dxa"/>
            <w:tcBorders>
              <w:top w:val="nil"/>
              <w:left w:val="nil"/>
              <w:bottom w:val="single" w:sz="4" w:space="0" w:color="auto"/>
              <w:right w:val="nil"/>
            </w:tcBorders>
            <w:shd w:val="clear" w:color="000000" w:fill="FFFFFF"/>
            <w:noWrap/>
            <w:hideMark/>
          </w:tcPr>
          <w:p w14:paraId="76189856" w14:textId="77777777" w:rsidR="00761800" w:rsidRPr="00761800" w:rsidRDefault="00761800" w:rsidP="00761800">
            <w:pPr>
              <w:ind w:firstLineChars="300" w:firstLine="660"/>
              <w:rPr>
                <w:rFonts w:ascii="Times New Roman" w:hAnsi="Times New Roman"/>
                <w:color w:val="800000"/>
                <w:sz w:val="22"/>
                <w:szCs w:val="22"/>
                <w:lang w:eastAsia="bg-BG"/>
              </w:rPr>
            </w:pPr>
            <w:r w:rsidRPr="00761800">
              <w:rPr>
                <w:rFonts w:ascii="Times New Roman" w:hAnsi="Times New Roman"/>
                <w:color w:val="800000"/>
                <w:sz w:val="22"/>
                <w:szCs w:val="22"/>
                <w:lang w:eastAsia="bg-BG"/>
              </w:rPr>
              <w:t>- за Министерството на труда и социалната политика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8991EF8"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2 045,2</w:t>
            </w:r>
          </w:p>
        </w:tc>
      </w:tr>
      <w:tr w:rsidR="00761800" w:rsidRPr="00761800" w14:paraId="54C60CE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24F73FC"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2.1.2.</w:t>
            </w:r>
          </w:p>
        </w:tc>
        <w:tc>
          <w:tcPr>
            <w:tcW w:w="11062" w:type="dxa"/>
            <w:tcBorders>
              <w:top w:val="nil"/>
              <w:left w:val="nil"/>
              <w:bottom w:val="single" w:sz="4" w:space="0" w:color="auto"/>
              <w:right w:val="nil"/>
            </w:tcBorders>
            <w:shd w:val="clear" w:color="000000" w:fill="FFFFFF"/>
            <w:noWrap/>
            <w:hideMark/>
          </w:tcPr>
          <w:p w14:paraId="2D216224" w14:textId="77777777" w:rsidR="00761800" w:rsidRPr="00761800" w:rsidRDefault="00761800" w:rsidP="00761800">
            <w:pPr>
              <w:ind w:firstLineChars="300" w:firstLine="660"/>
              <w:rPr>
                <w:rFonts w:ascii="Times New Roman" w:hAnsi="Times New Roman"/>
                <w:color w:val="800000"/>
                <w:sz w:val="22"/>
                <w:szCs w:val="22"/>
                <w:lang w:eastAsia="bg-BG"/>
              </w:rPr>
            </w:pPr>
            <w:r w:rsidRPr="00761800">
              <w:rPr>
                <w:rFonts w:ascii="Times New Roman" w:hAnsi="Times New Roman"/>
                <w:color w:val="800000"/>
                <w:sz w:val="22"/>
                <w:szCs w:val="22"/>
                <w:lang w:eastAsia="bg-BG"/>
              </w:rPr>
              <w:t>- за Министерството на транспорта и съобщенията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4BEBF83"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127,8</w:t>
            </w:r>
          </w:p>
        </w:tc>
      </w:tr>
      <w:tr w:rsidR="00761800" w:rsidRPr="00761800" w14:paraId="57F3117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CE9238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2.1.3.</w:t>
            </w:r>
          </w:p>
        </w:tc>
        <w:tc>
          <w:tcPr>
            <w:tcW w:w="11062" w:type="dxa"/>
            <w:tcBorders>
              <w:top w:val="nil"/>
              <w:left w:val="nil"/>
              <w:bottom w:val="single" w:sz="4" w:space="0" w:color="auto"/>
              <w:right w:val="nil"/>
            </w:tcBorders>
            <w:shd w:val="clear" w:color="000000" w:fill="FFFFFF"/>
            <w:noWrap/>
            <w:hideMark/>
          </w:tcPr>
          <w:p w14:paraId="2704BB53" w14:textId="77777777" w:rsidR="00761800" w:rsidRPr="00761800" w:rsidRDefault="00761800" w:rsidP="00761800">
            <w:pPr>
              <w:ind w:firstLineChars="300" w:firstLine="660"/>
              <w:rPr>
                <w:rFonts w:ascii="Times New Roman" w:hAnsi="Times New Roman"/>
                <w:color w:val="800000"/>
                <w:sz w:val="22"/>
                <w:szCs w:val="22"/>
                <w:lang w:eastAsia="bg-BG"/>
              </w:rPr>
            </w:pPr>
            <w:r w:rsidRPr="00761800">
              <w:rPr>
                <w:rFonts w:ascii="Times New Roman" w:hAnsi="Times New Roman"/>
                <w:color w:val="800000"/>
                <w:sz w:val="22"/>
                <w:szCs w:val="22"/>
                <w:lang w:eastAsia="bg-BG"/>
              </w:rPr>
              <w:t>- за Министерството на здравеопазването</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B932B5A"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1 610,6</w:t>
            </w:r>
          </w:p>
        </w:tc>
      </w:tr>
      <w:tr w:rsidR="00761800" w:rsidRPr="00761800" w14:paraId="2472AF2F"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2F28A34"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4DACC3A8"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7DAEAE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r w:rsidR="00761800" w:rsidRPr="00761800" w14:paraId="2FFE9A2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EB75CF0"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IV.</w:t>
            </w:r>
          </w:p>
        </w:tc>
        <w:tc>
          <w:tcPr>
            <w:tcW w:w="11062" w:type="dxa"/>
            <w:tcBorders>
              <w:top w:val="nil"/>
              <w:left w:val="nil"/>
              <w:bottom w:val="single" w:sz="4" w:space="0" w:color="auto"/>
              <w:right w:val="nil"/>
            </w:tcBorders>
            <w:shd w:val="clear" w:color="000000" w:fill="FFFFFF"/>
            <w:noWrap/>
            <w:hideMark/>
          </w:tcPr>
          <w:p w14:paraId="3B754C3D"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ВНОСКА В ОБЩИЯ БЮДЖЕТ НА ЕВРОПЕЙСКИЯ СЪЮЗ</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DFA8CF7"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1 282 158,2</w:t>
            </w:r>
          </w:p>
        </w:tc>
      </w:tr>
      <w:tr w:rsidR="00761800" w:rsidRPr="00761800" w14:paraId="1DF30D49" w14:textId="77777777" w:rsidTr="00406B4D">
        <w:trPr>
          <w:trHeight w:val="300"/>
        </w:trPr>
        <w:tc>
          <w:tcPr>
            <w:tcW w:w="1013" w:type="dxa"/>
            <w:tcBorders>
              <w:top w:val="nil"/>
              <w:left w:val="nil"/>
              <w:bottom w:val="nil"/>
              <w:right w:val="nil"/>
            </w:tcBorders>
            <w:shd w:val="clear" w:color="auto" w:fill="auto"/>
            <w:noWrap/>
            <w:vAlign w:val="bottom"/>
            <w:hideMark/>
          </w:tcPr>
          <w:p w14:paraId="556D7DE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nil"/>
              <w:right w:val="nil"/>
            </w:tcBorders>
            <w:shd w:val="clear" w:color="auto" w:fill="auto"/>
            <w:noWrap/>
            <w:vAlign w:val="bottom"/>
            <w:hideMark/>
          </w:tcPr>
          <w:p w14:paraId="6483BA51"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2178" w:type="dxa"/>
            <w:tcBorders>
              <w:top w:val="nil"/>
              <w:left w:val="nil"/>
              <w:bottom w:val="nil"/>
              <w:right w:val="nil"/>
            </w:tcBorders>
            <w:shd w:val="clear" w:color="auto" w:fill="auto"/>
            <w:noWrap/>
            <w:vAlign w:val="bottom"/>
            <w:hideMark/>
          </w:tcPr>
          <w:p w14:paraId="2C8FA67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r w:rsidR="00761800" w:rsidRPr="00761800" w14:paraId="205D46CA" w14:textId="77777777" w:rsidTr="00406B4D">
        <w:trPr>
          <w:trHeight w:val="300"/>
        </w:trPr>
        <w:tc>
          <w:tcPr>
            <w:tcW w:w="14253" w:type="dxa"/>
            <w:gridSpan w:val="3"/>
            <w:tcBorders>
              <w:top w:val="nil"/>
              <w:left w:val="nil"/>
              <w:bottom w:val="single" w:sz="4" w:space="0" w:color="auto"/>
              <w:right w:val="nil"/>
            </w:tcBorders>
            <w:shd w:val="clear" w:color="auto" w:fill="auto"/>
            <w:vAlign w:val="bottom"/>
            <w:hideMark/>
          </w:tcPr>
          <w:p w14:paraId="10517760"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(3) Утвърждава бюджетното салдо по държавния бюджет за 2026 г., както следва:</w:t>
            </w:r>
          </w:p>
        </w:tc>
      </w:tr>
      <w:tr w:rsidR="00761800" w:rsidRPr="00761800" w14:paraId="39E85026"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16D9A"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868BF4"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53B3F5C4"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Сума</w:t>
            </w:r>
          </w:p>
        </w:tc>
      </w:tr>
      <w:tr w:rsidR="00761800" w:rsidRPr="00761800" w14:paraId="487E4C88"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0578385" w14:textId="77777777" w:rsidR="00761800" w:rsidRPr="00761800" w:rsidRDefault="00761800" w:rsidP="00761800">
            <w:pPr>
              <w:rPr>
                <w:rFonts w:ascii="Times New Roman" w:hAnsi="Times New Roman"/>
                <w:color w:val="800000"/>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585D4441" w14:textId="77777777" w:rsidR="00761800" w:rsidRPr="00761800" w:rsidRDefault="00761800" w:rsidP="00761800">
            <w:pPr>
              <w:rPr>
                <w:rFonts w:ascii="Times New Roman" w:hAnsi="Times New Roman"/>
                <w:color w:val="800000"/>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0D1061A2"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(хил. евро)</w:t>
            </w:r>
          </w:p>
        </w:tc>
      </w:tr>
      <w:tr w:rsidR="00761800" w:rsidRPr="00761800" w14:paraId="5FF05BB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center"/>
            <w:hideMark/>
          </w:tcPr>
          <w:p w14:paraId="304ADE97"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center"/>
            <w:hideMark/>
          </w:tcPr>
          <w:p w14:paraId="434A10E2"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center"/>
            <w:hideMark/>
          </w:tcPr>
          <w:p w14:paraId="0B7699A1"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2</w:t>
            </w:r>
          </w:p>
        </w:tc>
      </w:tr>
      <w:tr w:rsidR="00761800" w:rsidRPr="00761800" w14:paraId="5B00790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2FAD44C"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V.</w:t>
            </w:r>
          </w:p>
        </w:tc>
        <w:tc>
          <w:tcPr>
            <w:tcW w:w="11062" w:type="dxa"/>
            <w:tcBorders>
              <w:top w:val="nil"/>
              <w:left w:val="nil"/>
              <w:bottom w:val="single" w:sz="4" w:space="0" w:color="auto"/>
              <w:right w:val="nil"/>
            </w:tcBorders>
            <w:shd w:val="clear" w:color="auto" w:fill="auto"/>
            <w:noWrap/>
            <w:hideMark/>
          </w:tcPr>
          <w:p w14:paraId="0BAF1B2A"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БЮДЖЕТНО САЛДО (І-ІІ-ІІІ-IV)</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7B1CC89"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-7 350 531,5</w:t>
            </w:r>
          </w:p>
        </w:tc>
      </w:tr>
      <w:tr w:rsidR="00761800" w:rsidRPr="00761800" w14:paraId="2B714D8D" w14:textId="77777777" w:rsidTr="00406B4D">
        <w:trPr>
          <w:trHeight w:val="300"/>
        </w:trPr>
        <w:tc>
          <w:tcPr>
            <w:tcW w:w="1013" w:type="dxa"/>
            <w:tcBorders>
              <w:top w:val="nil"/>
              <w:left w:val="nil"/>
              <w:bottom w:val="nil"/>
              <w:right w:val="nil"/>
            </w:tcBorders>
            <w:shd w:val="clear" w:color="auto" w:fill="auto"/>
            <w:noWrap/>
            <w:vAlign w:val="bottom"/>
            <w:hideMark/>
          </w:tcPr>
          <w:p w14:paraId="3C30433C" w14:textId="77777777" w:rsidR="00761800" w:rsidRPr="00761800" w:rsidRDefault="00761800" w:rsidP="00761800">
            <w:pPr>
              <w:jc w:val="right"/>
              <w:rPr>
                <w:rFonts w:ascii="Times New Roman" w:hAnsi="Times New Roman"/>
                <w:color w:val="800000"/>
                <w:sz w:val="22"/>
                <w:szCs w:val="22"/>
                <w:lang w:eastAsia="bg-BG"/>
              </w:rPr>
            </w:pPr>
          </w:p>
        </w:tc>
        <w:tc>
          <w:tcPr>
            <w:tcW w:w="11062" w:type="dxa"/>
            <w:tcBorders>
              <w:top w:val="nil"/>
              <w:left w:val="nil"/>
              <w:bottom w:val="nil"/>
              <w:right w:val="nil"/>
            </w:tcBorders>
            <w:shd w:val="clear" w:color="auto" w:fill="auto"/>
            <w:noWrap/>
            <w:vAlign w:val="bottom"/>
            <w:hideMark/>
          </w:tcPr>
          <w:p w14:paraId="22901D08"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DB6734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r w:rsidR="00761800" w:rsidRPr="00761800" w14:paraId="3308430F" w14:textId="77777777" w:rsidTr="00406B4D">
        <w:trPr>
          <w:trHeight w:val="300"/>
        </w:trPr>
        <w:tc>
          <w:tcPr>
            <w:tcW w:w="14253" w:type="dxa"/>
            <w:gridSpan w:val="3"/>
            <w:tcBorders>
              <w:top w:val="nil"/>
              <w:left w:val="nil"/>
              <w:bottom w:val="single" w:sz="4" w:space="0" w:color="auto"/>
              <w:right w:val="nil"/>
            </w:tcBorders>
            <w:shd w:val="clear" w:color="auto" w:fill="auto"/>
            <w:vAlign w:val="bottom"/>
            <w:hideMark/>
          </w:tcPr>
          <w:p w14:paraId="34B8DD22"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(4) Утвърждава нето операциите в частта на финансирането на бюджетното салдо по държавния бюджет за 2026 г., както следва:                              </w:t>
            </w:r>
          </w:p>
        </w:tc>
      </w:tr>
      <w:tr w:rsidR="00761800" w:rsidRPr="00761800" w14:paraId="6875AE72"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016AE4"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6EA1DD"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334490D9"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Сума</w:t>
            </w:r>
          </w:p>
        </w:tc>
      </w:tr>
      <w:tr w:rsidR="00761800" w:rsidRPr="00761800" w14:paraId="794C9702"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5B22E8C" w14:textId="77777777" w:rsidR="00761800" w:rsidRPr="00761800" w:rsidRDefault="00761800" w:rsidP="00761800">
            <w:pPr>
              <w:rPr>
                <w:rFonts w:ascii="Times New Roman" w:hAnsi="Times New Roman"/>
                <w:color w:val="800000"/>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1FB07040" w14:textId="77777777" w:rsidR="00761800" w:rsidRPr="00761800" w:rsidRDefault="00761800" w:rsidP="00761800">
            <w:pPr>
              <w:rPr>
                <w:rFonts w:ascii="Times New Roman" w:hAnsi="Times New Roman"/>
                <w:color w:val="800000"/>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4ECF145A"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(хил. евро)</w:t>
            </w:r>
          </w:p>
        </w:tc>
      </w:tr>
      <w:tr w:rsidR="00761800" w:rsidRPr="00761800" w14:paraId="1E6A771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center"/>
            <w:hideMark/>
          </w:tcPr>
          <w:p w14:paraId="0A4A318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center"/>
            <w:hideMark/>
          </w:tcPr>
          <w:p w14:paraId="5B5A96A7"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center"/>
            <w:hideMark/>
          </w:tcPr>
          <w:p w14:paraId="3D526E9E"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2</w:t>
            </w:r>
          </w:p>
        </w:tc>
      </w:tr>
      <w:tr w:rsidR="00761800" w:rsidRPr="00761800" w14:paraId="2C45FC1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567A96F"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VІ.</w:t>
            </w:r>
          </w:p>
        </w:tc>
        <w:tc>
          <w:tcPr>
            <w:tcW w:w="11062" w:type="dxa"/>
            <w:tcBorders>
              <w:top w:val="nil"/>
              <w:left w:val="nil"/>
              <w:bottom w:val="single" w:sz="4" w:space="0" w:color="auto"/>
              <w:right w:val="nil"/>
            </w:tcBorders>
            <w:shd w:val="clear" w:color="auto" w:fill="auto"/>
            <w:noWrap/>
            <w:hideMark/>
          </w:tcPr>
          <w:p w14:paraId="24DBFFBC"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6EEA53E"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7 350 531,5</w:t>
            </w:r>
          </w:p>
        </w:tc>
      </w:tr>
      <w:tr w:rsidR="00761800" w:rsidRPr="00761800" w14:paraId="5088A759" w14:textId="77777777" w:rsidTr="00406B4D">
        <w:trPr>
          <w:trHeight w:val="300"/>
        </w:trPr>
        <w:tc>
          <w:tcPr>
            <w:tcW w:w="1013" w:type="dxa"/>
            <w:tcBorders>
              <w:top w:val="nil"/>
              <w:left w:val="nil"/>
              <w:bottom w:val="nil"/>
              <w:right w:val="nil"/>
            </w:tcBorders>
            <w:shd w:val="clear" w:color="auto" w:fill="auto"/>
            <w:noWrap/>
            <w:vAlign w:val="bottom"/>
            <w:hideMark/>
          </w:tcPr>
          <w:p w14:paraId="13E5AE0B" w14:textId="77777777" w:rsidR="00761800" w:rsidRPr="00761800" w:rsidRDefault="00761800" w:rsidP="00761800">
            <w:pPr>
              <w:jc w:val="right"/>
              <w:rPr>
                <w:rFonts w:ascii="Times New Roman" w:hAnsi="Times New Roman"/>
                <w:color w:val="800000"/>
                <w:sz w:val="22"/>
                <w:szCs w:val="22"/>
                <w:lang w:eastAsia="bg-BG"/>
              </w:rPr>
            </w:pPr>
          </w:p>
        </w:tc>
        <w:tc>
          <w:tcPr>
            <w:tcW w:w="11062" w:type="dxa"/>
            <w:tcBorders>
              <w:top w:val="nil"/>
              <w:left w:val="nil"/>
              <w:bottom w:val="nil"/>
              <w:right w:val="nil"/>
            </w:tcBorders>
            <w:shd w:val="clear" w:color="auto" w:fill="auto"/>
            <w:noWrap/>
            <w:vAlign w:val="bottom"/>
            <w:hideMark/>
          </w:tcPr>
          <w:p w14:paraId="6D5296BD"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146DBA16" w14:textId="77777777" w:rsidR="00761800" w:rsidRPr="00761800" w:rsidRDefault="00761800" w:rsidP="00761800">
            <w:pPr>
              <w:rPr>
                <w:rFonts w:ascii="Times New Roman" w:hAnsi="Times New Roman"/>
                <w:sz w:val="20"/>
                <w:lang w:eastAsia="bg-BG"/>
              </w:rPr>
            </w:pPr>
          </w:p>
        </w:tc>
      </w:tr>
      <w:tr w:rsidR="00761800" w:rsidRPr="00761800" w14:paraId="0CD0016B" w14:textId="77777777" w:rsidTr="00406B4D">
        <w:trPr>
          <w:trHeight w:val="300"/>
        </w:trPr>
        <w:tc>
          <w:tcPr>
            <w:tcW w:w="1013" w:type="dxa"/>
            <w:tcBorders>
              <w:top w:val="nil"/>
              <w:left w:val="nil"/>
              <w:bottom w:val="nil"/>
              <w:right w:val="nil"/>
            </w:tcBorders>
            <w:shd w:val="clear" w:color="auto" w:fill="auto"/>
            <w:vAlign w:val="bottom"/>
            <w:hideMark/>
          </w:tcPr>
          <w:p w14:paraId="2588D481" w14:textId="77777777" w:rsidR="00761800" w:rsidRPr="00761800" w:rsidRDefault="00761800" w:rsidP="00761800">
            <w:pPr>
              <w:rPr>
                <w:rFonts w:ascii="Times New Roman" w:hAnsi="Times New Roman"/>
                <w:sz w:val="20"/>
                <w:lang w:eastAsia="bg-BG"/>
              </w:rPr>
            </w:pPr>
          </w:p>
        </w:tc>
        <w:tc>
          <w:tcPr>
            <w:tcW w:w="11062" w:type="dxa"/>
            <w:tcBorders>
              <w:top w:val="nil"/>
              <w:left w:val="nil"/>
              <w:bottom w:val="nil"/>
              <w:right w:val="nil"/>
            </w:tcBorders>
            <w:shd w:val="clear" w:color="auto" w:fill="auto"/>
            <w:vAlign w:val="bottom"/>
            <w:hideMark/>
          </w:tcPr>
          <w:p w14:paraId="0D4D242B"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63714E26" w14:textId="77777777" w:rsidR="00761800" w:rsidRPr="00761800" w:rsidRDefault="00761800" w:rsidP="00761800">
            <w:pPr>
              <w:rPr>
                <w:rFonts w:ascii="Times New Roman" w:hAnsi="Times New Roman"/>
                <w:sz w:val="20"/>
                <w:lang w:eastAsia="bg-BG"/>
              </w:rPr>
            </w:pPr>
          </w:p>
        </w:tc>
      </w:tr>
    </w:tbl>
    <w:p w14:paraId="22D311C8" w14:textId="77777777" w:rsidR="00761800" w:rsidRPr="00761800" w:rsidRDefault="00761800" w:rsidP="00761800">
      <w:pPr>
        <w:tabs>
          <w:tab w:val="left" w:pos="1088"/>
          <w:tab w:val="left" w:pos="12150"/>
        </w:tabs>
        <w:ind w:left="75"/>
        <w:jc w:val="center"/>
        <w:rPr>
          <w:rFonts w:ascii="Times New Roman" w:hAnsi="Times New Roman"/>
          <w:b/>
          <w:bCs/>
          <w:color w:val="800000"/>
          <w:sz w:val="22"/>
          <w:szCs w:val="22"/>
          <w:u w:val="single"/>
          <w:lang w:eastAsia="bg-BG"/>
        </w:rPr>
      </w:pPr>
      <w:r w:rsidRPr="00761800">
        <w:rPr>
          <w:rFonts w:ascii="Times New Roman" w:hAnsi="Times New Roman"/>
          <w:b/>
          <w:bCs/>
          <w:color w:val="800000"/>
          <w:sz w:val="22"/>
          <w:szCs w:val="22"/>
          <w:u w:val="single"/>
          <w:lang w:eastAsia="bg-BG"/>
        </w:rPr>
        <w:lastRenderedPageBreak/>
        <w:t>СТАНОВИЩЕ НА МИНИСТЕРСКИЯ СЪВЕТ ПО ЧЛ. 1.</w:t>
      </w:r>
    </w:p>
    <w:p w14:paraId="165DEA12" w14:textId="77777777" w:rsidR="00761800" w:rsidRPr="00761800" w:rsidRDefault="00761800" w:rsidP="00761800">
      <w:pPr>
        <w:tabs>
          <w:tab w:val="left" w:pos="1088"/>
          <w:tab w:val="left" w:pos="12150"/>
        </w:tabs>
        <w:ind w:left="75"/>
        <w:rPr>
          <w:rFonts w:ascii="Times New Roman" w:hAnsi="Times New Roman"/>
          <w:sz w:val="20"/>
          <w:lang w:eastAsia="bg-BG"/>
        </w:rPr>
      </w:pPr>
    </w:p>
    <w:p w14:paraId="2BE961CC" w14:textId="77777777" w:rsidR="00761800" w:rsidRPr="00761800" w:rsidRDefault="00761800" w:rsidP="00761800">
      <w:pPr>
        <w:ind w:left="75"/>
        <w:rPr>
          <w:rFonts w:ascii="Times New Roman" w:hAnsi="Times New Roman"/>
          <w:sz w:val="22"/>
          <w:szCs w:val="22"/>
          <w:lang w:eastAsia="bg-BG"/>
        </w:rPr>
      </w:pPr>
      <w:r w:rsidRPr="00761800">
        <w:rPr>
          <w:rFonts w:ascii="Times New Roman" w:hAnsi="Times New Roman"/>
          <w:b/>
          <w:bCs/>
          <w:sz w:val="22"/>
          <w:szCs w:val="22"/>
          <w:lang w:eastAsia="bg-BG"/>
        </w:rPr>
        <w:t>Чл. 1.</w:t>
      </w:r>
      <w:r w:rsidRPr="00761800">
        <w:rPr>
          <w:rFonts w:ascii="Times New Roman" w:hAnsi="Times New Roman"/>
          <w:sz w:val="22"/>
          <w:szCs w:val="22"/>
          <w:lang w:eastAsia="bg-BG"/>
        </w:rPr>
        <w:t xml:space="preserve"> (1) Приема държавния бюджет за 2026 г. по приходите, помощите и даренията, както следва:           </w:t>
      </w:r>
    </w:p>
    <w:tbl>
      <w:tblPr>
        <w:tblW w:w="14253" w:type="dxa"/>
        <w:tblCellMar>
          <w:left w:w="70" w:type="dxa"/>
          <w:right w:w="70" w:type="dxa"/>
        </w:tblCellMar>
        <w:tblLook w:val="04A0" w:firstRow="1" w:lastRow="0" w:firstColumn="1" w:lastColumn="0" w:noHBand="0" w:noVBand="1"/>
      </w:tblPr>
      <w:tblGrid>
        <w:gridCol w:w="1013"/>
        <w:gridCol w:w="11062"/>
        <w:gridCol w:w="2178"/>
      </w:tblGrid>
      <w:tr w:rsidR="00761800" w:rsidRPr="00761800" w14:paraId="1F160257"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33599DD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009D71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000000" w:fill="FFFFFF"/>
            <w:noWrap/>
            <w:vAlign w:val="bottom"/>
            <w:hideMark/>
          </w:tcPr>
          <w:p w14:paraId="648D62D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ADE0DCC"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A647F7A"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6C7B23D0"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000000" w:fill="FFFFFF"/>
            <w:noWrap/>
            <w:vAlign w:val="bottom"/>
            <w:hideMark/>
          </w:tcPr>
          <w:p w14:paraId="4B19E11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9ECCBC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vAlign w:val="center"/>
            <w:hideMark/>
          </w:tcPr>
          <w:p w14:paraId="73C413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center"/>
            <w:hideMark/>
          </w:tcPr>
          <w:p w14:paraId="441B4ED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000000" w:fill="FFFFFF"/>
            <w:noWrap/>
            <w:vAlign w:val="center"/>
            <w:hideMark/>
          </w:tcPr>
          <w:p w14:paraId="66AD1AD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9B2049F"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C5196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I.</w:t>
            </w:r>
          </w:p>
        </w:tc>
        <w:tc>
          <w:tcPr>
            <w:tcW w:w="11062" w:type="dxa"/>
            <w:tcBorders>
              <w:top w:val="nil"/>
              <w:left w:val="nil"/>
              <w:bottom w:val="single" w:sz="4" w:space="0" w:color="auto"/>
              <w:right w:val="nil"/>
            </w:tcBorders>
            <w:shd w:val="clear" w:color="000000" w:fill="FFFFFF"/>
            <w:noWrap/>
            <w:hideMark/>
          </w:tcPr>
          <w:p w14:paraId="511277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C8086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28 460 847,1</w:t>
            </w:r>
          </w:p>
        </w:tc>
      </w:tr>
      <w:tr w:rsidR="00761800" w:rsidRPr="00761800" w14:paraId="69808F0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D683FB9"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1.</w:t>
            </w:r>
          </w:p>
        </w:tc>
        <w:tc>
          <w:tcPr>
            <w:tcW w:w="11062" w:type="dxa"/>
            <w:tcBorders>
              <w:top w:val="nil"/>
              <w:left w:val="nil"/>
              <w:bottom w:val="single" w:sz="4" w:space="0" w:color="auto"/>
              <w:right w:val="nil"/>
            </w:tcBorders>
            <w:shd w:val="clear" w:color="000000" w:fill="FFFFFF"/>
            <w:noWrap/>
            <w:hideMark/>
          </w:tcPr>
          <w:p w14:paraId="63616EB4"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Данъчни приходи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BE0C8B5"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25 409 470,0</w:t>
            </w:r>
          </w:p>
        </w:tc>
      </w:tr>
      <w:tr w:rsidR="00761800" w:rsidRPr="00761800" w14:paraId="568BC04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3FB35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1.1.</w:t>
            </w:r>
          </w:p>
        </w:tc>
        <w:tc>
          <w:tcPr>
            <w:tcW w:w="11062" w:type="dxa"/>
            <w:tcBorders>
              <w:top w:val="nil"/>
              <w:left w:val="nil"/>
              <w:bottom w:val="single" w:sz="4" w:space="0" w:color="auto"/>
              <w:right w:val="nil"/>
            </w:tcBorders>
            <w:shd w:val="clear" w:color="000000" w:fill="FFFFFF"/>
            <w:noWrap/>
            <w:hideMark/>
          </w:tcPr>
          <w:p w14:paraId="5752105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Корпоративен данък</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24971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3 418 730,0</w:t>
            </w:r>
          </w:p>
        </w:tc>
      </w:tr>
      <w:tr w:rsidR="00761800" w:rsidRPr="00761800" w14:paraId="0A930398" w14:textId="77777777" w:rsidTr="00406B4D">
        <w:trPr>
          <w:trHeight w:val="300"/>
        </w:trPr>
        <w:tc>
          <w:tcPr>
            <w:tcW w:w="1013" w:type="dxa"/>
            <w:tcBorders>
              <w:top w:val="nil"/>
              <w:left w:val="single" w:sz="4" w:space="0" w:color="auto"/>
              <w:bottom w:val="nil"/>
              <w:right w:val="single" w:sz="4" w:space="0" w:color="auto"/>
            </w:tcBorders>
            <w:shd w:val="clear" w:color="000000" w:fill="FFFFFF"/>
            <w:noWrap/>
            <w:hideMark/>
          </w:tcPr>
          <w:p w14:paraId="4A5C5D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1.2.</w:t>
            </w:r>
          </w:p>
        </w:tc>
        <w:tc>
          <w:tcPr>
            <w:tcW w:w="11062" w:type="dxa"/>
            <w:tcBorders>
              <w:top w:val="nil"/>
              <w:left w:val="nil"/>
              <w:bottom w:val="single" w:sz="4" w:space="0" w:color="auto"/>
              <w:right w:val="nil"/>
            </w:tcBorders>
            <w:shd w:val="clear" w:color="000000" w:fill="FFFFFF"/>
            <w:noWrap/>
            <w:hideMark/>
          </w:tcPr>
          <w:p w14:paraId="548C40C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Данъци върху дивидентите, ликвидационните дялове и доходите на юридически лица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39E4A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79 730,0</w:t>
            </w:r>
          </w:p>
        </w:tc>
      </w:tr>
      <w:tr w:rsidR="00761800" w:rsidRPr="00761800" w14:paraId="26CCCAF9" w14:textId="77777777" w:rsidTr="00406B4D">
        <w:trPr>
          <w:trHeight w:val="300"/>
        </w:trPr>
        <w:tc>
          <w:tcPr>
            <w:tcW w:w="1013" w:type="dxa"/>
            <w:tcBorders>
              <w:top w:val="single" w:sz="4" w:space="0" w:color="auto"/>
              <w:left w:val="single" w:sz="4" w:space="0" w:color="auto"/>
              <w:bottom w:val="single" w:sz="4" w:space="0" w:color="auto"/>
              <w:right w:val="single" w:sz="4" w:space="0" w:color="auto"/>
            </w:tcBorders>
            <w:shd w:val="clear" w:color="000000" w:fill="FFFFFF"/>
            <w:noWrap/>
            <w:hideMark/>
          </w:tcPr>
          <w:p w14:paraId="44FD94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1.3.</w:t>
            </w:r>
          </w:p>
        </w:tc>
        <w:tc>
          <w:tcPr>
            <w:tcW w:w="11062" w:type="dxa"/>
            <w:tcBorders>
              <w:top w:val="nil"/>
              <w:left w:val="nil"/>
              <w:bottom w:val="single" w:sz="4" w:space="0" w:color="auto"/>
              <w:right w:val="nil"/>
            </w:tcBorders>
            <w:shd w:val="clear" w:color="000000" w:fill="FFFFFF"/>
            <w:noWrap/>
            <w:hideMark/>
          </w:tcPr>
          <w:p w14:paraId="4F2CE6F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Данъци върху доходите на физически лица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8A46B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4 752 000,0</w:t>
            </w:r>
          </w:p>
        </w:tc>
      </w:tr>
      <w:tr w:rsidR="00761800" w:rsidRPr="00761800" w14:paraId="15C80665"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99379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1.4.</w:t>
            </w:r>
          </w:p>
        </w:tc>
        <w:tc>
          <w:tcPr>
            <w:tcW w:w="11062" w:type="dxa"/>
            <w:tcBorders>
              <w:top w:val="nil"/>
              <w:left w:val="nil"/>
              <w:bottom w:val="single" w:sz="4" w:space="0" w:color="auto"/>
              <w:right w:val="nil"/>
            </w:tcBorders>
            <w:shd w:val="clear" w:color="000000" w:fill="FFFFFF"/>
            <w:noWrap/>
            <w:hideMark/>
          </w:tcPr>
          <w:p w14:paraId="49AB719D"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Данък върху добавената стойност</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13267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12 803 830,0</w:t>
            </w:r>
          </w:p>
        </w:tc>
      </w:tr>
      <w:tr w:rsidR="00761800" w:rsidRPr="00761800" w14:paraId="000744DE"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5AA1A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1.5.</w:t>
            </w:r>
          </w:p>
        </w:tc>
        <w:tc>
          <w:tcPr>
            <w:tcW w:w="11062" w:type="dxa"/>
            <w:tcBorders>
              <w:top w:val="nil"/>
              <w:left w:val="nil"/>
              <w:bottom w:val="single" w:sz="4" w:space="0" w:color="auto"/>
              <w:right w:val="nil"/>
            </w:tcBorders>
            <w:shd w:val="clear" w:color="000000" w:fill="FFFFFF"/>
            <w:noWrap/>
            <w:hideMark/>
          </w:tcPr>
          <w:p w14:paraId="59C750C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Акцизи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E71D5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3 963 500,0</w:t>
            </w:r>
          </w:p>
        </w:tc>
      </w:tr>
      <w:tr w:rsidR="00761800" w:rsidRPr="00761800" w14:paraId="12F63D8F"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1E9B6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1.6.</w:t>
            </w:r>
          </w:p>
        </w:tc>
        <w:tc>
          <w:tcPr>
            <w:tcW w:w="11062" w:type="dxa"/>
            <w:tcBorders>
              <w:top w:val="nil"/>
              <w:left w:val="nil"/>
              <w:bottom w:val="single" w:sz="4" w:space="0" w:color="auto"/>
              <w:right w:val="nil"/>
            </w:tcBorders>
            <w:shd w:val="clear" w:color="000000" w:fill="FFFFFF"/>
            <w:noWrap/>
            <w:hideMark/>
          </w:tcPr>
          <w:p w14:paraId="6E1546E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Данък върху застрахователните премии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14F1C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43 400,0</w:t>
            </w:r>
          </w:p>
        </w:tc>
      </w:tr>
      <w:tr w:rsidR="00761800" w:rsidRPr="00761800" w14:paraId="603F7F7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BA453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1.7.</w:t>
            </w:r>
          </w:p>
        </w:tc>
        <w:tc>
          <w:tcPr>
            <w:tcW w:w="11062" w:type="dxa"/>
            <w:tcBorders>
              <w:top w:val="nil"/>
              <w:left w:val="nil"/>
              <w:bottom w:val="single" w:sz="4" w:space="0" w:color="auto"/>
              <w:right w:val="nil"/>
            </w:tcBorders>
            <w:shd w:val="clear" w:color="000000" w:fill="FFFFFF"/>
            <w:noWrap/>
            <w:hideMark/>
          </w:tcPr>
          <w:p w14:paraId="3A185A2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Мита и митнически такси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346DA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220 000,0</w:t>
            </w:r>
          </w:p>
        </w:tc>
      </w:tr>
      <w:tr w:rsidR="00761800" w:rsidRPr="00761800" w14:paraId="7B0ED33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F095AD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1.8.</w:t>
            </w:r>
          </w:p>
        </w:tc>
        <w:tc>
          <w:tcPr>
            <w:tcW w:w="11062" w:type="dxa"/>
            <w:tcBorders>
              <w:top w:val="nil"/>
              <w:left w:val="nil"/>
              <w:bottom w:val="single" w:sz="4" w:space="0" w:color="auto"/>
              <w:right w:val="nil"/>
            </w:tcBorders>
            <w:shd w:val="clear" w:color="000000" w:fill="FFFFFF"/>
            <w:noWrap/>
            <w:hideMark/>
          </w:tcPr>
          <w:p w14:paraId="24EF7BF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данъци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273AF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128 280,0</w:t>
            </w:r>
          </w:p>
        </w:tc>
      </w:tr>
      <w:tr w:rsidR="00761800" w:rsidRPr="00761800" w14:paraId="70D30A06"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2C9FB37"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2.</w:t>
            </w:r>
          </w:p>
        </w:tc>
        <w:tc>
          <w:tcPr>
            <w:tcW w:w="11062" w:type="dxa"/>
            <w:tcBorders>
              <w:top w:val="nil"/>
              <w:left w:val="nil"/>
              <w:bottom w:val="single" w:sz="4" w:space="0" w:color="auto"/>
              <w:right w:val="nil"/>
            </w:tcBorders>
            <w:shd w:val="clear" w:color="000000" w:fill="FFFFFF"/>
            <w:noWrap/>
            <w:hideMark/>
          </w:tcPr>
          <w:p w14:paraId="19B727CD"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Неданъчни приходи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27EAD82"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3 051 121,5</w:t>
            </w:r>
          </w:p>
        </w:tc>
      </w:tr>
      <w:tr w:rsidR="00761800" w:rsidRPr="00761800" w14:paraId="10FA62D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B34720D"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3.</w:t>
            </w:r>
          </w:p>
        </w:tc>
        <w:tc>
          <w:tcPr>
            <w:tcW w:w="11062" w:type="dxa"/>
            <w:tcBorders>
              <w:top w:val="nil"/>
              <w:left w:val="nil"/>
              <w:bottom w:val="single" w:sz="4" w:space="0" w:color="auto"/>
              <w:right w:val="nil"/>
            </w:tcBorders>
            <w:shd w:val="clear" w:color="000000" w:fill="FFFFFF"/>
            <w:noWrap/>
            <w:hideMark/>
          </w:tcPr>
          <w:p w14:paraId="56084FE3"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Помощи и дарения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7ED985A"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255,6</w:t>
            </w:r>
          </w:p>
        </w:tc>
      </w:tr>
      <w:tr w:rsidR="00761800" w:rsidRPr="00761800" w14:paraId="2197132A" w14:textId="77777777" w:rsidTr="00406B4D">
        <w:trPr>
          <w:trHeight w:val="300"/>
        </w:trPr>
        <w:tc>
          <w:tcPr>
            <w:tcW w:w="1013" w:type="dxa"/>
            <w:tcBorders>
              <w:top w:val="nil"/>
              <w:left w:val="nil"/>
              <w:bottom w:val="nil"/>
              <w:right w:val="nil"/>
            </w:tcBorders>
            <w:shd w:val="clear" w:color="000000" w:fill="FFFFFF"/>
            <w:noWrap/>
            <w:vAlign w:val="bottom"/>
            <w:hideMark/>
          </w:tcPr>
          <w:p w14:paraId="70AF1A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08A575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nil"/>
              <w:bottom w:val="nil"/>
              <w:right w:val="nil"/>
            </w:tcBorders>
            <w:shd w:val="clear" w:color="000000" w:fill="FFFFFF"/>
            <w:noWrap/>
            <w:vAlign w:val="bottom"/>
            <w:hideMark/>
          </w:tcPr>
          <w:p w14:paraId="4E8D66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B9E49FB" w14:textId="77777777" w:rsidTr="00406B4D">
        <w:trPr>
          <w:trHeight w:val="585"/>
        </w:trPr>
        <w:tc>
          <w:tcPr>
            <w:tcW w:w="14253" w:type="dxa"/>
            <w:gridSpan w:val="3"/>
            <w:tcBorders>
              <w:top w:val="nil"/>
              <w:left w:val="nil"/>
              <w:bottom w:val="single" w:sz="4" w:space="0" w:color="auto"/>
              <w:right w:val="nil"/>
            </w:tcBorders>
            <w:shd w:val="clear" w:color="000000" w:fill="FFFFFF"/>
            <w:noWrap/>
            <w:vAlign w:val="bottom"/>
            <w:hideMark/>
          </w:tcPr>
          <w:p w14:paraId="3BC6FB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Приема държавния бюджет за 2026 г. по разходите, бюджетните взаимоотношения и вноската в общия бюджет на Европейския съюз, както следва:</w:t>
            </w:r>
          </w:p>
        </w:tc>
      </w:tr>
      <w:tr w:rsidR="00761800" w:rsidRPr="00761800" w14:paraId="093B734C"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89063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C0324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000000" w:fill="FFFFFF"/>
            <w:noWrap/>
            <w:vAlign w:val="bottom"/>
            <w:hideMark/>
          </w:tcPr>
          <w:p w14:paraId="11551CB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E469185"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48C2E3C8"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77A939D5"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000000" w:fill="FFFFFF"/>
            <w:noWrap/>
            <w:vAlign w:val="bottom"/>
            <w:hideMark/>
          </w:tcPr>
          <w:p w14:paraId="321C99D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4BD5CBC"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44948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center"/>
            <w:hideMark/>
          </w:tcPr>
          <w:p w14:paraId="4A71FE2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000000" w:fill="FFFFFF"/>
            <w:noWrap/>
            <w:vAlign w:val="center"/>
            <w:hideMark/>
          </w:tcPr>
          <w:p w14:paraId="122FF45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5B21850"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F9B7B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II.</w:t>
            </w:r>
          </w:p>
        </w:tc>
        <w:tc>
          <w:tcPr>
            <w:tcW w:w="11062" w:type="dxa"/>
            <w:tcBorders>
              <w:top w:val="nil"/>
              <w:left w:val="nil"/>
              <w:bottom w:val="single" w:sz="4" w:space="0" w:color="auto"/>
              <w:right w:val="nil"/>
            </w:tcBorders>
            <w:shd w:val="clear" w:color="000000" w:fill="FFFFFF"/>
            <w:noWrap/>
            <w:vAlign w:val="bottom"/>
            <w:hideMark/>
          </w:tcPr>
          <w:p w14:paraId="0AE949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РАЗХОДИ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2BD5D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17 600 574,1</w:t>
            </w:r>
          </w:p>
        </w:tc>
      </w:tr>
      <w:tr w:rsidR="00761800" w:rsidRPr="00761800" w14:paraId="11B5BD4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C5B82C4"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1.</w:t>
            </w:r>
          </w:p>
        </w:tc>
        <w:tc>
          <w:tcPr>
            <w:tcW w:w="11062" w:type="dxa"/>
            <w:tcBorders>
              <w:top w:val="nil"/>
              <w:left w:val="nil"/>
              <w:bottom w:val="single" w:sz="4" w:space="0" w:color="auto"/>
              <w:right w:val="nil"/>
            </w:tcBorders>
            <w:shd w:val="clear" w:color="000000" w:fill="FFFFFF"/>
            <w:noWrap/>
            <w:vAlign w:val="bottom"/>
            <w:hideMark/>
          </w:tcPr>
          <w:p w14:paraId="1DB45A8B"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Текущи разходи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B0248F6"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14 357 452,2</w:t>
            </w:r>
          </w:p>
        </w:tc>
      </w:tr>
      <w:tr w:rsidR="00761800" w:rsidRPr="00761800" w14:paraId="0120C1E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42AA0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725C8E0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3C113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623DDEC"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0BB00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1.1.</w:t>
            </w:r>
          </w:p>
        </w:tc>
        <w:tc>
          <w:tcPr>
            <w:tcW w:w="11062" w:type="dxa"/>
            <w:tcBorders>
              <w:top w:val="nil"/>
              <w:left w:val="nil"/>
              <w:bottom w:val="single" w:sz="4" w:space="0" w:color="auto"/>
              <w:right w:val="nil"/>
            </w:tcBorders>
            <w:shd w:val="clear" w:color="000000" w:fill="FFFFFF"/>
            <w:noWrap/>
            <w:vAlign w:val="bottom"/>
            <w:hideMark/>
          </w:tcPr>
          <w:p w14:paraId="0108485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5CC35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6 715 112,3</w:t>
            </w:r>
          </w:p>
        </w:tc>
      </w:tr>
      <w:tr w:rsidR="00761800" w:rsidRPr="00761800" w14:paraId="04A80A5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9058D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1.2.</w:t>
            </w:r>
          </w:p>
        </w:tc>
        <w:tc>
          <w:tcPr>
            <w:tcW w:w="11062" w:type="dxa"/>
            <w:tcBorders>
              <w:top w:val="nil"/>
              <w:left w:val="nil"/>
              <w:bottom w:val="single" w:sz="4" w:space="0" w:color="auto"/>
              <w:right w:val="nil"/>
            </w:tcBorders>
            <w:shd w:val="clear" w:color="auto" w:fill="auto"/>
            <w:noWrap/>
            <w:vAlign w:val="bottom"/>
            <w:hideMark/>
          </w:tcPr>
          <w:p w14:paraId="451F222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66F3D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1 127 159,0</w:t>
            </w:r>
          </w:p>
        </w:tc>
      </w:tr>
      <w:tr w:rsidR="00761800" w:rsidRPr="00761800" w14:paraId="1467A5D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DA254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1.2.1.</w:t>
            </w:r>
          </w:p>
        </w:tc>
        <w:tc>
          <w:tcPr>
            <w:tcW w:w="11062" w:type="dxa"/>
            <w:tcBorders>
              <w:top w:val="nil"/>
              <w:left w:val="nil"/>
              <w:bottom w:val="single" w:sz="4" w:space="0" w:color="auto"/>
              <w:right w:val="nil"/>
            </w:tcBorders>
            <w:shd w:val="clear" w:color="000000" w:fill="FFFFFF"/>
            <w:noWrap/>
            <w:hideMark/>
          </w:tcPr>
          <w:p w14:paraId="177E338A"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F8BE1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1 012 833,4</w:t>
            </w:r>
          </w:p>
        </w:tc>
      </w:tr>
      <w:tr w:rsidR="00761800" w:rsidRPr="00761800" w14:paraId="1B2F9AC1"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7528B1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1.2.2.</w:t>
            </w:r>
          </w:p>
        </w:tc>
        <w:tc>
          <w:tcPr>
            <w:tcW w:w="11062" w:type="dxa"/>
            <w:tcBorders>
              <w:top w:val="nil"/>
              <w:left w:val="nil"/>
              <w:bottom w:val="single" w:sz="4" w:space="0" w:color="auto"/>
              <w:right w:val="nil"/>
            </w:tcBorders>
            <w:shd w:val="clear" w:color="000000" w:fill="FFFFFF"/>
            <w:noWrap/>
            <w:vAlign w:val="bottom"/>
            <w:hideMark/>
          </w:tcPr>
          <w:p w14:paraId="64AEC499"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FB91A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112 699,0</w:t>
            </w:r>
          </w:p>
        </w:tc>
      </w:tr>
      <w:tr w:rsidR="00761800" w:rsidRPr="00761800" w14:paraId="1FD5728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C50B1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1.2.3.</w:t>
            </w:r>
          </w:p>
        </w:tc>
        <w:tc>
          <w:tcPr>
            <w:tcW w:w="11062" w:type="dxa"/>
            <w:tcBorders>
              <w:top w:val="nil"/>
              <w:left w:val="nil"/>
              <w:bottom w:val="single" w:sz="4" w:space="0" w:color="auto"/>
              <w:right w:val="nil"/>
            </w:tcBorders>
            <w:shd w:val="clear" w:color="000000" w:fill="FFFFFF"/>
            <w:noWrap/>
            <w:vAlign w:val="bottom"/>
            <w:hideMark/>
          </w:tcPr>
          <w:p w14:paraId="0EBF480D"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финансови институции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B3BCA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1 626,6</w:t>
            </w:r>
          </w:p>
        </w:tc>
      </w:tr>
      <w:tr w:rsidR="00761800" w:rsidRPr="00761800" w14:paraId="7D3E7FC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A97D5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1.3.</w:t>
            </w:r>
          </w:p>
        </w:tc>
        <w:tc>
          <w:tcPr>
            <w:tcW w:w="11062" w:type="dxa"/>
            <w:tcBorders>
              <w:top w:val="nil"/>
              <w:left w:val="nil"/>
              <w:bottom w:val="single" w:sz="4" w:space="0" w:color="auto"/>
              <w:right w:val="nil"/>
            </w:tcBorders>
            <w:shd w:val="clear" w:color="000000" w:fill="FFFFFF"/>
            <w:noWrap/>
            <w:vAlign w:val="bottom"/>
            <w:hideMark/>
          </w:tcPr>
          <w:p w14:paraId="0DDDC0A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Лихви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F34F2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1 030 666,2</w:t>
            </w:r>
          </w:p>
        </w:tc>
      </w:tr>
      <w:tr w:rsidR="00761800" w:rsidRPr="00761800" w14:paraId="3D1F284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1B9D3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1.4.</w:t>
            </w:r>
          </w:p>
        </w:tc>
        <w:tc>
          <w:tcPr>
            <w:tcW w:w="11062" w:type="dxa"/>
            <w:tcBorders>
              <w:top w:val="nil"/>
              <w:left w:val="nil"/>
              <w:bottom w:val="single" w:sz="4" w:space="0" w:color="auto"/>
              <w:right w:val="nil"/>
            </w:tcBorders>
            <w:shd w:val="clear" w:color="000000" w:fill="FFFFFF"/>
            <w:noWrap/>
            <w:vAlign w:val="bottom"/>
            <w:hideMark/>
          </w:tcPr>
          <w:p w14:paraId="30F9BB5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Текущи трансфери, обезщетения и помощи за домакинствата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7957E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2 009 293,3</w:t>
            </w:r>
          </w:p>
        </w:tc>
      </w:tr>
      <w:tr w:rsidR="00761800" w:rsidRPr="00761800" w14:paraId="68389F0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F593D87"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2.</w:t>
            </w:r>
          </w:p>
        </w:tc>
        <w:tc>
          <w:tcPr>
            <w:tcW w:w="11062" w:type="dxa"/>
            <w:tcBorders>
              <w:top w:val="nil"/>
              <w:left w:val="nil"/>
              <w:bottom w:val="single" w:sz="4" w:space="0" w:color="auto"/>
              <w:right w:val="nil"/>
            </w:tcBorders>
            <w:shd w:val="clear" w:color="000000" w:fill="FFFFFF"/>
            <w:noWrap/>
            <w:vAlign w:val="bottom"/>
            <w:hideMark/>
          </w:tcPr>
          <w:p w14:paraId="4D9A490C"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Капиталови разходи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2F12581"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3 114 253,0</w:t>
            </w:r>
          </w:p>
        </w:tc>
      </w:tr>
      <w:tr w:rsidR="00761800" w:rsidRPr="00761800" w14:paraId="73A88A5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F39AF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2.1</w:t>
            </w:r>
          </w:p>
        </w:tc>
        <w:tc>
          <w:tcPr>
            <w:tcW w:w="11062" w:type="dxa"/>
            <w:tcBorders>
              <w:top w:val="nil"/>
              <w:left w:val="nil"/>
              <w:bottom w:val="single" w:sz="4" w:space="0" w:color="auto"/>
              <w:right w:val="nil"/>
            </w:tcBorders>
            <w:shd w:val="clear" w:color="000000" w:fill="FFFFFF"/>
            <w:noWrap/>
            <w:vAlign w:val="bottom"/>
            <w:hideMark/>
          </w:tcPr>
          <w:p w14:paraId="43041C3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FBA28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2 907 066,0</w:t>
            </w:r>
          </w:p>
        </w:tc>
      </w:tr>
      <w:tr w:rsidR="00761800" w:rsidRPr="00761800" w14:paraId="24FD6A5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3CFA4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2.2.</w:t>
            </w:r>
          </w:p>
        </w:tc>
        <w:tc>
          <w:tcPr>
            <w:tcW w:w="11062" w:type="dxa"/>
            <w:tcBorders>
              <w:top w:val="nil"/>
              <w:left w:val="nil"/>
              <w:bottom w:val="single" w:sz="4" w:space="0" w:color="auto"/>
              <w:right w:val="nil"/>
            </w:tcBorders>
            <w:shd w:val="clear" w:color="000000" w:fill="FFFFFF"/>
            <w:noWrap/>
            <w:vAlign w:val="bottom"/>
            <w:hideMark/>
          </w:tcPr>
          <w:p w14:paraId="6FE61F8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Капиталови трансфери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A539E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207 187,0</w:t>
            </w:r>
          </w:p>
        </w:tc>
      </w:tr>
      <w:tr w:rsidR="00761800" w:rsidRPr="00761800" w14:paraId="08877B6C"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8E54F7E"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3.</w:t>
            </w:r>
          </w:p>
        </w:tc>
        <w:tc>
          <w:tcPr>
            <w:tcW w:w="11062" w:type="dxa"/>
            <w:tcBorders>
              <w:top w:val="nil"/>
              <w:left w:val="nil"/>
              <w:bottom w:val="single" w:sz="4" w:space="0" w:color="auto"/>
              <w:right w:val="nil"/>
            </w:tcBorders>
            <w:shd w:val="clear" w:color="000000" w:fill="FFFFFF"/>
            <w:noWrap/>
            <w:vAlign w:val="bottom"/>
            <w:hideMark/>
          </w:tcPr>
          <w:p w14:paraId="00275DFC"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Прираст на държавния резерв (нето)</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14D2B6C"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47 490,7</w:t>
            </w:r>
          </w:p>
        </w:tc>
      </w:tr>
      <w:tr w:rsidR="00761800" w:rsidRPr="00761800" w14:paraId="6A10B2C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0968E06"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4.</w:t>
            </w:r>
          </w:p>
        </w:tc>
        <w:tc>
          <w:tcPr>
            <w:tcW w:w="11062" w:type="dxa"/>
            <w:tcBorders>
              <w:top w:val="nil"/>
              <w:left w:val="nil"/>
              <w:bottom w:val="single" w:sz="4" w:space="0" w:color="auto"/>
              <w:right w:val="nil"/>
            </w:tcBorders>
            <w:shd w:val="clear" w:color="000000" w:fill="FFFFFF"/>
            <w:noWrap/>
            <w:vAlign w:val="bottom"/>
            <w:hideMark/>
          </w:tcPr>
          <w:p w14:paraId="3AD36CA6"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Предоставени текущи и капиталови трансфери за чужбина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BFBE86E"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14 194,7</w:t>
            </w:r>
          </w:p>
        </w:tc>
      </w:tr>
      <w:tr w:rsidR="00761800" w:rsidRPr="00761800" w14:paraId="7F6E2D60"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DA76EF0"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5.</w:t>
            </w:r>
          </w:p>
        </w:tc>
        <w:tc>
          <w:tcPr>
            <w:tcW w:w="11062" w:type="dxa"/>
            <w:tcBorders>
              <w:top w:val="nil"/>
              <w:left w:val="nil"/>
              <w:bottom w:val="single" w:sz="4" w:space="0" w:color="auto"/>
              <w:right w:val="nil"/>
            </w:tcBorders>
            <w:shd w:val="clear" w:color="000000" w:fill="FFFFFF"/>
            <w:noWrap/>
            <w:vAlign w:val="bottom"/>
            <w:hideMark/>
          </w:tcPr>
          <w:p w14:paraId="3B579D38"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Резерв за непредвидени и/или неотложни разходи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B373161"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67 183,5</w:t>
            </w:r>
          </w:p>
        </w:tc>
      </w:tr>
      <w:tr w:rsidR="00761800" w:rsidRPr="00761800" w14:paraId="591025AC"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0CFC5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5.1.</w:t>
            </w:r>
          </w:p>
        </w:tc>
        <w:tc>
          <w:tcPr>
            <w:tcW w:w="11062" w:type="dxa"/>
            <w:tcBorders>
              <w:top w:val="nil"/>
              <w:left w:val="nil"/>
              <w:bottom w:val="single" w:sz="4" w:space="0" w:color="auto"/>
              <w:right w:val="nil"/>
            </w:tcBorders>
            <w:shd w:val="clear" w:color="000000" w:fill="FFFFFF"/>
            <w:noWrap/>
            <w:vAlign w:val="bottom"/>
            <w:hideMark/>
          </w:tcPr>
          <w:p w14:paraId="7DDC2CA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По централния бюджет за предотвратяване, овладяване и преодоляване на последиците от бедствия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2AA44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66 467,9</w:t>
            </w:r>
          </w:p>
        </w:tc>
      </w:tr>
      <w:tr w:rsidR="00761800" w:rsidRPr="00761800" w14:paraId="02A7BBC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B821F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5.2.</w:t>
            </w:r>
          </w:p>
        </w:tc>
        <w:tc>
          <w:tcPr>
            <w:tcW w:w="11062" w:type="dxa"/>
            <w:tcBorders>
              <w:top w:val="nil"/>
              <w:left w:val="nil"/>
              <w:bottom w:val="single" w:sz="4" w:space="0" w:color="auto"/>
              <w:right w:val="nil"/>
            </w:tcBorders>
            <w:shd w:val="clear" w:color="000000" w:fill="FFFFFF"/>
            <w:noWrap/>
            <w:vAlign w:val="bottom"/>
            <w:hideMark/>
          </w:tcPr>
          <w:p w14:paraId="29ED8E2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По бюджета на съдебната власт</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97398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460,0</w:t>
            </w:r>
          </w:p>
        </w:tc>
      </w:tr>
      <w:tr w:rsidR="00761800" w:rsidRPr="00761800" w14:paraId="39009AB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7DAFB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5.3.</w:t>
            </w:r>
          </w:p>
        </w:tc>
        <w:tc>
          <w:tcPr>
            <w:tcW w:w="11062" w:type="dxa"/>
            <w:tcBorders>
              <w:top w:val="nil"/>
              <w:left w:val="nil"/>
              <w:bottom w:val="single" w:sz="4" w:space="0" w:color="auto"/>
              <w:right w:val="nil"/>
            </w:tcBorders>
            <w:shd w:val="clear" w:color="000000" w:fill="FFFFFF"/>
            <w:noWrap/>
            <w:vAlign w:val="bottom"/>
            <w:hideMark/>
          </w:tcPr>
          <w:p w14:paraId="26E50D0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По бюджета на Народното събрание</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C30D8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255,6</w:t>
            </w:r>
          </w:p>
        </w:tc>
      </w:tr>
      <w:tr w:rsidR="00761800" w:rsidRPr="00761800" w14:paraId="5D306A7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73CBC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20124F9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98422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ABEED0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5719F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III.</w:t>
            </w:r>
          </w:p>
        </w:tc>
        <w:tc>
          <w:tcPr>
            <w:tcW w:w="11062" w:type="dxa"/>
            <w:tcBorders>
              <w:top w:val="nil"/>
              <w:left w:val="nil"/>
              <w:bottom w:val="single" w:sz="4" w:space="0" w:color="auto"/>
              <w:right w:val="nil"/>
            </w:tcBorders>
            <w:shd w:val="clear" w:color="000000" w:fill="FFFFFF"/>
            <w:noWrap/>
            <w:vAlign w:val="bottom"/>
            <w:hideMark/>
          </w:tcPr>
          <w:p w14:paraId="131291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НЕТО</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A708C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16 897 918,8</w:t>
            </w:r>
          </w:p>
        </w:tc>
      </w:tr>
      <w:tr w:rsidR="00761800" w:rsidRPr="00761800" w14:paraId="37FD781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998B681"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1.</w:t>
            </w:r>
          </w:p>
        </w:tc>
        <w:tc>
          <w:tcPr>
            <w:tcW w:w="11062" w:type="dxa"/>
            <w:tcBorders>
              <w:top w:val="nil"/>
              <w:left w:val="nil"/>
              <w:bottom w:val="single" w:sz="4" w:space="0" w:color="auto"/>
              <w:right w:val="nil"/>
            </w:tcBorders>
            <w:shd w:val="clear" w:color="000000" w:fill="FFFFFF"/>
            <w:noWrap/>
            <w:vAlign w:val="bottom"/>
            <w:hideMark/>
          </w:tcPr>
          <w:p w14:paraId="229E6834"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за: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210579A"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16 904 770,2</w:t>
            </w:r>
          </w:p>
        </w:tc>
      </w:tr>
      <w:tr w:rsidR="00761800" w:rsidRPr="00761800" w14:paraId="67DE3E8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1F455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65821A1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B2F12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BDC35E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410EAF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000000" w:fill="FFFFFF"/>
            <w:noWrap/>
            <w:vAlign w:val="bottom"/>
            <w:hideMark/>
          </w:tcPr>
          <w:p w14:paraId="2812516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Общините</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1CACB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4 927 964,0</w:t>
            </w:r>
          </w:p>
        </w:tc>
      </w:tr>
      <w:tr w:rsidR="00761800" w:rsidRPr="00761800" w14:paraId="5D67987F"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A0D58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000000" w:fill="FFFFFF"/>
            <w:noWrap/>
            <w:vAlign w:val="bottom"/>
            <w:hideMark/>
          </w:tcPr>
          <w:p w14:paraId="3D14A7E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Държавното обществено осигуряване</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C7A5D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6 744 937,1</w:t>
            </w:r>
          </w:p>
        </w:tc>
      </w:tr>
      <w:tr w:rsidR="00761800" w:rsidRPr="00761800" w14:paraId="57CA072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A522F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000000" w:fill="FFFFFF"/>
            <w:noWrap/>
            <w:vAlign w:val="bottom"/>
            <w:hideMark/>
          </w:tcPr>
          <w:p w14:paraId="6DEBB8C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Националната здравноосигурителна каса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71BFD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2 052 233,7</w:t>
            </w:r>
          </w:p>
        </w:tc>
      </w:tr>
      <w:tr w:rsidR="00761800" w:rsidRPr="00761800" w14:paraId="3BB8026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C80E6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78163CC4"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8262D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CABB8A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D4085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1.3.1.</w:t>
            </w:r>
          </w:p>
        </w:tc>
        <w:tc>
          <w:tcPr>
            <w:tcW w:w="11062" w:type="dxa"/>
            <w:tcBorders>
              <w:top w:val="nil"/>
              <w:left w:val="nil"/>
              <w:bottom w:val="single" w:sz="4" w:space="0" w:color="auto"/>
              <w:right w:val="nil"/>
            </w:tcBorders>
            <w:shd w:val="clear" w:color="000000" w:fill="FFFFFF"/>
            <w:noWrap/>
            <w:vAlign w:val="bottom"/>
            <w:hideMark/>
          </w:tcPr>
          <w:p w14:paraId="4F5DC503"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 xml:space="preserve"> - от Министерството на здравеопазването</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B5BD2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101 490,7</w:t>
            </w:r>
          </w:p>
        </w:tc>
      </w:tr>
      <w:tr w:rsidR="00761800" w:rsidRPr="00761800" w14:paraId="56628F40"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2D80D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000000" w:fill="FFFFFF"/>
            <w:noWrap/>
            <w:hideMark/>
          </w:tcPr>
          <w:p w14:paraId="058132C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Сметката за средствата от Европейския съюз на Националния фонд</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885F7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1 538 258,1</w:t>
            </w:r>
          </w:p>
        </w:tc>
      </w:tr>
      <w:tr w:rsidR="00761800" w:rsidRPr="00761800" w14:paraId="1EFCE66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E1E5D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1.5.</w:t>
            </w:r>
          </w:p>
        </w:tc>
        <w:tc>
          <w:tcPr>
            <w:tcW w:w="11062" w:type="dxa"/>
            <w:tcBorders>
              <w:top w:val="nil"/>
              <w:left w:val="nil"/>
              <w:bottom w:val="single" w:sz="4" w:space="0" w:color="auto"/>
              <w:right w:val="nil"/>
            </w:tcBorders>
            <w:shd w:val="clear" w:color="000000" w:fill="FFFFFF"/>
            <w:noWrap/>
            <w:hideMark/>
          </w:tcPr>
          <w:p w14:paraId="0DF8834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Сметката за средствата от Европейския съюз на Държавния фонд „Земеделие“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1D121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482 749,6</w:t>
            </w:r>
          </w:p>
        </w:tc>
      </w:tr>
      <w:tr w:rsidR="00761800" w:rsidRPr="00761800" w14:paraId="6B7DB7F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72015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54E0C570"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E0331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7BD2D1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108067A"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2.</w:t>
            </w:r>
          </w:p>
        </w:tc>
        <w:tc>
          <w:tcPr>
            <w:tcW w:w="11062" w:type="dxa"/>
            <w:tcBorders>
              <w:top w:val="nil"/>
              <w:left w:val="nil"/>
              <w:bottom w:val="single" w:sz="4" w:space="0" w:color="auto"/>
              <w:right w:val="nil"/>
            </w:tcBorders>
            <w:shd w:val="clear" w:color="000000" w:fill="FFFFFF"/>
            <w:noWrap/>
            <w:hideMark/>
          </w:tcPr>
          <w:p w14:paraId="3BED5E8C"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Получени трансфери от:</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C50EDBD"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6 851,4</w:t>
            </w:r>
          </w:p>
        </w:tc>
      </w:tr>
      <w:tr w:rsidR="00761800" w:rsidRPr="00761800" w14:paraId="77FE4A0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F76FB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hideMark/>
          </w:tcPr>
          <w:p w14:paraId="7294C6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07D74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BBC3A3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16BD8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000000" w:fill="FFFFFF"/>
            <w:noWrap/>
            <w:hideMark/>
          </w:tcPr>
          <w:p w14:paraId="5166F35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Държавното обществено осигуряване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5918C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3 783,6</w:t>
            </w:r>
          </w:p>
        </w:tc>
      </w:tr>
      <w:tr w:rsidR="00761800" w:rsidRPr="00761800" w14:paraId="018C089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F1271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2.1.1.</w:t>
            </w:r>
          </w:p>
        </w:tc>
        <w:tc>
          <w:tcPr>
            <w:tcW w:w="11062" w:type="dxa"/>
            <w:tcBorders>
              <w:top w:val="nil"/>
              <w:left w:val="nil"/>
              <w:bottom w:val="single" w:sz="4" w:space="0" w:color="auto"/>
              <w:right w:val="nil"/>
            </w:tcBorders>
            <w:shd w:val="clear" w:color="000000" w:fill="FFFFFF"/>
            <w:noWrap/>
            <w:hideMark/>
          </w:tcPr>
          <w:p w14:paraId="71973366"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 за Министерството на труда и социалната политика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09BBC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2 045,2</w:t>
            </w:r>
          </w:p>
        </w:tc>
      </w:tr>
      <w:tr w:rsidR="00761800" w:rsidRPr="00761800" w14:paraId="34F326F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43245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2.1.2.</w:t>
            </w:r>
          </w:p>
        </w:tc>
        <w:tc>
          <w:tcPr>
            <w:tcW w:w="11062" w:type="dxa"/>
            <w:tcBorders>
              <w:top w:val="nil"/>
              <w:left w:val="nil"/>
              <w:bottom w:val="single" w:sz="4" w:space="0" w:color="auto"/>
              <w:right w:val="nil"/>
            </w:tcBorders>
            <w:shd w:val="clear" w:color="000000" w:fill="FFFFFF"/>
            <w:noWrap/>
            <w:hideMark/>
          </w:tcPr>
          <w:p w14:paraId="47AE6A21"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 xml:space="preserve">- за Министерството на транспорта и съобщенията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92A40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127,8</w:t>
            </w:r>
          </w:p>
        </w:tc>
      </w:tr>
      <w:tr w:rsidR="00761800" w:rsidRPr="00761800" w14:paraId="3CDEA71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F2AB8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2.1.3.</w:t>
            </w:r>
          </w:p>
        </w:tc>
        <w:tc>
          <w:tcPr>
            <w:tcW w:w="11062" w:type="dxa"/>
            <w:tcBorders>
              <w:top w:val="nil"/>
              <w:left w:val="nil"/>
              <w:bottom w:val="single" w:sz="4" w:space="0" w:color="auto"/>
              <w:right w:val="nil"/>
            </w:tcBorders>
            <w:shd w:val="clear" w:color="000000" w:fill="FFFFFF"/>
            <w:noWrap/>
            <w:hideMark/>
          </w:tcPr>
          <w:p w14:paraId="54E1FC3E"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 за Министерството на здравеопазването</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C96B6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1 610,6</w:t>
            </w:r>
          </w:p>
        </w:tc>
      </w:tr>
      <w:tr w:rsidR="00761800" w:rsidRPr="00761800" w14:paraId="0125100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4BDC6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3F6D256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93FD6E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7B0F81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5E48C6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IV.</w:t>
            </w:r>
          </w:p>
        </w:tc>
        <w:tc>
          <w:tcPr>
            <w:tcW w:w="11062" w:type="dxa"/>
            <w:tcBorders>
              <w:top w:val="nil"/>
              <w:left w:val="nil"/>
              <w:bottom w:val="single" w:sz="4" w:space="0" w:color="auto"/>
              <w:right w:val="nil"/>
            </w:tcBorders>
            <w:shd w:val="clear" w:color="000000" w:fill="FFFFFF"/>
            <w:noWrap/>
            <w:vAlign w:val="bottom"/>
            <w:hideMark/>
          </w:tcPr>
          <w:p w14:paraId="2BEBE7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ВНОСКА В ОБЩИЯ БЮДЖЕТ НА ЕВРОПЕЙСКИЯ СЪЮЗ</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42482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1 282 158,2</w:t>
            </w:r>
          </w:p>
        </w:tc>
      </w:tr>
      <w:tr w:rsidR="00761800" w:rsidRPr="00761800" w14:paraId="5560E31A" w14:textId="77777777" w:rsidTr="00406B4D">
        <w:trPr>
          <w:trHeight w:val="300"/>
        </w:trPr>
        <w:tc>
          <w:tcPr>
            <w:tcW w:w="1013" w:type="dxa"/>
            <w:tcBorders>
              <w:top w:val="nil"/>
              <w:left w:val="nil"/>
              <w:bottom w:val="nil"/>
              <w:right w:val="nil"/>
            </w:tcBorders>
            <w:shd w:val="clear" w:color="000000" w:fill="FFFFFF"/>
            <w:noWrap/>
            <w:vAlign w:val="bottom"/>
            <w:hideMark/>
          </w:tcPr>
          <w:p w14:paraId="3B2B11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7E52886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nil"/>
              <w:bottom w:val="nil"/>
              <w:right w:val="nil"/>
            </w:tcBorders>
            <w:shd w:val="clear" w:color="000000" w:fill="FFFFFF"/>
            <w:noWrap/>
            <w:vAlign w:val="bottom"/>
            <w:hideMark/>
          </w:tcPr>
          <w:p w14:paraId="3F4857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BB46EBB" w14:textId="77777777" w:rsidTr="00406B4D">
        <w:trPr>
          <w:trHeight w:val="300"/>
        </w:trPr>
        <w:tc>
          <w:tcPr>
            <w:tcW w:w="14253" w:type="dxa"/>
            <w:gridSpan w:val="3"/>
            <w:tcBorders>
              <w:top w:val="nil"/>
              <w:left w:val="nil"/>
              <w:bottom w:val="single" w:sz="4" w:space="0" w:color="auto"/>
              <w:right w:val="nil"/>
            </w:tcBorders>
            <w:shd w:val="clear" w:color="000000" w:fill="FFFFFF"/>
            <w:noWrap/>
            <w:vAlign w:val="bottom"/>
            <w:hideMark/>
          </w:tcPr>
          <w:p w14:paraId="00F5406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бюджетното салдо по държавния бюджет за 2026 г., както следва:</w:t>
            </w:r>
          </w:p>
        </w:tc>
      </w:tr>
      <w:tr w:rsidR="00761800" w:rsidRPr="00761800" w14:paraId="58DD643A"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08E86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C9A9D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000000" w:fill="FFFFFF"/>
            <w:noWrap/>
            <w:vAlign w:val="bottom"/>
            <w:hideMark/>
          </w:tcPr>
          <w:p w14:paraId="57865E5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347DA36"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405AE940"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7AB31077"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000000" w:fill="FFFFFF"/>
            <w:noWrap/>
            <w:vAlign w:val="bottom"/>
            <w:hideMark/>
          </w:tcPr>
          <w:p w14:paraId="428BABB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234E49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vAlign w:val="center"/>
            <w:hideMark/>
          </w:tcPr>
          <w:p w14:paraId="768B02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center"/>
            <w:hideMark/>
          </w:tcPr>
          <w:p w14:paraId="4DF3E9B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000000" w:fill="FFFFFF"/>
            <w:noWrap/>
            <w:vAlign w:val="center"/>
            <w:hideMark/>
          </w:tcPr>
          <w:p w14:paraId="2159198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9F487B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231AC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V.</w:t>
            </w:r>
          </w:p>
        </w:tc>
        <w:tc>
          <w:tcPr>
            <w:tcW w:w="11062" w:type="dxa"/>
            <w:tcBorders>
              <w:top w:val="nil"/>
              <w:left w:val="nil"/>
              <w:bottom w:val="single" w:sz="4" w:space="0" w:color="auto"/>
              <w:right w:val="nil"/>
            </w:tcBorders>
            <w:shd w:val="clear" w:color="000000" w:fill="FFFFFF"/>
            <w:noWrap/>
            <w:vAlign w:val="bottom"/>
            <w:hideMark/>
          </w:tcPr>
          <w:p w14:paraId="76AFAC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(І-ІІ-ІІІ-IV)</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C7AB1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-7 319 804,0</w:t>
            </w:r>
          </w:p>
        </w:tc>
      </w:tr>
      <w:tr w:rsidR="00761800" w:rsidRPr="00761800" w14:paraId="4CD452FF" w14:textId="77777777" w:rsidTr="00406B4D">
        <w:trPr>
          <w:trHeight w:val="300"/>
        </w:trPr>
        <w:tc>
          <w:tcPr>
            <w:tcW w:w="1013" w:type="dxa"/>
            <w:tcBorders>
              <w:top w:val="nil"/>
              <w:left w:val="nil"/>
              <w:bottom w:val="nil"/>
              <w:right w:val="nil"/>
            </w:tcBorders>
            <w:shd w:val="clear" w:color="000000" w:fill="FFFFFF"/>
            <w:noWrap/>
            <w:vAlign w:val="bottom"/>
            <w:hideMark/>
          </w:tcPr>
          <w:p w14:paraId="55078C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1DAF01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nil"/>
              <w:bottom w:val="nil"/>
              <w:right w:val="nil"/>
            </w:tcBorders>
            <w:shd w:val="clear" w:color="000000" w:fill="FFFFFF"/>
            <w:noWrap/>
            <w:vAlign w:val="bottom"/>
            <w:hideMark/>
          </w:tcPr>
          <w:p w14:paraId="5DE8F3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15BB6BA" w14:textId="77777777" w:rsidTr="00406B4D">
        <w:trPr>
          <w:trHeight w:val="300"/>
        </w:trPr>
        <w:tc>
          <w:tcPr>
            <w:tcW w:w="14253" w:type="dxa"/>
            <w:gridSpan w:val="3"/>
            <w:tcBorders>
              <w:top w:val="nil"/>
              <w:left w:val="nil"/>
              <w:bottom w:val="single" w:sz="4" w:space="0" w:color="auto"/>
              <w:right w:val="nil"/>
            </w:tcBorders>
            <w:shd w:val="clear" w:color="000000" w:fill="FFFFFF"/>
            <w:noWrap/>
            <w:vAlign w:val="bottom"/>
            <w:hideMark/>
          </w:tcPr>
          <w:p w14:paraId="0880D44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(4) Утвърждава нето операциите в частта на финансирането на бюджетното салдо по държавния бюджет за 2026 г., както следва:                              </w:t>
            </w:r>
          </w:p>
        </w:tc>
      </w:tr>
      <w:tr w:rsidR="00761800" w:rsidRPr="00761800" w14:paraId="5CDC1EB7"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7DD3B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30CF2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000000" w:fill="FFFFFF"/>
            <w:noWrap/>
            <w:vAlign w:val="bottom"/>
            <w:hideMark/>
          </w:tcPr>
          <w:p w14:paraId="3F87EEA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F3C26CA"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3933158"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40D8AECC"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000000" w:fill="FFFFFF"/>
            <w:noWrap/>
            <w:vAlign w:val="bottom"/>
            <w:hideMark/>
          </w:tcPr>
          <w:p w14:paraId="53B699E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FCA5FF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vAlign w:val="center"/>
            <w:hideMark/>
          </w:tcPr>
          <w:p w14:paraId="61A8D95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center"/>
            <w:hideMark/>
          </w:tcPr>
          <w:p w14:paraId="25A7B7A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000000" w:fill="FFFFFF"/>
            <w:noWrap/>
            <w:vAlign w:val="center"/>
            <w:hideMark/>
          </w:tcPr>
          <w:p w14:paraId="2E3D469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4D30D3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1D0F8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VІ.</w:t>
            </w:r>
          </w:p>
        </w:tc>
        <w:tc>
          <w:tcPr>
            <w:tcW w:w="11062" w:type="dxa"/>
            <w:tcBorders>
              <w:top w:val="nil"/>
              <w:left w:val="nil"/>
              <w:bottom w:val="single" w:sz="4" w:space="0" w:color="auto"/>
              <w:right w:val="nil"/>
            </w:tcBorders>
            <w:shd w:val="clear" w:color="000000" w:fill="FFFFFF"/>
            <w:noWrap/>
            <w:vAlign w:val="bottom"/>
            <w:hideMark/>
          </w:tcPr>
          <w:p w14:paraId="18D82C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83859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7 319 804,0</w:t>
            </w:r>
          </w:p>
        </w:tc>
      </w:tr>
      <w:tr w:rsidR="00761800" w:rsidRPr="00761800" w14:paraId="141CDAD3" w14:textId="77777777" w:rsidTr="00406B4D">
        <w:trPr>
          <w:trHeight w:val="70"/>
        </w:trPr>
        <w:tc>
          <w:tcPr>
            <w:tcW w:w="1013" w:type="dxa"/>
            <w:tcBorders>
              <w:top w:val="nil"/>
              <w:left w:val="nil"/>
              <w:bottom w:val="nil"/>
              <w:right w:val="nil"/>
            </w:tcBorders>
            <w:shd w:val="clear" w:color="000000" w:fill="FFFFFF"/>
            <w:noWrap/>
            <w:vAlign w:val="bottom"/>
            <w:hideMark/>
          </w:tcPr>
          <w:p w14:paraId="0FAFCD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6662064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nil"/>
              <w:bottom w:val="nil"/>
              <w:right w:val="nil"/>
            </w:tcBorders>
            <w:shd w:val="clear" w:color="000000" w:fill="FFFFFF"/>
            <w:noWrap/>
            <w:vAlign w:val="bottom"/>
            <w:hideMark/>
          </w:tcPr>
          <w:p w14:paraId="599715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202CE91" w14:textId="77777777" w:rsidTr="00406B4D">
        <w:trPr>
          <w:trHeight w:val="80"/>
        </w:trPr>
        <w:tc>
          <w:tcPr>
            <w:tcW w:w="1013" w:type="dxa"/>
            <w:tcBorders>
              <w:top w:val="nil"/>
              <w:left w:val="nil"/>
              <w:bottom w:val="nil"/>
              <w:right w:val="nil"/>
            </w:tcBorders>
            <w:shd w:val="clear" w:color="000000" w:fill="FFFFFF"/>
            <w:hideMark/>
          </w:tcPr>
          <w:p w14:paraId="3203924A"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hideMark/>
          </w:tcPr>
          <w:p w14:paraId="4E0FFF38"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nil"/>
              <w:bottom w:val="nil"/>
              <w:right w:val="nil"/>
            </w:tcBorders>
            <w:shd w:val="clear" w:color="000000" w:fill="FFFFFF"/>
            <w:hideMark/>
          </w:tcPr>
          <w:p w14:paraId="56BED51E"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E15BD73" w14:textId="77777777" w:rsidTr="00406B4D">
        <w:trPr>
          <w:trHeight w:val="300"/>
        </w:trPr>
        <w:tc>
          <w:tcPr>
            <w:tcW w:w="1013" w:type="dxa"/>
            <w:tcBorders>
              <w:top w:val="nil"/>
              <w:left w:val="nil"/>
              <w:bottom w:val="nil"/>
              <w:right w:val="nil"/>
            </w:tcBorders>
            <w:shd w:val="clear" w:color="000000" w:fill="FFC000"/>
            <w:noWrap/>
            <w:vAlign w:val="bottom"/>
            <w:hideMark/>
          </w:tcPr>
          <w:p w14:paraId="70BB7560" w14:textId="77777777" w:rsidR="00761800" w:rsidRPr="00761800" w:rsidRDefault="00761800" w:rsidP="00761800">
            <w:pPr>
              <w:rPr>
                <w:rFonts w:ascii="Times New Roman" w:hAnsi="Times New Roman"/>
                <w:b/>
                <w:bCs/>
                <w:color w:val="800000"/>
                <w:sz w:val="22"/>
                <w:szCs w:val="22"/>
                <w:u w:val="single"/>
                <w:lang w:eastAsia="bg-BG"/>
              </w:rPr>
            </w:pPr>
          </w:p>
        </w:tc>
        <w:tc>
          <w:tcPr>
            <w:tcW w:w="11062" w:type="dxa"/>
            <w:tcBorders>
              <w:top w:val="nil"/>
              <w:left w:val="nil"/>
              <w:bottom w:val="nil"/>
              <w:right w:val="nil"/>
            </w:tcBorders>
            <w:shd w:val="clear" w:color="000000" w:fill="FFC000"/>
            <w:noWrap/>
            <w:vAlign w:val="bottom"/>
            <w:hideMark/>
          </w:tcPr>
          <w:p w14:paraId="6292E8DF" w14:textId="77777777" w:rsidR="00761800" w:rsidRPr="00761800" w:rsidRDefault="00761800" w:rsidP="00761800">
            <w:pPr>
              <w:jc w:val="center"/>
              <w:rPr>
                <w:rFonts w:ascii="Times New Roman" w:hAnsi="Times New Roman"/>
                <w:b/>
                <w:bCs/>
                <w:color w:val="800000"/>
                <w:sz w:val="22"/>
                <w:szCs w:val="22"/>
                <w:u w:val="single"/>
                <w:lang w:eastAsia="bg-BG"/>
              </w:rPr>
            </w:pPr>
            <w:r w:rsidRPr="00761800">
              <w:rPr>
                <w:rFonts w:ascii="Times New Roman" w:hAnsi="Times New Roman"/>
                <w:b/>
                <w:bCs/>
                <w:color w:val="800000"/>
                <w:sz w:val="22"/>
                <w:szCs w:val="22"/>
                <w:u w:val="single"/>
                <w:lang w:eastAsia="bg-BG"/>
              </w:rPr>
              <w:t>ПРОЕКТ НА ВИСШИЯ СЪДЕБЕН СЪВЕТ</w:t>
            </w:r>
          </w:p>
        </w:tc>
        <w:tc>
          <w:tcPr>
            <w:tcW w:w="2178" w:type="dxa"/>
            <w:tcBorders>
              <w:top w:val="nil"/>
              <w:left w:val="nil"/>
              <w:bottom w:val="nil"/>
              <w:right w:val="nil"/>
            </w:tcBorders>
            <w:shd w:val="clear" w:color="000000" w:fill="FFC000"/>
            <w:noWrap/>
            <w:vAlign w:val="bottom"/>
            <w:hideMark/>
          </w:tcPr>
          <w:p w14:paraId="38FC9CBC"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bl>
    <w:p w14:paraId="3311C6DC" w14:textId="77777777" w:rsidR="00761800" w:rsidRPr="00761800" w:rsidRDefault="00761800" w:rsidP="00761800">
      <w:pPr>
        <w:tabs>
          <w:tab w:val="left" w:pos="1088"/>
          <w:tab w:val="left" w:pos="12150"/>
        </w:tabs>
        <w:rPr>
          <w:rFonts w:ascii="Times New Roman" w:hAnsi="Times New Roman"/>
          <w:sz w:val="22"/>
          <w:szCs w:val="22"/>
          <w:lang w:eastAsia="bg-BG"/>
        </w:rPr>
      </w:pPr>
    </w:p>
    <w:p w14:paraId="4C06B6D8" w14:textId="77777777" w:rsidR="00761800" w:rsidRPr="00761800" w:rsidRDefault="00761800" w:rsidP="00761800">
      <w:pPr>
        <w:ind w:left="75"/>
        <w:rPr>
          <w:rFonts w:ascii="Times New Roman" w:hAnsi="Times New Roman"/>
          <w:color w:val="800000"/>
          <w:sz w:val="22"/>
          <w:szCs w:val="22"/>
          <w:lang w:eastAsia="bg-BG"/>
        </w:rPr>
      </w:pPr>
      <w:r w:rsidRPr="00761800">
        <w:rPr>
          <w:rFonts w:ascii="Times New Roman" w:hAnsi="Times New Roman"/>
          <w:b/>
          <w:bCs/>
          <w:color w:val="800000"/>
          <w:sz w:val="22"/>
          <w:szCs w:val="22"/>
          <w:lang w:eastAsia="bg-BG"/>
        </w:rPr>
        <w:t>Чл. 2.</w:t>
      </w:r>
      <w:r w:rsidRPr="00761800">
        <w:rPr>
          <w:rFonts w:ascii="Times New Roman" w:hAnsi="Times New Roman"/>
          <w:color w:val="800000"/>
          <w:sz w:val="22"/>
          <w:szCs w:val="22"/>
          <w:lang w:eastAsia="bg-BG"/>
        </w:rPr>
        <w:t xml:space="preserve"> (1) Приема бюджета на съдебната власт за 2026 г., както следва:</w:t>
      </w:r>
    </w:p>
    <w:tbl>
      <w:tblPr>
        <w:tblW w:w="14253" w:type="dxa"/>
        <w:tblCellMar>
          <w:left w:w="70" w:type="dxa"/>
          <w:right w:w="70" w:type="dxa"/>
        </w:tblCellMar>
        <w:tblLook w:val="04A0" w:firstRow="1" w:lastRow="0" w:firstColumn="1" w:lastColumn="0" w:noHBand="0" w:noVBand="1"/>
      </w:tblPr>
      <w:tblGrid>
        <w:gridCol w:w="1013"/>
        <w:gridCol w:w="11062"/>
        <w:gridCol w:w="2178"/>
      </w:tblGrid>
      <w:tr w:rsidR="00761800" w:rsidRPr="00761800" w14:paraId="761A34FC"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8A15CE7"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175DAFE"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415F0A48"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Сума</w:t>
            </w:r>
          </w:p>
        </w:tc>
      </w:tr>
      <w:tr w:rsidR="00761800" w:rsidRPr="00761800" w14:paraId="52F87E02"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666F96AA" w14:textId="77777777" w:rsidR="00761800" w:rsidRPr="00761800" w:rsidRDefault="00761800" w:rsidP="00761800">
            <w:pPr>
              <w:rPr>
                <w:rFonts w:ascii="Times New Roman" w:hAnsi="Times New Roman"/>
                <w:color w:val="800000"/>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1F3DFFB" w14:textId="77777777" w:rsidR="00761800" w:rsidRPr="00761800" w:rsidRDefault="00761800" w:rsidP="00761800">
            <w:pPr>
              <w:rPr>
                <w:rFonts w:ascii="Times New Roman" w:hAnsi="Times New Roman"/>
                <w:color w:val="800000"/>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63E4936C"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(хил. евро)</w:t>
            </w:r>
          </w:p>
        </w:tc>
      </w:tr>
      <w:tr w:rsidR="00761800" w:rsidRPr="00761800" w14:paraId="76FBED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center"/>
            <w:hideMark/>
          </w:tcPr>
          <w:p w14:paraId="2207028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center"/>
            <w:hideMark/>
          </w:tcPr>
          <w:p w14:paraId="01F88276"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center"/>
            <w:hideMark/>
          </w:tcPr>
          <w:p w14:paraId="35B189B0"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2</w:t>
            </w:r>
          </w:p>
        </w:tc>
      </w:tr>
      <w:tr w:rsidR="00761800" w:rsidRPr="00761800" w14:paraId="14BDD71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9E05E32"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6F8A7F33"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ПРИХОДИ, ПОМОЩИ И ДАРЕНИЯ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F3EBBF8"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61 355,0</w:t>
            </w:r>
          </w:p>
        </w:tc>
      </w:tr>
      <w:tr w:rsidR="00761800" w:rsidRPr="00761800" w14:paraId="17CCD78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1F03C9B"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851DE34" w14:textId="77777777" w:rsidR="00761800" w:rsidRPr="00761800" w:rsidRDefault="00761800" w:rsidP="00761800">
            <w:pPr>
              <w:ind w:firstLineChars="100" w:firstLine="220"/>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Неданъчни приходи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7C626D7"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61 355,0</w:t>
            </w:r>
          </w:p>
        </w:tc>
      </w:tr>
      <w:tr w:rsidR="00761800" w:rsidRPr="00761800" w14:paraId="3D9347F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8762712"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57C5B820"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Съдебни такси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35949E"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49 339,7</w:t>
            </w:r>
          </w:p>
        </w:tc>
      </w:tr>
      <w:tr w:rsidR="00761800" w:rsidRPr="00761800" w14:paraId="4355424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63BBA85"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4C6F7594"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AFE92DE"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588,0</w:t>
            </w:r>
          </w:p>
        </w:tc>
      </w:tr>
      <w:tr w:rsidR="00761800" w:rsidRPr="00761800" w14:paraId="4DB25EE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8DBE8AB"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6779CA46"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Глоби, санкции и наказателни лихви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651DDAF"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8 640,8</w:t>
            </w:r>
          </w:p>
        </w:tc>
      </w:tr>
      <w:tr w:rsidR="00761800" w:rsidRPr="00761800" w14:paraId="5F1C2A6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EEEFBE9"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lastRenderedPageBreak/>
              <w:t>1.4.</w:t>
            </w:r>
          </w:p>
        </w:tc>
        <w:tc>
          <w:tcPr>
            <w:tcW w:w="11062" w:type="dxa"/>
            <w:tcBorders>
              <w:top w:val="nil"/>
              <w:left w:val="nil"/>
              <w:bottom w:val="single" w:sz="4" w:space="0" w:color="auto"/>
              <w:right w:val="nil"/>
            </w:tcBorders>
            <w:shd w:val="clear" w:color="auto" w:fill="auto"/>
            <w:noWrap/>
            <w:vAlign w:val="bottom"/>
            <w:hideMark/>
          </w:tcPr>
          <w:p w14:paraId="4143047E"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Други приходи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310305D"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2 786,5</w:t>
            </w:r>
          </w:p>
        </w:tc>
      </w:tr>
      <w:tr w:rsidR="00761800" w:rsidRPr="00761800" w14:paraId="6403F26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693FB0D"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II. </w:t>
            </w:r>
          </w:p>
        </w:tc>
        <w:tc>
          <w:tcPr>
            <w:tcW w:w="11062" w:type="dxa"/>
            <w:tcBorders>
              <w:top w:val="nil"/>
              <w:left w:val="nil"/>
              <w:bottom w:val="single" w:sz="4" w:space="0" w:color="auto"/>
              <w:right w:val="nil"/>
            </w:tcBorders>
            <w:shd w:val="clear" w:color="auto" w:fill="auto"/>
            <w:noWrap/>
            <w:vAlign w:val="bottom"/>
            <w:hideMark/>
          </w:tcPr>
          <w:p w14:paraId="0612F3B3"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01BC291"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787 647,5</w:t>
            </w:r>
          </w:p>
        </w:tc>
      </w:tr>
      <w:tr w:rsidR="00761800" w:rsidRPr="00761800" w14:paraId="265FC91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677C020"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3B124984" w14:textId="77777777" w:rsidR="00761800" w:rsidRPr="00761800" w:rsidRDefault="00761800" w:rsidP="00761800">
            <w:pPr>
              <w:ind w:firstLineChars="100" w:firstLine="220"/>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79B2824"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755 896,5</w:t>
            </w:r>
          </w:p>
        </w:tc>
      </w:tr>
      <w:tr w:rsidR="00761800" w:rsidRPr="00761800" w14:paraId="18A6A74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B2534B"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2B323937" w14:textId="77777777" w:rsidR="00761800" w:rsidRPr="00761800" w:rsidRDefault="00761800" w:rsidP="00761800">
            <w:pPr>
              <w:ind w:firstLineChars="100" w:firstLine="220"/>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0C9CC12"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31 291,0</w:t>
            </w:r>
          </w:p>
        </w:tc>
      </w:tr>
      <w:tr w:rsidR="00761800" w:rsidRPr="00761800" w14:paraId="3F562E5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C6B44D9"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4A3D29AC" w14:textId="77777777" w:rsidR="00761800" w:rsidRPr="00761800" w:rsidRDefault="00761800" w:rsidP="00761800">
            <w:pPr>
              <w:ind w:firstLineChars="200" w:firstLine="440"/>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27749A74"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31 291,0</w:t>
            </w:r>
          </w:p>
        </w:tc>
      </w:tr>
      <w:tr w:rsidR="00761800" w:rsidRPr="00761800" w14:paraId="68340A7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83D2735"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3.     </w:t>
            </w:r>
          </w:p>
        </w:tc>
        <w:tc>
          <w:tcPr>
            <w:tcW w:w="11062" w:type="dxa"/>
            <w:tcBorders>
              <w:top w:val="nil"/>
              <w:left w:val="nil"/>
              <w:bottom w:val="single" w:sz="4" w:space="0" w:color="auto"/>
              <w:right w:val="nil"/>
            </w:tcBorders>
            <w:shd w:val="clear" w:color="auto" w:fill="auto"/>
            <w:noWrap/>
            <w:vAlign w:val="bottom"/>
            <w:hideMark/>
          </w:tcPr>
          <w:p w14:paraId="0D160768" w14:textId="77777777" w:rsidR="00761800" w:rsidRPr="00761800" w:rsidRDefault="00761800" w:rsidP="00761800">
            <w:pPr>
              <w:ind w:firstLineChars="100" w:firstLine="220"/>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 xml:space="preserve">Резерв за непредвидени и/или неотложни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126CA85"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460,0</w:t>
            </w:r>
          </w:p>
        </w:tc>
      </w:tr>
      <w:tr w:rsidR="00761800" w:rsidRPr="00761800" w14:paraId="551CF44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F8228E9"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2F68368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БЮДЖЕТНИ ВЗАИМООТНОШЕНИЯ (ТРАНСФЕРИ) -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C00C89C"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726 292,5</w:t>
            </w:r>
          </w:p>
        </w:tc>
      </w:tr>
      <w:tr w:rsidR="00761800" w:rsidRPr="00761800" w14:paraId="38D3531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2D3CE9C"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2AA24D2" w14:textId="77777777" w:rsidR="00761800" w:rsidRPr="00761800" w:rsidRDefault="00761800" w:rsidP="00761800">
            <w:pPr>
              <w:ind w:firstLineChars="100" w:firstLine="220"/>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Бюджетно взаимоотношение с централния бюджет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4534036"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726 292,5</w:t>
            </w:r>
          </w:p>
        </w:tc>
      </w:tr>
      <w:tr w:rsidR="00761800" w:rsidRPr="00761800" w14:paraId="7EDF7EF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E27CD1C"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IV. </w:t>
            </w:r>
          </w:p>
        </w:tc>
        <w:tc>
          <w:tcPr>
            <w:tcW w:w="11062" w:type="dxa"/>
            <w:tcBorders>
              <w:top w:val="nil"/>
              <w:left w:val="nil"/>
              <w:bottom w:val="single" w:sz="4" w:space="0" w:color="auto"/>
              <w:right w:val="nil"/>
            </w:tcBorders>
            <w:shd w:val="clear" w:color="auto" w:fill="auto"/>
            <w:noWrap/>
            <w:vAlign w:val="bottom"/>
            <w:hideMark/>
          </w:tcPr>
          <w:p w14:paraId="77F47BA4"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БЮДЖЕТНО САЛДО (І-ІІ+ІІІ)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93845ED"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r w:rsidR="00761800" w:rsidRPr="00761800" w14:paraId="6C6733B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F16E342"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V. </w:t>
            </w:r>
          </w:p>
        </w:tc>
        <w:tc>
          <w:tcPr>
            <w:tcW w:w="11062" w:type="dxa"/>
            <w:tcBorders>
              <w:top w:val="nil"/>
              <w:left w:val="nil"/>
              <w:bottom w:val="single" w:sz="4" w:space="0" w:color="auto"/>
              <w:right w:val="nil"/>
            </w:tcBorders>
            <w:shd w:val="clear" w:color="auto" w:fill="auto"/>
            <w:noWrap/>
            <w:vAlign w:val="bottom"/>
            <w:hideMark/>
          </w:tcPr>
          <w:p w14:paraId="0C193BDD"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F1A3B71"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r>
      <w:tr w:rsidR="00761800" w:rsidRPr="00761800" w14:paraId="5FF362F4" w14:textId="77777777" w:rsidTr="00406B4D">
        <w:trPr>
          <w:trHeight w:val="300"/>
        </w:trPr>
        <w:tc>
          <w:tcPr>
            <w:tcW w:w="1013" w:type="dxa"/>
            <w:tcBorders>
              <w:top w:val="nil"/>
              <w:left w:val="nil"/>
              <w:bottom w:val="nil"/>
              <w:right w:val="nil"/>
            </w:tcBorders>
            <w:shd w:val="clear" w:color="auto" w:fill="auto"/>
            <w:noWrap/>
            <w:vAlign w:val="bottom"/>
            <w:hideMark/>
          </w:tcPr>
          <w:p w14:paraId="4E36FEBE" w14:textId="77777777" w:rsidR="00761800" w:rsidRPr="00761800" w:rsidRDefault="00761800" w:rsidP="00761800">
            <w:pPr>
              <w:jc w:val="right"/>
              <w:rPr>
                <w:rFonts w:ascii="Times New Roman" w:hAnsi="Times New Roman"/>
                <w:color w:val="800000"/>
                <w:sz w:val="22"/>
                <w:szCs w:val="22"/>
                <w:lang w:eastAsia="bg-BG"/>
              </w:rPr>
            </w:pPr>
          </w:p>
        </w:tc>
        <w:tc>
          <w:tcPr>
            <w:tcW w:w="11062" w:type="dxa"/>
            <w:tcBorders>
              <w:top w:val="nil"/>
              <w:left w:val="nil"/>
              <w:bottom w:val="nil"/>
              <w:right w:val="nil"/>
            </w:tcBorders>
            <w:shd w:val="clear" w:color="auto" w:fill="auto"/>
            <w:noWrap/>
            <w:vAlign w:val="bottom"/>
            <w:hideMark/>
          </w:tcPr>
          <w:p w14:paraId="2ED7992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201BA771" w14:textId="77777777" w:rsidR="00761800" w:rsidRPr="00761800" w:rsidRDefault="00761800" w:rsidP="00761800">
            <w:pPr>
              <w:rPr>
                <w:rFonts w:ascii="Times New Roman" w:hAnsi="Times New Roman"/>
                <w:sz w:val="20"/>
                <w:lang w:eastAsia="bg-BG"/>
              </w:rPr>
            </w:pPr>
          </w:p>
        </w:tc>
      </w:tr>
      <w:tr w:rsidR="00761800" w:rsidRPr="00761800" w14:paraId="797C6399" w14:textId="77777777" w:rsidTr="00406B4D">
        <w:trPr>
          <w:trHeight w:val="300"/>
        </w:trPr>
        <w:tc>
          <w:tcPr>
            <w:tcW w:w="14253" w:type="dxa"/>
            <w:gridSpan w:val="3"/>
            <w:tcBorders>
              <w:top w:val="nil"/>
              <w:left w:val="nil"/>
              <w:bottom w:val="nil"/>
              <w:right w:val="nil"/>
            </w:tcBorders>
            <w:shd w:val="clear" w:color="auto" w:fill="auto"/>
            <w:hideMark/>
          </w:tcPr>
          <w:p w14:paraId="172820BB" w14:textId="77777777" w:rsidR="00761800" w:rsidRPr="00761800" w:rsidRDefault="00761800" w:rsidP="00761800">
            <w:pPr>
              <w:jc w:val="both"/>
              <w:rPr>
                <w:rFonts w:ascii="Times New Roman" w:hAnsi="Times New Roman"/>
                <w:color w:val="800000"/>
                <w:sz w:val="22"/>
                <w:szCs w:val="22"/>
                <w:lang w:eastAsia="bg-BG"/>
              </w:rPr>
            </w:pPr>
            <w:r w:rsidRPr="00761800">
              <w:rPr>
                <w:rFonts w:ascii="Times New Roman" w:hAnsi="Times New Roman"/>
                <w:color w:val="800000"/>
                <w:sz w:val="22"/>
                <w:szCs w:val="22"/>
                <w:lang w:eastAsia="bg-BG"/>
              </w:rPr>
              <w:t>(2) Утвърждава разпределение на разходите по ал.1 по функционални области и бюджетни програми, както следва:</w:t>
            </w:r>
          </w:p>
        </w:tc>
      </w:tr>
      <w:tr w:rsidR="00761800" w:rsidRPr="00761800" w14:paraId="7271CA62"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405D13B"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w:t>
            </w:r>
          </w:p>
        </w:tc>
        <w:tc>
          <w:tcPr>
            <w:tcW w:w="11062" w:type="dxa"/>
            <w:vMerge w:val="restart"/>
            <w:tcBorders>
              <w:top w:val="single" w:sz="4" w:space="0" w:color="auto"/>
              <w:left w:val="nil"/>
              <w:bottom w:val="single" w:sz="4" w:space="0" w:color="000000"/>
              <w:right w:val="single" w:sz="4" w:space="0" w:color="auto"/>
            </w:tcBorders>
            <w:shd w:val="clear" w:color="auto" w:fill="auto"/>
            <w:noWrap/>
            <w:vAlign w:val="center"/>
            <w:hideMark/>
          </w:tcPr>
          <w:p w14:paraId="5E388698"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Наименование на функционалната област/бюджетната програма</w:t>
            </w:r>
          </w:p>
        </w:tc>
        <w:tc>
          <w:tcPr>
            <w:tcW w:w="2178" w:type="dxa"/>
            <w:tcBorders>
              <w:top w:val="single" w:sz="4" w:space="0" w:color="auto"/>
              <w:left w:val="nil"/>
              <w:bottom w:val="nil"/>
              <w:right w:val="single" w:sz="4" w:space="0" w:color="auto"/>
            </w:tcBorders>
            <w:shd w:val="clear" w:color="auto" w:fill="auto"/>
            <w:noWrap/>
            <w:vAlign w:val="bottom"/>
            <w:hideMark/>
          </w:tcPr>
          <w:p w14:paraId="39905DF8"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Сума</w:t>
            </w:r>
          </w:p>
        </w:tc>
      </w:tr>
      <w:tr w:rsidR="00761800" w:rsidRPr="00761800" w14:paraId="74B42C45"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126E02E5" w14:textId="77777777" w:rsidR="00761800" w:rsidRPr="00761800" w:rsidRDefault="00761800" w:rsidP="00761800">
            <w:pPr>
              <w:rPr>
                <w:rFonts w:ascii="Times New Roman" w:hAnsi="Times New Roman"/>
                <w:color w:val="800000"/>
                <w:sz w:val="22"/>
                <w:szCs w:val="22"/>
                <w:lang w:eastAsia="bg-BG"/>
              </w:rPr>
            </w:pPr>
          </w:p>
        </w:tc>
        <w:tc>
          <w:tcPr>
            <w:tcW w:w="11062" w:type="dxa"/>
            <w:vMerge/>
            <w:tcBorders>
              <w:top w:val="single" w:sz="4" w:space="0" w:color="auto"/>
              <w:left w:val="nil"/>
              <w:bottom w:val="single" w:sz="4" w:space="0" w:color="000000"/>
              <w:right w:val="single" w:sz="4" w:space="0" w:color="auto"/>
            </w:tcBorders>
            <w:vAlign w:val="center"/>
            <w:hideMark/>
          </w:tcPr>
          <w:p w14:paraId="2171D73F" w14:textId="77777777" w:rsidR="00761800" w:rsidRPr="00761800" w:rsidRDefault="00761800" w:rsidP="00761800">
            <w:pPr>
              <w:rPr>
                <w:rFonts w:ascii="Times New Roman" w:hAnsi="Times New Roman"/>
                <w:color w:val="800000"/>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275B4D60"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(хил. евро)</w:t>
            </w:r>
          </w:p>
        </w:tc>
      </w:tr>
      <w:tr w:rsidR="00761800" w:rsidRPr="00761800" w14:paraId="6046C99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center"/>
            <w:hideMark/>
          </w:tcPr>
          <w:p w14:paraId="3F134F73"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center"/>
            <w:hideMark/>
          </w:tcPr>
          <w:p w14:paraId="62DBB655"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1</w:t>
            </w:r>
          </w:p>
        </w:tc>
        <w:tc>
          <w:tcPr>
            <w:tcW w:w="2178" w:type="dxa"/>
            <w:tcBorders>
              <w:top w:val="single" w:sz="4" w:space="0" w:color="auto"/>
              <w:left w:val="nil"/>
              <w:bottom w:val="single" w:sz="4" w:space="0" w:color="auto"/>
              <w:right w:val="single" w:sz="4" w:space="0" w:color="auto"/>
            </w:tcBorders>
            <w:shd w:val="clear" w:color="auto" w:fill="auto"/>
            <w:noWrap/>
            <w:vAlign w:val="center"/>
            <w:hideMark/>
          </w:tcPr>
          <w:p w14:paraId="21EEC6A1"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2</w:t>
            </w:r>
          </w:p>
        </w:tc>
      </w:tr>
      <w:tr w:rsidR="00761800" w:rsidRPr="00761800" w14:paraId="3898D9F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6B12537"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w:t>
            </w:r>
          </w:p>
        </w:tc>
        <w:tc>
          <w:tcPr>
            <w:tcW w:w="11062" w:type="dxa"/>
            <w:tcBorders>
              <w:top w:val="nil"/>
              <w:left w:val="nil"/>
              <w:bottom w:val="single" w:sz="4" w:space="0" w:color="auto"/>
              <w:right w:val="nil"/>
            </w:tcBorders>
            <w:shd w:val="clear" w:color="auto" w:fill="auto"/>
            <w:vAlign w:val="bottom"/>
            <w:hideMark/>
          </w:tcPr>
          <w:p w14:paraId="24ED63A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Функционална област „Управление на съдебната власт“, 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214F21B"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53 304,3</w:t>
            </w:r>
          </w:p>
        </w:tc>
      </w:tr>
      <w:tr w:rsidR="00761800" w:rsidRPr="00761800" w14:paraId="3B15B82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AEF9321"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1.1.</w:t>
            </w:r>
          </w:p>
        </w:tc>
        <w:tc>
          <w:tcPr>
            <w:tcW w:w="11062" w:type="dxa"/>
            <w:tcBorders>
              <w:top w:val="nil"/>
              <w:left w:val="nil"/>
              <w:bottom w:val="single" w:sz="4" w:space="0" w:color="auto"/>
              <w:right w:val="nil"/>
            </w:tcBorders>
            <w:shd w:val="clear" w:color="auto" w:fill="auto"/>
            <w:vAlign w:val="bottom"/>
            <w:hideMark/>
          </w:tcPr>
          <w:p w14:paraId="33EC391F"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Бюджетна програма „Организация и управление на съдебната власт“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85835D4"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44 846,1</w:t>
            </w:r>
          </w:p>
        </w:tc>
      </w:tr>
      <w:tr w:rsidR="00761800" w:rsidRPr="00761800" w14:paraId="62234BE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B462AC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1.2.</w:t>
            </w:r>
          </w:p>
        </w:tc>
        <w:tc>
          <w:tcPr>
            <w:tcW w:w="11062" w:type="dxa"/>
            <w:tcBorders>
              <w:top w:val="nil"/>
              <w:left w:val="nil"/>
              <w:bottom w:val="single" w:sz="4" w:space="0" w:color="auto"/>
              <w:right w:val="nil"/>
            </w:tcBorders>
            <w:shd w:val="clear" w:color="auto" w:fill="auto"/>
            <w:vAlign w:val="bottom"/>
            <w:hideMark/>
          </w:tcPr>
          <w:p w14:paraId="5DE3C4C5"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Бюджетна програма „Контрол върху дейността на органите на съдебната власт“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600A76A"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8 458,2</w:t>
            </w:r>
          </w:p>
        </w:tc>
      </w:tr>
      <w:tr w:rsidR="00761800" w:rsidRPr="00761800" w14:paraId="737F742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F248255"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2.</w:t>
            </w:r>
          </w:p>
        </w:tc>
        <w:tc>
          <w:tcPr>
            <w:tcW w:w="11062" w:type="dxa"/>
            <w:tcBorders>
              <w:top w:val="nil"/>
              <w:left w:val="nil"/>
              <w:bottom w:val="single" w:sz="4" w:space="0" w:color="auto"/>
              <w:right w:val="nil"/>
            </w:tcBorders>
            <w:shd w:val="clear" w:color="auto" w:fill="auto"/>
            <w:vAlign w:val="bottom"/>
            <w:hideMark/>
          </w:tcPr>
          <w:p w14:paraId="36A902C5"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Функционална област „Правораздаване“, 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CDC1E34"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430 733,9</w:t>
            </w:r>
          </w:p>
        </w:tc>
      </w:tr>
      <w:tr w:rsidR="00761800" w:rsidRPr="00761800" w14:paraId="1C51DE10" w14:textId="77777777" w:rsidTr="00406B4D">
        <w:trPr>
          <w:trHeight w:val="277"/>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B98C087"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2.1.</w:t>
            </w:r>
          </w:p>
        </w:tc>
        <w:tc>
          <w:tcPr>
            <w:tcW w:w="11062" w:type="dxa"/>
            <w:tcBorders>
              <w:top w:val="nil"/>
              <w:left w:val="nil"/>
              <w:bottom w:val="single" w:sz="4" w:space="0" w:color="auto"/>
              <w:right w:val="nil"/>
            </w:tcBorders>
            <w:shd w:val="clear" w:color="auto" w:fill="auto"/>
            <w:vAlign w:val="bottom"/>
            <w:hideMark/>
          </w:tcPr>
          <w:p w14:paraId="2E1F07AF"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Бюджетна програма „Върховен съдебен надзор за точно и еднакво прилагане на законите от всички съдилища“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7769C2A"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21 359,5</w:t>
            </w:r>
          </w:p>
        </w:tc>
      </w:tr>
      <w:tr w:rsidR="00761800" w:rsidRPr="00761800" w14:paraId="2C929E05"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BC0C762"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2.2.</w:t>
            </w:r>
          </w:p>
        </w:tc>
        <w:tc>
          <w:tcPr>
            <w:tcW w:w="11062" w:type="dxa"/>
            <w:tcBorders>
              <w:top w:val="nil"/>
              <w:left w:val="nil"/>
              <w:bottom w:val="single" w:sz="4" w:space="0" w:color="auto"/>
              <w:right w:val="nil"/>
            </w:tcBorders>
            <w:shd w:val="clear" w:color="auto" w:fill="auto"/>
            <w:vAlign w:val="bottom"/>
            <w:hideMark/>
          </w:tcPr>
          <w:p w14:paraId="7DADBD9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Бюджетна програма „Върховен съдебен надзор за точното и еднакво прилагане на законите в административното правораздаване“</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D4F0C2C"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24 593,5</w:t>
            </w:r>
          </w:p>
        </w:tc>
      </w:tr>
      <w:tr w:rsidR="00761800" w:rsidRPr="00761800" w14:paraId="7C057F89"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FC4FBD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2.3.</w:t>
            </w:r>
          </w:p>
        </w:tc>
        <w:tc>
          <w:tcPr>
            <w:tcW w:w="11062" w:type="dxa"/>
            <w:tcBorders>
              <w:top w:val="nil"/>
              <w:left w:val="nil"/>
              <w:bottom w:val="single" w:sz="4" w:space="0" w:color="auto"/>
              <w:right w:val="nil"/>
            </w:tcBorders>
            <w:shd w:val="clear" w:color="auto" w:fill="auto"/>
            <w:vAlign w:val="bottom"/>
            <w:hideMark/>
          </w:tcPr>
          <w:p w14:paraId="12FE084D"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Бюджетна програма „Правораздаване от районните, окръжните, военните, апелативните и административните съдилища“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691375B"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384 780,9</w:t>
            </w:r>
          </w:p>
        </w:tc>
      </w:tr>
      <w:tr w:rsidR="00761800" w:rsidRPr="00761800" w14:paraId="37E16AF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9FAB70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3.</w:t>
            </w:r>
          </w:p>
        </w:tc>
        <w:tc>
          <w:tcPr>
            <w:tcW w:w="11062" w:type="dxa"/>
            <w:tcBorders>
              <w:top w:val="nil"/>
              <w:left w:val="nil"/>
              <w:bottom w:val="single" w:sz="4" w:space="0" w:color="auto"/>
              <w:right w:val="nil"/>
            </w:tcBorders>
            <w:shd w:val="clear" w:color="auto" w:fill="auto"/>
            <w:vAlign w:val="bottom"/>
            <w:hideMark/>
          </w:tcPr>
          <w:p w14:paraId="224CAF4F"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Функционална област „Спазване на законността“, 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2EE37D9"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280 124,6</w:t>
            </w:r>
          </w:p>
        </w:tc>
      </w:tr>
      <w:tr w:rsidR="00761800" w:rsidRPr="00761800" w14:paraId="179DAEC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DD1EF6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3.1.</w:t>
            </w:r>
          </w:p>
        </w:tc>
        <w:tc>
          <w:tcPr>
            <w:tcW w:w="11062" w:type="dxa"/>
            <w:tcBorders>
              <w:top w:val="nil"/>
              <w:left w:val="nil"/>
              <w:bottom w:val="single" w:sz="4" w:space="0" w:color="auto"/>
              <w:right w:val="nil"/>
            </w:tcBorders>
            <w:shd w:val="clear" w:color="auto" w:fill="auto"/>
            <w:vAlign w:val="bottom"/>
            <w:hideMark/>
          </w:tcPr>
          <w:p w14:paraId="59DB3D67"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Бюджетна програма „Надзор за спазване на законността“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ACF8E94"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280 124,6</w:t>
            </w:r>
          </w:p>
        </w:tc>
      </w:tr>
      <w:tr w:rsidR="00761800" w:rsidRPr="00761800" w14:paraId="492BFEB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746575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4.</w:t>
            </w:r>
          </w:p>
        </w:tc>
        <w:tc>
          <w:tcPr>
            <w:tcW w:w="11062" w:type="dxa"/>
            <w:tcBorders>
              <w:top w:val="nil"/>
              <w:left w:val="nil"/>
              <w:bottom w:val="single" w:sz="4" w:space="0" w:color="auto"/>
              <w:right w:val="nil"/>
            </w:tcBorders>
            <w:shd w:val="clear" w:color="auto" w:fill="auto"/>
            <w:vAlign w:val="bottom"/>
            <w:hideMark/>
          </w:tcPr>
          <w:p w14:paraId="0092738A"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Функционална област „Електронно правосъдие“,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D672610"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19 799,3</w:t>
            </w:r>
          </w:p>
        </w:tc>
      </w:tr>
      <w:tr w:rsidR="00761800" w:rsidRPr="00761800" w14:paraId="118786A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7D89694"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4.1.</w:t>
            </w:r>
          </w:p>
        </w:tc>
        <w:tc>
          <w:tcPr>
            <w:tcW w:w="11062" w:type="dxa"/>
            <w:tcBorders>
              <w:top w:val="nil"/>
              <w:left w:val="nil"/>
              <w:bottom w:val="single" w:sz="4" w:space="0" w:color="auto"/>
              <w:right w:val="nil"/>
            </w:tcBorders>
            <w:shd w:val="clear" w:color="auto" w:fill="auto"/>
            <w:vAlign w:val="bottom"/>
            <w:hideMark/>
          </w:tcPr>
          <w:p w14:paraId="0B157BF1"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Бюджетна програма „Утвърждаване и развитие на електронното правосъдие“</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2408DAA"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19 799,3</w:t>
            </w:r>
          </w:p>
        </w:tc>
      </w:tr>
      <w:tr w:rsidR="00761800" w:rsidRPr="00761800" w14:paraId="258D307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7468579"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5.</w:t>
            </w:r>
          </w:p>
        </w:tc>
        <w:tc>
          <w:tcPr>
            <w:tcW w:w="11062" w:type="dxa"/>
            <w:tcBorders>
              <w:top w:val="nil"/>
              <w:left w:val="nil"/>
              <w:bottom w:val="single" w:sz="4" w:space="0" w:color="auto"/>
              <w:right w:val="nil"/>
            </w:tcBorders>
            <w:shd w:val="clear" w:color="auto" w:fill="auto"/>
            <w:vAlign w:val="bottom"/>
            <w:hideMark/>
          </w:tcPr>
          <w:p w14:paraId="077B38A5"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Функционална област „Кадрови потенциал на съдебната власт“, 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D38C293"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3 685,4</w:t>
            </w:r>
          </w:p>
        </w:tc>
      </w:tr>
      <w:tr w:rsidR="00761800" w:rsidRPr="00761800" w14:paraId="36715E9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488D50B"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lastRenderedPageBreak/>
              <w:t>5.1.</w:t>
            </w:r>
          </w:p>
        </w:tc>
        <w:tc>
          <w:tcPr>
            <w:tcW w:w="11062" w:type="dxa"/>
            <w:tcBorders>
              <w:top w:val="nil"/>
              <w:left w:val="nil"/>
              <w:bottom w:val="single" w:sz="4" w:space="0" w:color="auto"/>
              <w:right w:val="nil"/>
            </w:tcBorders>
            <w:shd w:val="clear" w:color="auto" w:fill="auto"/>
            <w:vAlign w:val="bottom"/>
            <w:hideMark/>
          </w:tcPr>
          <w:p w14:paraId="0061C6FD"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Бюджетна програма „Обучение и квалификация на магистратите и съдебните служители"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21B9008"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3 685,4</w:t>
            </w:r>
          </w:p>
        </w:tc>
      </w:tr>
      <w:tr w:rsidR="00761800" w:rsidRPr="00761800" w14:paraId="2D830ED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647C83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AD8A045"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898368"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787 647,5</w:t>
            </w:r>
          </w:p>
        </w:tc>
      </w:tr>
      <w:tr w:rsidR="00761800" w:rsidRPr="00761800" w14:paraId="64733A18" w14:textId="77777777" w:rsidTr="00406B4D">
        <w:trPr>
          <w:trHeight w:val="300"/>
        </w:trPr>
        <w:tc>
          <w:tcPr>
            <w:tcW w:w="1013" w:type="dxa"/>
            <w:tcBorders>
              <w:top w:val="nil"/>
              <w:left w:val="nil"/>
              <w:bottom w:val="nil"/>
              <w:right w:val="nil"/>
            </w:tcBorders>
            <w:shd w:val="clear" w:color="auto" w:fill="auto"/>
            <w:noWrap/>
            <w:vAlign w:val="bottom"/>
            <w:hideMark/>
          </w:tcPr>
          <w:p w14:paraId="17DE0536" w14:textId="77777777" w:rsidR="00761800" w:rsidRPr="00761800" w:rsidRDefault="00761800" w:rsidP="00761800">
            <w:pPr>
              <w:jc w:val="right"/>
              <w:rPr>
                <w:rFonts w:ascii="Times New Roman" w:hAnsi="Times New Roman"/>
                <w:color w:val="800000"/>
                <w:sz w:val="22"/>
                <w:szCs w:val="22"/>
                <w:lang w:eastAsia="bg-BG"/>
              </w:rPr>
            </w:pPr>
          </w:p>
        </w:tc>
        <w:tc>
          <w:tcPr>
            <w:tcW w:w="11062" w:type="dxa"/>
            <w:tcBorders>
              <w:top w:val="nil"/>
              <w:left w:val="nil"/>
              <w:bottom w:val="nil"/>
              <w:right w:val="nil"/>
            </w:tcBorders>
            <w:shd w:val="clear" w:color="auto" w:fill="auto"/>
            <w:noWrap/>
            <w:vAlign w:val="bottom"/>
            <w:hideMark/>
          </w:tcPr>
          <w:p w14:paraId="3B7AA2B0"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6AC00B02" w14:textId="77777777" w:rsidR="00761800" w:rsidRPr="00761800" w:rsidRDefault="00761800" w:rsidP="00761800">
            <w:pPr>
              <w:rPr>
                <w:rFonts w:ascii="Times New Roman" w:hAnsi="Times New Roman"/>
                <w:sz w:val="20"/>
                <w:lang w:eastAsia="bg-BG"/>
              </w:rPr>
            </w:pPr>
          </w:p>
        </w:tc>
      </w:tr>
      <w:tr w:rsidR="00761800" w:rsidRPr="00761800" w14:paraId="1A856EC4" w14:textId="77777777" w:rsidTr="00406B4D">
        <w:trPr>
          <w:trHeight w:val="300"/>
        </w:trPr>
        <w:tc>
          <w:tcPr>
            <w:tcW w:w="14253" w:type="dxa"/>
            <w:gridSpan w:val="3"/>
            <w:tcBorders>
              <w:top w:val="nil"/>
              <w:left w:val="nil"/>
              <w:bottom w:val="nil"/>
              <w:right w:val="nil"/>
            </w:tcBorders>
            <w:shd w:val="clear" w:color="auto" w:fill="auto"/>
            <w:hideMark/>
          </w:tcPr>
          <w:p w14:paraId="338899EA" w14:textId="77777777" w:rsidR="00761800" w:rsidRPr="00761800" w:rsidRDefault="00761800" w:rsidP="00761800">
            <w:pPr>
              <w:jc w:val="both"/>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(3) Определя бюджетните разходи на органите на съдебната власт за 2026 г., както следва:  </w:t>
            </w:r>
          </w:p>
        </w:tc>
      </w:tr>
      <w:tr w:rsidR="00761800" w:rsidRPr="00761800" w14:paraId="56222DBA" w14:textId="77777777" w:rsidTr="00406B4D">
        <w:trPr>
          <w:trHeight w:val="300"/>
        </w:trPr>
        <w:tc>
          <w:tcPr>
            <w:tcW w:w="1013" w:type="dxa"/>
            <w:tcBorders>
              <w:top w:val="single" w:sz="4" w:space="0" w:color="auto"/>
              <w:left w:val="single" w:sz="4" w:space="0" w:color="auto"/>
              <w:bottom w:val="nil"/>
              <w:right w:val="nil"/>
            </w:tcBorders>
            <w:shd w:val="clear" w:color="auto" w:fill="auto"/>
            <w:noWrap/>
            <w:vAlign w:val="bottom"/>
            <w:hideMark/>
          </w:tcPr>
          <w:p w14:paraId="0BF716F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vMerge w:val="restart"/>
            <w:tcBorders>
              <w:top w:val="single" w:sz="4" w:space="0" w:color="auto"/>
              <w:left w:val="nil"/>
              <w:bottom w:val="single" w:sz="4" w:space="0" w:color="000000"/>
              <w:right w:val="single" w:sz="4" w:space="0" w:color="auto"/>
            </w:tcBorders>
            <w:shd w:val="clear" w:color="auto" w:fill="auto"/>
            <w:noWrap/>
            <w:vAlign w:val="center"/>
            <w:hideMark/>
          </w:tcPr>
          <w:p w14:paraId="2139D42F"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Органи на съдебната власт</w:t>
            </w:r>
          </w:p>
        </w:tc>
        <w:tc>
          <w:tcPr>
            <w:tcW w:w="2178" w:type="dxa"/>
            <w:tcBorders>
              <w:top w:val="single" w:sz="4" w:space="0" w:color="auto"/>
              <w:left w:val="nil"/>
              <w:bottom w:val="nil"/>
              <w:right w:val="single" w:sz="4" w:space="0" w:color="auto"/>
            </w:tcBorders>
            <w:shd w:val="clear" w:color="auto" w:fill="auto"/>
            <w:noWrap/>
            <w:vAlign w:val="bottom"/>
            <w:hideMark/>
          </w:tcPr>
          <w:p w14:paraId="428DD49C"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Сума</w:t>
            </w:r>
          </w:p>
        </w:tc>
      </w:tr>
      <w:tr w:rsidR="00761800" w:rsidRPr="00761800" w14:paraId="469679F0"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7841163A"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vMerge/>
            <w:tcBorders>
              <w:top w:val="single" w:sz="4" w:space="0" w:color="auto"/>
              <w:left w:val="nil"/>
              <w:bottom w:val="single" w:sz="4" w:space="0" w:color="000000"/>
              <w:right w:val="single" w:sz="4" w:space="0" w:color="auto"/>
            </w:tcBorders>
            <w:vAlign w:val="center"/>
            <w:hideMark/>
          </w:tcPr>
          <w:p w14:paraId="73FEB138" w14:textId="77777777" w:rsidR="00761800" w:rsidRPr="00761800" w:rsidRDefault="00761800" w:rsidP="00761800">
            <w:pPr>
              <w:rPr>
                <w:rFonts w:ascii="Times New Roman" w:hAnsi="Times New Roman"/>
                <w:color w:val="800000"/>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0CE19ED1"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(хил. евро)</w:t>
            </w:r>
          </w:p>
        </w:tc>
      </w:tr>
      <w:tr w:rsidR="00761800" w:rsidRPr="00761800" w14:paraId="149BA460"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center"/>
            <w:hideMark/>
          </w:tcPr>
          <w:p w14:paraId="15D0C701"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center"/>
            <w:hideMark/>
          </w:tcPr>
          <w:p w14:paraId="056F2A8A"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1</w:t>
            </w:r>
          </w:p>
        </w:tc>
        <w:tc>
          <w:tcPr>
            <w:tcW w:w="2178" w:type="dxa"/>
            <w:tcBorders>
              <w:top w:val="single" w:sz="4" w:space="0" w:color="auto"/>
              <w:left w:val="nil"/>
              <w:bottom w:val="single" w:sz="4" w:space="0" w:color="auto"/>
              <w:right w:val="single" w:sz="4" w:space="0" w:color="auto"/>
            </w:tcBorders>
            <w:shd w:val="clear" w:color="auto" w:fill="auto"/>
            <w:noWrap/>
            <w:vAlign w:val="center"/>
            <w:hideMark/>
          </w:tcPr>
          <w:p w14:paraId="14BF93F4"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2</w:t>
            </w:r>
          </w:p>
        </w:tc>
      </w:tr>
      <w:tr w:rsidR="00761800" w:rsidRPr="00761800" w14:paraId="03785D22"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31FDBB3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E03D344"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Висш съдебен съвет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CCD0F0"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53 855,0</w:t>
            </w:r>
          </w:p>
        </w:tc>
      </w:tr>
      <w:tr w:rsidR="00761800" w:rsidRPr="00761800" w14:paraId="58599739"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3B99A1F1"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FE6640F"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Върховен касационен съд</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994E32"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21 592,3</w:t>
            </w:r>
          </w:p>
        </w:tc>
      </w:tr>
      <w:tr w:rsidR="00761800" w:rsidRPr="00761800" w14:paraId="502E11FA"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000B555B"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DD629E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Върховен административен съд</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C122BFB"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30 759,0</w:t>
            </w:r>
          </w:p>
        </w:tc>
      </w:tr>
      <w:tr w:rsidR="00761800" w:rsidRPr="00761800" w14:paraId="0EA345AC"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12747CD7"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9E5EF7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Прокуратура на Република България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5216EC5"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281 787,6</w:t>
            </w:r>
          </w:p>
        </w:tc>
      </w:tr>
      <w:tr w:rsidR="00761800" w:rsidRPr="00761800" w14:paraId="7C19351D"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28B4A39D"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4F5867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Съдилища на Република България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A355C0D"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386 840,8</w:t>
            </w:r>
          </w:p>
        </w:tc>
      </w:tr>
      <w:tr w:rsidR="00761800" w:rsidRPr="00761800" w14:paraId="3FC99928"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6E1783E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72D3EF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Национален институт на правосъдието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DD56D29"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3 720,9</w:t>
            </w:r>
          </w:p>
        </w:tc>
      </w:tr>
      <w:tr w:rsidR="00761800" w:rsidRPr="00761800" w14:paraId="4365CF31"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34057683"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0A05768"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Инспекторат към Висшия съдебен съвет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2460620"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8 631,9</w:t>
            </w:r>
          </w:p>
        </w:tc>
      </w:tr>
      <w:tr w:rsidR="00761800" w:rsidRPr="00761800" w14:paraId="771ADFE4"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33CA7546"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901DC89" w14:textId="77777777" w:rsidR="00761800" w:rsidRPr="00761800" w:rsidRDefault="00761800" w:rsidP="00761800">
            <w:pPr>
              <w:rPr>
                <w:rFonts w:ascii="Times New Roman" w:hAnsi="Times New Roman"/>
                <w:i/>
                <w:iCs/>
                <w:color w:val="800000"/>
                <w:sz w:val="22"/>
                <w:szCs w:val="22"/>
                <w:lang w:eastAsia="bg-BG"/>
              </w:rPr>
            </w:pPr>
            <w:r w:rsidRPr="00761800">
              <w:rPr>
                <w:rFonts w:ascii="Times New Roman" w:hAnsi="Times New Roman"/>
                <w:i/>
                <w:iCs/>
                <w:color w:val="800000"/>
                <w:sz w:val="22"/>
                <w:szCs w:val="22"/>
                <w:lang w:eastAsia="bg-BG"/>
              </w:rPr>
              <w:t>Резерв за непредвидени и/или неотложни разходи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76795E"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460,0</w:t>
            </w:r>
          </w:p>
        </w:tc>
      </w:tr>
      <w:tr w:rsidR="00761800" w:rsidRPr="00761800" w14:paraId="1F5EAAF1"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5D0C1860"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410001B"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4E0CE7E"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787 647,5</w:t>
            </w:r>
          </w:p>
        </w:tc>
      </w:tr>
      <w:tr w:rsidR="00761800" w:rsidRPr="00761800" w14:paraId="439BB598" w14:textId="77777777" w:rsidTr="00406B4D">
        <w:trPr>
          <w:trHeight w:val="300"/>
        </w:trPr>
        <w:tc>
          <w:tcPr>
            <w:tcW w:w="1013" w:type="dxa"/>
            <w:tcBorders>
              <w:top w:val="nil"/>
              <w:left w:val="nil"/>
              <w:bottom w:val="nil"/>
              <w:right w:val="nil"/>
            </w:tcBorders>
            <w:shd w:val="clear" w:color="auto" w:fill="auto"/>
            <w:noWrap/>
            <w:vAlign w:val="bottom"/>
            <w:hideMark/>
          </w:tcPr>
          <w:p w14:paraId="0DD09A00" w14:textId="77777777" w:rsidR="00761800" w:rsidRPr="00761800" w:rsidRDefault="00761800" w:rsidP="00761800">
            <w:pPr>
              <w:jc w:val="right"/>
              <w:rPr>
                <w:rFonts w:ascii="Times New Roman" w:hAnsi="Times New Roman"/>
                <w:color w:val="800000"/>
                <w:sz w:val="22"/>
                <w:szCs w:val="22"/>
                <w:lang w:eastAsia="bg-BG"/>
              </w:rPr>
            </w:pPr>
          </w:p>
        </w:tc>
        <w:tc>
          <w:tcPr>
            <w:tcW w:w="11062" w:type="dxa"/>
            <w:tcBorders>
              <w:top w:val="nil"/>
              <w:left w:val="nil"/>
              <w:bottom w:val="nil"/>
              <w:right w:val="nil"/>
            </w:tcBorders>
            <w:shd w:val="clear" w:color="auto" w:fill="auto"/>
            <w:noWrap/>
            <w:vAlign w:val="bottom"/>
            <w:hideMark/>
          </w:tcPr>
          <w:p w14:paraId="16B09931"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FF1A034" w14:textId="77777777" w:rsidR="00761800" w:rsidRPr="00761800" w:rsidRDefault="00761800" w:rsidP="00761800">
            <w:pPr>
              <w:rPr>
                <w:rFonts w:ascii="Times New Roman" w:hAnsi="Times New Roman"/>
                <w:sz w:val="20"/>
                <w:lang w:eastAsia="bg-BG"/>
              </w:rPr>
            </w:pPr>
          </w:p>
        </w:tc>
      </w:tr>
      <w:tr w:rsidR="00761800" w:rsidRPr="00761800" w14:paraId="565584C8" w14:textId="77777777" w:rsidTr="00406B4D">
        <w:trPr>
          <w:trHeight w:val="359"/>
        </w:trPr>
        <w:tc>
          <w:tcPr>
            <w:tcW w:w="14253" w:type="dxa"/>
            <w:gridSpan w:val="3"/>
            <w:tcBorders>
              <w:top w:val="nil"/>
              <w:left w:val="nil"/>
              <w:bottom w:val="nil"/>
              <w:right w:val="nil"/>
            </w:tcBorders>
            <w:shd w:val="clear" w:color="auto" w:fill="auto"/>
            <w:hideMark/>
          </w:tcPr>
          <w:p w14:paraId="479265BB" w14:textId="77777777" w:rsidR="00761800" w:rsidRPr="00761800" w:rsidRDefault="00761800" w:rsidP="00761800">
            <w:pPr>
              <w:jc w:val="both"/>
              <w:rPr>
                <w:rFonts w:ascii="Times New Roman" w:hAnsi="Times New Roman"/>
                <w:color w:val="800000"/>
                <w:sz w:val="22"/>
                <w:szCs w:val="22"/>
                <w:lang w:eastAsia="bg-BG"/>
              </w:rPr>
            </w:pPr>
            <w:r w:rsidRPr="00761800">
              <w:rPr>
                <w:rFonts w:ascii="Times New Roman" w:hAnsi="Times New Roman"/>
                <w:color w:val="800000"/>
                <w:sz w:val="22"/>
                <w:szCs w:val="22"/>
                <w:lang w:eastAsia="bg-BG"/>
              </w:rPr>
              <w:t>(4)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органите на съдебната власт, както следва:</w:t>
            </w:r>
          </w:p>
        </w:tc>
      </w:tr>
      <w:tr w:rsidR="00761800" w:rsidRPr="00761800" w14:paraId="70A88F4E"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9D3E24C"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09D37D4"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6A739F06"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Сума</w:t>
            </w:r>
          </w:p>
        </w:tc>
      </w:tr>
      <w:tr w:rsidR="00761800" w:rsidRPr="00761800" w14:paraId="5D551513"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D8E9348" w14:textId="77777777" w:rsidR="00761800" w:rsidRPr="00761800" w:rsidRDefault="00761800" w:rsidP="00761800">
            <w:pPr>
              <w:rPr>
                <w:rFonts w:ascii="Times New Roman" w:hAnsi="Times New Roman"/>
                <w:color w:val="800000"/>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1B4F305" w14:textId="77777777" w:rsidR="00761800" w:rsidRPr="00761800" w:rsidRDefault="00761800" w:rsidP="00761800">
            <w:pPr>
              <w:rPr>
                <w:rFonts w:ascii="Times New Roman" w:hAnsi="Times New Roman"/>
                <w:color w:val="800000"/>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05DBD3B2"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(хил. евро)</w:t>
            </w:r>
          </w:p>
        </w:tc>
      </w:tr>
      <w:tr w:rsidR="00761800" w:rsidRPr="00761800" w14:paraId="2FFB19B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center"/>
            <w:hideMark/>
          </w:tcPr>
          <w:p w14:paraId="241669B3"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w:t>
            </w:r>
          </w:p>
        </w:tc>
        <w:tc>
          <w:tcPr>
            <w:tcW w:w="11062" w:type="dxa"/>
            <w:tcBorders>
              <w:top w:val="nil"/>
              <w:left w:val="nil"/>
              <w:bottom w:val="single" w:sz="4" w:space="0" w:color="auto"/>
              <w:right w:val="nil"/>
            </w:tcBorders>
            <w:shd w:val="clear" w:color="auto" w:fill="auto"/>
            <w:noWrap/>
            <w:vAlign w:val="center"/>
            <w:hideMark/>
          </w:tcPr>
          <w:p w14:paraId="0AE1ABCE"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center"/>
            <w:hideMark/>
          </w:tcPr>
          <w:p w14:paraId="0E88C505" w14:textId="77777777" w:rsidR="00761800" w:rsidRPr="00761800" w:rsidRDefault="00761800" w:rsidP="00761800">
            <w:pPr>
              <w:jc w:val="center"/>
              <w:rPr>
                <w:rFonts w:ascii="Times New Roman" w:hAnsi="Times New Roman"/>
                <w:color w:val="800000"/>
                <w:sz w:val="22"/>
                <w:szCs w:val="22"/>
                <w:lang w:eastAsia="bg-BG"/>
              </w:rPr>
            </w:pPr>
            <w:r w:rsidRPr="00761800">
              <w:rPr>
                <w:rFonts w:ascii="Times New Roman" w:hAnsi="Times New Roman"/>
                <w:color w:val="800000"/>
                <w:sz w:val="22"/>
                <w:szCs w:val="22"/>
                <w:lang w:eastAsia="bg-BG"/>
              </w:rPr>
              <w:t>2</w:t>
            </w:r>
          </w:p>
        </w:tc>
      </w:tr>
      <w:tr w:rsidR="00761800" w:rsidRPr="00761800" w14:paraId="698D987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F169DE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31B5977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Максимален размер на ангажиментите за разходи, които могат да бъдат поети през 2026 г.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E81830F"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162 865,0</w:t>
            </w:r>
          </w:p>
        </w:tc>
      </w:tr>
      <w:tr w:rsidR="00761800" w:rsidRPr="00761800" w14:paraId="316659A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81EC1AD"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4EF90FBE" w14:textId="77777777" w:rsidR="00761800" w:rsidRPr="00761800" w:rsidRDefault="00761800" w:rsidP="00761800">
            <w:pPr>
              <w:rPr>
                <w:rFonts w:ascii="Times New Roman" w:hAnsi="Times New Roman"/>
                <w:color w:val="800000"/>
                <w:sz w:val="22"/>
                <w:szCs w:val="22"/>
                <w:lang w:eastAsia="bg-BG"/>
              </w:rPr>
            </w:pPr>
            <w:r w:rsidRPr="00761800">
              <w:rPr>
                <w:rFonts w:ascii="Times New Roman" w:hAnsi="Times New Roman"/>
                <w:color w:val="800000"/>
                <w:sz w:val="22"/>
                <w:szCs w:val="22"/>
                <w:lang w:eastAsia="bg-BG"/>
              </w:rPr>
              <w:t xml:space="preserve">Максимален размер на новите задължения за разходи, които могат да бъдат натрупани през 2026 г.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3DDDCA4" w14:textId="77777777" w:rsidR="00761800" w:rsidRPr="00761800" w:rsidRDefault="00761800" w:rsidP="00761800">
            <w:pPr>
              <w:jc w:val="right"/>
              <w:rPr>
                <w:rFonts w:ascii="Times New Roman" w:hAnsi="Times New Roman"/>
                <w:color w:val="800000"/>
                <w:sz w:val="22"/>
                <w:szCs w:val="22"/>
                <w:lang w:eastAsia="bg-BG"/>
              </w:rPr>
            </w:pPr>
            <w:r w:rsidRPr="00761800">
              <w:rPr>
                <w:rFonts w:ascii="Times New Roman" w:hAnsi="Times New Roman"/>
                <w:color w:val="800000"/>
                <w:sz w:val="22"/>
                <w:szCs w:val="22"/>
                <w:lang w:eastAsia="bg-BG"/>
              </w:rPr>
              <w:t>140 856,8</w:t>
            </w:r>
          </w:p>
        </w:tc>
      </w:tr>
      <w:tr w:rsidR="00761800" w:rsidRPr="00761800" w14:paraId="219FE22A" w14:textId="77777777" w:rsidTr="00406B4D">
        <w:trPr>
          <w:trHeight w:val="300"/>
        </w:trPr>
        <w:tc>
          <w:tcPr>
            <w:tcW w:w="1013" w:type="dxa"/>
            <w:tcBorders>
              <w:top w:val="nil"/>
              <w:left w:val="nil"/>
              <w:bottom w:val="nil"/>
              <w:right w:val="nil"/>
            </w:tcBorders>
            <w:shd w:val="clear" w:color="auto" w:fill="auto"/>
            <w:noWrap/>
            <w:vAlign w:val="bottom"/>
            <w:hideMark/>
          </w:tcPr>
          <w:p w14:paraId="3E89CF28" w14:textId="77777777" w:rsidR="00761800" w:rsidRPr="00761800" w:rsidRDefault="00761800" w:rsidP="00761800">
            <w:pPr>
              <w:jc w:val="right"/>
              <w:rPr>
                <w:rFonts w:ascii="Times New Roman" w:hAnsi="Times New Roman"/>
                <w:color w:val="800000"/>
                <w:sz w:val="22"/>
                <w:szCs w:val="22"/>
                <w:lang w:eastAsia="bg-BG"/>
              </w:rPr>
            </w:pPr>
          </w:p>
        </w:tc>
        <w:tc>
          <w:tcPr>
            <w:tcW w:w="11062" w:type="dxa"/>
            <w:tcBorders>
              <w:top w:val="nil"/>
              <w:left w:val="nil"/>
              <w:bottom w:val="nil"/>
              <w:right w:val="nil"/>
            </w:tcBorders>
            <w:shd w:val="clear" w:color="auto" w:fill="auto"/>
            <w:noWrap/>
            <w:vAlign w:val="bottom"/>
            <w:hideMark/>
          </w:tcPr>
          <w:p w14:paraId="47DCFE8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41E834D" w14:textId="77777777" w:rsidR="00761800" w:rsidRPr="00761800" w:rsidRDefault="00761800" w:rsidP="00761800">
            <w:pPr>
              <w:rPr>
                <w:rFonts w:ascii="Times New Roman" w:hAnsi="Times New Roman"/>
                <w:sz w:val="20"/>
                <w:lang w:eastAsia="bg-BG"/>
              </w:rPr>
            </w:pPr>
          </w:p>
        </w:tc>
      </w:tr>
      <w:tr w:rsidR="00761800" w:rsidRPr="00761800" w14:paraId="514DF428" w14:textId="77777777" w:rsidTr="00406B4D">
        <w:trPr>
          <w:trHeight w:val="705"/>
        </w:trPr>
        <w:tc>
          <w:tcPr>
            <w:tcW w:w="14253" w:type="dxa"/>
            <w:gridSpan w:val="3"/>
            <w:tcBorders>
              <w:top w:val="nil"/>
              <w:left w:val="nil"/>
              <w:bottom w:val="nil"/>
              <w:right w:val="nil"/>
            </w:tcBorders>
            <w:shd w:val="clear" w:color="auto" w:fill="auto"/>
            <w:hideMark/>
          </w:tcPr>
          <w:p w14:paraId="0DB419C9" w14:textId="77777777" w:rsidR="00761800" w:rsidRPr="00761800" w:rsidRDefault="00761800" w:rsidP="00761800">
            <w:pPr>
              <w:jc w:val="both"/>
              <w:rPr>
                <w:rFonts w:ascii="Times New Roman" w:hAnsi="Times New Roman"/>
                <w:color w:val="800000"/>
                <w:sz w:val="22"/>
                <w:szCs w:val="22"/>
                <w:lang w:eastAsia="bg-BG"/>
              </w:rPr>
            </w:pPr>
            <w:r w:rsidRPr="00761800">
              <w:rPr>
                <w:rFonts w:ascii="Times New Roman" w:hAnsi="Times New Roman"/>
                <w:color w:val="800000"/>
                <w:sz w:val="22"/>
                <w:szCs w:val="22"/>
                <w:lang w:eastAsia="bg-BG"/>
              </w:rPr>
              <w:t>(5) Утвърдените с ал. 4 максимални размери на ангажиментите за разходи и на новите задължения за разходи могат да се увеличават с до 20 на сто по решение на Висшия съдебен съвет.</w:t>
            </w:r>
          </w:p>
        </w:tc>
      </w:tr>
      <w:tr w:rsidR="00761800" w:rsidRPr="00761800" w14:paraId="2F24FA1D" w14:textId="77777777" w:rsidTr="00406B4D">
        <w:trPr>
          <w:trHeight w:val="690"/>
        </w:trPr>
        <w:tc>
          <w:tcPr>
            <w:tcW w:w="14253" w:type="dxa"/>
            <w:gridSpan w:val="3"/>
            <w:tcBorders>
              <w:top w:val="nil"/>
              <w:left w:val="nil"/>
              <w:bottom w:val="nil"/>
              <w:right w:val="nil"/>
            </w:tcBorders>
            <w:shd w:val="clear" w:color="auto" w:fill="auto"/>
            <w:hideMark/>
          </w:tcPr>
          <w:p w14:paraId="369C8EF4" w14:textId="77777777" w:rsidR="00761800" w:rsidRPr="00761800" w:rsidRDefault="00761800" w:rsidP="00761800">
            <w:pPr>
              <w:jc w:val="both"/>
              <w:rPr>
                <w:rFonts w:ascii="Times New Roman" w:hAnsi="Times New Roman"/>
                <w:color w:val="800000"/>
                <w:sz w:val="22"/>
                <w:szCs w:val="22"/>
                <w:lang w:eastAsia="bg-BG"/>
              </w:rPr>
            </w:pPr>
            <w:r w:rsidRPr="00761800">
              <w:rPr>
                <w:rFonts w:ascii="Times New Roman" w:hAnsi="Times New Roman"/>
                <w:color w:val="800000"/>
                <w:sz w:val="22"/>
                <w:szCs w:val="22"/>
                <w:lang w:eastAsia="bg-BG"/>
              </w:rPr>
              <w:t>(6) Висшият съдебен съвет може да изразходва средства от наличностите по сметки от предходни години за покриване на неотложни разходи на органите на съдебната власт, в случай че не се нарушава бюджетното салдо по държавния бюджет.</w:t>
            </w:r>
          </w:p>
        </w:tc>
      </w:tr>
      <w:tr w:rsidR="00761800" w:rsidRPr="00761800" w14:paraId="50A093BE" w14:textId="77777777" w:rsidTr="00406B4D">
        <w:trPr>
          <w:trHeight w:val="1088"/>
        </w:trPr>
        <w:tc>
          <w:tcPr>
            <w:tcW w:w="14253" w:type="dxa"/>
            <w:gridSpan w:val="3"/>
            <w:tcBorders>
              <w:top w:val="nil"/>
              <w:left w:val="nil"/>
              <w:bottom w:val="nil"/>
              <w:right w:val="nil"/>
            </w:tcBorders>
            <w:shd w:val="clear" w:color="auto" w:fill="auto"/>
            <w:hideMark/>
          </w:tcPr>
          <w:p w14:paraId="389BEB59" w14:textId="77777777" w:rsidR="00761800" w:rsidRPr="00761800" w:rsidRDefault="00761800" w:rsidP="00761800">
            <w:pPr>
              <w:jc w:val="both"/>
              <w:rPr>
                <w:rFonts w:ascii="Times New Roman" w:hAnsi="Times New Roman"/>
                <w:color w:val="800000"/>
                <w:sz w:val="22"/>
                <w:szCs w:val="22"/>
                <w:lang w:eastAsia="bg-BG"/>
              </w:rPr>
            </w:pPr>
            <w:r w:rsidRPr="00761800">
              <w:rPr>
                <w:rFonts w:ascii="Times New Roman" w:hAnsi="Times New Roman"/>
                <w:color w:val="800000"/>
                <w:sz w:val="22"/>
                <w:szCs w:val="22"/>
                <w:lang w:eastAsia="bg-BG"/>
              </w:rPr>
              <w:lastRenderedPageBreak/>
              <w:t>(7) В приходите по ал. 1 се включват и приходите от нотариални такси, събирани по реда на чл. 86, т. 3 от Закона за нотариусите и нотариалната дейност, вземанията по изпълнителните листове, издавани в полза на органите на съдебната власт и събирани от Националната агенция за приходите по реда на Данъчно-осигурителния процесуален кодекс, както и сумите от продажба на конфискувано или отнето в полза на държавата имущество с акт на орган на съдебната власт след приспадане на разходите по чл. 3, ал. 12 от Закона за Националната агенция за приходите.</w:t>
            </w:r>
          </w:p>
        </w:tc>
      </w:tr>
      <w:tr w:rsidR="00761800" w:rsidRPr="00761800" w14:paraId="2233ADC1" w14:textId="77777777" w:rsidTr="00406B4D">
        <w:trPr>
          <w:trHeight w:val="707"/>
        </w:trPr>
        <w:tc>
          <w:tcPr>
            <w:tcW w:w="14253" w:type="dxa"/>
            <w:gridSpan w:val="3"/>
            <w:tcBorders>
              <w:top w:val="nil"/>
              <w:left w:val="nil"/>
              <w:bottom w:val="nil"/>
              <w:right w:val="nil"/>
            </w:tcBorders>
            <w:shd w:val="clear" w:color="auto" w:fill="auto"/>
            <w:hideMark/>
          </w:tcPr>
          <w:p w14:paraId="3B50B4C5" w14:textId="77777777" w:rsidR="00761800" w:rsidRPr="00761800" w:rsidRDefault="00761800" w:rsidP="00761800">
            <w:pPr>
              <w:jc w:val="both"/>
              <w:rPr>
                <w:rFonts w:ascii="Times New Roman" w:hAnsi="Times New Roman"/>
                <w:color w:val="800000"/>
                <w:sz w:val="22"/>
                <w:szCs w:val="22"/>
                <w:lang w:eastAsia="bg-BG"/>
              </w:rPr>
            </w:pPr>
            <w:r w:rsidRPr="00761800">
              <w:rPr>
                <w:rFonts w:ascii="Times New Roman" w:hAnsi="Times New Roman"/>
                <w:color w:val="800000"/>
                <w:sz w:val="22"/>
                <w:szCs w:val="22"/>
                <w:lang w:eastAsia="bg-BG"/>
              </w:rPr>
              <w:t>(8) В едномесечен срок от обнародването на постановлението за изпълнението на държавния бюджет на Република България за 2026 г. Висшият съдебен съвет представя в Министерския съвет, в Сметната палата и в Министерството на финансите утвърдените бюджети на органите на съдебната власт.</w:t>
            </w:r>
          </w:p>
        </w:tc>
      </w:tr>
      <w:tr w:rsidR="00761800" w:rsidRPr="00761800" w14:paraId="3CD73721" w14:textId="77777777" w:rsidTr="00406B4D">
        <w:trPr>
          <w:trHeight w:val="300"/>
        </w:trPr>
        <w:tc>
          <w:tcPr>
            <w:tcW w:w="14253" w:type="dxa"/>
            <w:gridSpan w:val="3"/>
            <w:tcBorders>
              <w:top w:val="nil"/>
              <w:left w:val="nil"/>
              <w:bottom w:val="nil"/>
              <w:right w:val="nil"/>
            </w:tcBorders>
            <w:shd w:val="clear" w:color="auto" w:fill="auto"/>
            <w:hideMark/>
          </w:tcPr>
          <w:p w14:paraId="339D83D4" w14:textId="77777777" w:rsidR="00761800" w:rsidRPr="00761800" w:rsidRDefault="00761800" w:rsidP="00761800">
            <w:pPr>
              <w:jc w:val="both"/>
              <w:rPr>
                <w:rFonts w:ascii="Times New Roman" w:hAnsi="Times New Roman"/>
                <w:color w:val="800000"/>
                <w:sz w:val="22"/>
                <w:szCs w:val="22"/>
                <w:lang w:eastAsia="bg-BG"/>
              </w:rPr>
            </w:pPr>
          </w:p>
        </w:tc>
      </w:tr>
    </w:tbl>
    <w:p w14:paraId="276AC209" w14:textId="77777777" w:rsidR="00761800" w:rsidRPr="00761800" w:rsidRDefault="00761800" w:rsidP="00761800">
      <w:pPr>
        <w:tabs>
          <w:tab w:val="left" w:pos="1088"/>
          <w:tab w:val="left" w:pos="12150"/>
        </w:tabs>
        <w:ind w:left="75"/>
        <w:jc w:val="center"/>
        <w:rPr>
          <w:rFonts w:ascii="Times New Roman" w:hAnsi="Times New Roman"/>
          <w:b/>
          <w:bCs/>
          <w:color w:val="800000"/>
          <w:sz w:val="22"/>
          <w:szCs w:val="22"/>
          <w:u w:val="single"/>
          <w:lang w:eastAsia="bg-BG"/>
        </w:rPr>
      </w:pPr>
      <w:r w:rsidRPr="00761800">
        <w:rPr>
          <w:rFonts w:ascii="Times New Roman" w:hAnsi="Times New Roman"/>
          <w:b/>
          <w:bCs/>
          <w:color w:val="800000"/>
          <w:sz w:val="22"/>
          <w:szCs w:val="22"/>
          <w:u w:val="single"/>
          <w:lang w:eastAsia="bg-BG"/>
        </w:rPr>
        <w:t>СТАНОВИЩЕ НА МИНИСТЕРСКИЯ СЪВЕТ ПО ЧЛ. 2</w:t>
      </w:r>
    </w:p>
    <w:p w14:paraId="45A28CF7" w14:textId="77777777" w:rsidR="00761800" w:rsidRPr="00761800" w:rsidRDefault="00761800" w:rsidP="00761800">
      <w:pPr>
        <w:tabs>
          <w:tab w:val="left" w:pos="1088"/>
          <w:tab w:val="left" w:pos="12150"/>
        </w:tabs>
        <w:ind w:left="75"/>
        <w:rPr>
          <w:rFonts w:ascii="Times New Roman" w:hAnsi="Times New Roman"/>
          <w:sz w:val="20"/>
          <w:lang w:eastAsia="bg-BG"/>
        </w:rPr>
      </w:pPr>
    </w:p>
    <w:p w14:paraId="0806B454" w14:textId="77777777" w:rsidR="00761800" w:rsidRPr="00761800" w:rsidRDefault="00761800" w:rsidP="00761800">
      <w:pPr>
        <w:ind w:left="75"/>
        <w:rPr>
          <w:rFonts w:ascii="Times New Roman" w:hAnsi="Times New Roman"/>
          <w:sz w:val="22"/>
          <w:szCs w:val="22"/>
          <w:lang w:eastAsia="bg-BG"/>
        </w:rPr>
      </w:pPr>
      <w:r w:rsidRPr="00761800">
        <w:rPr>
          <w:rFonts w:ascii="Times New Roman" w:hAnsi="Times New Roman"/>
          <w:b/>
          <w:bCs/>
          <w:sz w:val="22"/>
          <w:szCs w:val="22"/>
          <w:lang w:eastAsia="bg-BG"/>
        </w:rPr>
        <w:t>Чл. 2.</w:t>
      </w:r>
      <w:r w:rsidRPr="00761800">
        <w:rPr>
          <w:rFonts w:ascii="Times New Roman" w:hAnsi="Times New Roman"/>
          <w:sz w:val="22"/>
          <w:szCs w:val="22"/>
          <w:lang w:eastAsia="bg-BG"/>
        </w:rPr>
        <w:t xml:space="preserve"> (1) Приема бюджета на съдебната власт за 2026 г., както следва:</w:t>
      </w:r>
    </w:p>
    <w:p w14:paraId="0440B0C5" w14:textId="77777777" w:rsidR="00761800" w:rsidRPr="00761800" w:rsidRDefault="00761800" w:rsidP="00761800">
      <w:pPr>
        <w:ind w:left="75"/>
        <w:rPr>
          <w:rFonts w:ascii="Times New Roman" w:hAnsi="Times New Roman"/>
          <w:sz w:val="22"/>
          <w:szCs w:val="22"/>
          <w:lang w:eastAsia="bg-BG"/>
        </w:rPr>
      </w:pPr>
    </w:p>
    <w:tbl>
      <w:tblPr>
        <w:tblW w:w="14253" w:type="dxa"/>
        <w:tblCellMar>
          <w:left w:w="70" w:type="dxa"/>
          <w:right w:w="70" w:type="dxa"/>
        </w:tblCellMar>
        <w:tblLook w:val="04A0" w:firstRow="1" w:lastRow="0" w:firstColumn="1" w:lastColumn="0" w:noHBand="0" w:noVBand="1"/>
      </w:tblPr>
      <w:tblGrid>
        <w:gridCol w:w="1013"/>
        <w:gridCol w:w="11062"/>
        <w:gridCol w:w="2178"/>
      </w:tblGrid>
      <w:tr w:rsidR="00761800" w:rsidRPr="00761800" w14:paraId="2322ADB8"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0CA162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C0FD4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3DC0A91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241B7AF"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46F3CB2"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3A782BC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2F33D36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AFF40E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center"/>
            <w:hideMark/>
          </w:tcPr>
          <w:p w14:paraId="5E30A7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center"/>
            <w:hideMark/>
          </w:tcPr>
          <w:p w14:paraId="0B8E9F5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center"/>
            <w:hideMark/>
          </w:tcPr>
          <w:p w14:paraId="7982D3A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593E4E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D68D8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5A3421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CEEF0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66 468,0</w:t>
            </w:r>
          </w:p>
        </w:tc>
      </w:tr>
      <w:tr w:rsidR="00761800" w:rsidRPr="00761800" w14:paraId="517A21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5C24E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6A4124F9"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0344C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66 468,0</w:t>
            </w:r>
          </w:p>
        </w:tc>
      </w:tr>
      <w:tr w:rsidR="00761800" w:rsidRPr="00761800" w14:paraId="5D6CAB1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574A5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76EF3AD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Съдебни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2B0A3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58 798,6</w:t>
            </w:r>
          </w:p>
        </w:tc>
      </w:tr>
      <w:tr w:rsidR="00761800" w:rsidRPr="00761800" w14:paraId="79CB445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CECDB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15B98C7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Приходи и доходи от собственост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A4E52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664,7</w:t>
            </w:r>
          </w:p>
        </w:tc>
      </w:tr>
      <w:tr w:rsidR="00761800" w:rsidRPr="00761800" w14:paraId="26FE79B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609641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3152BAD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DD608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5 317,4</w:t>
            </w:r>
          </w:p>
        </w:tc>
      </w:tr>
      <w:tr w:rsidR="00761800" w:rsidRPr="00761800" w14:paraId="66AD93B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B9029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3491895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E4FCE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1 687,3</w:t>
            </w:r>
          </w:p>
        </w:tc>
      </w:tr>
      <w:tr w:rsidR="00761800" w:rsidRPr="00761800" w14:paraId="0670E88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C09A9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II. </w:t>
            </w:r>
          </w:p>
        </w:tc>
        <w:tc>
          <w:tcPr>
            <w:tcW w:w="11062" w:type="dxa"/>
            <w:tcBorders>
              <w:top w:val="nil"/>
              <w:left w:val="nil"/>
              <w:bottom w:val="single" w:sz="4" w:space="0" w:color="auto"/>
              <w:right w:val="nil"/>
            </w:tcBorders>
            <w:shd w:val="clear" w:color="auto" w:fill="auto"/>
            <w:noWrap/>
            <w:vAlign w:val="bottom"/>
            <w:hideMark/>
          </w:tcPr>
          <w:p w14:paraId="09B6A1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РАЗХОДИ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E560E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762 033,0</w:t>
            </w:r>
          </w:p>
        </w:tc>
      </w:tr>
      <w:tr w:rsidR="00761800" w:rsidRPr="00761800" w14:paraId="142EB16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494B9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48961617"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Текущи разходи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0DA5D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734 063,5</w:t>
            </w:r>
          </w:p>
        </w:tc>
      </w:tr>
      <w:tr w:rsidR="00761800" w:rsidRPr="00761800" w14:paraId="522EF6C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E578A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5F706178"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Капиталови разходи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55829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27 509,5</w:t>
            </w:r>
          </w:p>
        </w:tc>
      </w:tr>
      <w:tr w:rsidR="00761800" w:rsidRPr="00761800" w14:paraId="18360AA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EBF4D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3C1F1D1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Придобиване на дълготрайни активи и основен ремонт</w:t>
            </w:r>
          </w:p>
        </w:tc>
        <w:tc>
          <w:tcPr>
            <w:tcW w:w="2178" w:type="dxa"/>
            <w:tcBorders>
              <w:top w:val="nil"/>
              <w:left w:val="nil"/>
              <w:bottom w:val="single" w:sz="4" w:space="0" w:color="auto"/>
              <w:right w:val="single" w:sz="4" w:space="0" w:color="auto"/>
            </w:tcBorders>
            <w:shd w:val="clear" w:color="auto" w:fill="auto"/>
            <w:noWrap/>
            <w:vAlign w:val="bottom"/>
            <w:hideMark/>
          </w:tcPr>
          <w:p w14:paraId="10AB57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27 509,5</w:t>
            </w:r>
          </w:p>
        </w:tc>
      </w:tr>
      <w:tr w:rsidR="00761800" w:rsidRPr="00761800" w14:paraId="564CEDD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C424B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3.     </w:t>
            </w:r>
          </w:p>
        </w:tc>
        <w:tc>
          <w:tcPr>
            <w:tcW w:w="11062" w:type="dxa"/>
            <w:tcBorders>
              <w:top w:val="nil"/>
              <w:left w:val="nil"/>
              <w:bottom w:val="single" w:sz="4" w:space="0" w:color="auto"/>
              <w:right w:val="nil"/>
            </w:tcBorders>
            <w:shd w:val="clear" w:color="auto" w:fill="auto"/>
            <w:noWrap/>
            <w:vAlign w:val="bottom"/>
            <w:hideMark/>
          </w:tcPr>
          <w:p w14:paraId="464DE01E"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Резерв за непредвидени и/или неотложни разходи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49BC1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460,0</w:t>
            </w:r>
          </w:p>
        </w:tc>
      </w:tr>
      <w:tr w:rsidR="00761800" w:rsidRPr="00761800" w14:paraId="27640D8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04D76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16B596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F4865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688 565,0</w:t>
            </w:r>
          </w:p>
        </w:tc>
      </w:tr>
      <w:tr w:rsidR="00761800" w:rsidRPr="00761800" w14:paraId="16E0363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466B4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3144F4C"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D32F4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688 565,0</w:t>
            </w:r>
          </w:p>
        </w:tc>
      </w:tr>
      <w:tr w:rsidR="00761800" w:rsidRPr="00761800" w14:paraId="15A1A63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28C68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IV. </w:t>
            </w:r>
          </w:p>
        </w:tc>
        <w:tc>
          <w:tcPr>
            <w:tcW w:w="11062" w:type="dxa"/>
            <w:tcBorders>
              <w:top w:val="nil"/>
              <w:left w:val="nil"/>
              <w:bottom w:val="single" w:sz="4" w:space="0" w:color="auto"/>
              <w:right w:val="nil"/>
            </w:tcBorders>
            <w:shd w:val="clear" w:color="000000" w:fill="FFFFFF"/>
            <w:noWrap/>
            <w:vAlign w:val="bottom"/>
            <w:hideMark/>
          </w:tcPr>
          <w:p w14:paraId="4F8051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8B7FE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-7 000,0</w:t>
            </w:r>
          </w:p>
        </w:tc>
      </w:tr>
      <w:tr w:rsidR="00761800" w:rsidRPr="00761800" w14:paraId="1D07BF7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572FC1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V. </w:t>
            </w:r>
          </w:p>
        </w:tc>
        <w:tc>
          <w:tcPr>
            <w:tcW w:w="11062" w:type="dxa"/>
            <w:tcBorders>
              <w:top w:val="nil"/>
              <w:left w:val="nil"/>
              <w:bottom w:val="single" w:sz="4" w:space="0" w:color="auto"/>
              <w:right w:val="nil"/>
            </w:tcBorders>
            <w:shd w:val="clear" w:color="auto" w:fill="auto"/>
            <w:noWrap/>
            <w:vAlign w:val="bottom"/>
            <w:hideMark/>
          </w:tcPr>
          <w:p w14:paraId="573F37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ОПЕРАЦИИ В ЧАСТТА НА ФИНАНСИРАНЕТО - НЕТО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F4249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7 000,0</w:t>
            </w:r>
          </w:p>
        </w:tc>
      </w:tr>
      <w:tr w:rsidR="00761800" w:rsidRPr="00761800" w14:paraId="0193597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D488B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7316B6BC"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Депозити и средства по сметки - нето (+/-)</w:t>
            </w:r>
          </w:p>
        </w:tc>
        <w:tc>
          <w:tcPr>
            <w:tcW w:w="2178" w:type="dxa"/>
            <w:tcBorders>
              <w:top w:val="nil"/>
              <w:left w:val="single" w:sz="4" w:space="0" w:color="auto"/>
              <w:bottom w:val="single" w:sz="4" w:space="0" w:color="auto"/>
              <w:right w:val="single" w:sz="4" w:space="0" w:color="auto"/>
            </w:tcBorders>
            <w:shd w:val="clear" w:color="auto" w:fill="auto"/>
            <w:noWrap/>
            <w:hideMark/>
          </w:tcPr>
          <w:p w14:paraId="496D4F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7 000,0</w:t>
            </w:r>
          </w:p>
        </w:tc>
      </w:tr>
      <w:tr w:rsidR="00761800" w:rsidRPr="00761800" w14:paraId="00C3C6A0" w14:textId="77777777" w:rsidTr="00406B4D">
        <w:trPr>
          <w:trHeight w:val="300"/>
        </w:trPr>
        <w:tc>
          <w:tcPr>
            <w:tcW w:w="1013" w:type="dxa"/>
            <w:tcBorders>
              <w:top w:val="nil"/>
              <w:left w:val="nil"/>
              <w:bottom w:val="nil"/>
              <w:right w:val="nil"/>
            </w:tcBorders>
            <w:shd w:val="clear" w:color="auto" w:fill="auto"/>
            <w:noWrap/>
            <w:vAlign w:val="bottom"/>
            <w:hideMark/>
          </w:tcPr>
          <w:p w14:paraId="0CDB8BD0"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D8F67C7"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618D31FE" w14:textId="77777777" w:rsidR="00761800" w:rsidRPr="00761800" w:rsidRDefault="00761800" w:rsidP="00761800">
            <w:pPr>
              <w:rPr>
                <w:rFonts w:ascii="Times New Roman" w:hAnsi="Times New Roman"/>
                <w:sz w:val="20"/>
                <w:lang w:eastAsia="bg-BG"/>
              </w:rPr>
            </w:pPr>
          </w:p>
        </w:tc>
      </w:tr>
      <w:tr w:rsidR="00761800" w:rsidRPr="00761800" w14:paraId="48425B03" w14:textId="77777777" w:rsidTr="00406B4D">
        <w:trPr>
          <w:trHeight w:val="300"/>
        </w:trPr>
        <w:tc>
          <w:tcPr>
            <w:tcW w:w="14253" w:type="dxa"/>
            <w:gridSpan w:val="3"/>
            <w:tcBorders>
              <w:top w:val="nil"/>
              <w:left w:val="nil"/>
              <w:bottom w:val="nil"/>
              <w:right w:val="nil"/>
            </w:tcBorders>
            <w:shd w:val="clear" w:color="auto" w:fill="auto"/>
            <w:hideMark/>
          </w:tcPr>
          <w:p w14:paraId="71A7AA6F"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ал.1 по функционални области, както следва:</w:t>
            </w:r>
          </w:p>
        </w:tc>
      </w:tr>
      <w:tr w:rsidR="00761800" w:rsidRPr="00761800" w14:paraId="03781948"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4AA5CA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nil"/>
              <w:bottom w:val="single" w:sz="4" w:space="0" w:color="000000"/>
              <w:right w:val="single" w:sz="4" w:space="0" w:color="auto"/>
            </w:tcBorders>
            <w:shd w:val="clear" w:color="auto" w:fill="auto"/>
            <w:noWrap/>
            <w:vAlign w:val="center"/>
            <w:hideMark/>
          </w:tcPr>
          <w:p w14:paraId="06B249D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00C793A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A3878E5"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16E87B2"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nil"/>
              <w:bottom w:val="single" w:sz="4" w:space="0" w:color="000000"/>
              <w:right w:val="single" w:sz="4" w:space="0" w:color="auto"/>
            </w:tcBorders>
            <w:vAlign w:val="center"/>
            <w:hideMark/>
          </w:tcPr>
          <w:p w14:paraId="785880E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7655F22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03BE65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center"/>
            <w:hideMark/>
          </w:tcPr>
          <w:p w14:paraId="4382CD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center"/>
            <w:hideMark/>
          </w:tcPr>
          <w:p w14:paraId="0C07C9F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nil"/>
              <w:bottom w:val="single" w:sz="4" w:space="0" w:color="auto"/>
              <w:right w:val="single" w:sz="4" w:space="0" w:color="auto"/>
            </w:tcBorders>
            <w:shd w:val="clear" w:color="auto" w:fill="auto"/>
            <w:noWrap/>
            <w:vAlign w:val="center"/>
            <w:hideMark/>
          </w:tcPr>
          <w:p w14:paraId="21DCD74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A2D82A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5002A6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vAlign w:val="bottom"/>
            <w:hideMark/>
          </w:tcPr>
          <w:p w14:paraId="7267EE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„Управление на съдебната власт“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83CA9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54 301,6</w:t>
            </w:r>
          </w:p>
        </w:tc>
      </w:tr>
      <w:tr w:rsidR="00761800" w:rsidRPr="00761800" w14:paraId="719305E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EFB20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vAlign w:val="bottom"/>
            <w:hideMark/>
          </w:tcPr>
          <w:p w14:paraId="33275A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„Правораздаване“</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B97A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424 623,1</w:t>
            </w:r>
          </w:p>
        </w:tc>
      </w:tr>
      <w:tr w:rsidR="00761800" w:rsidRPr="00761800" w14:paraId="71AF00A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05601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3.     </w:t>
            </w:r>
          </w:p>
        </w:tc>
        <w:tc>
          <w:tcPr>
            <w:tcW w:w="11062" w:type="dxa"/>
            <w:tcBorders>
              <w:top w:val="nil"/>
              <w:left w:val="nil"/>
              <w:bottom w:val="single" w:sz="4" w:space="0" w:color="auto"/>
              <w:right w:val="nil"/>
            </w:tcBorders>
            <w:shd w:val="clear" w:color="auto" w:fill="auto"/>
            <w:vAlign w:val="bottom"/>
            <w:hideMark/>
          </w:tcPr>
          <w:p w14:paraId="6E8747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„Спазване на законността“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6BED2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268 742,4</w:t>
            </w:r>
          </w:p>
        </w:tc>
      </w:tr>
      <w:tr w:rsidR="00761800" w:rsidRPr="00761800" w14:paraId="2FEDE24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1B8DA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4.</w:t>
            </w:r>
          </w:p>
        </w:tc>
        <w:tc>
          <w:tcPr>
            <w:tcW w:w="11062" w:type="dxa"/>
            <w:tcBorders>
              <w:top w:val="nil"/>
              <w:left w:val="nil"/>
              <w:bottom w:val="single" w:sz="4" w:space="0" w:color="auto"/>
              <w:right w:val="nil"/>
            </w:tcBorders>
            <w:shd w:val="clear" w:color="auto" w:fill="auto"/>
            <w:vAlign w:val="bottom"/>
            <w:hideMark/>
          </w:tcPr>
          <w:p w14:paraId="0BAC57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Функционална област „Електронно правосъдие“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D92B3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10 733,6</w:t>
            </w:r>
          </w:p>
        </w:tc>
      </w:tr>
      <w:tr w:rsidR="00761800" w:rsidRPr="00761800" w14:paraId="6421839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40FBF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5.</w:t>
            </w:r>
          </w:p>
        </w:tc>
        <w:tc>
          <w:tcPr>
            <w:tcW w:w="11062" w:type="dxa"/>
            <w:tcBorders>
              <w:top w:val="nil"/>
              <w:left w:val="nil"/>
              <w:bottom w:val="single" w:sz="4" w:space="0" w:color="auto"/>
              <w:right w:val="nil"/>
            </w:tcBorders>
            <w:shd w:val="clear" w:color="auto" w:fill="auto"/>
            <w:vAlign w:val="bottom"/>
            <w:hideMark/>
          </w:tcPr>
          <w:p w14:paraId="7B41B4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„Кадрови потенциал на съдебната власт“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2A9B8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3 632,3</w:t>
            </w:r>
          </w:p>
        </w:tc>
      </w:tr>
      <w:tr w:rsidR="00761800" w:rsidRPr="00761800" w14:paraId="61AE2CE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4C198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2111BF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569AA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762 033,0</w:t>
            </w:r>
          </w:p>
        </w:tc>
      </w:tr>
      <w:tr w:rsidR="00761800" w:rsidRPr="00761800" w14:paraId="02F904B2" w14:textId="77777777" w:rsidTr="00406B4D">
        <w:trPr>
          <w:trHeight w:val="121"/>
        </w:trPr>
        <w:tc>
          <w:tcPr>
            <w:tcW w:w="1013" w:type="dxa"/>
            <w:tcBorders>
              <w:top w:val="nil"/>
              <w:left w:val="nil"/>
              <w:bottom w:val="nil"/>
              <w:right w:val="nil"/>
            </w:tcBorders>
            <w:shd w:val="clear" w:color="auto" w:fill="auto"/>
            <w:noWrap/>
            <w:vAlign w:val="bottom"/>
            <w:hideMark/>
          </w:tcPr>
          <w:p w14:paraId="71FCCAB7"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9F9CEE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4F838102" w14:textId="77777777" w:rsidR="00761800" w:rsidRPr="00761800" w:rsidRDefault="00761800" w:rsidP="00761800">
            <w:pPr>
              <w:rPr>
                <w:rFonts w:ascii="Times New Roman" w:hAnsi="Times New Roman"/>
                <w:sz w:val="20"/>
                <w:lang w:eastAsia="bg-BG"/>
              </w:rPr>
            </w:pPr>
          </w:p>
        </w:tc>
      </w:tr>
      <w:tr w:rsidR="00761800" w:rsidRPr="00761800" w14:paraId="77499B15" w14:textId="77777777" w:rsidTr="00406B4D">
        <w:trPr>
          <w:trHeight w:val="300"/>
        </w:trPr>
        <w:tc>
          <w:tcPr>
            <w:tcW w:w="14253" w:type="dxa"/>
            <w:gridSpan w:val="3"/>
            <w:tcBorders>
              <w:top w:val="nil"/>
              <w:left w:val="nil"/>
              <w:bottom w:val="single" w:sz="4" w:space="0" w:color="auto"/>
              <w:right w:val="nil"/>
            </w:tcBorders>
            <w:shd w:val="clear" w:color="auto" w:fill="auto"/>
            <w:hideMark/>
          </w:tcPr>
          <w:p w14:paraId="2635C169"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 xml:space="preserve">(3) Определя бюджетните разходи на органите на съдебната власт за 2026 г., както следва:  </w:t>
            </w:r>
          </w:p>
        </w:tc>
      </w:tr>
      <w:tr w:rsidR="00761800" w:rsidRPr="00761800" w14:paraId="36A775E7" w14:textId="77777777" w:rsidTr="00406B4D">
        <w:trPr>
          <w:trHeight w:val="300"/>
        </w:trPr>
        <w:tc>
          <w:tcPr>
            <w:tcW w:w="1013" w:type="dxa"/>
            <w:tcBorders>
              <w:top w:val="nil"/>
              <w:left w:val="single" w:sz="4" w:space="0" w:color="auto"/>
              <w:bottom w:val="nil"/>
              <w:right w:val="nil"/>
            </w:tcBorders>
            <w:shd w:val="clear" w:color="auto" w:fill="auto"/>
            <w:noWrap/>
            <w:vAlign w:val="bottom"/>
            <w:hideMark/>
          </w:tcPr>
          <w:p w14:paraId="5DCF5F7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vMerge w:val="restart"/>
            <w:tcBorders>
              <w:top w:val="nil"/>
              <w:left w:val="nil"/>
              <w:bottom w:val="single" w:sz="4" w:space="0" w:color="000000"/>
              <w:right w:val="single" w:sz="4" w:space="0" w:color="auto"/>
            </w:tcBorders>
            <w:shd w:val="clear" w:color="auto" w:fill="auto"/>
            <w:noWrap/>
            <w:vAlign w:val="center"/>
            <w:hideMark/>
          </w:tcPr>
          <w:p w14:paraId="778EA60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Органи на съдебната власт</w:t>
            </w:r>
          </w:p>
        </w:tc>
        <w:tc>
          <w:tcPr>
            <w:tcW w:w="2178" w:type="dxa"/>
            <w:tcBorders>
              <w:top w:val="nil"/>
              <w:left w:val="nil"/>
              <w:bottom w:val="nil"/>
              <w:right w:val="single" w:sz="4" w:space="0" w:color="auto"/>
            </w:tcBorders>
            <w:shd w:val="clear" w:color="auto" w:fill="auto"/>
            <w:noWrap/>
            <w:vAlign w:val="bottom"/>
            <w:hideMark/>
          </w:tcPr>
          <w:p w14:paraId="3685660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B7A29D8"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5162FF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vMerge/>
            <w:tcBorders>
              <w:top w:val="nil"/>
              <w:left w:val="nil"/>
              <w:bottom w:val="single" w:sz="4" w:space="0" w:color="000000"/>
              <w:right w:val="single" w:sz="4" w:space="0" w:color="auto"/>
            </w:tcBorders>
            <w:vAlign w:val="center"/>
            <w:hideMark/>
          </w:tcPr>
          <w:p w14:paraId="5DF3906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63F6BB3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364EB53"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center"/>
            <w:hideMark/>
          </w:tcPr>
          <w:p w14:paraId="68A401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center"/>
            <w:hideMark/>
          </w:tcPr>
          <w:p w14:paraId="76E0811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nil"/>
              <w:bottom w:val="single" w:sz="4" w:space="0" w:color="auto"/>
              <w:right w:val="single" w:sz="4" w:space="0" w:color="auto"/>
            </w:tcBorders>
            <w:shd w:val="clear" w:color="auto" w:fill="auto"/>
            <w:noWrap/>
            <w:vAlign w:val="center"/>
            <w:hideMark/>
          </w:tcPr>
          <w:p w14:paraId="1DC5414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159B543"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41A496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21CAA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Висш съдебен съвет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0CC1B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50 620,9</w:t>
            </w:r>
          </w:p>
        </w:tc>
      </w:tr>
      <w:tr w:rsidR="00761800" w:rsidRPr="00761800" w14:paraId="2A5474DA"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598B9F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C7ADC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Върховен касационен съд</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0633E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20 592,8</w:t>
            </w:r>
          </w:p>
        </w:tc>
      </w:tr>
      <w:tr w:rsidR="00761800" w:rsidRPr="00761800" w14:paraId="4C564628"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05138D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A26BF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Върховен административен съд</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B8EB2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26 612,4</w:t>
            </w:r>
          </w:p>
        </w:tc>
      </w:tr>
      <w:tr w:rsidR="00761800" w:rsidRPr="00761800" w14:paraId="64AE3E71"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24CE56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ACFE0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Прокуратура на Република България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3EEA1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269 005,4</w:t>
            </w:r>
          </w:p>
        </w:tc>
      </w:tr>
      <w:tr w:rsidR="00761800" w:rsidRPr="00761800" w14:paraId="160E77E6"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0B9E55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44247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Съдилища на Република България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DAF38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382 568,0</w:t>
            </w:r>
          </w:p>
        </w:tc>
      </w:tr>
      <w:tr w:rsidR="00761800" w:rsidRPr="00761800" w14:paraId="6BA87357"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441A7B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6F96D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Национален институт на правосъдието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F80A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3 636,7</w:t>
            </w:r>
          </w:p>
        </w:tc>
      </w:tr>
      <w:tr w:rsidR="00761800" w:rsidRPr="00761800" w14:paraId="15414444"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385DC0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auto" w:fill="auto"/>
            <w:noWrap/>
            <w:vAlign w:val="bottom"/>
            <w:hideMark/>
          </w:tcPr>
          <w:p w14:paraId="7F9C83E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Инспекторат към Висшия съдебен съвет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27D8A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8 536,8</w:t>
            </w:r>
          </w:p>
        </w:tc>
      </w:tr>
      <w:tr w:rsidR="00761800" w:rsidRPr="00761800" w14:paraId="56314F81"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03E4ADF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single" w:sz="4" w:space="0" w:color="auto"/>
              <w:left w:val="nil"/>
              <w:bottom w:val="single" w:sz="4" w:space="0" w:color="auto"/>
              <w:right w:val="nil"/>
            </w:tcBorders>
            <w:shd w:val="clear" w:color="auto" w:fill="auto"/>
            <w:noWrap/>
            <w:vAlign w:val="bottom"/>
            <w:hideMark/>
          </w:tcPr>
          <w:p w14:paraId="76F368BF"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Резерв за непредвидени и/или неотложни разходи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3065D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460,0</w:t>
            </w:r>
          </w:p>
        </w:tc>
      </w:tr>
      <w:tr w:rsidR="00761800" w:rsidRPr="00761800" w14:paraId="01C4BC02" w14:textId="77777777" w:rsidTr="00406B4D">
        <w:trPr>
          <w:trHeight w:val="300"/>
        </w:trPr>
        <w:tc>
          <w:tcPr>
            <w:tcW w:w="1013" w:type="dxa"/>
            <w:tcBorders>
              <w:top w:val="nil"/>
              <w:left w:val="single" w:sz="4" w:space="0" w:color="auto"/>
              <w:bottom w:val="single" w:sz="4" w:space="0" w:color="auto"/>
              <w:right w:val="nil"/>
            </w:tcBorders>
            <w:shd w:val="clear" w:color="auto" w:fill="auto"/>
            <w:noWrap/>
            <w:vAlign w:val="bottom"/>
            <w:hideMark/>
          </w:tcPr>
          <w:p w14:paraId="3CC3DE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1438D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8E1B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762 033,0</w:t>
            </w:r>
          </w:p>
        </w:tc>
      </w:tr>
      <w:tr w:rsidR="00761800" w:rsidRPr="00761800" w14:paraId="3FAA906A" w14:textId="77777777" w:rsidTr="00406B4D">
        <w:trPr>
          <w:trHeight w:val="315"/>
        </w:trPr>
        <w:tc>
          <w:tcPr>
            <w:tcW w:w="1013" w:type="dxa"/>
            <w:tcBorders>
              <w:top w:val="nil"/>
              <w:left w:val="nil"/>
              <w:bottom w:val="nil"/>
              <w:right w:val="nil"/>
            </w:tcBorders>
            <w:shd w:val="clear" w:color="auto" w:fill="auto"/>
            <w:noWrap/>
            <w:vAlign w:val="bottom"/>
            <w:hideMark/>
          </w:tcPr>
          <w:p w14:paraId="736D57E3"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44D1A46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399C63B9" w14:textId="77777777" w:rsidR="00761800" w:rsidRPr="00761800" w:rsidRDefault="00761800" w:rsidP="00761800">
            <w:pPr>
              <w:rPr>
                <w:rFonts w:ascii="Times New Roman" w:hAnsi="Times New Roman"/>
                <w:sz w:val="20"/>
                <w:lang w:eastAsia="bg-BG"/>
              </w:rPr>
            </w:pPr>
          </w:p>
        </w:tc>
      </w:tr>
      <w:tr w:rsidR="00761800" w:rsidRPr="00761800" w14:paraId="12FAF501" w14:textId="77777777" w:rsidTr="00406B4D">
        <w:trPr>
          <w:trHeight w:val="645"/>
        </w:trPr>
        <w:tc>
          <w:tcPr>
            <w:tcW w:w="14253" w:type="dxa"/>
            <w:gridSpan w:val="3"/>
            <w:tcBorders>
              <w:top w:val="nil"/>
              <w:left w:val="nil"/>
              <w:bottom w:val="single" w:sz="4" w:space="0" w:color="auto"/>
              <w:right w:val="nil"/>
            </w:tcBorders>
            <w:shd w:val="clear" w:color="auto" w:fill="auto"/>
            <w:hideMark/>
          </w:tcPr>
          <w:p w14:paraId="0D73150B"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(4)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органите на съдебната власт, както следва:</w:t>
            </w:r>
          </w:p>
        </w:tc>
      </w:tr>
      <w:tr w:rsidR="00761800" w:rsidRPr="00761800" w14:paraId="19C4108D"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95EF1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0158D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75BAC92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0647BAF"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1BB9F02"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65CFC287"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6E6694B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04700F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center"/>
            <w:hideMark/>
          </w:tcPr>
          <w:p w14:paraId="59E9D9C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center"/>
            <w:hideMark/>
          </w:tcPr>
          <w:p w14:paraId="7B5505E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center"/>
            <w:hideMark/>
          </w:tcPr>
          <w:p w14:paraId="07D061D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F8D050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EFD38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7365FF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F838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162 865,0</w:t>
            </w:r>
          </w:p>
        </w:tc>
      </w:tr>
      <w:tr w:rsidR="00761800" w:rsidRPr="00761800" w14:paraId="2B356A4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005BC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6726CC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68E46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73 391,2</w:t>
            </w:r>
          </w:p>
        </w:tc>
      </w:tr>
      <w:tr w:rsidR="00761800" w:rsidRPr="00761800" w14:paraId="7841FAA9" w14:textId="77777777" w:rsidTr="00406B4D">
        <w:trPr>
          <w:trHeight w:val="118"/>
        </w:trPr>
        <w:tc>
          <w:tcPr>
            <w:tcW w:w="1013" w:type="dxa"/>
            <w:tcBorders>
              <w:top w:val="nil"/>
              <w:left w:val="nil"/>
              <w:bottom w:val="nil"/>
              <w:right w:val="nil"/>
            </w:tcBorders>
            <w:shd w:val="clear" w:color="auto" w:fill="auto"/>
            <w:noWrap/>
            <w:vAlign w:val="bottom"/>
            <w:hideMark/>
          </w:tcPr>
          <w:p w14:paraId="3B3A5A6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48AB78B0"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7541CC27" w14:textId="77777777" w:rsidR="00761800" w:rsidRPr="00761800" w:rsidRDefault="00761800" w:rsidP="00761800">
            <w:pPr>
              <w:rPr>
                <w:rFonts w:ascii="Times New Roman" w:hAnsi="Times New Roman"/>
                <w:sz w:val="20"/>
                <w:lang w:eastAsia="bg-BG"/>
              </w:rPr>
            </w:pPr>
          </w:p>
        </w:tc>
      </w:tr>
      <w:tr w:rsidR="00761800" w:rsidRPr="00761800" w14:paraId="50062D39" w14:textId="77777777" w:rsidTr="00406B4D">
        <w:trPr>
          <w:trHeight w:val="705"/>
        </w:trPr>
        <w:tc>
          <w:tcPr>
            <w:tcW w:w="14253" w:type="dxa"/>
            <w:gridSpan w:val="3"/>
            <w:tcBorders>
              <w:top w:val="nil"/>
              <w:left w:val="nil"/>
              <w:bottom w:val="nil"/>
              <w:right w:val="nil"/>
            </w:tcBorders>
            <w:shd w:val="clear" w:color="auto" w:fill="auto"/>
            <w:hideMark/>
          </w:tcPr>
          <w:p w14:paraId="163A2766"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(5) Утвърдените с ал. 4 максимални размери на ангажиментите за разходи и на новите задължения за разходи могат да се увеличават с до 20 на сто по решение на Висшия съдебен съвет.</w:t>
            </w:r>
          </w:p>
        </w:tc>
      </w:tr>
      <w:tr w:rsidR="00761800" w:rsidRPr="00761800" w14:paraId="19386E59" w14:textId="77777777" w:rsidTr="00406B4D">
        <w:trPr>
          <w:trHeight w:val="1189"/>
        </w:trPr>
        <w:tc>
          <w:tcPr>
            <w:tcW w:w="14253" w:type="dxa"/>
            <w:gridSpan w:val="3"/>
            <w:tcBorders>
              <w:top w:val="nil"/>
              <w:left w:val="nil"/>
              <w:bottom w:val="nil"/>
              <w:right w:val="nil"/>
            </w:tcBorders>
            <w:shd w:val="clear" w:color="auto" w:fill="auto"/>
            <w:hideMark/>
          </w:tcPr>
          <w:p w14:paraId="1801D441"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(6) Висшият съдебен съвет може да изразходва средства от наличностите в размер до 7 000,0 хил. евро по сметки от предходни години за покриване на неотложни разходи на органите на съдебната власт. В случай че Висшият съдебен съвет одобри извършването на корекции по бюджета на съдебната власт за 2026 г. от наличности по сметки от предходни години, чийто размер превишава 7 000,0 хил. евро, то Висшият съдебен съвет може да ги изразходва, в случай че не се нарушава бюджетното салдо по държавния бюджет.</w:t>
            </w:r>
          </w:p>
        </w:tc>
      </w:tr>
      <w:tr w:rsidR="00761800" w:rsidRPr="00761800" w14:paraId="5C023CC5" w14:textId="77777777" w:rsidTr="00406B4D">
        <w:trPr>
          <w:trHeight w:val="1147"/>
        </w:trPr>
        <w:tc>
          <w:tcPr>
            <w:tcW w:w="14253" w:type="dxa"/>
            <w:gridSpan w:val="3"/>
            <w:tcBorders>
              <w:top w:val="nil"/>
              <w:left w:val="nil"/>
              <w:bottom w:val="nil"/>
              <w:right w:val="nil"/>
            </w:tcBorders>
            <w:shd w:val="clear" w:color="auto" w:fill="auto"/>
            <w:hideMark/>
          </w:tcPr>
          <w:p w14:paraId="24EE10AB"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(7) В приходите по ал. 1 се включват и приходите от нотариални такси, събирани по реда на чл. 86, т. 3 от Закона за нотариусите и нотариалната дейност, вземанията по изпълнителните листове, издавани в полза на органите на съдебната власт и събирани от Националната агенция за приходите по реда на Данъчно-осигурителния процесуален кодекс, както и сумите от продажба на конфискувано или отнето в полза на държавата имущество с акт на орган на съдебната власт след приспадане на разходите по чл. 3, ал. 12 от Закона за Националната агенция за приходите.</w:t>
            </w:r>
          </w:p>
        </w:tc>
      </w:tr>
      <w:tr w:rsidR="00761800" w:rsidRPr="00761800" w14:paraId="705C7043" w14:textId="77777777" w:rsidTr="00406B4D">
        <w:trPr>
          <w:trHeight w:val="270"/>
        </w:trPr>
        <w:tc>
          <w:tcPr>
            <w:tcW w:w="14253" w:type="dxa"/>
            <w:gridSpan w:val="3"/>
            <w:tcBorders>
              <w:top w:val="nil"/>
              <w:left w:val="nil"/>
              <w:bottom w:val="nil"/>
              <w:right w:val="nil"/>
            </w:tcBorders>
            <w:shd w:val="clear" w:color="auto" w:fill="auto"/>
            <w:hideMark/>
          </w:tcPr>
          <w:p w14:paraId="5CE24ACD"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(8) В едномесечен срок от обнародването на постановлението за изпълнението на държавния бюджет на Република България за 2026 г. Висшият съдебен съвет представя в Министерския съвет, в Сметната палата и в Министерството на финансите утвърдените бюджети на органите на съдебната власт.</w:t>
            </w:r>
          </w:p>
        </w:tc>
      </w:tr>
      <w:tr w:rsidR="00761800" w:rsidRPr="00761800" w14:paraId="5AAE0615" w14:textId="77777777" w:rsidTr="00406B4D">
        <w:trPr>
          <w:trHeight w:val="405"/>
        </w:trPr>
        <w:tc>
          <w:tcPr>
            <w:tcW w:w="1013" w:type="dxa"/>
            <w:tcBorders>
              <w:top w:val="nil"/>
              <w:left w:val="nil"/>
              <w:bottom w:val="nil"/>
              <w:right w:val="nil"/>
            </w:tcBorders>
            <w:shd w:val="clear" w:color="auto" w:fill="auto"/>
            <w:noWrap/>
            <w:vAlign w:val="bottom"/>
            <w:hideMark/>
          </w:tcPr>
          <w:p w14:paraId="254BB9B8"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5209997"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2EB11637" w14:textId="77777777" w:rsidR="00761800" w:rsidRPr="00761800" w:rsidRDefault="00761800" w:rsidP="00761800">
            <w:pPr>
              <w:rPr>
                <w:rFonts w:ascii="Times New Roman" w:hAnsi="Times New Roman"/>
                <w:sz w:val="20"/>
                <w:lang w:eastAsia="bg-BG"/>
              </w:rPr>
            </w:pPr>
          </w:p>
        </w:tc>
      </w:tr>
      <w:tr w:rsidR="00761800" w:rsidRPr="00761800" w14:paraId="7A8ADBB7" w14:textId="77777777" w:rsidTr="00406B4D">
        <w:trPr>
          <w:trHeight w:val="300"/>
        </w:trPr>
        <w:tc>
          <w:tcPr>
            <w:tcW w:w="14253" w:type="dxa"/>
            <w:gridSpan w:val="3"/>
            <w:tcBorders>
              <w:top w:val="nil"/>
              <w:left w:val="nil"/>
              <w:bottom w:val="nil"/>
              <w:right w:val="nil"/>
            </w:tcBorders>
            <w:shd w:val="clear" w:color="auto" w:fill="auto"/>
            <w:vAlign w:val="bottom"/>
            <w:hideMark/>
          </w:tcPr>
          <w:p w14:paraId="612C461E"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3.</w:t>
            </w:r>
            <w:r w:rsidRPr="00761800">
              <w:rPr>
                <w:rFonts w:ascii="Times New Roman" w:hAnsi="Times New Roman"/>
                <w:color w:val="000000"/>
                <w:sz w:val="22"/>
                <w:szCs w:val="22"/>
                <w:lang w:eastAsia="bg-BG"/>
              </w:rPr>
              <w:t xml:space="preserve"> (1) Приема бюджета на Народното събрание за 2026 г., както следва:</w:t>
            </w:r>
          </w:p>
        </w:tc>
      </w:tr>
      <w:tr w:rsidR="00761800" w:rsidRPr="00761800" w14:paraId="0C2EFD1A"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C1BEE1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68AF1C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6B6B3DC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0C77832"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1B08C44"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D01BA8F"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765EE01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42477A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F5AE5A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D2979E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B35A5C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F82F51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60E8D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175AD0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20AB3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971,5</w:t>
            </w:r>
          </w:p>
        </w:tc>
      </w:tr>
      <w:tr w:rsidR="00761800" w:rsidRPr="00761800" w14:paraId="5FB130B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E01ACF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4154E38F"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0AAB3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971,5</w:t>
            </w:r>
          </w:p>
        </w:tc>
      </w:tr>
      <w:tr w:rsidR="00761800" w:rsidRPr="00761800" w14:paraId="10B7D4A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BA69C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31C4E67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CA4B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296,6</w:t>
            </w:r>
          </w:p>
        </w:tc>
      </w:tr>
      <w:tr w:rsidR="00761800" w:rsidRPr="00761800" w14:paraId="22971EA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76561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0750037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A240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763,7</w:t>
            </w:r>
          </w:p>
        </w:tc>
      </w:tr>
      <w:tr w:rsidR="00761800" w:rsidRPr="00761800" w14:paraId="07551E9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A7F10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179AB5A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53899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-88,8</w:t>
            </w:r>
          </w:p>
        </w:tc>
      </w:tr>
      <w:tr w:rsidR="00761800" w:rsidRPr="00761800" w14:paraId="5CA3753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83FC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4D8211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РАЗХОДИ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1D612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65 167,0</w:t>
            </w:r>
          </w:p>
        </w:tc>
      </w:tr>
      <w:tr w:rsidR="00761800" w:rsidRPr="00761800" w14:paraId="330A63E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5D56C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1.     </w:t>
            </w:r>
          </w:p>
        </w:tc>
        <w:tc>
          <w:tcPr>
            <w:tcW w:w="11062" w:type="dxa"/>
            <w:tcBorders>
              <w:top w:val="nil"/>
              <w:left w:val="nil"/>
              <w:bottom w:val="single" w:sz="4" w:space="0" w:color="auto"/>
              <w:right w:val="nil"/>
            </w:tcBorders>
            <w:shd w:val="clear" w:color="auto" w:fill="auto"/>
            <w:noWrap/>
            <w:vAlign w:val="bottom"/>
            <w:hideMark/>
          </w:tcPr>
          <w:p w14:paraId="67A75500"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974DB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61 367,4</w:t>
            </w:r>
          </w:p>
        </w:tc>
      </w:tr>
      <w:tr w:rsidR="00761800" w:rsidRPr="00761800" w14:paraId="6955B9A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0A7AB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2B693165"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D98C8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3 544,0</w:t>
            </w:r>
          </w:p>
        </w:tc>
      </w:tr>
      <w:tr w:rsidR="00761800" w:rsidRPr="00761800" w14:paraId="7C0BE58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8BF3A1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7B25689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65294A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3 544,0</w:t>
            </w:r>
          </w:p>
        </w:tc>
      </w:tr>
      <w:tr w:rsidR="00761800" w:rsidRPr="00761800" w14:paraId="3EAEF77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F70C3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3.     </w:t>
            </w:r>
          </w:p>
        </w:tc>
        <w:tc>
          <w:tcPr>
            <w:tcW w:w="11062" w:type="dxa"/>
            <w:tcBorders>
              <w:top w:val="nil"/>
              <w:left w:val="nil"/>
              <w:bottom w:val="single" w:sz="4" w:space="0" w:color="auto"/>
              <w:right w:val="nil"/>
            </w:tcBorders>
            <w:shd w:val="clear" w:color="auto" w:fill="auto"/>
            <w:noWrap/>
            <w:vAlign w:val="bottom"/>
            <w:hideMark/>
          </w:tcPr>
          <w:p w14:paraId="54008230"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Резерв за непредвидени и/или неотложни разходи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28F4D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255,6</w:t>
            </w:r>
          </w:p>
        </w:tc>
      </w:tr>
      <w:tr w:rsidR="00761800" w:rsidRPr="00761800" w14:paraId="4E778CE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95857F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2D3265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16D05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64 195,5</w:t>
            </w:r>
          </w:p>
        </w:tc>
      </w:tr>
      <w:tr w:rsidR="00761800" w:rsidRPr="00761800" w14:paraId="553040C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B648E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BAC2BC6"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 xml:space="preserve">Бюджетно взаимоотношение с централния бюджет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182A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64 195,5</w:t>
            </w:r>
          </w:p>
        </w:tc>
      </w:tr>
      <w:tr w:rsidR="00761800" w:rsidRPr="00761800" w14:paraId="24F7D6C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7315D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000000" w:fill="FFFFFF"/>
            <w:noWrap/>
            <w:vAlign w:val="bottom"/>
            <w:hideMark/>
          </w:tcPr>
          <w:p w14:paraId="7BE43B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DD9BB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BCC439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2F87C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21BC93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A683B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B2058F3" w14:textId="77777777" w:rsidTr="00406B4D">
        <w:trPr>
          <w:trHeight w:val="300"/>
        </w:trPr>
        <w:tc>
          <w:tcPr>
            <w:tcW w:w="1013" w:type="dxa"/>
            <w:tcBorders>
              <w:top w:val="nil"/>
              <w:left w:val="nil"/>
              <w:bottom w:val="nil"/>
              <w:right w:val="nil"/>
            </w:tcBorders>
            <w:shd w:val="clear" w:color="auto" w:fill="auto"/>
            <w:noWrap/>
            <w:vAlign w:val="bottom"/>
            <w:hideMark/>
          </w:tcPr>
          <w:p w14:paraId="16495F82"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7E1B082"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483D1A22" w14:textId="77777777" w:rsidR="00761800" w:rsidRPr="00761800" w:rsidRDefault="00761800" w:rsidP="00761800">
            <w:pPr>
              <w:rPr>
                <w:rFonts w:ascii="Times New Roman" w:hAnsi="Times New Roman"/>
                <w:sz w:val="20"/>
                <w:lang w:eastAsia="bg-BG"/>
              </w:rPr>
            </w:pPr>
          </w:p>
        </w:tc>
      </w:tr>
      <w:tr w:rsidR="00761800" w:rsidRPr="00761800" w14:paraId="748858BE" w14:textId="77777777" w:rsidTr="00406B4D">
        <w:trPr>
          <w:trHeight w:val="300"/>
        </w:trPr>
        <w:tc>
          <w:tcPr>
            <w:tcW w:w="14253" w:type="dxa"/>
            <w:gridSpan w:val="3"/>
            <w:tcBorders>
              <w:top w:val="nil"/>
              <w:left w:val="nil"/>
              <w:bottom w:val="single" w:sz="4" w:space="0" w:color="auto"/>
              <w:right w:val="nil"/>
            </w:tcBorders>
            <w:shd w:val="clear" w:color="auto" w:fill="auto"/>
            <w:hideMark/>
          </w:tcPr>
          <w:p w14:paraId="530150DF"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 xml:space="preserve">(2) Утвърждава разходите на Народното събрание по ал. 1 по функционални области, както следва:  </w:t>
            </w:r>
          </w:p>
        </w:tc>
      </w:tr>
      <w:tr w:rsidR="00761800" w:rsidRPr="00761800" w14:paraId="4B3DDDCB"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C17A2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77A08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nil"/>
              <w:left w:val="nil"/>
              <w:bottom w:val="nil"/>
              <w:right w:val="single" w:sz="4" w:space="0" w:color="auto"/>
            </w:tcBorders>
            <w:shd w:val="clear" w:color="auto" w:fill="auto"/>
            <w:noWrap/>
            <w:vAlign w:val="bottom"/>
            <w:hideMark/>
          </w:tcPr>
          <w:p w14:paraId="72553E2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EC03E44"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F72922F"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095EDBF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1729196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C46960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02172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E40A96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AEDC5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2FD6CB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AF6170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3DDF71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„Представителен и ефективен Парламент“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01B50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41 585,1</w:t>
            </w:r>
          </w:p>
        </w:tc>
      </w:tr>
      <w:tr w:rsidR="00761800" w:rsidRPr="00761800" w14:paraId="2B61B1E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3FAA2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86F6AB7"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 в т.ч. Резерв за неотложни и непредвидени разходи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55DD2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255,6</w:t>
            </w:r>
          </w:p>
        </w:tc>
      </w:tr>
      <w:tr w:rsidR="00761800" w:rsidRPr="00761800" w14:paraId="5AF2CC9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DF1A0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19A8908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„Осигуряващи дейности“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2BD15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21 593,9</w:t>
            </w:r>
          </w:p>
        </w:tc>
      </w:tr>
      <w:tr w:rsidR="00761800" w:rsidRPr="00761800" w14:paraId="69C3CF3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F9FFC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3.     </w:t>
            </w:r>
          </w:p>
        </w:tc>
        <w:tc>
          <w:tcPr>
            <w:tcW w:w="11062" w:type="dxa"/>
            <w:tcBorders>
              <w:top w:val="nil"/>
              <w:left w:val="nil"/>
              <w:bottom w:val="single" w:sz="4" w:space="0" w:color="auto"/>
              <w:right w:val="nil"/>
            </w:tcBorders>
            <w:shd w:val="clear" w:color="auto" w:fill="auto"/>
            <w:noWrap/>
            <w:vAlign w:val="bottom"/>
            <w:hideMark/>
          </w:tcPr>
          <w:p w14:paraId="27934D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„Съпътстваща дейност“ (Икономически и социален съвет)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91084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1 509,0</w:t>
            </w:r>
          </w:p>
        </w:tc>
      </w:tr>
      <w:tr w:rsidR="00761800" w:rsidRPr="00761800" w14:paraId="4751B80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7F15E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4.</w:t>
            </w:r>
          </w:p>
        </w:tc>
        <w:tc>
          <w:tcPr>
            <w:tcW w:w="11062" w:type="dxa"/>
            <w:tcBorders>
              <w:top w:val="nil"/>
              <w:left w:val="nil"/>
              <w:bottom w:val="single" w:sz="4" w:space="0" w:color="auto"/>
              <w:right w:val="nil"/>
            </w:tcBorders>
            <w:shd w:val="clear" w:color="auto" w:fill="auto"/>
            <w:noWrap/>
            <w:vAlign w:val="bottom"/>
            <w:hideMark/>
          </w:tcPr>
          <w:p w14:paraId="21D289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„Мониторинг на фискалната политика“ (Фискален съвет)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4EA30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479,0</w:t>
            </w:r>
          </w:p>
        </w:tc>
      </w:tr>
      <w:tr w:rsidR="00761800" w:rsidRPr="00761800" w14:paraId="663B260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50E59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27A7C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00120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65 167,0</w:t>
            </w:r>
          </w:p>
        </w:tc>
      </w:tr>
      <w:tr w:rsidR="00761800" w:rsidRPr="00761800" w14:paraId="33333ABB" w14:textId="77777777" w:rsidTr="00406B4D">
        <w:trPr>
          <w:trHeight w:val="300"/>
        </w:trPr>
        <w:tc>
          <w:tcPr>
            <w:tcW w:w="1013" w:type="dxa"/>
            <w:tcBorders>
              <w:top w:val="nil"/>
              <w:left w:val="nil"/>
              <w:bottom w:val="nil"/>
              <w:right w:val="nil"/>
            </w:tcBorders>
            <w:shd w:val="clear" w:color="auto" w:fill="auto"/>
            <w:noWrap/>
            <w:vAlign w:val="bottom"/>
            <w:hideMark/>
          </w:tcPr>
          <w:p w14:paraId="062E9451"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43FC9CA0"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4D117E9D" w14:textId="77777777" w:rsidR="00761800" w:rsidRPr="00761800" w:rsidRDefault="00761800" w:rsidP="00761800">
            <w:pPr>
              <w:rPr>
                <w:rFonts w:ascii="Times New Roman" w:hAnsi="Times New Roman"/>
                <w:sz w:val="20"/>
                <w:lang w:eastAsia="bg-BG"/>
              </w:rPr>
            </w:pPr>
          </w:p>
        </w:tc>
      </w:tr>
      <w:tr w:rsidR="00761800" w:rsidRPr="00761800" w14:paraId="54B50FC6" w14:textId="77777777" w:rsidTr="00406B4D">
        <w:trPr>
          <w:trHeight w:val="690"/>
        </w:trPr>
        <w:tc>
          <w:tcPr>
            <w:tcW w:w="14253" w:type="dxa"/>
            <w:gridSpan w:val="3"/>
            <w:tcBorders>
              <w:top w:val="nil"/>
              <w:left w:val="nil"/>
              <w:bottom w:val="single" w:sz="4" w:space="0" w:color="auto"/>
              <w:right w:val="nil"/>
            </w:tcBorders>
            <w:shd w:val="clear" w:color="auto" w:fill="auto"/>
            <w:hideMark/>
          </w:tcPr>
          <w:p w14:paraId="4F60EEC6"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Народното събрание, както следва:</w:t>
            </w:r>
          </w:p>
        </w:tc>
      </w:tr>
      <w:tr w:rsidR="00761800" w:rsidRPr="00761800" w14:paraId="5642BD0D"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2B03B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3A1C5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125EB49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3ABFF57"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95B7E67"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260D17BA"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5F53FA0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8F1F72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86F7E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860624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4A7158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8547CA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5A320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6E147C1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2E939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17 928,7</w:t>
            </w:r>
          </w:p>
        </w:tc>
      </w:tr>
      <w:tr w:rsidR="00761800" w:rsidRPr="00761800" w14:paraId="53C988D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C3FD2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077F9B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5867F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20 803,1</w:t>
            </w:r>
          </w:p>
        </w:tc>
      </w:tr>
      <w:tr w:rsidR="00761800" w:rsidRPr="00761800" w14:paraId="4A23F8CA" w14:textId="77777777" w:rsidTr="00406B4D">
        <w:trPr>
          <w:trHeight w:val="300"/>
        </w:trPr>
        <w:tc>
          <w:tcPr>
            <w:tcW w:w="1013" w:type="dxa"/>
            <w:tcBorders>
              <w:top w:val="nil"/>
              <w:left w:val="nil"/>
              <w:bottom w:val="nil"/>
              <w:right w:val="nil"/>
            </w:tcBorders>
            <w:shd w:val="clear" w:color="auto" w:fill="auto"/>
            <w:noWrap/>
            <w:hideMark/>
          </w:tcPr>
          <w:p w14:paraId="75934903"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2E64FF0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7398DB5A" w14:textId="77777777" w:rsidR="00761800" w:rsidRPr="00761800" w:rsidRDefault="00761800" w:rsidP="00761800">
            <w:pPr>
              <w:rPr>
                <w:rFonts w:ascii="Times New Roman" w:hAnsi="Times New Roman"/>
                <w:sz w:val="20"/>
                <w:lang w:eastAsia="bg-BG"/>
              </w:rPr>
            </w:pPr>
          </w:p>
        </w:tc>
      </w:tr>
      <w:tr w:rsidR="00761800" w:rsidRPr="00761800" w14:paraId="2F613858" w14:textId="77777777" w:rsidTr="00406B4D">
        <w:trPr>
          <w:trHeight w:val="720"/>
        </w:trPr>
        <w:tc>
          <w:tcPr>
            <w:tcW w:w="14253" w:type="dxa"/>
            <w:gridSpan w:val="3"/>
            <w:tcBorders>
              <w:top w:val="nil"/>
              <w:left w:val="nil"/>
              <w:bottom w:val="nil"/>
              <w:right w:val="nil"/>
            </w:tcBorders>
            <w:shd w:val="clear" w:color="auto" w:fill="auto"/>
            <w:hideMark/>
          </w:tcPr>
          <w:p w14:paraId="610C4934"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lastRenderedPageBreak/>
              <w:t>(4) Утвърдените с ал. 3 максимални размери на ангажиментите за разходи и на новите задължения за разходи могат да се увеличават с до 20 на сто по решение на Народното събрание.</w:t>
            </w:r>
          </w:p>
        </w:tc>
      </w:tr>
      <w:tr w:rsidR="00761800" w:rsidRPr="00761800" w14:paraId="0E150861" w14:textId="77777777" w:rsidTr="00406B4D">
        <w:trPr>
          <w:trHeight w:val="812"/>
        </w:trPr>
        <w:tc>
          <w:tcPr>
            <w:tcW w:w="14253" w:type="dxa"/>
            <w:gridSpan w:val="3"/>
            <w:tcBorders>
              <w:top w:val="nil"/>
              <w:left w:val="nil"/>
              <w:bottom w:val="nil"/>
              <w:right w:val="nil"/>
            </w:tcBorders>
            <w:shd w:val="clear" w:color="auto" w:fill="auto"/>
            <w:hideMark/>
          </w:tcPr>
          <w:p w14:paraId="3FBB4363"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(5) В срок един месец от обнародването на този закон председателят на Народното събрание разпределя бюджета на Народното събрание по програми в рамките на утвърдените разходи по функционални области по ал. 2 и го представя за информация на Сметната палата и на Министерството на финансите.</w:t>
            </w:r>
          </w:p>
        </w:tc>
      </w:tr>
      <w:tr w:rsidR="00761800" w:rsidRPr="00761800" w14:paraId="0FD5AA53" w14:textId="77777777" w:rsidTr="00406B4D">
        <w:trPr>
          <w:trHeight w:val="853"/>
        </w:trPr>
        <w:tc>
          <w:tcPr>
            <w:tcW w:w="14253" w:type="dxa"/>
            <w:gridSpan w:val="3"/>
            <w:tcBorders>
              <w:top w:val="nil"/>
              <w:left w:val="nil"/>
              <w:bottom w:val="nil"/>
              <w:right w:val="nil"/>
            </w:tcBorders>
            <w:shd w:val="clear" w:color="auto" w:fill="auto"/>
            <w:hideMark/>
          </w:tcPr>
          <w:p w14:paraId="57EF3BCA"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(6) Икономията на средства по ал. 1, II, т. 1 в частта за възнагражденията на народните представители и свързаните с тях регламентирани допълнителни разходи, формирани по реда на Правилника за организацията и дейността на Народното събрание, спрямо прогнозния размер, заложен в разчетите по ал. 1, II, т. 1, се отразява в намаление на съответните разходи чрез промяна на бюджетното взаимоотношение с централния бюджет.</w:t>
            </w:r>
          </w:p>
        </w:tc>
      </w:tr>
      <w:tr w:rsidR="00761800" w:rsidRPr="00761800" w14:paraId="312D69A1" w14:textId="77777777" w:rsidTr="00406B4D">
        <w:trPr>
          <w:trHeight w:val="1122"/>
        </w:trPr>
        <w:tc>
          <w:tcPr>
            <w:tcW w:w="14253" w:type="dxa"/>
            <w:gridSpan w:val="3"/>
            <w:tcBorders>
              <w:top w:val="nil"/>
              <w:left w:val="nil"/>
              <w:bottom w:val="nil"/>
              <w:right w:val="nil"/>
            </w:tcBorders>
            <w:shd w:val="clear" w:color="auto" w:fill="auto"/>
            <w:hideMark/>
          </w:tcPr>
          <w:p w14:paraId="12F3E1E2"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(7) При недостиг на средства по ал. 1, II, т. 1 в частта за възнагражденията на народните представители и свързаните с тях регламентирани допълнителни разходи, формирани по реда на Правилника за организацията и дейността на Народното събрание, спрямо прогнозния размер, заложен в разчетите по ал. 1, II, т. 1, до 10 на сто от недостига е за сметка на резерва за непредвидени и/или неотложни разходи по ал. 1, II, т. 3, а останалата част се покрива от централния бюджет.</w:t>
            </w:r>
          </w:p>
        </w:tc>
      </w:tr>
      <w:tr w:rsidR="00761800" w:rsidRPr="00761800" w14:paraId="6B21D59B" w14:textId="77777777" w:rsidTr="00406B4D">
        <w:trPr>
          <w:trHeight w:val="690"/>
        </w:trPr>
        <w:tc>
          <w:tcPr>
            <w:tcW w:w="14253" w:type="dxa"/>
            <w:gridSpan w:val="3"/>
            <w:tcBorders>
              <w:top w:val="nil"/>
              <w:left w:val="nil"/>
              <w:bottom w:val="nil"/>
              <w:right w:val="nil"/>
            </w:tcBorders>
            <w:shd w:val="clear" w:color="auto" w:fill="auto"/>
            <w:hideMark/>
          </w:tcPr>
          <w:p w14:paraId="363A06C0"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(8) Икономията на разходите за персонал на парламентарните служители може да се използва текущо или с натрупване за изплащането на допълнителни възнаграждения и дължимите за тях осигурителни вноски и/или за други разходи.</w:t>
            </w:r>
          </w:p>
        </w:tc>
      </w:tr>
      <w:tr w:rsidR="00761800" w:rsidRPr="00761800" w14:paraId="563EB5CF" w14:textId="77777777" w:rsidTr="00406B4D">
        <w:trPr>
          <w:trHeight w:val="990"/>
        </w:trPr>
        <w:tc>
          <w:tcPr>
            <w:tcW w:w="14253" w:type="dxa"/>
            <w:gridSpan w:val="3"/>
            <w:tcBorders>
              <w:top w:val="nil"/>
              <w:left w:val="nil"/>
              <w:bottom w:val="nil"/>
              <w:right w:val="nil"/>
            </w:tcBorders>
            <w:shd w:val="clear" w:color="auto" w:fill="auto"/>
            <w:hideMark/>
          </w:tcPr>
          <w:p w14:paraId="0C0C7DB1"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(9) В срок един месец от обнародването на постановлението за изпълнението на държавния бюджет на Република България за 2026 г. председателят на Народното събрание представя в Сметната палата и в Министерството на финансите месечно разпределение на утвърдените годишни размери на показатели по ал. 1 по бюджета на Народното събрание съгласно Единната бюджетна класификация.</w:t>
            </w:r>
          </w:p>
        </w:tc>
      </w:tr>
      <w:tr w:rsidR="00761800" w:rsidRPr="00761800" w14:paraId="34EAF3E3" w14:textId="77777777" w:rsidTr="00406B4D">
        <w:trPr>
          <w:trHeight w:val="300"/>
        </w:trPr>
        <w:tc>
          <w:tcPr>
            <w:tcW w:w="1013" w:type="dxa"/>
            <w:tcBorders>
              <w:top w:val="nil"/>
              <w:left w:val="nil"/>
              <w:bottom w:val="nil"/>
              <w:right w:val="nil"/>
            </w:tcBorders>
            <w:shd w:val="clear" w:color="auto" w:fill="auto"/>
            <w:noWrap/>
            <w:vAlign w:val="bottom"/>
            <w:hideMark/>
          </w:tcPr>
          <w:p w14:paraId="3ED19D1E"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A85565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384E74FE" w14:textId="77777777" w:rsidR="00761800" w:rsidRPr="00761800" w:rsidRDefault="00761800" w:rsidP="00761800">
            <w:pPr>
              <w:rPr>
                <w:rFonts w:ascii="Times New Roman" w:hAnsi="Times New Roman"/>
                <w:sz w:val="20"/>
                <w:lang w:eastAsia="bg-BG"/>
              </w:rPr>
            </w:pPr>
          </w:p>
        </w:tc>
      </w:tr>
      <w:tr w:rsidR="00761800" w:rsidRPr="00761800" w14:paraId="402C44E9" w14:textId="77777777" w:rsidTr="00406B4D">
        <w:trPr>
          <w:trHeight w:val="300"/>
        </w:trPr>
        <w:tc>
          <w:tcPr>
            <w:tcW w:w="14253" w:type="dxa"/>
            <w:gridSpan w:val="3"/>
            <w:tcBorders>
              <w:top w:val="nil"/>
              <w:left w:val="nil"/>
              <w:bottom w:val="nil"/>
              <w:right w:val="nil"/>
            </w:tcBorders>
            <w:shd w:val="clear" w:color="auto" w:fill="auto"/>
            <w:vAlign w:val="bottom"/>
            <w:hideMark/>
          </w:tcPr>
          <w:p w14:paraId="349B2D7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4.</w:t>
            </w:r>
            <w:r w:rsidRPr="00761800">
              <w:rPr>
                <w:rFonts w:ascii="Times New Roman" w:hAnsi="Times New Roman"/>
                <w:color w:val="000000"/>
                <w:sz w:val="22"/>
                <w:szCs w:val="22"/>
                <w:lang w:eastAsia="bg-BG"/>
              </w:rPr>
              <w:t xml:space="preserve"> (1) Приема бюджета на Сметната палата за 2026 г., както следва:</w:t>
            </w:r>
          </w:p>
        </w:tc>
      </w:tr>
      <w:tr w:rsidR="00761800" w:rsidRPr="00761800" w14:paraId="7CF422E3"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D5C833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1220C3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723BD8A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A229860"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CEB4797"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29263FB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3B6699A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02E6A4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C3C97D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B9A858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2004A4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F98C28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FAFC9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45C510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4189F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35,8</w:t>
            </w:r>
          </w:p>
        </w:tc>
      </w:tr>
      <w:tr w:rsidR="00761800" w:rsidRPr="00761800" w14:paraId="176E05D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26B94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44357BB0"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2D6D9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35,8</w:t>
            </w:r>
          </w:p>
        </w:tc>
      </w:tr>
      <w:tr w:rsidR="00761800" w:rsidRPr="00761800" w14:paraId="0FA1540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2E281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76A196E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2828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35,8</w:t>
            </w:r>
          </w:p>
        </w:tc>
      </w:tr>
      <w:tr w:rsidR="00761800" w:rsidRPr="00761800" w14:paraId="22FA3E2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B2134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03EE00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C82DA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23 180,5</w:t>
            </w:r>
          </w:p>
        </w:tc>
      </w:tr>
      <w:tr w:rsidR="00761800" w:rsidRPr="00761800" w14:paraId="2B9DB37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52E63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0F9E05D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51DD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22 838,4</w:t>
            </w:r>
          </w:p>
        </w:tc>
      </w:tr>
      <w:tr w:rsidR="00761800" w:rsidRPr="00761800" w14:paraId="23889BF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BFA28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70015DD"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95380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7540FC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AD336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23D357F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DE14D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20 922,7</w:t>
            </w:r>
          </w:p>
        </w:tc>
      </w:tr>
      <w:tr w:rsidR="00761800" w:rsidRPr="00761800" w14:paraId="10C9A80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EED4A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2.     </w:t>
            </w:r>
          </w:p>
        </w:tc>
        <w:tc>
          <w:tcPr>
            <w:tcW w:w="11062" w:type="dxa"/>
            <w:tcBorders>
              <w:top w:val="nil"/>
              <w:left w:val="nil"/>
              <w:bottom w:val="single" w:sz="4" w:space="0" w:color="auto"/>
              <w:right w:val="nil"/>
            </w:tcBorders>
            <w:shd w:val="clear" w:color="auto" w:fill="auto"/>
            <w:noWrap/>
            <w:vAlign w:val="bottom"/>
            <w:hideMark/>
          </w:tcPr>
          <w:p w14:paraId="70551BCA"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C1806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342,1</w:t>
            </w:r>
          </w:p>
        </w:tc>
      </w:tr>
      <w:tr w:rsidR="00761800" w:rsidRPr="00761800" w14:paraId="4FD9EC7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34038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71C9971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5DB6FB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342,1</w:t>
            </w:r>
          </w:p>
        </w:tc>
      </w:tr>
      <w:tr w:rsidR="00761800" w:rsidRPr="00761800" w14:paraId="6D70401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65111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1F149E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4FEC8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23 144,7</w:t>
            </w:r>
          </w:p>
        </w:tc>
      </w:tr>
      <w:tr w:rsidR="00761800" w:rsidRPr="00761800" w14:paraId="5809A3B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6585B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6BEC5F1"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 xml:space="preserve">Бюджетно взаимоотношение с централния бюджет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FBC5B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23 144,7</w:t>
            </w:r>
          </w:p>
        </w:tc>
      </w:tr>
      <w:tr w:rsidR="00761800" w:rsidRPr="00761800" w14:paraId="12F496D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4DADF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000000" w:fill="FFFFFF"/>
            <w:noWrap/>
            <w:vAlign w:val="bottom"/>
            <w:hideMark/>
          </w:tcPr>
          <w:p w14:paraId="5BADBB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hideMark/>
          </w:tcPr>
          <w:p w14:paraId="330647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A7143C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C4A7D2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000000" w:fill="FFFFFF"/>
            <w:noWrap/>
            <w:vAlign w:val="bottom"/>
            <w:hideMark/>
          </w:tcPr>
          <w:p w14:paraId="60B142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B5D6E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704AD3C" w14:textId="77777777" w:rsidTr="00406B4D">
        <w:trPr>
          <w:trHeight w:val="300"/>
        </w:trPr>
        <w:tc>
          <w:tcPr>
            <w:tcW w:w="1013" w:type="dxa"/>
            <w:tcBorders>
              <w:top w:val="nil"/>
              <w:left w:val="nil"/>
              <w:bottom w:val="nil"/>
              <w:right w:val="nil"/>
            </w:tcBorders>
            <w:shd w:val="clear" w:color="auto" w:fill="auto"/>
            <w:noWrap/>
            <w:vAlign w:val="bottom"/>
            <w:hideMark/>
          </w:tcPr>
          <w:p w14:paraId="0642332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4B18E20"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1AA6407D" w14:textId="77777777" w:rsidR="00761800" w:rsidRPr="00761800" w:rsidRDefault="00761800" w:rsidP="00761800">
            <w:pPr>
              <w:rPr>
                <w:rFonts w:ascii="Times New Roman" w:hAnsi="Times New Roman"/>
                <w:sz w:val="20"/>
                <w:lang w:eastAsia="bg-BG"/>
              </w:rPr>
            </w:pPr>
          </w:p>
        </w:tc>
      </w:tr>
      <w:tr w:rsidR="00761800" w:rsidRPr="00761800" w14:paraId="2DEF5A83" w14:textId="77777777" w:rsidTr="00406B4D">
        <w:trPr>
          <w:trHeight w:val="300"/>
        </w:trPr>
        <w:tc>
          <w:tcPr>
            <w:tcW w:w="14253" w:type="dxa"/>
            <w:gridSpan w:val="3"/>
            <w:tcBorders>
              <w:top w:val="nil"/>
              <w:left w:val="nil"/>
              <w:bottom w:val="single" w:sz="4" w:space="0" w:color="auto"/>
              <w:right w:val="nil"/>
            </w:tcBorders>
            <w:shd w:val="clear" w:color="auto" w:fill="auto"/>
            <w:noWrap/>
            <w:vAlign w:val="bottom"/>
            <w:hideMark/>
          </w:tcPr>
          <w:p w14:paraId="0976CE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45870904"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70199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91E8E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nil"/>
              <w:left w:val="nil"/>
              <w:bottom w:val="nil"/>
              <w:right w:val="single" w:sz="4" w:space="0" w:color="auto"/>
            </w:tcBorders>
            <w:shd w:val="clear" w:color="auto" w:fill="auto"/>
            <w:noWrap/>
            <w:vAlign w:val="bottom"/>
            <w:hideMark/>
          </w:tcPr>
          <w:p w14:paraId="45A0D13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CEED8CE"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871B6B7"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6D7B89A2"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375BEF0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35A412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20046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F91296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EE345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50C6B87" w14:textId="77777777" w:rsidTr="00406B4D">
        <w:trPr>
          <w:trHeight w:val="274"/>
        </w:trPr>
        <w:tc>
          <w:tcPr>
            <w:tcW w:w="1013" w:type="dxa"/>
            <w:tcBorders>
              <w:top w:val="nil"/>
              <w:left w:val="single" w:sz="4" w:space="0" w:color="auto"/>
              <w:bottom w:val="single" w:sz="4" w:space="0" w:color="auto"/>
              <w:right w:val="single" w:sz="4" w:space="0" w:color="auto"/>
            </w:tcBorders>
            <w:shd w:val="clear" w:color="auto" w:fill="auto"/>
            <w:noWrap/>
            <w:hideMark/>
          </w:tcPr>
          <w:p w14:paraId="388319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vAlign w:val="bottom"/>
            <w:hideMark/>
          </w:tcPr>
          <w:p w14:paraId="188313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„Контрол по изпълнението на бюджета и управлението на публичните средства и дейности“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788C5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15 670,0</w:t>
            </w:r>
          </w:p>
        </w:tc>
      </w:tr>
      <w:tr w:rsidR="00761800" w:rsidRPr="00761800" w14:paraId="40101D9D" w14:textId="77777777" w:rsidTr="00406B4D">
        <w:trPr>
          <w:trHeight w:val="263"/>
        </w:trPr>
        <w:tc>
          <w:tcPr>
            <w:tcW w:w="1013" w:type="dxa"/>
            <w:tcBorders>
              <w:top w:val="nil"/>
              <w:left w:val="single" w:sz="4" w:space="0" w:color="auto"/>
              <w:bottom w:val="single" w:sz="4" w:space="0" w:color="auto"/>
              <w:right w:val="single" w:sz="4" w:space="0" w:color="auto"/>
            </w:tcBorders>
            <w:shd w:val="clear" w:color="auto" w:fill="auto"/>
            <w:noWrap/>
            <w:hideMark/>
          </w:tcPr>
          <w:p w14:paraId="5885F9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vAlign w:val="bottom"/>
            <w:hideMark/>
          </w:tcPr>
          <w:p w14:paraId="26B8ED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„Осъществяване на превенция на корупцията и установяване на конфликт на интереси“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7AAB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7 510,5</w:t>
            </w:r>
          </w:p>
        </w:tc>
      </w:tr>
      <w:tr w:rsidR="00761800" w:rsidRPr="00761800" w14:paraId="32988F6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54CEA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2D786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14F84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23 180,5</w:t>
            </w:r>
          </w:p>
        </w:tc>
      </w:tr>
      <w:tr w:rsidR="00761800" w:rsidRPr="00761800" w14:paraId="1A2797DC" w14:textId="77777777" w:rsidTr="00406B4D">
        <w:trPr>
          <w:trHeight w:val="70"/>
        </w:trPr>
        <w:tc>
          <w:tcPr>
            <w:tcW w:w="1013" w:type="dxa"/>
            <w:tcBorders>
              <w:top w:val="nil"/>
              <w:left w:val="nil"/>
              <w:bottom w:val="nil"/>
              <w:right w:val="nil"/>
            </w:tcBorders>
            <w:shd w:val="clear" w:color="auto" w:fill="auto"/>
            <w:noWrap/>
            <w:vAlign w:val="bottom"/>
            <w:hideMark/>
          </w:tcPr>
          <w:p w14:paraId="21C277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auto" w:fill="auto"/>
            <w:noWrap/>
            <w:vAlign w:val="bottom"/>
            <w:hideMark/>
          </w:tcPr>
          <w:p w14:paraId="3C5C1C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nil"/>
              <w:bottom w:val="nil"/>
              <w:right w:val="nil"/>
            </w:tcBorders>
            <w:shd w:val="clear" w:color="auto" w:fill="auto"/>
            <w:noWrap/>
            <w:vAlign w:val="bottom"/>
            <w:hideMark/>
          </w:tcPr>
          <w:p w14:paraId="34B4E0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2771CC2" w14:textId="77777777" w:rsidTr="00406B4D">
        <w:trPr>
          <w:trHeight w:val="825"/>
        </w:trPr>
        <w:tc>
          <w:tcPr>
            <w:tcW w:w="14253" w:type="dxa"/>
            <w:gridSpan w:val="3"/>
            <w:tcBorders>
              <w:top w:val="nil"/>
              <w:left w:val="nil"/>
              <w:bottom w:val="single" w:sz="4" w:space="0" w:color="auto"/>
              <w:right w:val="nil"/>
            </w:tcBorders>
            <w:shd w:val="clear" w:color="auto" w:fill="auto"/>
            <w:hideMark/>
          </w:tcPr>
          <w:p w14:paraId="7BF99F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Сметната палата, както следва:</w:t>
            </w:r>
          </w:p>
        </w:tc>
      </w:tr>
      <w:tr w:rsidR="00761800" w:rsidRPr="00761800" w14:paraId="4FCDC607"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9703F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7ED04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7608EF3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DAE6FF7"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432EB76"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507FDD7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545F0E2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381E3C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80A3E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C070AE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3A956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607813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90B7F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69323A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70C82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2 177,2</w:t>
            </w:r>
          </w:p>
        </w:tc>
      </w:tr>
      <w:tr w:rsidR="00761800" w:rsidRPr="00761800" w14:paraId="784A00E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8F5AB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73AFB3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683C5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2 177,2</w:t>
            </w:r>
          </w:p>
        </w:tc>
      </w:tr>
      <w:tr w:rsidR="00761800" w:rsidRPr="00761800" w14:paraId="7420ACFC" w14:textId="77777777" w:rsidTr="00406B4D">
        <w:trPr>
          <w:trHeight w:val="300"/>
        </w:trPr>
        <w:tc>
          <w:tcPr>
            <w:tcW w:w="1013" w:type="dxa"/>
            <w:tcBorders>
              <w:top w:val="nil"/>
              <w:left w:val="nil"/>
              <w:bottom w:val="nil"/>
              <w:right w:val="nil"/>
            </w:tcBorders>
            <w:shd w:val="clear" w:color="auto" w:fill="auto"/>
            <w:noWrap/>
            <w:vAlign w:val="bottom"/>
            <w:hideMark/>
          </w:tcPr>
          <w:p w14:paraId="4A118D69"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E6AD9C7"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431589A" w14:textId="77777777" w:rsidR="00761800" w:rsidRPr="00761800" w:rsidRDefault="00761800" w:rsidP="00761800">
            <w:pPr>
              <w:rPr>
                <w:rFonts w:ascii="Times New Roman" w:hAnsi="Times New Roman"/>
                <w:sz w:val="20"/>
                <w:lang w:eastAsia="bg-BG"/>
              </w:rPr>
            </w:pPr>
          </w:p>
        </w:tc>
      </w:tr>
      <w:tr w:rsidR="00761800" w:rsidRPr="00761800" w14:paraId="26C7D392" w14:textId="77777777" w:rsidTr="00406B4D">
        <w:trPr>
          <w:trHeight w:val="1110"/>
        </w:trPr>
        <w:tc>
          <w:tcPr>
            <w:tcW w:w="14253" w:type="dxa"/>
            <w:gridSpan w:val="3"/>
            <w:tcBorders>
              <w:top w:val="nil"/>
              <w:left w:val="nil"/>
              <w:bottom w:val="nil"/>
              <w:right w:val="nil"/>
            </w:tcBorders>
            <w:shd w:val="clear" w:color="auto" w:fill="auto"/>
            <w:hideMark/>
          </w:tcPr>
          <w:p w14:paraId="249943B9"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 xml:space="preserve"> (4) В разходите по ал. 1 са включени и разходите на Комисията за противодействие на корупцията до отмяната на Закона за противодействие на корупцията (обн., ДВ, бр. 84 от 2023 г.; изм., бр. 13 от 2024 г. и бр. 57 от 2025 г.; отм. бр. 16 от  2026 г.) и разходите на Комисията за противодействие на корупцията след изтичането на срока по § 3, ал. 4 от преходните и заключителни разпоредби на Закона за противодействие на корупцията сред лица, заемащи публични длъжности.</w:t>
            </w:r>
          </w:p>
        </w:tc>
      </w:tr>
      <w:tr w:rsidR="00761800" w:rsidRPr="00761800" w14:paraId="5BB8D3CC" w14:textId="77777777" w:rsidTr="00406B4D">
        <w:trPr>
          <w:trHeight w:val="449"/>
        </w:trPr>
        <w:tc>
          <w:tcPr>
            <w:tcW w:w="1013" w:type="dxa"/>
            <w:tcBorders>
              <w:top w:val="nil"/>
              <w:left w:val="nil"/>
              <w:bottom w:val="nil"/>
              <w:right w:val="nil"/>
            </w:tcBorders>
            <w:shd w:val="clear" w:color="auto" w:fill="auto"/>
            <w:hideMark/>
          </w:tcPr>
          <w:p w14:paraId="5B0C46D4"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hideMark/>
          </w:tcPr>
          <w:p w14:paraId="0106151A" w14:textId="77777777" w:rsidR="00761800" w:rsidRPr="00761800" w:rsidRDefault="00761800" w:rsidP="00761800">
            <w:pPr>
              <w:jc w:val="both"/>
              <w:rPr>
                <w:rFonts w:ascii="Times New Roman" w:hAnsi="Times New Roman"/>
                <w:sz w:val="20"/>
                <w:lang w:eastAsia="bg-BG"/>
              </w:rPr>
            </w:pPr>
          </w:p>
        </w:tc>
        <w:tc>
          <w:tcPr>
            <w:tcW w:w="2178" w:type="dxa"/>
            <w:tcBorders>
              <w:top w:val="nil"/>
              <w:left w:val="nil"/>
              <w:bottom w:val="nil"/>
              <w:right w:val="nil"/>
            </w:tcBorders>
            <w:shd w:val="clear" w:color="auto" w:fill="auto"/>
            <w:hideMark/>
          </w:tcPr>
          <w:p w14:paraId="61643101" w14:textId="77777777" w:rsidR="00761800" w:rsidRPr="00761800" w:rsidRDefault="00761800" w:rsidP="00761800">
            <w:pPr>
              <w:jc w:val="both"/>
              <w:rPr>
                <w:rFonts w:ascii="Times New Roman" w:hAnsi="Times New Roman"/>
                <w:sz w:val="20"/>
                <w:lang w:eastAsia="bg-BG"/>
              </w:rPr>
            </w:pPr>
          </w:p>
        </w:tc>
      </w:tr>
      <w:tr w:rsidR="00761800" w:rsidRPr="00761800" w14:paraId="1D46B8BC" w14:textId="77777777" w:rsidTr="00406B4D">
        <w:trPr>
          <w:trHeight w:val="144"/>
        </w:trPr>
        <w:tc>
          <w:tcPr>
            <w:tcW w:w="14253" w:type="dxa"/>
            <w:gridSpan w:val="3"/>
            <w:tcBorders>
              <w:top w:val="nil"/>
              <w:left w:val="nil"/>
              <w:bottom w:val="nil"/>
              <w:right w:val="nil"/>
            </w:tcBorders>
            <w:shd w:val="clear" w:color="auto" w:fill="auto"/>
            <w:vAlign w:val="bottom"/>
            <w:hideMark/>
          </w:tcPr>
          <w:p w14:paraId="5CA215A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5.</w:t>
            </w:r>
            <w:r w:rsidRPr="00761800">
              <w:rPr>
                <w:rFonts w:ascii="Times New Roman" w:hAnsi="Times New Roman"/>
                <w:color w:val="000000"/>
                <w:sz w:val="22"/>
                <w:szCs w:val="22"/>
                <w:lang w:eastAsia="bg-BG"/>
              </w:rPr>
              <w:t xml:space="preserve"> (1) Приема бюджета на Администрацията на президента за 2026 г., както следва:</w:t>
            </w:r>
          </w:p>
          <w:p w14:paraId="5125414B" w14:textId="77777777" w:rsidR="00761800" w:rsidRPr="00761800" w:rsidRDefault="00761800" w:rsidP="00761800">
            <w:pPr>
              <w:rPr>
                <w:rFonts w:ascii="Times New Roman" w:hAnsi="Times New Roman"/>
                <w:color w:val="000000"/>
                <w:sz w:val="22"/>
                <w:szCs w:val="22"/>
                <w:lang w:eastAsia="bg-BG"/>
              </w:rPr>
            </w:pPr>
          </w:p>
        </w:tc>
      </w:tr>
      <w:tr w:rsidR="00761800" w:rsidRPr="00761800" w14:paraId="3236578A" w14:textId="77777777" w:rsidTr="00406B4D">
        <w:trPr>
          <w:trHeight w:val="7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D29B9A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4C3D55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67DD5C9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B9A3DBA"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69C90992"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08107F8"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511B9E7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0F8E5E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73ED8E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113983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hideMark/>
          </w:tcPr>
          <w:p w14:paraId="07C44E3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2B05DF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7988D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727B7B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62E20E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6915EF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3107F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1B069D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CF4B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6 595,1</w:t>
            </w:r>
          </w:p>
        </w:tc>
      </w:tr>
      <w:tr w:rsidR="00761800" w:rsidRPr="00761800" w14:paraId="77F63AD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1F543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19307B24"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3F0CD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6 423,8</w:t>
            </w:r>
          </w:p>
        </w:tc>
      </w:tr>
      <w:tr w:rsidR="00761800" w:rsidRPr="00761800" w14:paraId="4D10C9B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C3B43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897D01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3180F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B08CD3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817D7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65C4DEB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CA117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5 108,1</w:t>
            </w:r>
          </w:p>
        </w:tc>
      </w:tr>
      <w:tr w:rsidR="00761800" w:rsidRPr="00761800" w14:paraId="42EEB8F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BB6107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12A3BD98"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EAD219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171,3</w:t>
            </w:r>
          </w:p>
        </w:tc>
      </w:tr>
      <w:tr w:rsidR="00761800" w:rsidRPr="00761800" w14:paraId="43A9677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B3A68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6ACF386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2AB382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171,3</w:t>
            </w:r>
          </w:p>
        </w:tc>
      </w:tr>
      <w:tr w:rsidR="00761800" w:rsidRPr="00761800" w14:paraId="5096ECA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4F400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2FB789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F1195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6 595,1</w:t>
            </w:r>
          </w:p>
        </w:tc>
      </w:tr>
      <w:tr w:rsidR="00761800" w:rsidRPr="00761800" w14:paraId="32F845B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9016B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688ED59"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hideMark/>
          </w:tcPr>
          <w:p w14:paraId="5E064E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6 595,1</w:t>
            </w:r>
          </w:p>
        </w:tc>
      </w:tr>
      <w:tr w:rsidR="00761800" w:rsidRPr="00761800" w14:paraId="7264EB2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99806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584CA7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FC0CC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570F8C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49E22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618EAD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9B590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A31F357" w14:textId="77777777" w:rsidTr="00406B4D">
        <w:trPr>
          <w:trHeight w:val="300"/>
        </w:trPr>
        <w:tc>
          <w:tcPr>
            <w:tcW w:w="1013" w:type="dxa"/>
            <w:tcBorders>
              <w:top w:val="nil"/>
              <w:left w:val="nil"/>
              <w:bottom w:val="nil"/>
              <w:right w:val="nil"/>
            </w:tcBorders>
            <w:shd w:val="clear" w:color="auto" w:fill="auto"/>
            <w:noWrap/>
            <w:vAlign w:val="bottom"/>
            <w:hideMark/>
          </w:tcPr>
          <w:p w14:paraId="5A041FA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B3F99E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01FFB791" w14:textId="77777777" w:rsidR="00761800" w:rsidRPr="00761800" w:rsidRDefault="00761800" w:rsidP="00761800">
            <w:pPr>
              <w:rPr>
                <w:rFonts w:ascii="Times New Roman" w:hAnsi="Times New Roman"/>
                <w:sz w:val="20"/>
                <w:lang w:eastAsia="bg-BG"/>
              </w:rPr>
            </w:pPr>
          </w:p>
        </w:tc>
      </w:tr>
      <w:tr w:rsidR="00761800" w:rsidRPr="00761800" w14:paraId="3CA7BFA1" w14:textId="77777777" w:rsidTr="00406B4D">
        <w:trPr>
          <w:trHeight w:val="300"/>
        </w:trPr>
        <w:tc>
          <w:tcPr>
            <w:tcW w:w="14253" w:type="dxa"/>
            <w:gridSpan w:val="3"/>
            <w:tcBorders>
              <w:top w:val="nil"/>
              <w:left w:val="nil"/>
              <w:bottom w:val="single" w:sz="4" w:space="0" w:color="auto"/>
              <w:right w:val="nil"/>
            </w:tcBorders>
            <w:shd w:val="clear" w:color="auto" w:fill="auto"/>
            <w:noWrap/>
            <w:vAlign w:val="bottom"/>
            <w:hideMark/>
          </w:tcPr>
          <w:p w14:paraId="79513D4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034DD86C"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6F553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25BF2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nil"/>
              <w:left w:val="nil"/>
              <w:bottom w:val="nil"/>
              <w:right w:val="single" w:sz="4" w:space="0" w:color="auto"/>
            </w:tcBorders>
            <w:shd w:val="clear" w:color="auto" w:fill="auto"/>
            <w:noWrap/>
            <w:vAlign w:val="bottom"/>
            <w:hideMark/>
          </w:tcPr>
          <w:p w14:paraId="7F232BA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3A26D9F"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C74505E"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753C1BA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1DFD25D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1EA7BF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9543A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F56887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BD156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1C7BD6B" w14:textId="77777777" w:rsidTr="00406B4D">
        <w:trPr>
          <w:trHeight w:val="307"/>
        </w:trPr>
        <w:tc>
          <w:tcPr>
            <w:tcW w:w="1013" w:type="dxa"/>
            <w:tcBorders>
              <w:top w:val="nil"/>
              <w:left w:val="single" w:sz="4" w:space="0" w:color="auto"/>
              <w:bottom w:val="single" w:sz="4" w:space="0" w:color="auto"/>
              <w:right w:val="single" w:sz="4" w:space="0" w:color="auto"/>
            </w:tcBorders>
            <w:shd w:val="clear" w:color="auto" w:fill="auto"/>
            <w:noWrap/>
            <w:hideMark/>
          </w:tcPr>
          <w:p w14:paraId="5BA276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029655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„Осъществяване на конституционните правомощия на президента на Република България“</w:t>
            </w:r>
          </w:p>
        </w:tc>
        <w:tc>
          <w:tcPr>
            <w:tcW w:w="2178" w:type="dxa"/>
            <w:tcBorders>
              <w:top w:val="nil"/>
              <w:left w:val="single" w:sz="4" w:space="0" w:color="auto"/>
              <w:bottom w:val="nil"/>
              <w:right w:val="single" w:sz="4" w:space="0" w:color="auto"/>
            </w:tcBorders>
            <w:shd w:val="clear" w:color="auto" w:fill="auto"/>
            <w:noWrap/>
            <w:vAlign w:val="bottom"/>
            <w:hideMark/>
          </w:tcPr>
          <w:p w14:paraId="5C6034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6 595,1</w:t>
            </w:r>
          </w:p>
        </w:tc>
      </w:tr>
      <w:tr w:rsidR="00761800" w:rsidRPr="00761800" w14:paraId="540309A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6BAAC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2851D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D150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6 595,1</w:t>
            </w:r>
          </w:p>
        </w:tc>
      </w:tr>
      <w:tr w:rsidR="00761800" w:rsidRPr="00761800" w14:paraId="5D801D80" w14:textId="77777777" w:rsidTr="00406B4D">
        <w:trPr>
          <w:trHeight w:val="300"/>
        </w:trPr>
        <w:tc>
          <w:tcPr>
            <w:tcW w:w="1013" w:type="dxa"/>
            <w:tcBorders>
              <w:top w:val="nil"/>
              <w:left w:val="nil"/>
              <w:bottom w:val="nil"/>
              <w:right w:val="nil"/>
            </w:tcBorders>
            <w:shd w:val="clear" w:color="auto" w:fill="auto"/>
            <w:noWrap/>
            <w:vAlign w:val="bottom"/>
            <w:hideMark/>
          </w:tcPr>
          <w:p w14:paraId="1396C196"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98D508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5D569432" w14:textId="77777777" w:rsidR="00761800" w:rsidRPr="00761800" w:rsidRDefault="00761800" w:rsidP="00761800">
            <w:pPr>
              <w:rPr>
                <w:rFonts w:ascii="Times New Roman" w:hAnsi="Times New Roman"/>
                <w:sz w:val="20"/>
                <w:lang w:eastAsia="bg-BG"/>
              </w:rPr>
            </w:pPr>
          </w:p>
        </w:tc>
      </w:tr>
      <w:tr w:rsidR="00761800" w:rsidRPr="00761800" w14:paraId="5B568C79"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16F8A1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Администрацията на президента, както следва:</w:t>
            </w:r>
          </w:p>
        </w:tc>
      </w:tr>
      <w:tr w:rsidR="00761800" w:rsidRPr="00761800" w14:paraId="5A3A976E"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57D3A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6065E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7331D80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BAAFE93" w14:textId="77777777" w:rsidTr="00406B4D">
        <w:trPr>
          <w:trHeight w:val="160"/>
        </w:trPr>
        <w:tc>
          <w:tcPr>
            <w:tcW w:w="1013" w:type="dxa"/>
            <w:vMerge/>
            <w:tcBorders>
              <w:top w:val="nil"/>
              <w:left w:val="single" w:sz="4" w:space="0" w:color="auto"/>
              <w:bottom w:val="single" w:sz="4" w:space="0" w:color="000000"/>
              <w:right w:val="single" w:sz="4" w:space="0" w:color="auto"/>
            </w:tcBorders>
            <w:vAlign w:val="center"/>
            <w:hideMark/>
          </w:tcPr>
          <w:p w14:paraId="14D04B07"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15DB0CE2"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0F89FC9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901DC4F" w14:textId="77777777" w:rsidTr="00406B4D">
        <w:trPr>
          <w:trHeight w:val="278"/>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9F514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A15280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8AE125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59AF50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76D9A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52D06F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14596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1 446,0</w:t>
            </w:r>
          </w:p>
        </w:tc>
      </w:tr>
      <w:tr w:rsidR="00761800" w:rsidRPr="00761800" w14:paraId="48A50AB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4B6C1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2.</w:t>
            </w:r>
          </w:p>
        </w:tc>
        <w:tc>
          <w:tcPr>
            <w:tcW w:w="11062" w:type="dxa"/>
            <w:tcBorders>
              <w:top w:val="nil"/>
              <w:left w:val="nil"/>
              <w:bottom w:val="single" w:sz="4" w:space="0" w:color="auto"/>
              <w:right w:val="nil"/>
            </w:tcBorders>
            <w:shd w:val="clear" w:color="auto" w:fill="auto"/>
            <w:noWrap/>
            <w:vAlign w:val="bottom"/>
            <w:hideMark/>
          </w:tcPr>
          <w:p w14:paraId="12346D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04DED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1 446,0</w:t>
            </w:r>
          </w:p>
        </w:tc>
      </w:tr>
      <w:tr w:rsidR="00761800" w:rsidRPr="00761800" w14:paraId="356ABA0E" w14:textId="77777777" w:rsidTr="00406B4D">
        <w:trPr>
          <w:trHeight w:val="300"/>
        </w:trPr>
        <w:tc>
          <w:tcPr>
            <w:tcW w:w="1013" w:type="dxa"/>
            <w:tcBorders>
              <w:top w:val="nil"/>
              <w:left w:val="nil"/>
              <w:bottom w:val="nil"/>
              <w:right w:val="nil"/>
            </w:tcBorders>
            <w:shd w:val="clear" w:color="auto" w:fill="auto"/>
            <w:vAlign w:val="bottom"/>
            <w:hideMark/>
          </w:tcPr>
          <w:p w14:paraId="7E995078"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5AB0FE1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53105A72" w14:textId="77777777" w:rsidR="00761800" w:rsidRPr="00761800" w:rsidRDefault="00761800" w:rsidP="00761800">
            <w:pPr>
              <w:rPr>
                <w:rFonts w:ascii="Times New Roman" w:hAnsi="Times New Roman"/>
                <w:sz w:val="20"/>
                <w:lang w:eastAsia="bg-BG"/>
              </w:rPr>
            </w:pPr>
          </w:p>
        </w:tc>
      </w:tr>
      <w:tr w:rsidR="00761800" w:rsidRPr="00761800" w14:paraId="29240FB8" w14:textId="77777777" w:rsidTr="00406B4D">
        <w:trPr>
          <w:trHeight w:val="92"/>
        </w:trPr>
        <w:tc>
          <w:tcPr>
            <w:tcW w:w="14253" w:type="dxa"/>
            <w:gridSpan w:val="3"/>
            <w:tcBorders>
              <w:top w:val="nil"/>
              <w:left w:val="nil"/>
              <w:bottom w:val="nil"/>
              <w:right w:val="nil"/>
            </w:tcBorders>
            <w:shd w:val="clear" w:color="auto" w:fill="auto"/>
            <w:vAlign w:val="bottom"/>
            <w:hideMark/>
          </w:tcPr>
          <w:p w14:paraId="5A70817A"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6.</w:t>
            </w:r>
            <w:r w:rsidRPr="00761800">
              <w:rPr>
                <w:rFonts w:ascii="Times New Roman" w:hAnsi="Times New Roman"/>
                <w:color w:val="000000"/>
                <w:sz w:val="22"/>
                <w:szCs w:val="22"/>
                <w:lang w:eastAsia="bg-BG"/>
              </w:rPr>
              <w:t xml:space="preserve"> (1) Приема бюджета на Министерския съвет за 2026 г., както следва:</w:t>
            </w:r>
          </w:p>
        </w:tc>
      </w:tr>
      <w:tr w:rsidR="00761800" w:rsidRPr="00761800" w14:paraId="3CDB0AB8"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77BDCF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5D992E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56E57C3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16C369A"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A370C49"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CDF2562"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47AA0AC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1279CB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F77A8A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C8D1DE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CC0F29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8366A0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7B4F1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43A56C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4D9A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11 071,5</w:t>
            </w:r>
          </w:p>
        </w:tc>
      </w:tr>
      <w:tr w:rsidR="00761800" w:rsidRPr="00761800" w14:paraId="4418B92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A8E63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397F12A"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0BA0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11 071,5</w:t>
            </w:r>
          </w:p>
        </w:tc>
      </w:tr>
      <w:tr w:rsidR="00761800" w:rsidRPr="00761800" w14:paraId="4A18C72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383A3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6C189E7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8310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393,8</w:t>
            </w:r>
          </w:p>
        </w:tc>
      </w:tr>
      <w:tr w:rsidR="00761800" w:rsidRPr="00761800" w14:paraId="50A16F2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39C58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0FF7C38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F14EB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4 099,1</w:t>
            </w:r>
          </w:p>
        </w:tc>
      </w:tr>
      <w:tr w:rsidR="00761800" w:rsidRPr="00761800" w14:paraId="2D5D848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C325D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133F766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4AE4A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6 578,6</w:t>
            </w:r>
          </w:p>
        </w:tc>
      </w:tr>
      <w:tr w:rsidR="00761800" w:rsidRPr="00761800" w14:paraId="0A092C8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7B170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6D433E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7B51C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123 662,4</w:t>
            </w:r>
          </w:p>
        </w:tc>
      </w:tr>
      <w:tr w:rsidR="00761800" w:rsidRPr="00761800" w14:paraId="2312336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CFECF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76629727"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F4DB4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113 234,4</w:t>
            </w:r>
          </w:p>
        </w:tc>
      </w:tr>
      <w:tr w:rsidR="00761800" w:rsidRPr="00761800" w14:paraId="5CD6624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C4A799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0267B4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F5437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ACB68F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8584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841B73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C1EF5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52 752,5</w:t>
            </w:r>
          </w:p>
        </w:tc>
      </w:tr>
      <w:tr w:rsidR="00761800" w:rsidRPr="00761800" w14:paraId="449405A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887B1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28A655D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37B7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36 779,8</w:t>
            </w:r>
          </w:p>
        </w:tc>
      </w:tr>
      <w:tr w:rsidR="00761800" w:rsidRPr="00761800" w14:paraId="66E441B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A89B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4854DA58"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A493E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36 779,8</w:t>
            </w:r>
          </w:p>
        </w:tc>
      </w:tr>
      <w:tr w:rsidR="00761800" w:rsidRPr="00761800" w14:paraId="2427550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DBA92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5981E4D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Текущи трансфери, обезщетения и помощи за домакинствата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362B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220,1</w:t>
            </w:r>
          </w:p>
        </w:tc>
      </w:tr>
      <w:tr w:rsidR="00761800" w:rsidRPr="00761800" w14:paraId="752159E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3F6C3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7CA919BC"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E4D43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10 428,0</w:t>
            </w:r>
          </w:p>
        </w:tc>
      </w:tr>
      <w:tr w:rsidR="00761800" w:rsidRPr="00761800" w14:paraId="5E91F58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B821B7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6964F23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60ACC1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10 428,0</w:t>
            </w:r>
          </w:p>
        </w:tc>
      </w:tr>
      <w:tr w:rsidR="00761800" w:rsidRPr="00761800" w14:paraId="2C0F676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0855C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373077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95EFC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112 590,9</w:t>
            </w:r>
          </w:p>
        </w:tc>
      </w:tr>
      <w:tr w:rsidR="00761800" w:rsidRPr="00761800" w14:paraId="0C1AFDB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5FF11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5569862"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6209C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112 590,9</w:t>
            </w:r>
          </w:p>
        </w:tc>
      </w:tr>
      <w:tr w:rsidR="00761800" w:rsidRPr="00761800" w14:paraId="25D0BE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2851B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478536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C8643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974C7C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439A81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42F38A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089C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2352E81" w14:textId="77777777" w:rsidTr="00406B4D">
        <w:trPr>
          <w:trHeight w:val="300"/>
        </w:trPr>
        <w:tc>
          <w:tcPr>
            <w:tcW w:w="1013" w:type="dxa"/>
            <w:tcBorders>
              <w:top w:val="nil"/>
              <w:left w:val="nil"/>
              <w:bottom w:val="nil"/>
              <w:right w:val="nil"/>
            </w:tcBorders>
            <w:shd w:val="clear" w:color="auto" w:fill="auto"/>
            <w:noWrap/>
            <w:vAlign w:val="bottom"/>
            <w:hideMark/>
          </w:tcPr>
          <w:p w14:paraId="0022076D"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4838F0E"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3613D73E" w14:textId="77777777" w:rsidR="00761800" w:rsidRPr="00761800" w:rsidRDefault="00761800" w:rsidP="00761800">
            <w:pPr>
              <w:rPr>
                <w:rFonts w:ascii="Times New Roman" w:hAnsi="Times New Roman"/>
                <w:sz w:val="20"/>
                <w:lang w:eastAsia="bg-BG"/>
              </w:rPr>
            </w:pPr>
          </w:p>
        </w:tc>
      </w:tr>
      <w:tr w:rsidR="00761800" w:rsidRPr="00761800" w14:paraId="3CEAE47F"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3D45E1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3095E593"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A4CA2C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90E2A9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single" w:sz="4" w:space="0" w:color="auto"/>
              <w:left w:val="nil"/>
              <w:bottom w:val="nil"/>
              <w:right w:val="single" w:sz="4" w:space="0" w:color="auto"/>
            </w:tcBorders>
            <w:shd w:val="clear" w:color="auto" w:fill="auto"/>
            <w:noWrap/>
            <w:vAlign w:val="bottom"/>
            <w:hideMark/>
          </w:tcPr>
          <w:p w14:paraId="7F851C2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5B66011"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1951757"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4FAD1D67"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3F4DC61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F1674B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09026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5266F5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8929D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84BDB0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B8894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w:t>
            </w:r>
          </w:p>
        </w:tc>
        <w:tc>
          <w:tcPr>
            <w:tcW w:w="11062" w:type="dxa"/>
            <w:tcBorders>
              <w:top w:val="nil"/>
              <w:left w:val="nil"/>
              <w:bottom w:val="single" w:sz="4" w:space="0" w:color="auto"/>
              <w:right w:val="nil"/>
            </w:tcBorders>
            <w:shd w:val="clear" w:color="auto" w:fill="auto"/>
            <w:noWrap/>
            <w:hideMark/>
          </w:tcPr>
          <w:p w14:paraId="51B314D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„Осигуряване дейността и организацията на работата на Министерския съвет“</w:t>
            </w:r>
          </w:p>
        </w:tc>
        <w:tc>
          <w:tcPr>
            <w:tcW w:w="2178" w:type="dxa"/>
            <w:tcBorders>
              <w:top w:val="nil"/>
              <w:left w:val="single" w:sz="4" w:space="0" w:color="auto"/>
              <w:bottom w:val="nil"/>
              <w:right w:val="single" w:sz="4" w:space="0" w:color="auto"/>
            </w:tcBorders>
            <w:shd w:val="clear" w:color="auto" w:fill="auto"/>
            <w:noWrap/>
            <w:vAlign w:val="bottom"/>
            <w:hideMark/>
          </w:tcPr>
          <w:p w14:paraId="5E33E7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11 756,5</w:t>
            </w:r>
          </w:p>
        </w:tc>
      </w:tr>
      <w:tr w:rsidR="00761800" w:rsidRPr="00761800" w14:paraId="336E931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11F37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hideMark/>
          </w:tcPr>
          <w:p w14:paraId="059653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управлението на средствата от ЕС</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623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275,1</w:t>
            </w:r>
          </w:p>
        </w:tc>
      </w:tr>
      <w:tr w:rsidR="00761800" w:rsidRPr="00761800" w14:paraId="255DD4C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40CF96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single" w:sz="4" w:space="0" w:color="auto"/>
            </w:tcBorders>
            <w:shd w:val="clear" w:color="auto" w:fill="auto"/>
            <w:hideMark/>
          </w:tcPr>
          <w:p w14:paraId="70C797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осъществяването на държавните функции на територията на областите в България</w:t>
            </w:r>
          </w:p>
        </w:tc>
        <w:tc>
          <w:tcPr>
            <w:tcW w:w="2178" w:type="dxa"/>
            <w:tcBorders>
              <w:top w:val="nil"/>
              <w:left w:val="nil"/>
              <w:bottom w:val="single" w:sz="4" w:space="0" w:color="auto"/>
              <w:right w:val="single" w:sz="4" w:space="0" w:color="auto"/>
            </w:tcBorders>
            <w:shd w:val="clear" w:color="auto" w:fill="auto"/>
            <w:noWrap/>
            <w:vAlign w:val="bottom"/>
            <w:hideMark/>
          </w:tcPr>
          <w:p w14:paraId="340E58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27 697,7</w:t>
            </w:r>
          </w:p>
        </w:tc>
      </w:tr>
      <w:tr w:rsidR="00761800" w:rsidRPr="00761800" w14:paraId="5321F49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BB935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4.</w:t>
            </w:r>
          </w:p>
        </w:tc>
        <w:tc>
          <w:tcPr>
            <w:tcW w:w="11062" w:type="dxa"/>
            <w:tcBorders>
              <w:top w:val="nil"/>
              <w:left w:val="nil"/>
              <w:bottom w:val="single" w:sz="4" w:space="0" w:color="auto"/>
              <w:right w:val="nil"/>
            </w:tcBorders>
            <w:shd w:val="clear" w:color="auto" w:fill="auto"/>
            <w:noWrap/>
            <w:hideMark/>
          </w:tcPr>
          <w:p w14:paraId="2B3DD4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правото на вероизповедание</w:t>
            </w:r>
          </w:p>
        </w:tc>
        <w:tc>
          <w:tcPr>
            <w:tcW w:w="2178" w:type="dxa"/>
            <w:tcBorders>
              <w:top w:val="nil"/>
              <w:left w:val="single" w:sz="4" w:space="0" w:color="auto"/>
              <w:bottom w:val="nil"/>
              <w:right w:val="single" w:sz="4" w:space="0" w:color="auto"/>
            </w:tcBorders>
            <w:shd w:val="clear" w:color="auto" w:fill="auto"/>
            <w:noWrap/>
            <w:vAlign w:val="bottom"/>
            <w:hideMark/>
          </w:tcPr>
          <w:p w14:paraId="7E02F9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36 741,3</w:t>
            </w:r>
          </w:p>
        </w:tc>
      </w:tr>
      <w:tr w:rsidR="00761800" w:rsidRPr="00761800" w14:paraId="2C8CC2C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8B0BF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5.</w:t>
            </w:r>
          </w:p>
        </w:tc>
        <w:tc>
          <w:tcPr>
            <w:tcW w:w="11062" w:type="dxa"/>
            <w:tcBorders>
              <w:top w:val="nil"/>
              <w:left w:val="nil"/>
              <w:bottom w:val="single" w:sz="4" w:space="0" w:color="auto"/>
              <w:right w:val="nil"/>
            </w:tcBorders>
            <w:shd w:val="clear" w:color="auto" w:fill="auto"/>
            <w:noWrap/>
            <w:hideMark/>
          </w:tcPr>
          <w:p w14:paraId="0FA549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архивното дело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F217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8 395,9</w:t>
            </w:r>
          </w:p>
        </w:tc>
      </w:tr>
      <w:tr w:rsidR="00761800" w:rsidRPr="00761800" w14:paraId="17EE0FF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F182FE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6.</w:t>
            </w:r>
          </w:p>
        </w:tc>
        <w:tc>
          <w:tcPr>
            <w:tcW w:w="11062" w:type="dxa"/>
            <w:tcBorders>
              <w:top w:val="nil"/>
              <w:left w:val="nil"/>
              <w:bottom w:val="single" w:sz="4" w:space="0" w:color="auto"/>
              <w:right w:val="single" w:sz="4" w:space="0" w:color="auto"/>
            </w:tcBorders>
            <w:shd w:val="clear" w:color="auto" w:fill="auto"/>
            <w:noWrap/>
            <w:hideMark/>
          </w:tcPr>
          <w:p w14:paraId="4DF320F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nil"/>
              <w:bottom w:val="single" w:sz="4" w:space="0" w:color="auto"/>
              <w:right w:val="single" w:sz="4" w:space="0" w:color="auto"/>
            </w:tcBorders>
            <w:shd w:val="clear" w:color="auto" w:fill="auto"/>
            <w:noWrap/>
            <w:vAlign w:val="bottom"/>
            <w:hideMark/>
          </w:tcPr>
          <w:p w14:paraId="034562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18 749,9</w:t>
            </w:r>
          </w:p>
        </w:tc>
      </w:tr>
      <w:tr w:rsidR="00761800" w:rsidRPr="00761800" w14:paraId="4000275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2E7A7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7.</w:t>
            </w:r>
          </w:p>
        </w:tc>
        <w:tc>
          <w:tcPr>
            <w:tcW w:w="11062" w:type="dxa"/>
            <w:tcBorders>
              <w:top w:val="nil"/>
              <w:left w:val="nil"/>
              <w:bottom w:val="single" w:sz="4" w:space="0" w:color="auto"/>
              <w:right w:val="nil"/>
            </w:tcBorders>
            <w:shd w:val="clear" w:color="auto" w:fill="auto"/>
            <w:noWrap/>
            <w:hideMark/>
          </w:tcPr>
          <w:p w14:paraId="2C2282E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Други бюджетни програми (общо), 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3055E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20 046,0</w:t>
            </w:r>
          </w:p>
        </w:tc>
      </w:tr>
      <w:tr w:rsidR="00761800" w:rsidRPr="00761800" w14:paraId="3F0EE32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0F0F2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7.1.</w:t>
            </w:r>
          </w:p>
        </w:tc>
        <w:tc>
          <w:tcPr>
            <w:tcW w:w="11062" w:type="dxa"/>
            <w:tcBorders>
              <w:top w:val="nil"/>
              <w:left w:val="nil"/>
              <w:bottom w:val="single" w:sz="4" w:space="0" w:color="auto"/>
              <w:right w:val="nil"/>
            </w:tcBorders>
            <w:shd w:val="clear" w:color="auto" w:fill="auto"/>
            <w:noWrap/>
            <w:hideMark/>
          </w:tcPr>
          <w:p w14:paraId="168FC75D"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Бюджетна програма „Други дейности и услуги“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4DFF6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12 067,9</w:t>
            </w:r>
          </w:p>
        </w:tc>
      </w:tr>
      <w:tr w:rsidR="00761800" w:rsidRPr="00761800" w14:paraId="6E1ECB4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92CA7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7.2.</w:t>
            </w:r>
          </w:p>
        </w:tc>
        <w:tc>
          <w:tcPr>
            <w:tcW w:w="11062" w:type="dxa"/>
            <w:tcBorders>
              <w:top w:val="nil"/>
              <w:left w:val="nil"/>
              <w:bottom w:val="single" w:sz="4" w:space="0" w:color="auto"/>
              <w:right w:val="nil"/>
            </w:tcBorders>
            <w:shd w:val="clear" w:color="auto" w:fill="auto"/>
            <w:noWrap/>
            <w:hideMark/>
          </w:tcPr>
          <w:p w14:paraId="0132423B"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Бюджетна програма „Убежище и бежанци“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02387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7 978,1</w:t>
            </w:r>
          </w:p>
        </w:tc>
      </w:tr>
      <w:tr w:rsidR="00761800" w:rsidRPr="00761800" w14:paraId="1A79BF7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E691A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1193C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25F0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123 662,4</w:t>
            </w:r>
          </w:p>
        </w:tc>
      </w:tr>
      <w:tr w:rsidR="00761800" w:rsidRPr="00761800" w14:paraId="38571F5E" w14:textId="77777777" w:rsidTr="00406B4D">
        <w:trPr>
          <w:trHeight w:val="300"/>
        </w:trPr>
        <w:tc>
          <w:tcPr>
            <w:tcW w:w="1013" w:type="dxa"/>
            <w:tcBorders>
              <w:top w:val="nil"/>
              <w:left w:val="nil"/>
              <w:bottom w:val="nil"/>
              <w:right w:val="nil"/>
            </w:tcBorders>
            <w:shd w:val="clear" w:color="auto" w:fill="auto"/>
            <w:noWrap/>
            <w:vAlign w:val="bottom"/>
            <w:hideMark/>
          </w:tcPr>
          <w:p w14:paraId="4BB1EDEC"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401667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44C44350" w14:textId="77777777" w:rsidR="00761800" w:rsidRPr="00761800" w:rsidRDefault="00761800" w:rsidP="00761800">
            <w:pPr>
              <w:rPr>
                <w:rFonts w:ascii="Times New Roman" w:hAnsi="Times New Roman"/>
                <w:sz w:val="20"/>
                <w:lang w:eastAsia="bg-BG"/>
              </w:rPr>
            </w:pPr>
          </w:p>
        </w:tc>
      </w:tr>
      <w:tr w:rsidR="00761800" w:rsidRPr="00761800" w14:paraId="2027E375"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015B21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Министерския съвет, както следва:</w:t>
            </w:r>
          </w:p>
        </w:tc>
      </w:tr>
      <w:tr w:rsidR="00761800" w:rsidRPr="00761800" w14:paraId="4824140E"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4DD1C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758F3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0A03A02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C03F327"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B224666"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5CF3890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05DCA07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B12D84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E9412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1A166F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7F8B3B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113362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001E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089DB3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4EA71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68 857,2</w:t>
            </w:r>
          </w:p>
        </w:tc>
      </w:tr>
      <w:tr w:rsidR="00761800" w:rsidRPr="00761800" w14:paraId="6F81B7B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910EF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49D214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B5D90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68 857,2</w:t>
            </w:r>
          </w:p>
        </w:tc>
      </w:tr>
      <w:tr w:rsidR="00761800" w:rsidRPr="00761800" w14:paraId="2CD2CE0B" w14:textId="77777777" w:rsidTr="00406B4D">
        <w:trPr>
          <w:trHeight w:val="300"/>
        </w:trPr>
        <w:tc>
          <w:tcPr>
            <w:tcW w:w="1013" w:type="dxa"/>
            <w:tcBorders>
              <w:top w:val="nil"/>
              <w:left w:val="nil"/>
              <w:bottom w:val="nil"/>
              <w:right w:val="nil"/>
            </w:tcBorders>
            <w:shd w:val="clear" w:color="auto" w:fill="auto"/>
            <w:noWrap/>
            <w:vAlign w:val="bottom"/>
            <w:hideMark/>
          </w:tcPr>
          <w:p w14:paraId="5E70E747"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C6570E0"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4AA8124C" w14:textId="77777777" w:rsidR="00761800" w:rsidRPr="00761800" w:rsidRDefault="00761800" w:rsidP="00761800">
            <w:pPr>
              <w:rPr>
                <w:rFonts w:ascii="Times New Roman" w:hAnsi="Times New Roman"/>
                <w:sz w:val="20"/>
                <w:lang w:eastAsia="bg-BG"/>
              </w:rPr>
            </w:pPr>
          </w:p>
        </w:tc>
      </w:tr>
      <w:tr w:rsidR="00761800" w:rsidRPr="00761800" w14:paraId="1A94738C" w14:textId="77777777" w:rsidTr="00406B4D">
        <w:trPr>
          <w:trHeight w:val="400"/>
        </w:trPr>
        <w:tc>
          <w:tcPr>
            <w:tcW w:w="14253" w:type="dxa"/>
            <w:gridSpan w:val="3"/>
            <w:tcBorders>
              <w:top w:val="nil"/>
              <w:left w:val="nil"/>
              <w:bottom w:val="single" w:sz="4" w:space="0" w:color="auto"/>
              <w:right w:val="nil"/>
            </w:tcBorders>
            <w:shd w:val="clear" w:color="auto" w:fill="auto"/>
            <w:hideMark/>
          </w:tcPr>
          <w:p w14:paraId="2E374D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(4) Одобрява разпределението на държавната субсидия за вероизповеданията, регистрирани по реда на Закона за вероизповеданията, както следва:</w:t>
            </w:r>
          </w:p>
        </w:tc>
      </w:tr>
      <w:tr w:rsidR="00761800" w:rsidRPr="00761800" w14:paraId="60570011" w14:textId="77777777" w:rsidTr="00406B4D">
        <w:trPr>
          <w:trHeight w:val="7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218AB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D2710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w:t>
            </w:r>
          </w:p>
        </w:tc>
        <w:tc>
          <w:tcPr>
            <w:tcW w:w="2178" w:type="dxa"/>
            <w:tcBorders>
              <w:top w:val="nil"/>
              <w:left w:val="nil"/>
              <w:bottom w:val="nil"/>
              <w:right w:val="single" w:sz="4" w:space="0" w:color="auto"/>
            </w:tcBorders>
            <w:shd w:val="clear" w:color="auto" w:fill="auto"/>
            <w:noWrap/>
            <w:vAlign w:val="bottom"/>
            <w:hideMark/>
          </w:tcPr>
          <w:p w14:paraId="4D480E3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D57DA8B"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4AA7814"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1ACD39F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4E3549A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127923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E67F3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504532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1F723D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EAB6B65" w14:textId="77777777" w:rsidTr="00406B4D">
        <w:trPr>
          <w:trHeight w:val="245"/>
        </w:trPr>
        <w:tc>
          <w:tcPr>
            <w:tcW w:w="1013" w:type="dxa"/>
            <w:tcBorders>
              <w:top w:val="nil"/>
              <w:left w:val="single" w:sz="4" w:space="0" w:color="auto"/>
              <w:bottom w:val="single" w:sz="4" w:space="0" w:color="auto"/>
              <w:right w:val="single" w:sz="4" w:space="0" w:color="auto"/>
            </w:tcBorders>
            <w:shd w:val="clear" w:color="auto" w:fill="auto"/>
            <w:noWrap/>
            <w:hideMark/>
          </w:tcPr>
          <w:p w14:paraId="0620A2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single" w:sz="4" w:space="0" w:color="auto"/>
            </w:tcBorders>
            <w:shd w:val="clear" w:color="auto" w:fill="auto"/>
            <w:hideMark/>
          </w:tcPr>
          <w:p w14:paraId="2CFC03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За източноправославното вероизповедание - на Българската православна църква – Българска патриаршия, в т. ч.:</w:t>
            </w:r>
          </w:p>
        </w:tc>
        <w:tc>
          <w:tcPr>
            <w:tcW w:w="2178" w:type="dxa"/>
            <w:tcBorders>
              <w:top w:val="nil"/>
              <w:left w:val="nil"/>
              <w:bottom w:val="single" w:sz="4" w:space="0" w:color="auto"/>
              <w:right w:val="single" w:sz="4" w:space="0" w:color="auto"/>
            </w:tcBorders>
            <w:shd w:val="clear" w:color="auto" w:fill="auto"/>
            <w:hideMark/>
          </w:tcPr>
          <w:p w14:paraId="5B13B8F5" w14:textId="77777777" w:rsidR="00761800" w:rsidRPr="00761800" w:rsidRDefault="00761800" w:rsidP="00761800">
            <w:pPr>
              <w:autoSpaceDE w:val="0"/>
              <w:autoSpaceDN w:val="0"/>
              <w:adjustRightInd w:val="0"/>
              <w:jc w:val="right"/>
              <w:rPr>
                <w:rFonts w:ascii="Times New Roman" w:eastAsia="Calibri" w:hAnsi="Times New Roman"/>
                <w:color w:val="000000"/>
                <w:sz w:val="22"/>
                <w:szCs w:val="22"/>
              </w:rPr>
            </w:pPr>
            <w:r w:rsidRPr="00761800">
              <w:rPr>
                <w:rFonts w:ascii="Times New Roman" w:eastAsia="Calibri" w:hAnsi="Times New Roman"/>
                <w:color w:val="000000"/>
                <w:sz w:val="22"/>
                <w:szCs w:val="22"/>
              </w:rPr>
              <w:t>28 406,6</w:t>
            </w:r>
          </w:p>
        </w:tc>
      </w:tr>
      <w:tr w:rsidR="00761800" w:rsidRPr="00761800" w14:paraId="49D0699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143B3BF"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1.1.</w:t>
            </w:r>
          </w:p>
        </w:tc>
        <w:tc>
          <w:tcPr>
            <w:tcW w:w="11062" w:type="dxa"/>
            <w:tcBorders>
              <w:top w:val="nil"/>
              <w:left w:val="nil"/>
              <w:bottom w:val="single" w:sz="4" w:space="0" w:color="auto"/>
              <w:right w:val="single" w:sz="4" w:space="0" w:color="auto"/>
            </w:tcBorders>
            <w:shd w:val="clear" w:color="auto" w:fill="auto"/>
            <w:hideMark/>
          </w:tcPr>
          <w:p w14:paraId="0D5366C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Рилски манастир</w:t>
            </w:r>
          </w:p>
        </w:tc>
        <w:tc>
          <w:tcPr>
            <w:tcW w:w="2178" w:type="dxa"/>
            <w:tcBorders>
              <w:top w:val="nil"/>
              <w:left w:val="nil"/>
              <w:bottom w:val="single" w:sz="4" w:space="0" w:color="auto"/>
              <w:right w:val="single" w:sz="4" w:space="0" w:color="auto"/>
            </w:tcBorders>
            <w:shd w:val="clear" w:color="auto" w:fill="auto"/>
            <w:hideMark/>
          </w:tcPr>
          <w:p w14:paraId="5399AEB6" w14:textId="77777777" w:rsidR="00761800" w:rsidRPr="00761800" w:rsidRDefault="00761800" w:rsidP="00761800">
            <w:pPr>
              <w:autoSpaceDE w:val="0"/>
              <w:autoSpaceDN w:val="0"/>
              <w:adjustRightInd w:val="0"/>
              <w:jc w:val="right"/>
              <w:rPr>
                <w:rFonts w:ascii="Times New Roman" w:eastAsia="Calibri" w:hAnsi="Times New Roman"/>
                <w:i/>
                <w:iCs/>
                <w:color w:val="000000"/>
                <w:sz w:val="22"/>
                <w:szCs w:val="22"/>
              </w:rPr>
            </w:pPr>
            <w:r w:rsidRPr="00761800">
              <w:rPr>
                <w:rFonts w:ascii="Times New Roman" w:eastAsia="Calibri" w:hAnsi="Times New Roman"/>
                <w:i/>
                <w:iCs/>
                <w:color w:val="000000"/>
                <w:sz w:val="22"/>
                <w:szCs w:val="22"/>
              </w:rPr>
              <w:t>306,8</w:t>
            </w:r>
          </w:p>
        </w:tc>
      </w:tr>
      <w:tr w:rsidR="00761800" w:rsidRPr="00761800" w14:paraId="2FBC796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B6F87CB"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1.2.</w:t>
            </w:r>
          </w:p>
        </w:tc>
        <w:tc>
          <w:tcPr>
            <w:tcW w:w="11062" w:type="dxa"/>
            <w:tcBorders>
              <w:top w:val="nil"/>
              <w:left w:val="nil"/>
              <w:bottom w:val="single" w:sz="4" w:space="0" w:color="auto"/>
              <w:right w:val="single" w:sz="4" w:space="0" w:color="auto"/>
            </w:tcBorders>
            <w:shd w:val="clear" w:color="auto" w:fill="auto"/>
            <w:hideMark/>
          </w:tcPr>
          <w:p w14:paraId="60B94A97"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Троянски манастир</w:t>
            </w:r>
          </w:p>
        </w:tc>
        <w:tc>
          <w:tcPr>
            <w:tcW w:w="2178" w:type="dxa"/>
            <w:tcBorders>
              <w:top w:val="nil"/>
              <w:left w:val="nil"/>
              <w:bottom w:val="single" w:sz="4" w:space="0" w:color="auto"/>
              <w:right w:val="single" w:sz="4" w:space="0" w:color="auto"/>
            </w:tcBorders>
            <w:shd w:val="clear" w:color="auto" w:fill="auto"/>
            <w:hideMark/>
          </w:tcPr>
          <w:p w14:paraId="3F6F6683" w14:textId="77777777" w:rsidR="00761800" w:rsidRPr="00761800" w:rsidRDefault="00761800" w:rsidP="00761800">
            <w:pPr>
              <w:autoSpaceDE w:val="0"/>
              <w:autoSpaceDN w:val="0"/>
              <w:adjustRightInd w:val="0"/>
              <w:jc w:val="right"/>
              <w:rPr>
                <w:rFonts w:ascii="Times New Roman" w:eastAsia="Calibri" w:hAnsi="Times New Roman"/>
                <w:i/>
                <w:iCs/>
                <w:color w:val="000000"/>
                <w:sz w:val="22"/>
                <w:szCs w:val="22"/>
              </w:rPr>
            </w:pPr>
            <w:r w:rsidRPr="00761800">
              <w:rPr>
                <w:rFonts w:ascii="Times New Roman" w:eastAsia="Calibri" w:hAnsi="Times New Roman"/>
                <w:i/>
                <w:iCs/>
                <w:color w:val="000000"/>
                <w:sz w:val="22"/>
                <w:szCs w:val="22"/>
              </w:rPr>
              <w:t>102,3</w:t>
            </w:r>
          </w:p>
        </w:tc>
      </w:tr>
      <w:tr w:rsidR="00761800" w:rsidRPr="00761800" w14:paraId="1EDA9A6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C89EE4E"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1.3.</w:t>
            </w:r>
          </w:p>
        </w:tc>
        <w:tc>
          <w:tcPr>
            <w:tcW w:w="11062" w:type="dxa"/>
            <w:tcBorders>
              <w:top w:val="nil"/>
              <w:left w:val="nil"/>
              <w:bottom w:val="single" w:sz="4" w:space="0" w:color="auto"/>
              <w:right w:val="single" w:sz="4" w:space="0" w:color="auto"/>
            </w:tcBorders>
            <w:shd w:val="clear" w:color="auto" w:fill="auto"/>
            <w:hideMark/>
          </w:tcPr>
          <w:p w14:paraId="028825A5"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Бачковски манастир</w:t>
            </w:r>
          </w:p>
        </w:tc>
        <w:tc>
          <w:tcPr>
            <w:tcW w:w="2178" w:type="dxa"/>
            <w:tcBorders>
              <w:top w:val="nil"/>
              <w:left w:val="nil"/>
              <w:bottom w:val="single" w:sz="4" w:space="0" w:color="auto"/>
              <w:right w:val="single" w:sz="4" w:space="0" w:color="auto"/>
            </w:tcBorders>
            <w:shd w:val="clear" w:color="auto" w:fill="auto"/>
            <w:hideMark/>
          </w:tcPr>
          <w:p w14:paraId="3C18CF6F" w14:textId="77777777" w:rsidR="00761800" w:rsidRPr="00761800" w:rsidRDefault="00761800" w:rsidP="00761800">
            <w:pPr>
              <w:autoSpaceDE w:val="0"/>
              <w:autoSpaceDN w:val="0"/>
              <w:adjustRightInd w:val="0"/>
              <w:jc w:val="right"/>
              <w:rPr>
                <w:rFonts w:ascii="Times New Roman" w:eastAsia="Calibri" w:hAnsi="Times New Roman"/>
                <w:i/>
                <w:iCs/>
                <w:color w:val="000000"/>
                <w:sz w:val="22"/>
                <w:szCs w:val="22"/>
              </w:rPr>
            </w:pPr>
            <w:r w:rsidRPr="00761800">
              <w:rPr>
                <w:rFonts w:ascii="Times New Roman" w:eastAsia="Calibri" w:hAnsi="Times New Roman"/>
                <w:i/>
                <w:iCs/>
                <w:color w:val="000000"/>
                <w:sz w:val="22"/>
                <w:szCs w:val="22"/>
              </w:rPr>
              <w:t>102,3</w:t>
            </w:r>
          </w:p>
        </w:tc>
      </w:tr>
      <w:tr w:rsidR="00761800" w:rsidRPr="00761800" w14:paraId="00125B0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628A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single" w:sz="4" w:space="0" w:color="auto"/>
            </w:tcBorders>
            <w:shd w:val="clear" w:color="auto" w:fill="auto"/>
            <w:hideMark/>
          </w:tcPr>
          <w:p w14:paraId="3671FB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За мюсюлманското вероизповедание - на Мюсюлманското изповедание</w:t>
            </w:r>
          </w:p>
        </w:tc>
        <w:tc>
          <w:tcPr>
            <w:tcW w:w="2178" w:type="dxa"/>
            <w:tcBorders>
              <w:top w:val="nil"/>
              <w:left w:val="nil"/>
              <w:bottom w:val="single" w:sz="4" w:space="0" w:color="auto"/>
              <w:right w:val="single" w:sz="4" w:space="0" w:color="auto"/>
            </w:tcBorders>
            <w:shd w:val="clear" w:color="auto" w:fill="auto"/>
            <w:hideMark/>
          </w:tcPr>
          <w:p w14:paraId="4DC7ABB0" w14:textId="77777777" w:rsidR="00761800" w:rsidRPr="00761800" w:rsidRDefault="00761800" w:rsidP="00761800">
            <w:pPr>
              <w:autoSpaceDE w:val="0"/>
              <w:autoSpaceDN w:val="0"/>
              <w:adjustRightInd w:val="0"/>
              <w:jc w:val="right"/>
              <w:rPr>
                <w:rFonts w:ascii="Times New Roman" w:eastAsia="Calibri" w:hAnsi="Times New Roman"/>
                <w:color w:val="000000"/>
                <w:sz w:val="22"/>
                <w:szCs w:val="22"/>
              </w:rPr>
            </w:pPr>
            <w:r w:rsidRPr="00761800">
              <w:rPr>
                <w:rFonts w:ascii="Times New Roman" w:eastAsia="Calibri" w:hAnsi="Times New Roman"/>
                <w:color w:val="000000"/>
                <w:sz w:val="22"/>
                <w:szCs w:val="22"/>
              </w:rPr>
              <w:t>6 115,6</w:t>
            </w:r>
          </w:p>
        </w:tc>
      </w:tr>
      <w:tr w:rsidR="00761800" w:rsidRPr="00761800" w14:paraId="7E4B3FB1" w14:textId="77777777" w:rsidTr="00406B4D">
        <w:trPr>
          <w:trHeight w:val="593"/>
        </w:trPr>
        <w:tc>
          <w:tcPr>
            <w:tcW w:w="1013" w:type="dxa"/>
            <w:tcBorders>
              <w:top w:val="nil"/>
              <w:left w:val="single" w:sz="4" w:space="0" w:color="auto"/>
              <w:bottom w:val="single" w:sz="4" w:space="0" w:color="auto"/>
              <w:right w:val="single" w:sz="4" w:space="0" w:color="auto"/>
            </w:tcBorders>
            <w:shd w:val="clear" w:color="auto" w:fill="auto"/>
            <w:noWrap/>
            <w:hideMark/>
          </w:tcPr>
          <w:p w14:paraId="5B3AD8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3.</w:t>
            </w:r>
          </w:p>
        </w:tc>
        <w:tc>
          <w:tcPr>
            <w:tcW w:w="11062" w:type="dxa"/>
            <w:tcBorders>
              <w:top w:val="nil"/>
              <w:left w:val="nil"/>
              <w:bottom w:val="single" w:sz="4" w:space="0" w:color="auto"/>
              <w:right w:val="single" w:sz="4" w:space="0" w:color="auto"/>
            </w:tcBorders>
            <w:shd w:val="clear" w:color="auto" w:fill="auto"/>
            <w:hideMark/>
          </w:tcPr>
          <w:p w14:paraId="7B8094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За задграничните епархии или митрополии в диоцеза и юрисдикцията на Българската православна църква – Българска патриаршия - на Българската източноправославна епархия в Западна и Средна Европа</w:t>
            </w:r>
          </w:p>
        </w:tc>
        <w:tc>
          <w:tcPr>
            <w:tcW w:w="2178" w:type="dxa"/>
            <w:tcBorders>
              <w:top w:val="nil"/>
              <w:left w:val="nil"/>
              <w:bottom w:val="single" w:sz="4" w:space="0" w:color="auto"/>
              <w:right w:val="single" w:sz="4" w:space="0" w:color="auto"/>
            </w:tcBorders>
            <w:shd w:val="clear" w:color="auto" w:fill="auto"/>
            <w:hideMark/>
          </w:tcPr>
          <w:p w14:paraId="0EDAE336" w14:textId="77777777" w:rsidR="00761800" w:rsidRPr="00761800" w:rsidRDefault="00761800" w:rsidP="00761800">
            <w:pPr>
              <w:autoSpaceDE w:val="0"/>
              <w:autoSpaceDN w:val="0"/>
              <w:adjustRightInd w:val="0"/>
              <w:jc w:val="right"/>
              <w:rPr>
                <w:rFonts w:ascii="Times New Roman" w:eastAsia="Calibri" w:hAnsi="Times New Roman"/>
                <w:color w:val="000000"/>
                <w:sz w:val="22"/>
                <w:szCs w:val="22"/>
              </w:rPr>
            </w:pPr>
            <w:r w:rsidRPr="00761800">
              <w:rPr>
                <w:rFonts w:ascii="Times New Roman" w:eastAsia="Calibri" w:hAnsi="Times New Roman"/>
                <w:color w:val="000000"/>
                <w:sz w:val="22"/>
                <w:szCs w:val="22"/>
              </w:rPr>
              <w:t>454,3</w:t>
            </w:r>
          </w:p>
        </w:tc>
      </w:tr>
      <w:tr w:rsidR="00761800" w:rsidRPr="00761800" w14:paraId="1ACED44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D768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4.</w:t>
            </w:r>
          </w:p>
        </w:tc>
        <w:tc>
          <w:tcPr>
            <w:tcW w:w="11062" w:type="dxa"/>
            <w:tcBorders>
              <w:top w:val="nil"/>
              <w:left w:val="nil"/>
              <w:bottom w:val="single" w:sz="4" w:space="0" w:color="auto"/>
              <w:right w:val="single" w:sz="4" w:space="0" w:color="auto"/>
            </w:tcBorders>
            <w:shd w:val="clear" w:color="auto" w:fill="auto"/>
            <w:hideMark/>
          </w:tcPr>
          <w:p w14:paraId="0DD1ED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За Българските православни църковни общини в чужбина</w:t>
            </w:r>
          </w:p>
        </w:tc>
        <w:tc>
          <w:tcPr>
            <w:tcW w:w="2178" w:type="dxa"/>
            <w:tcBorders>
              <w:top w:val="nil"/>
              <w:left w:val="nil"/>
              <w:bottom w:val="single" w:sz="4" w:space="0" w:color="auto"/>
              <w:right w:val="single" w:sz="4" w:space="0" w:color="auto"/>
            </w:tcBorders>
            <w:shd w:val="clear" w:color="auto" w:fill="auto"/>
            <w:hideMark/>
          </w:tcPr>
          <w:p w14:paraId="498BFF52" w14:textId="77777777" w:rsidR="00761800" w:rsidRPr="00761800" w:rsidRDefault="00761800" w:rsidP="00761800">
            <w:pPr>
              <w:autoSpaceDE w:val="0"/>
              <w:autoSpaceDN w:val="0"/>
              <w:adjustRightInd w:val="0"/>
              <w:jc w:val="right"/>
              <w:rPr>
                <w:rFonts w:ascii="Times New Roman" w:eastAsia="Calibri" w:hAnsi="Times New Roman"/>
                <w:color w:val="000000"/>
                <w:sz w:val="22"/>
                <w:szCs w:val="22"/>
              </w:rPr>
            </w:pPr>
            <w:r w:rsidRPr="00761800">
              <w:rPr>
                <w:rFonts w:ascii="Times New Roman" w:eastAsia="Calibri" w:hAnsi="Times New Roman"/>
                <w:color w:val="000000"/>
                <w:sz w:val="22"/>
                <w:szCs w:val="22"/>
              </w:rPr>
              <w:t>413,2</w:t>
            </w:r>
          </w:p>
        </w:tc>
      </w:tr>
      <w:tr w:rsidR="00761800" w:rsidRPr="00761800" w14:paraId="28085C4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BB208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5.</w:t>
            </w:r>
          </w:p>
        </w:tc>
        <w:tc>
          <w:tcPr>
            <w:tcW w:w="11062" w:type="dxa"/>
            <w:tcBorders>
              <w:top w:val="nil"/>
              <w:left w:val="nil"/>
              <w:bottom w:val="single" w:sz="4" w:space="0" w:color="auto"/>
              <w:right w:val="single" w:sz="4" w:space="0" w:color="auto"/>
            </w:tcBorders>
            <w:shd w:val="clear" w:color="auto" w:fill="auto"/>
            <w:hideMark/>
          </w:tcPr>
          <w:p w14:paraId="4801A66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За Католическата църква в България</w:t>
            </w:r>
          </w:p>
        </w:tc>
        <w:tc>
          <w:tcPr>
            <w:tcW w:w="2178" w:type="dxa"/>
            <w:tcBorders>
              <w:top w:val="nil"/>
              <w:left w:val="nil"/>
              <w:bottom w:val="single" w:sz="4" w:space="0" w:color="auto"/>
              <w:right w:val="single" w:sz="4" w:space="0" w:color="auto"/>
            </w:tcBorders>
            <w:shd w:val="clear" w:color="auto" w:fill="auto"/>
            <w:hideMark/>
          </w:tcPr>
          <w:p w14:paraId="0258E9A7" w14:textId="77777777" w:rsidR="00761800" w:rsidRPr="00761800" w:rsidRDefault="00761800" w:rsidP="00761800">
            <w:pPr>
              <w:autoSpaceDE w:val="0"/>
              <w:autoSpaceDN w:val="0"/>
              <w:adjustRightInd w:val="0"/>
              <w:jc w:val="right"/>
              <w:rPr>
                <w:rFonts w:ascii="Times New Roman" w:eastAsia="Calibri" w:hAnsi="Times New Roman"/>
                <w:color w:val="000000"/>
                <w:sz w:val="22"/>
                <w:szCs w:val="22"/>
              </w:rPr>
            </w:pPr>
            <w:r w:rsidRPr="00761800">
              <w:rPr>
                <w:rFonts w:ascii="Times New Roman" w:eastAsia="Calibri" w:hAnsi="Times New Roman"/>
                <w:color w:val="000000"/>
                <w:sz w:val="22"/>
                <w:szCs w:val="22"/>
              </w:rPr>
              <w:t>395,8</w:t>
            </w:r>
          </w:p>
        </w:tc>
      </w:tr>
      <w:tr w:rsidR="00761800" w:rsidRPr="00761800" w14:paraId="5F22E35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3C9A5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6.</w:t>
            </w:r>
          </w:p>
        </w:tc>
        <w:tc>
          <w:tcPr>
            <w:tcW w:w="11062" w:type="dxa"/>
            <w:tcBorders>
              <w:top w:val="nil"/>
              <w:left w:val="nil"/>
              <w:bottom w:val="single" w:sz="4" w:space="0" w:color="auto"/>
              <w:right w:val="single" w:sz="4" w:space="0" w:color="auto"/>
            </w:tcBorders>
            <w:shd w:val="clear" w:color="auto" w:fill="auto"/>
            <w:hideMark/>
          </w:tcPr>
          <w:p w14:paraId="49CCF1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За протестантските вероизповедания в България</w:t>
            </w:r>
          </w:p>
        </w:tc>
        <w:tc>
          <w:tcPr>
            <w:tcW w:w="2178" w:type="dxa"/>
            <w:tcBorders>
              <w:top w:val="nil"/>
              <w:left w:val="nil"/>
              <w:bottom w:val="single" w:sz="4" w:space="0" w:color="auto"/>
              <w:right w:val="single" w:sz="4" w:space="0" w:color="auto"/>
            </w:tcBorders>
            <w:shd w:val="clear" w:color="auto" w:fill="auto"/>
            <w:hideMark/>
          </w:tcPr>
          <w:p w14:paraId="56498FEA" w14:textId="77777777" w:rsidR="00761800" w:rsidRPr="00761800" w:rsidRDefault="00761800" w:rsidP="00761800">
            <w:pPr>
              <w:autoSpaceDE w:val="0"/>
              <w:autoSpaceDN w:val="0"/>
              <w:adjustRightInd w:val="0"/>
              <w:jc w:val="right"/>
              <w:rPr>
                <w:rFonts w:ascii="Times New Roman" w:eastAsia="Calibri" w:hAnsi="Times New Roman"/>
                <w:color w:val="000000"/>
                <w:sz w:val="22"/>
                <w:szCs w:val="22"/>
              </w:rPr>
            </w:pPr>
            <w:r w:rsidRPr="00761800">
              <w:rPr>
                <w:rFonts w:ascii="Times New Roman" w:eastAsia="Calibri" w:hAnsi="Times New Roman"/>
                <w:color w:val="000000"/>
                <w:sz w:val="22"/>
                <w:szCs w:val="22"/>
              </w:rPr>
              <w:t>668,8</w:t>
            </w:r>
          </w:p>
        </w:tc>
      </w:tr>
      <w:tr w:rsidR="00761800" w:rsidRPr="00761800" w14:paraId="368B25D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877761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7.</w:t>
            </w:r>
          </w:p>
        </w:tc>
        <w:tc>
          <w:tcPr>
            <w:tcW w:w="11062" w:type="dxa"/>
            <w:tcBorders>
              <w:top w:val="nil"/>
              <w:left w:val="nil"/>
              <w:bottom w:val="single" w:sz="4" w:space="0" w:color="auto"/>
              <w:right w:val="single" w:sz="4" w:space="0" w:color="auto"/>
            </w:tcBorders>
            <w:shd w:val="clear" w:color="auto" w:fill="auto"/>
            <w:hideMark/>
          </w:tcPr>
          <w:p w14:paraId="79F923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За Религиозната общност на евреите в България</w:t>
            </w:r>
          </w:p>
        </w:tc>
        <w:tc>
          <w:tcPr>
            <w:tcW w:w="2178" w:type="dxa"/>
            <w:tcBorders>
              <w:top w:val="nil"/>
              <w:left w:val="nil"/>
              <w:bottom w:val="single" w:sz="4" w:space="0" w:color="auto"/>
              <w:right w:val="single" w:sz="4" w:space="0" w:color="auto"/>
            </w:tcBorders>
            <w:shd w:val="clear" w:color="auto" w:fill="auto"/>
            <w:hideMark/>
          </w:tcPr>
          <w:p w14:paraId="65CAF7A3" w14:textId="77777777" w:rsidR="00761800" w:rsidRPr="00761800" w:rsidRDefault="00761800" w:rsidP="00761800">
            <w:pPr>
              <w:autoSpaceDE w:val="0"/>
              <w:autoSpaceDN w:val="0"/>
              <w:adjustRightInd w:val="0"/>
              <w:jc w:val="right"/>
              <w:rPr>
                <w:rFonts w:ascii="Times New Roman" w:eastAsia="Calibri" w:hAnsi="Times New Roman"/>
                <w:color w:val="000000"/>
                <w:sz w:val="22"/>
                <w:szCs w:val="22"/>
              </w:rPr>
            </w:pPr>
            <w:r w:rsidRPr="00761800">
              <w:rPr>
                <w:rFonts w:ascii="Times New Roman" w:eastAsia="Calibri" w:hAnsi="Times New Roman"/>
                <w:color w:val="000000"/>
                <w:sz w:val="22"/>
                <w:szCs w:val="22"/>
              </w:rPr>
              <w:t>47,6</w:t>
            </w:r>
          </w:p>
        </w:tc>
      </w:tr>
      <w:tr w:rsidR="00761800" w:rsidRPr="00761800" w14:paraId="0EB6C0A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338A6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8.</w:t>
            </w:r>
          </w:p>
        </w:tc>
        <w:tc>
          <w:tcPr>
            <w:tcW w:w="11062" w:type="dxa"/>
            <w:tcBorders>
              <w:top w:val="nil"/>
              <w:left w:val="nil"/>
              <w:bottom w:val="single" w:sz="4" w:space="0" w:color="auto"/>
              <w:right w:val="single" w:sz="4" w:space="0" w:color="auto"/>
            </w:tcBorders>
            <w:shd w:val="clear" w:color="auto" w:fill="auto"/>
            <w:hideMark/>
          </w:tcPr>
          <w:p w14:paraId="7F6937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За Арменската Апостолическа православна света църква</w:t>
            </w:r>
          </w:p>
        </w:tc>
        <w:tc>
          <w:tcPr>
            <w:tcW w:w="2178" w:type="dxa"/>
            <w:tcBorders>
              <w:top w:val="nil"/>
              <w:left w:val="nil"/>
              <w:bottom w:val="single" w:sz="4" w:space="0" w:color="auto"/>
              <w:right w:val="single" w:sz="4" w:space="0" w:color="auto"/>
            </w:tcBorders>
            <w:shd w:val="clear" w:color="auto" w:fill="auto"/>
            <w:hideMark/>
          </w:tcPr>
          <w:p w14:paraId="0286F6CD" w14:textId="77777777" w:rsidR="00761800" w:rsidRPr="00761800" w:rsidRDefault="00761800" w:rsidP="00761800">
            <w:pPr>
              <w:autoSpaceDE w:val="0"/>
              <w:autoSpaceDN w:val="0"/>
              <w:adjustRightInd w:val="0"/>
              <w:jc w:val="right"/>
              <w:rPr>
                <w:rFonts w:ascii="Times New Roman" w:eastAsia="Calibri" w:hAnsi="Times New Roman"/>
                <w:color w:val="000000"/>
                <w:sz w:val="22"/>
                <w:szCs w:val="22"/>
              </w:rPr>
            </w:pPr>
            <w:r w:rsidRPr="00761800">
              <w:rPr>
                <w:rFonts w:ascii="Times New Roman" w:eastAsia="Calibri" w:hAnsi="Times New Roman"/>
                <w:color w:val="000000"/>
                <w:sz w:val="22"/>
                <w:szCs w:val="22"/>
              </w:rPr>
              <w:t>47,9</w:t>
            </w:r>
          </w:p>
        </w:tc>
      </w:tr>
      <w:tr w:rsidR="00761800" w:rsidRPr="00761800" w14:paraId="37389DC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409D0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single" w:sz="4" w:space="0" w:color="auto"/>
            </w:tcBorders>
            <w:shd w:val="clear" w:color="auto" w:fill="auto"/>
            <w:noWrap/>
            <w:hideMark/>
          </w:tcPr>
          <w:p w14:paraId="57A350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nil"/>
              <w:bottom w:val="single" w:sz="4" w:space="0" w:color="auto"/>
              <w:right w:val="single" w:sz="4" w:space="0" w:color="auto"/>
            </w:tcBorders>
            <w:shd w:val="clear" w:color="auto" w:fill="auto"/>
            <w:noWrap/>
            <w:hideMark/>
          </w:tcPr>
          <w:p w14:paraId="2F49A480" w14:textId="77777777" w:rsidR="00761800" w:rsidRPr="00761800" w:rsidRDefault="00761800" w:rsidP="00761800">
            <w:pPr>
              <w:autoSpaceDE w:val="0"/>
              <w:autoSpaceDN w:val="0"/>
              <w:adjustRightInd w:val="0"/>
              <w:jc w:val="right"/>
              <w:rPr>
                <w:rFonts w:ascii="Times New Roman" w:eastAsia="Calibri" w:hAnsi="Times New Roman"/>
                <w:color w:val="000000"/>
                <w:sz w:val="22"/>
                <w:szCs w:val="22"/>
              </w:rPr>
            </w:pPr>
            <w:r w:rsidRPr="00761800">
              <w:rPr>
                <w:rFonts w:ascii="Times New Roman" w:eastAsia="Calibri" w:hAnsi="Times New Roman"/>
                <w:color w:val="000000"/>
                <w:sz w:val="22"/>
                <w:szCs w:val="22"/>
              </w:rPr>
              <w:t>36 549,8</w:t>
            </w:r>
          </w:p>
        </w:tc>
      </w:tr>
      <w:tr w:rsidR="00761800" w:rsidRPr="00761800" w14:paraId="58C2EEBC" w14:textId="77777777" w:rsidTr="00406B4D">
        <w:trPr>
          <w:trHeight w:val="300"/>
        </w:trPr>
        <w:tc>
          <w:tcPr>
            <w:tcW w:w="1013" w:type="dxa"/>
            <w:tcBorders>
              <w:top w:val="nil"/>
              <w:left w:val="nil"/>
              <w:bottom w:val="nil"/>
              <w:right w:val="nil"/>
            </w:tcBorders>
            <w:shd w:val="clear" w:color="auto" w:fill="auto"/>
            <w:vAlign w:val="bottom"/>
            <w:hideMark/>
          </w:tcPr>
          <w:p w14:paraId="120924D3"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03D6641C"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52CB3527" w14:textId="77777777" w:rsidR="00761800" w:rsidRPr="00761800" w:rsidRDefault="00761800" w:rsidP="00761800">
            <w:pPr>
              <w:rPr>
                <w:rFonts w:ascii="Times New Roman" w:hAnsi="Times New Roman"/>
                <w:sz w:val="20"/>
                <w:lang w:eastAsia="bg-BG"/>
              </w:rPr>
            </w:pPr>
          </w:p>
        </w:tc>
      </w:tr>
      <w:tr w:rsidR="00761800" w:rsidRPr="00761800" w14:paraId="067DAF16" w14:textId="77777777" w:rsidTr="00406B4D">
        <w:trPr>
          <w:trHeight w:val="300"/>
        </w:trPr>
        <w:tc>
          <w:tcPr>
            <w:tcW w:w="12075" w:type="dxa"/>
            <w:gridSpan w:val="2"/>
            <w:tcBorders>
              <w:top w:val="nil"/>
              <w:left w:val="nil"/>
              <w:bottom w:val="nil"/>
              <w:right w:val="nil"/>
            </w:tcBorders>
            <w:shd w:val="clear" w:color="auto" w:fill="auto"/>
            <w:vAlign w:val="bottom"/>
            <w:hideMark/>
          </w:tcPr>
          <w:p w14:paraId="494D8CC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7.</w:t>
            </w:r>
            <w:r w:rsidRPr="00761800">
              <w:rPr>
                <w:rFonts w:ascii="Times New Roman" w:hAnsi="Times New Roman"/>
                <w:color w:val="000000"/>
                <w:sz w:val="22"/>
                <w:szCs w:val="22"/>
                <w:lang w:eastAsia="bg-BG"/>
              </w:rPr>
              <w:t xml:space="preserve"> (1) Приема бюджета на Конституционния съд за 2026 г., както следва:</w:t>
            </w:r>
          </w:p>
        </w:tc>
        <w:tc>
          <w:tcPr>
            <w:tcW w:w="2178" w:type="dxa"/>
            <w:tcBorders>
              <w:top w:val="nil"/>
              <w:left w:val="nil"/>
              <w:bottom w:val="nil"/>
              <w:right w:val="nil"/>
            </w:tcBorders>
            <w:shd w:val="clear" w:color="auto" w:fill="auto"/>
            <w:vAlign w:val="bottom"/>
            <w:hideMark/>
          </w:tcPr>
          <w:p w14:paraId="3F1E3FAD" w14:textId="77777777" w:rsidR="00761800" w:rsidRPr="00761800" w:rsidRDefault="00761800" w:rsidP="00761800">
            <w:pPr>
              <w:rPr>
                <w:rFonts w:ascii="Times New Roman" w:hAnsi="Times New Roman"/>
                <w:color w:val="000000"/>
                <w:sz w:val="22"/>
                <w:szCs w:val="22"/>
                <w:lang w:eastAsia="bg-BG"/>
              </w:rPr>
            </w:pPr>
          </w:p>
        </w:tc>
      </w:tr>
      <w:tr w:rsidR="00761800" w:rsidRPr="00761800" w14:paraId="676E39F3"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EB28D4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2E3803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2CB99AA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28F9D8E"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AB21E36"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E3DA58D"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4E050B4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6B93BC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A9C31D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530FC7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5248A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C672AB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B3816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21B927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330C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4084E6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CDF48F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1CFED6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78994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5 122,5</w:t>
            </w:r>
          </w:p>
        </w:tc>
      </w:tr>
      <w:tr w:rsidR="00761800" w:rsidRPr="00761800" w14:paraId="1C5FE02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B3F3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7B86A1A7"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6F47C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4 560,0</w:t>
            </w:r>
          </w:p>
        </w:tc>
      </w:tr>
      <w:tr w:rsidR="00761800" w:rsidRPr="00761800" w14:paraId="32B7DF0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527E4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6723D4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A4A76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BA405A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2F324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54CAFA2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9EB1C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3 942,4</w:t>
            </w:r>
          </w:p>
        </w:tc>
      </w:tr>
      <w:tr w:rsidR="00761800" w:rsidRPr="00761800" w14:paraId="4312264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E795FF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1164269C"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A29DD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562,5</w:t>
            </w:r>
          </w:p>
        </w:tc>
      </w:tr>
      <w:tr w:rsidR="00761800" w:rsidRPr="00761800" w14:paraId="68E0748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A530A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4EB9088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2B8A04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562,5</w:t>
            </w:r>
          </w:p>
        </w:tc>
      </w:tr>
      <w:tr w:rsidR="00761800" w:rsidRPr="00761800" w14:paraId="069800E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5E3F3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14FF85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9BB04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5 122,5</w:t>
            </w:r>
          </w:p>
        </w:tc>
      </w:tr>
      <w:tr w:rsidR="00761800" w:rsidRPr="00761800" w14:paraId="2D99888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0677A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6CC05B44"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7A36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5 122,5</w:t>
            </w:r>
          </w:p>
        </w:tc>
      </w:tr>
      <w:tr w:rsidR="00761800" w:rsidRPr="00761800" w14:paraId="65DBD94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6183F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1B368C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6C02F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87498A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E2A60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7AB805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0A581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18E382D" w14:textId="77777777" w:rsidTr="00406B4D">
        <w:trPr>
          <w:trHeight w:val="300"/>
        </w:trPr>
        <w:tc>
          <w:tcPr>
            <w:tcW w:w="1013" w:type="dxa"/>
            <w:tcBorders>
              <w:top w:val="nil"/>
              <w:left w:val="nil"/>
              <w:bottom w:val="nil"/>
              <w:right w:val="nil"/>
            </w:tcBorders>
            <w:shd w:val="clear" w:color="auto" w:fill="auto"/>
            <w:noWrap/>
            <w:vAlign w:val="bottom"/>
            <w:hideMark/>
          </w:tcPr>
          <w:p w14:paraId="5C126CC2"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49E32518"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2A12E2A9" w14:textId="77777777" w:rsidR="00761800" w:rsidRPr="00761800" w:rsidRDefault="00761800" w:rsidP="00761800">
            <w:pPr>
              <w:rPr>
                <w:rFonts w:ascii="Times New Roman" w:hAnsi="Times New Roman"/>
                <w:sz w:val="20"/>
                <w:lang w:eastAsia="bg-BG"/>
              </w:rPr>
            </w:pPr>
          </w:p>
        </w:tc>
      </w:tr>
      <w:tr w:rsidR="00761800" w:rsidRPr="00761800" w14:paraId="059CA2F7"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380DD4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4B79DE0F"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524870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55C818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08E16F5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5EB9437"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1D48C3C9"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0B8BC3CC"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0BE3316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A9C3BD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9A1BA4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C7312E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8DFB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69E661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6B15D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1.</w:t>
            </w:r>
          </w:p>
        </w:tc>
        <w:tc>
          <w:tcPr>
            <w:tcW w:w="11062" w:type="dxa"/>
            <w:tcBorders>
              <w:top w:val="nil"/>
              <w:left w:val="nil"/>
              <w:bottom w:val="single" w:sz="4" w:space="0" w:color="auto"/>
              <w:right w:val="nil"/>
            </w:tcBorders>
            <w:shd w:val="clear" w:color="auto" w:fill="auto"/>
            <w:hideMark/>
          </w:tcPr>
          <w:p w14:paraId="3D6998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„Върховенство на Конституцията“</w:t>
            </w:r>
          </w:p>
        </w:tc>
        <w:tc>
          <w:tcPr>
            <w:tcW w:w="2178" w:type="dxa"/>
            <w:tcBorders>
              <w:top w:val="nil"/>
              <w:left w:val="single" w:sz="4" w:space="0" w:color="auto"/>
              <w:bottom w:val="nil"/>
              <w:right w:val="single" w:sz="4" w:space="0" w:color="auto"/>
            </w:tcBorders>
            <w:shd w:val="clear" w:color="auto" w:fill="auto"/>
            <w:noWrap/>
            <w:vAlign w:val="bottom"/>
            <w:hideMark/>
          </w:tcPr>
          <w:p w14:paraId="1705DA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5 122,5</w:t>
            </w:r>
          </w:p>
        </w:tc>
      </w:tr>
      <w:tr w:rsidR="00761800" w:rsidRPr="00761800" w14:paraId="59B8C09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5BF0E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D8B85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307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5 122,5</w:t>
            </w:r>
          </w:p>
        </w:tc>
      </w:tr>
      <w:tr w:rsidR="00761800" w:rsidRPr="00761800" w14:paraId="6441B7A2" w14:textId="77777777" w:rsidTr="00406B4D">
        <w:trPr>
          <w:trHeight w:val="300"/>
        </w:trPr>
        <w:tc>
          <w:tcPr>
            <w:tcW w:w="1013" w:type="dxa"/>
            <w:tcBorders>
              <w:top w:val="nil"/>
              <w:left w:val="nil"/>
              <w:bottom w:val="nil"/>
              <w:right w:val="nil"/>
            </w:tcBorders>
            <w:shd w:val="clear" w:color="auto" w:fill="auto"/>
            <w:noWrap/>
            <w:vAlign w:val="bottom"/>
            <w:hideMark/>
          </w:tcPr>
          <w:p w14:paraId="1FC0509F"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FE1A45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7E6ADA32" w14:textId="77777777" w:rsidR="00761800" w:rsidRPr="00761800" w:rsidRDefault="00761800" w:rsidP="00761800">
            <w:pPr>
              <w:rPr>
                <w:rFonts w:ascii="Times New Roman" w:hAnsi="Times New Roman"/>
                <w:sz w:val="20"/>
                <w:lang w:eastAsia="bg-BG"/>
              </w:rPr>
            </w:pPr>
          </w:p>
        </w:tc>
      </w:tr>
      <w:tr w:rsidR="00761800" w:rsidRPr="00761800" w14:paraId="416D8C13" w14:textId="77777777" w:rsidTr="00406B4D">
        <w:trPr>
          <w:trHeight w:val="623"/>
        </w:trPr>
        <w:tc>
          <w:tcPr>
            <w:tcW w:w="14253" w:type="dxa"/>
            <w:gridSpan w:val="3"/>
            <w:tcBorders>
              <w:top w:val="nil"/>
              <w:left w:val="nil"/>
              <w:bottom w:val="single" w:sz="4" w:space="0" w:color="auto"/>
              <w:right w:val="nil"/>
            </w:tcBorders>
            <w:shd w:val="clear" w:color="auto" w:fill="auto"/>
            <w:hideMark/>
          </w:tcPr>
          <w:p w14:paraId="482EAB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Конституционния съд, както следва:</w:t>
            </w:r>
          </w:p>
        </w:tc>
      </w:tr>
      <w:tr w:rsidR="00761800" w:rsidRPr="00761800" w14:paraId="013C707D"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A3811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9CB83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18549DF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29CA878"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6B40C88"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44517BD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0508186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8BEF75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EF7CB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3561B4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960919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3C6888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122E2F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226A50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A533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1 087,0</w:t>
            </w:r>
          </w:p>
        </w:tc>
      </w:tr>
      <w:tr w:rsidR="00761800" w:rsidRPr="00761800" w14:paraId="3F8D642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26FA2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0FBB74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5761E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1 087,0</w:t>
            </w:r>
          </w:p>
        </w:tc>
      </w:tr>
      <w:tr w:rsidR="00761800" w:rsidRPr="00761800" w14:paraId="7128164D" w14:textId="77777777" w:rsidTr="00406B4D">
        <w:trPr>
          <w:trHeight w:val="300"/>
        </w:trPr>
        <w:tc>
          <w:tcPr>
            <w:tcW w:w="1013" w:type="dxa"/>
            <w:tcBorders>
              <w:top w:val="nil"/>
              <w:left w:val="nil"/>
              <w:bottom w:val="nil"/>
              <w:right w:val="nil"/>
            </w:tcBorders>
            <w:shd w:val="clear" w:color="auto" w:fill="auto"/>
            <w:vAlign w:val="bottom"/>
            <w:hideMark/>
          </w:tcPr>
          <w:p w14:paraId="2E482840"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213CF14C"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3A01C67A" w14:textId="77777777" w:rsidR="00761800" w:rsidRPr="00761800" w:rsidRDefault="00761800" w:rsidP="00761800">
            <w:pPr>
              <w:rPr>
                <w:rFonts w:ascii="Times New Roman" w:hAnsi="Times New Roman"/>
                <w:sz w:val="20"/>
                <w:lang w:eastAsia="bg-BG"/>
              </w:rPr>
            </w:pPr>
          </w:p>
        </w:tc>
      </w:tr>
      <w:tr w:rsidR="00761800" w:rsidRPr="00761800" w14:paraId="705C6D19" w14:textId="77777777" w:rsidTr="00406B4D">
        <w:trPr>
          <w:trHeight w:val="300"/>
        </w:trPr>
        <w:tc>
          <w:tcPr>
            <w:tcW w:w="14253" w:type="dxa"/>
            <w:gridSpan w:val="3"/>
            <w:tcBorders>
              <w:top w:val="nil"/>
              <w:left w:val="nil"/>
              <w:bottom w:val="nil"/>
              <w:right w:val="nil"/>
            </w:tcBorders>
            <w:shd w:val="clear" w:color="auto" w:fill="auto"/>
            <w:vAlign w:val="bottom"/>
            <w:hideMark/>
          </w:tcPr>
          <w:p w14:paraId="29EC7BF7"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8.</w:t>
            </w:r>
            <w:r w:rsidRPr="00761800">
              <w:rPr>
                <w:rFonts w:ascii="Times New Roman" w:hAnsi="Times New Roman"/>
                <w:color w:val="000000"/>
                <w:sz w:val="22"/>
                <w:szCs w:val="22"/>
                <w:lang w:eastAsia="bg-BG"/>
              </w:rPr>
              <w:t xml:space="preserve"> (1) Приема бюджета на Омбудсмана за 2026 г., както следва:</w:t>
            </w:r>
          </w:p>
        </w:tc>
      </w:tr>
      <w:tr w:rsidR="00761800" w:rsidRPr="00761800" w14:paraId="205D4CB3"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4D2450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1AEFB9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20F6350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95CD977"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6542BDF"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5623D05E"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36FD957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5A4406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A0F8A2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1334DB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83A0A2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50C29D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9468F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4306D9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8C768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93FEA4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EADB46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38EEE6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00ACB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2 632,6</w:t>
            </w:r>
          </w:p>
        </w:tc>
      </w:tr>
      <w:tr w:rsidR="00761800" w:rsidRPr="00761800" w14:paraId="0850B37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40B38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5D873633"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7371C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2 609,6</w:t>
            </w:r>
          </w:p>
        </w:tc>
      </w:tr>
      <w:tr w:rsidR="00761800" w:rsidRPr="00761800" w14:paraId="234D08E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B0076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BC92A0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F5ECF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58A62F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D5B2D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0DF53D8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46A7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2 021,6</w:t>
            </w:r>
          </w:p>
        </w:tc>
      </w:tr>
      <w:tr w:rsidR="00761800" w:rsidRPr="00761800" w14:paraId="395B179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9028F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524B7E2E"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5347A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23,0</w:t>
            </w:r>
          </w:p>
        </w:tc>
      </w:tr>
      <w:tr w:rsidR="00761800" w:rsidRPr="00761800" w14:paraId="19A3607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6A45C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1A84903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6A9CBA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23,0</w:t>
            </w:r>
          </w:p>
        </w:tc>
      </w:tr>
      <w:tr w:rsidR="00761800" w:rsidRPr="00761800" w14:paraId="0EE9FF2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BB91FF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780CBD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BBF24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2 632,6</w:t>
            </w:r>
          </w:p>
        </w:tc>
      </w:tr>
      <w:tr w:rsidR="00761800" w:rsidRPr="00761800" w14:paraId="6647B08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1EF45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13597F9E"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B819B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2 632,6</w:t>
            </w:r>
          </w:p>
        </w:tc>
      </w:tr>
      <w:tr w:rsidR="00761800" w:rsidRPr="00761800" w14:paraId="4EE1C0A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4C3E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730F3F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B148F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D94A1F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A791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48969F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580E9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7314CBE" w14:textId="77777777" w:rsidTr="00406B4D">
        <w:trPr>
          <w:trHeight w:val="300"/>
        </w:trPr>
        <w:tc>
          <w:tcPr>
            <w:tcW w:w="1013" w:type="dxa"/>
            <w:tcBorders>
              <w:top w:val="nil"/>
              <w:left w:val="nil"/>
              <w:bottom w:val="nil"/>
              <w:right w:val="nil"/>
            </w:tcBorders>
            <w:shd w:val="clear" w:color="auto" w:fill="auto"/>
            <w:noWrap/>
            <w:vAlign w:val="bottom"/>
            <w:hideMark/>
          </w:tcPr>
          <w:p w14:paraId="5A15C563"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042463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598BE732" w14:textId="77777777" w:rsidR="00761800" w:rsidRPr="00761800" w:rsidRDefault="00761800" w:rsidP="00761800">
            <w:pPr>
              <w:rPr>
                <w:rFonts w:ascii="Times New Roman" w:hAnsi="Times New Roman"/>
                <w:sz w:val="20"/>
                <w:lang w:eastAsia="bg-BG"/>
              </w:rPr>
            </w:pPr>
          </w:p>
        </w:tc>
      </w:tr>
      <w:tr w:rsidR="00761800" w:rsidRPr="00761800" w14:paraId="3C7AAB72"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6959FE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6221F76C"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9100CF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7CEC77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22C7B2C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A1CEC0B"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C1DCB7E"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2E1471C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615D79F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372FF5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29850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85E4E5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EFED6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9F9958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DBAFA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19236D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„Защита правата на гражданите“</w:t>
            </w:r>
          </w:p>
        </w:tc>
        <w:tc>
          <w:tcPr>
            <w:tcW w:w="2178" w:type="dxa"/>
            <w:tcBorders>
              <w:top w:val="nil"/>
              <w:left w:val="single" w:sz="4" w:space="0" w:color="auto"/>
              <w:bottom w:val="nil"/>
              <w:right w:val="single" w:sz="4" w:space="0" w:color="auto"/>
            </w:tcBorders>
            <w:shd w:val="clear" w:color="auto" w:fill="auto"/>
            <w:noWrap/>
            <w:vAlign w:val="bottom"/>
            <w:hideMark/>
          </w:tcPr>
          <w:p w14:paraId="7F1A2B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2 632,6</w:t>
            </w:r>
          </w:p>
        </w:tc>
      </w:tr>
      <w:tr w:rsidR="00761800" w:rsidRPr="00761800" w14:paraId="5FC0AB0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6E967A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33B54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2C62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2 632,6</w:t>
            </w:r>
          </w:p>
        </w:tc>
      </w:tr>
      <w:tr w:rsidR="00761800" w:rsidRPr="00761800" w14:paraId="4C4A2A4E" w14:textId="77777777" w:rsidTr="00406B4D">
        <w:trPr>
          <w:trHeight w:val="300"/>
        </w:trPr>
        <w:tc>
          <w:tcPr>
            <w:tcW w:w="1013" w:type="dxa"/>
            <w:tcBorders>
              <w:top w:val="nil"/>
              <w:left w:val="nil"/>
              <w:bottom w:val="nil"/>
              <w:right w:val="nil"/>
            </w:tcBorders>
            <w:shd w:val="clear" w:color="auto" w:fill="auto"/>
            <w:noWrap/>
            <w:vAlign w:val="bottom"/>
            <w:hideMark/>
          </w:tcPr>
          <w:p w14:paraId="7D6D02B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A0E90B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7BD24266" w14:textId="77777777" w:rsidR="00761800" w:rsidRPr="00761800" w:rsidRDefault="00761800" w:rsidP="00761800">
            <w:pPr>
              <w:rPr>
                <w:rFonts w:ascii="Times New Roman" w:hAnsi="Times New Roman"/>
                <w:sz w:val="20"/>
                <w:lang w:eastAsia="bg-BG"/>
              </w:rPr>
            </w:pPr>
          </w:p>
        </w:tc>
      </w:tr>
      <w:tr w:rsidR="00761800" w:rsidRPr="00761800" w14:paraId="167717D9"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5445D7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Омбудсмана, както следва:</w:t>
            </w:r>
          </w:p>
        </w:tc>
      </w:tr>
      <w:tr w:rsidR="00761800" w:rsidRPr="00761800" w14:paraId="75D1CC11"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DA9C2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A5401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609957F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A53C2B3"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C8EA0BD"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56B9302D"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197A0D0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07F7A0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A614D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1E541D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31CBCA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F83B07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578C0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047508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8D71D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610,0</w:t>
            </w:r>
          </w:p>
        </w:tc>
      </w:tr>
      <w:tr w:rsidR="00761800" w:rsidRPr="00761800" w14:paraId="15203FB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A1630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50442C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273F2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610,0</w:t>
            </w:r>
          </w:p>
        </w:tc>
      </w:tr>
      <w:tr w:rsidR="00761800" w:rsidRPr="00761800" w14:paraId="76682FEE" w14:textId="77777777" w:rsidTr="00406B4D">
        <w:trPr>
          <w:trHeight w:val="300"/>
        </w:trPr>
        <w:tc>
          <w:tcPr>
            <w:tcW w:w="1013" w:type="dxa"/>
            <w:tcBorders>
              <w:top w:val="nil"/>
              <w:left w:val="nil"/>
              <w:bottom w:val="nil"/>
              <w:right w:val="nil"/>
            </w:tcBorders>
            <w:shd w:val="clear" w:color="auto" w:fill="auto"/>
            <w:vAlign w:val="bottom"/>
            <w:hideMark/>
          </w:tcPr>
          <w:p w14:paraId="1138FC24"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522DAE72"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3D8A1C30" w14:textId="77777777" w:rsidR="00761800" w:rsidRPr="00761800" w:rsidRDefault="00761800" w:rsidP="00761800">
            <w:pPr>
              <w:rPr>
                <w:rFonts w:ascii="Times New Roman" w:hAnsi="Times New Roman"/>
                <w:sz w:val="20"/>
                <w:lang w:eastAsia="bg-BG"/>
              </w:rPr>
            </w:pPr>
          </w:p>
        </w:tc>
      </w:tr>
      <w:tr w:rsidR="00761800" w:rsidRPr="00761800" w14:paraId="287BD556" w14:textId="77777777" w:rsidTr="00406B4D">
        <w:trPr>
          <w:trHeight w:val="300"/>
        </w:trPr>
        <w:tc>
          <w:tcPr>
            <w:tcW w:w="14253" w:type="dxa"/>
            <w:gridSpan w:val="3"/>
            <w:tcBorders>
              <w:top w:val="nil"/>
              <w:left w:val="nil"/>
              <w:bottom w:val="nil"/>
              <w:right w:val="nil"/>
            </w:tcBorders>
            <w:shd w:val="clear" w:color="auto" w:fill="auto"/>
            <w:vAlign w:val="bottom"/>
            <w:hideMark/>
          </w:tcPr>
          <w:p w14:paraId="1603BD24"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9.</w:t>
            </w:r>
            <w:r w:rsidRPr="00761800">
              <w:rPr>
                <w:rFonts w:ascii="Times New Roman" w:hAnsi="Times New Roman"/>
                <w:color w:val="000000"/>
                <w:sz w:val="22"/>
                <w:szCs w:val="22"/>
                <w:lang w:eastAsia="bg-BG"/>
              </w:rPr>
              <w:t xml:space="preserve"> (1) Приема бюджета на Министерството на финансите за 2026 г., както следва:</w:t>
            </w:r>
          </w:p>
        </w:tc>
      </w:tr>
      <w:tr w:rsidR="00761800" w:rsidRPr="00761800" w14:paraId="16DB8F0C"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1B4141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4748E8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668BA8E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B5A56FE"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00B6CC5"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515877E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49FC33C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AB4095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3C82CF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17289C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hideMark/>
          </w:tcPr>
          <w:p w14:paraId="121D578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03752C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7D768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5DCB60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E4C4D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400 054,0</w:t>
            </w:r>
          </w:p>
        </w:tc>
      </w:tr>
      <w:tr w:rsidR="00761800" w:rsidRPr="00761800" w14:paraId="6A4CDC2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56FCF8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D790DBD"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810DF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400 054,0</w:t>
            </w:r>
          </w:p>
        </w:tc>
      </w:tr>
      <w:tr w:rsidR="00761800" w:rsidRPr="00761800" w14:paraId="1096357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1A715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21F715D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0EA9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394 082,8</w:t>
            </w:r>
          </w:p>
        </w:tc>
      </w:tr>
      <w:tr w:rsidR="00761800" w:rsidRPr="00761800" w14:paraId="1B2A5FB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D8DA4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6DF1167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4F6CD2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616,5</w:t>
            </w:r>
          </w:p>
        </w:tc>
      </w:tr>
      <w:tr w:rsidR="00761800" w:rsidRPr="00761800" w14:paraId="1B08519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A6A8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6B9DF8F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66566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1 183,1</w:t>
            </w:r>
          </w:p>
        </w:tc>
      </w:tr>
      <w:tr w:rsidR="00761800" w:rsidRPr="00761800" w14:paraId="07FCCFB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92F04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0BC857C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DD4D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4 171,6</w:t>
            </w:r>
          </w:p>
        </w:tc>
      </w:tr>
      <w:tr w:rsidR="00761800" w:rsidRPr="00761800" w14:paraId="5BBCD28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8BA4B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6DE945F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92DC3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409 151,9</w:t>
            </w:r>
          </w:p>
        </w:tc>
      </w:tr>
      <w:tr w:rsidR="00761800" w:rsidRPr="00761800" w14:paraId="753CAE7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5E677E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259410AD"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5072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399 367,0</w:t>
            </w:r>
          </w:p>
        </w:tc>
      </w:tr>
      <w:tr w:rsidR="00761800" w:rsidRPr="00761800" w14:paraId="7A641B4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3FDC6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9A96A9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6A26E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051D99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D7844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39EB689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7180A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318 130,8</w:t>
            </w:r>
          </w:p>
        </w:tc>
      </w:tr>
      <w:tr w:rsidR="00761800" w:rsidRPr="00761800" w14:paraId="6A63E22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F1546D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5E4C009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4BFBA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1 626,6</w:t>
            </w:r>
          </w:p>
        </w:tc>
      </w:tr>
      <w:tr w:rsidR="00761800" w:rsidRPr="00761800" w14:paraId="0C0DF01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4E7B77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18769DD6"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финансови институции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991DE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1 626,6</w:t>
            </w:r>
          </w:p>
        </w:tc>
      </w:tr>
      <w:tr w:rsidR="00761800" w:rsidRPr="00761800" w14:paraId="152172A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DC027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1.3.</w:t>
            </w:r>
          </w:p>
        </w:tc>
        <w:tc>
          <w:tcPr>
            <w:tcW w:w="11062" w:type="dxa"/>
            <w:tcBorders>
              <w:top w:val="nil"/>
              <w:left w:val="nil"/>
              <w:bottom w:val="single" w:sz="4" w:space="0" w:color="auto"/>
              <w:right w:val="nil"/>
            </w:tcBorders>
            <w:shd w:val="clear" w:color="auto" w:fill="auto"/>
            <w:noWrap/>
            <w:vAlign w:val="bottom"/>
            <w:hideMark/>
          </w:tcPr>
          <w:p w14:paraId="1FADAE7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Текущи трансфери, обезщетения и помощи за домакинствата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50BEA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40,0</w:t>
            </w:r>
          </w:p>
        </w:tc>
      </w:tr>
      <w:tr w:rsidR="00761800" w:rsidRPr="00761800" w14:paraId="7C9DCCB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F37CD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5AC34763"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9699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9 784,9</w:t>
            </w:r>
          </w:p>
        </w:tc>
      </w:tr>
      <w:tr w:rsidR="00761800" w:rsidRPr="00761800" w14:paraId="155210B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CC321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74DAE60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0CB84C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9 784,9</w:t>
            </w:r>
          </w:p>
        </w:tc>
      </w:tr>
      <w:tr w:rsidR="00761800" w:rsidRPr="00761800" w14:paraId="201DA13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856F6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0B47A9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457E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9 097,9</w:t>
            </w:r>
          </w:p>
        </w:tc>
      </w:tr>
      <w:tr w:rsidR="00761800" w:rsidRPr="00761800" w14:paraId="791A7E2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BBD82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05006E8"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925C5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16 401,0</w:t>
            </w:r>
          </w:p>
        </w:tc>
      </w:tr>
      <w:tr w:rsidR="00761800" w:rsidRPr="00761800" w14:paraId="651EC89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867B7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0E002EB8"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80CFB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-7 301,2</w:t>
            </w:r>
          </w:p>
        </w:tc>
      </w:tr>
      <w:tr w:rsidR="00761800" w:rsidRPr="00761800" w14:paraId="10D16AC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9037A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45756760"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40BB9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-7 301,2</w:t>
            </w:r>
          </w:p>
        </w:tc>
      </w:tr>
      <w:tr w:rsidR="00761800" w:rsidRPr="00761800" w14:paraId="569208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CF98A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nil"/>
            </w:tcBorders>
            <w:shd w:val="clear" w:color="auto" w:fill="auto"/>
            <w:noWrap/>
            <w:vAlign w:val="bottom"/>
            <w:hideMark/>
          </w:tcPr>
          <w:p w14:paraId="1C5119D4"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hideMark/>
          </w:tcPr>
          <w:p w14:paraId="6E588F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w:t>
            </w:r>
          </w:p>
        </w:tc>
      </w:tr>
      <w:tr w:rsidR="00761800" w:rsidRPr="00761800" w14:paraId="7E91E4F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B5A7D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3.1.</w:t>
            </w:r>
          </w:p>
        </w:tc>
        <w:tc>
          <w:tcPr>
            <w:tcW w:w="11062" w:type="dxa"/>
            <w:tcBorders>
              <w:top w:val="nil"/>
              <w:left w:val="nil"/>
              <w:bottom w:val="single" w:sz="4" w:space="0" w:color="auto"/>
              <w:right w:val="nil"/>
            </w:tcBorders>
            <w:shd w:val="clear" w:color="auto" w:fill="auto"/>
            <w:noWrap/>
            <w:vAlign w:val="bottom"/>
            <w:hideMark/>
          </w:tcPr>
          <w:p w14:paraId="198D0538"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520E02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w:t>
            </w:r>
          </w:p>
        </w:tc>
      </w:tr>
      <w:tr w:rsidR="00761800" w:rsidRPr="00761800" w14:paraId="753C14B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E0955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0729DE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C4384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0,0</w:t>
            </w:r>
          </w:p>
        </w:tc>
      </w:tr>
      <w:tr w:rsidR="00761800" w:rsidRPr="00761800" w14:paraId="0D1D230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CF4EA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7ADFDD2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9354E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8460981" w14:textId="77777777" w:rsidTr="00406B4D">
        <w:trPr>
          <w:trHeight w:val="300"/>
        </w:trPr>
        <w:tc>
          <w:tcPr>
            <w:tcW w:w="1013" w:type="dxa"/>
            <w:tcBorders>
              <w:top w:val="nil"/>
              <w:left w:val="nil"/>
              <w:bottom w:val="nil"/>
              <w:right w:val="nil"/>
            </w:tcBorders>
            <w:shd w:val="clear" w:color="auto" w:fill="auto"/>
            <w:noWrap/>
            <w:vAlign w:val="bottom"/>
            <w:hideMark/>
          </w:tcPr>
          <w:p w14:paraId="31D6B16B"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4612DD7"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6F284E05" w14:textId="77777777" w:rsidR="00761800" w:rsidRPr="00761800" w:rsidRDefault="00761800" w:rsidP="00761800">
            <w:pPr>
              <w:rPr>
                <w:rFonts w:ascii="Times New Roman" w:hAnsi="Times New Roman"/>
                <w:sz w:val="20"/>
                <w:lang w:eastAsia="bg-BG"/>
              </w:rPr>
            </w:pPr>
          </w:p>
        </w:tc>
      </w:tr>
      <w:tr w:rsidR="00761800" w:rsidRPr="00761800" w14:paraId="19E97423" w14:textId="77777777" w:rsidTr="00406B4D">
        <w:trPr>
          <w:trHeight w:val="300"/>
        </w:trPr>
        <w:tc>
          <w:tcPr>
            <w:tcW w:w="14253" w:type="dxa"/>
            <w:gridSpan w:val="3"/>
            <w:tcBorders>
              <w:top w:val="nil"/>
              <w:left w:val="nil"/>
              <w:bottom w:val="single" w:sz="4" w:space="0" w:color="auto"/>
              <w:right w:val="nil"/>
            </w:tcBorders>
            <w:shd w:val="clear" w:color="auto" w:fill="auto"/>
            <w:hideMark/>
          </w:tcPr>
          <w:p w14:paraId="31E7851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053FBC50"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91FB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E2370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3366AE7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421C787"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927FB90"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0DEAAD7D"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7F0E56B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8C6B55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EF07B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ABD032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2FE73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075CCA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A28EF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vAlign w:val="bottom"/>
            <w:hideMark/>
          </w:tcPr>
          <w:p w14:paraId="0F893F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устойчивите и прозрачни публични финанси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43A0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46 687,4</w:t>
            </w:r>
          </w:p>
        </w:tc>
      </w:tr>
      <w:tr w:rsidR="00761800" w:rsidRPr="00761800" w14:paraId="0206FB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23800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vAlign w:val="bottom"/>
            <w:hideMark/>
          </w:tcPr>
          <w:p w14:paraId="79704C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ефективното събиране на всички държавни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42888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298 713,2</w:t>
            </w:r>
          </w:p>
        </w:tc>
      </w:tr>
      <w:tr w:rsidR="00761800" w:rsidRPr="00761800" w14:paraId="49FDCBE3" w14:textId="77777777" w:rsidTr="00406B4D">
        <w:trPr>
          <w:trHeight w:val="291"/>
        </w:trPr>
        <w:tc>
          <w:tcPr>
            <w:tcW w:w="1013" w:type="dxa"/>
            <w:tcBorders>
              <w:top w:val="nil"/>
              <w:left w:val="single" w:sz="4" w:space="0" w:color="auto"/>
              <w:bottom w:val="single" w:sz="4" w:space="0" w:color="auto"/>
              <w:right w:val="single" w:sz="4" w:space="0" w:color="auto"/>
            </w:tcBorders>
            <w:shd w:val="clear" w:color="auto" w:fill="auto"/>
            <w:noWrap/>
            <w:hideMark/>
          </w:tcPr>
          <w:p w14:paraId="60F8481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vAlign w:val="bottom"/>
            <w:hideMark/>
          </w:tcPr>
          <w:p w14:paraId="2FF169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защитата на обществото и икономиката от финансови измами, контрабанда на стоки, изпиране на пари и финансиране на тероризма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B6197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40 829,0</w:t>
            </w:r>
          </w:p>
        </w:tc>
      </w:tr>
      <w:tr w:rsidR="00761800" w:rsidRPr="00761800" w14:paraId="52CB973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8839A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4.</w:t>
            </w:r>
          </w:p>
        </w:tc>
        <w:tc>
          <w:tcPr>
            <w:tcW w:w="11062" w:type="dxa"/>
            <w:tcBorders>
              <w:top w:val="nil"/>
              <w:left w:val="nil"/>
              <w:bottom w:val="single" w:sz="4" w:space="0" w:color="auto"/>
              <w:right w:val="nil"/>
            </w:tcBorders>
            <w:shd w:val="clear" w:color="auto" w:fill="auto"/>
            <w:vAlign w:val="bottom"/>
            <w:hideMark/>
          </w:tcPr>
          <w:p w14:paraId="5BD4CF6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управлението на дълга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E2594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3 531,4</w:t>
            </w:r>
          </w:p>
        </w:tc>
      </w:tr>
      <w:tr w:rsidR="00761800" w:rsidRPr="00761800" w14:paraId="77322F6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7582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5.</w:t>
            </w:r>
          </w:p>
        </w:tc>
        <w:tc>
          <w:tcPr>
            <w:tcW w:w="11062" w:type="dxa"/>
            <w:tcBorders>
              <w:top w:val="nil"/>
              <w:left w:val="nil"/>
              <w:bottom w:val="single" w:sz="4" w:space="0" w:color="auto"/>
              <w:right w:val="nil"/>
            </w:tcBorders>
            <w:shd w:val="clear" w:color="auto" w:fill="auto"/>
            <w:vAlign w:val="bottom"/>
            <w:hideMark/>
          </w:tcPr>
          <w:p w14:paraId="2228FB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9413F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19 390,9</w:t>
            </w:r>
          </w:p>
        </w:tc>
      </w:tr>
      <w:tr w:rsidR="00761800" w:rsidRPr="00761800" w14:paraId="726D96B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B51FD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3714B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C70E7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409 151,9</w:t>
            </w:r>
          </w:p>
        </w:tc>
      </w:tr>
      <w:tr w:rsidR="00761800" w:rsidRPr="00761800" w14:paraId="635FD94C" w14:textId="77777777" w:rsidTr="00406B4D">
        <w:trPr>
          <w:trHeight w:val="300"/>
        </w:trPr>
        <w:tc>
          <w:tcPr>
            <w:tcW w:w="1013" w:type="dxa"/>
            <w:tcBorders>
              <w:top w:val="nil"/>
              <w:left w:val="nil"/>
              <w:bottom w:val="nil"/>
              <w:right w:val="nil"/>
            </w:tcBorders>
            <w:shd w:val="clear" w:color="auto" w:fill="auto"/>
            <w:noWrap/>
            <w:vAlign w:val="bottom"/>
            <w:hideMark/>
          </w:tcPr>
          <w:p w14:paraId="713C421F"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FC1967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30B6797F" w14:textId="77777777" w:rsidR="00761800" w:rsidRPr="00761800" w:rsidRDefault="00761800" w:rsidP="00761800">
            <w:pPr>
              <w:rPr>
                <w:rFonts w:ascii="Times New Roman" w:hAnsi="Times New Roman"/>
                <w:sz w:val="20"/>
                <w:lang w:eastAsia="bg-BG"/>
              </w:rPr>
            </w:pPr>
          </w:p>
        </w:tc>
      </w:tr>
      <w:tr w:rsidR="00761800" w:rsidRPr="00761800" w14:paraId="3ED7BBC6"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6F20227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финансите, както следва:</w:t>
            </w:r>
          </w:p>
        </w:tc>
      </w:tr>
      <w:tr w:rsidR="00761800" w:rsidRPr="00761800" w14:paraId="0E452B44"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4B74C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CB7B3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1B43ACB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4916E9BF"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E999A2F"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35BCC5AE"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25F87E6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4CF819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F122F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7B66AD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2EA72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FE5976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7AAA84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1.</w:t>
            </w:r>
          </w:p>
        </w:tc>
        <w:tc>
          <w:tcPr>
            <w:tcW w:w="11062" w:type="dxa"/>
            <w:tcBorders>
              <w:top w:val="nil"/>
              <w:left w:val="nil"/>
              <w:bottom w:val="single" w:sz="4" w:space="0" w:color="auto"/>
              <w:right w:val="nil"/>
            </w:tcBorders>
            <w:shd w:val="clear" w:color="auto" w:fill="auto"/>
            <w:noWrap/>
            <w:vAlign w:val="bottom"/>
            <w:hideMark/>
          </w:tcPr>
          <w:p w14:paraId="3906E8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9027F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99 350,0</w:t>
            </w:r>
          </w:p>
        </w:tc>
      </w:tr>
      <w:tr w:rsidR="00761800" w:rsidRPr="00761800" w14:paraId="4FB6000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5EE12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093D08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5880F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89 986,1</w:t>
            </w:r>
          </w:p>
        </w:tc>
      </w:tr>
      <w:tr w:rsidR="00761800" w:rsidRPr="00761800" w14:paraId="4CE7BA5A" w14:textId="77777777" w:rsidTr="00406B4D">
        <w:trPr>
          <w:trHeight w:val="300"/>
        </w:trPr>
        <w:tc>
          <w:tcPr>
            <w:tcW w:w="1013" w:type="dxa"/>
            <w:tcBorders>
              <w:top w:val="nil"/>
              <w:left w:val="nil"/>
              <w:bottom w:val="nil"/>
              <w:right w:val="nil"/>
            </w:tcBorders>
            <w:shd w:val="clear" w:color="auto" w:fill="auto"/>
            <w:vAlign w:val="bottom"/>
            <w:hideMark/>
          </w:tcPr>
          <w:p w14:paraId="142BB6A8"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6C0B01A7"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7D4B4D77" w14:textId="77777777" w:rsidR="00761800" w:rsidRPr="00761800" w:rsidRDefault="00761800" w:rsidP="00761800">
            <w:pPr>
              <w:rPr>
                <w:rFonts w:ascii="Times New Roman" w:hAnsi="Times New Roman"/>
                <w:sz w:val="20"/>
                <w:lang w:eastAsia="bg-BG"/>
              </w:rPr>
            </w:pPr>
          </w:p>
        </w:tc>
      </w:tr>
      <w:tr w:rsidR="00761800" w:rsidRPr="00761800" w14:paraId="195A9A34" w14:textId="77777777" w:rsidTr="00406B4D">
        <w:trPr>
          <w:trHeight w:val="300"/>
        </w:trPr>
        <w:tc>
          <w:tcPr>
            <w:tcW w:w="14253" w:type="dxa"/>
            <w:gridSpan w:val="3"/>
            <w:tcBorders>
              <w:top w:val="nil"/>
              <w:left w:val="nil"/>
              <w:bottom w:val="nil"/>
              <w:right w:val="nil"/>
            </w:tcBorders>
            <w:shd w:val="clear" w:color="auto" w:fill="auto"/>
            <w:vAlign w:val="bottom"/>
            <w:hideMark/>
          </w:tcPr>
          <w:p w14:paraId="70E4ECBA"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10.</w:t>
            </w:r>
            <w:r w:rsidRPr="00761800">
              <w:rPr>
                <w:rFonts w:ascii="Times New Roman" w:hAnsi="Times New Roman"/>
                <w:color w:val="000000"/>
                <w:sz w:val="22"/>
                <w:szCs w:val="22"/>
                <w:lang w:eastAsia="bg-BG"/>
              </w:rPr>
              <w:t xml:space="preserve"> (1) Приема бюджета на Министерството на външните работи за 2026 г., както следва:</w:t>
            </w:r>
          </w:p>
        </w:tc>
      </w:tr>
      <w:tr w:rsidR="00761800" w:rsidRPr="00761800" w14:paraId="2F211B01"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3DA6F7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DF3196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622135F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BCC4C1E"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415C504"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7233E12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4B515F9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EF8328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790D9D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B01D6C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098BF8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4DF148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2B622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105780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EC07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28 161,0</w:t>
            </w:r>
          </w:p>
        </w:tc>
      </w:tr>
      <w:tr w:rsidR="00761800" w:rsidRPr="00761800" w14:paraId="790280A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22E5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ED94E4A"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19D42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28 161,0</w:t>
            </w:r>
          </w:p>
        </w:tc>
      </w:tr>
      <w:tr w:rsidR="00761800" w:rsidRPr="00761800" w14:paraId="4CF5E5A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0DD7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5E18591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1FE0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22 007,0</w:t>
            </w:r>
          </w:p>
        </w:tc>
      </w:tr>
      <w:tr w:rsidR="00761800" w:rsidRPr="00761800" w14:paraId="6B91CB8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077F12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646AB1C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C3295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4 011,7</w:t>
            </w:r>
          </w:p>
        </w:tc>
      </w:tr>
      <w:tr w:rsidR="00761800" w:rsidRPr="00761800" w14:paraId="1803562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33A786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052ABAD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34EFB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127,8</w:t>
            </w:r>
          </w:p>
        </w:tc>
      </w:tr>
      <w:tr w:rsidR="00761800" w:rsidRPr="00761800" w14:paraId="069D683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30DFE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5AF1DB2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B70EF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2 014,5</w:t>
            </w:r>
          </w:p>
        </w:tc>
      </w:tr>
      <w:tr w:rsidR="00761800" w:rsidRPr="00761800" w14:paraId="574BFEB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FB49E8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2F31E3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7FE06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138 619,3</w:t>
            </w:r>
          </w:p>
        </w:tc>
      </w:tr>
      <w:tr w:rsidR="00761800" w:rsidRPr="00761800" w14:paraId="779970E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97899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429B874F"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A2CC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129 590,3</w:t>
            </w:r>
          </w:p>
        </w:tc>
      </w:tr>
      <w:tr w:rsidR="00761800" w:rsidRPr="00761800" w14:paraId="72CF4B4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48E3A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F79142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30646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97FDB6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5889C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34DB02E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10AE1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32 078,7</w:t>
            </w:r>
          </w:p>
        </w:tc>
      </w:tr>
      <w:tr w:rsidR="00761800" w:rsidRPr="00761800" w14:paraId="5E1A1AC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910AB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7F7FDBA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19A6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5 529,5</w:t>
            </w:r>
          </w:p>
        </w:tc>
      </w:tr>
      <w:tr w:rsidR="00761800" w:rsidRPr="00761800" w14:paraId="5D63A6E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A81DE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534DDD4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6D2FC9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5 529,5</w:t>
            </w:r>
          </w:p>
        </w:tc>
      </w:tr>
      <w:tr w:rsidR="00761800" w:rsidRPr="00761800" w14:paraId="4177AC6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307B3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nil"/>
            </w:tcBorders>
            <w:shd w:val="clear" w:color="auto" w:fill="auto"/>
            <w:noWrap/>
            <w:vAlign w:val="bottom"/>
            <w:hideMark/>
          </w:tcPr>
          <w:p w14:paraId="6986DA68"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Предоставени текущи и капиталови трансфери за чужбина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575C0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3 499,5</w:t>
            </w:r>
          </w:p>
        </w:tc>
      </w:tr>
      <w:tr w:rsidR="00761800" w:rsidRPr="00761800" w14:paraId="6DFE981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1CBC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146590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763E2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110 458,3</w:t>
            </w:r>
          </w:p>
        </w:tc>
      </w:tr>
      <w:tr w:rsidR="00761800" w:rsidRPr="00761800" w14:paraId="6BC3EFE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B1DC1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1F8EDA62"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65CA8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115 737,7</w:t>
            </w:r>
          </w:p>
        </w:tc>
      </w:tr>
      <w:tr w:rsidR="00761800" w:rsidRPr="00761800" w14:paraId="473364E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6D826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3D562A52"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hideMark/>
          </w:tcPr>
          <w:p w14:paraId="2DA252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-5 279,4</w:t>
            </w:r>
          </w:p>
        </w:tc>
      </w:tr>
      <w:tr w:rsidR="00761800" w:rsidRPr="00761800" w14:paraId="0382107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9B33F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0CA43AD3"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13717A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-5 279,4</w:t>
            </w:r>
          </w:p>
        </w:tc>
      </w:tr>
      <w:tr w:rsidR="00761800" w:rsidRPr="00761800" w14:paraId="4355143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FBEDC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4823E5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42F3D7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041D4D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1F50E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21313ED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94391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052B46C" w14:textId="77777777" w:rsidTr="00406B4D">
        <w:trPr>
          <w:trHeight w:val="289"/>
        </w:trPr>
        <w:tc>
          <w:tcPr>
            <w:tcW w:w="1013" w:type="dxa"/>
            <w:tcBorders>
              <w:top w:val="nil"/>
              <w:left w:val="nil"/>
              <w:bottom w:val="nil"/>
              <w:right w:val="nil"/>
            </w:tcBorders>
            <w:shd w:val="clear" w:color="auto" w:fill="auto"/>
            <w:noWrap/>
            <w:vAlign w:val="bottom"/>
            <w:hideMark/>
          </w:tcPr>
          <w:p w14:paraId="688F084E"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23E8E1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44DF29C8" w14:textId="77777777" w:rsidR="00761800" w:rsidRPr="00761800" w:rsidRDefault="00761800" w:rsidP="00761800">
            <w:pPr>
              <w:rPr>
                <w:rFonts w:ascii="Times New Roman" w:hAnsi="Times New Roman"/>
                <w:sz w:val="20"/>
                <w:lang w:eastAsia="bg-BG"/>
              </w:rPr>
            </w:pPr>
          </w:p>
        </w:tc>
      </w:tr>
      <w:tr w:rsidR="00761800" w:rsidRPr="00761800" w14:paraId="21B96D13" w14:textId="77777777" w:rsidTr="00406B4D">
        <w:trPr>
          <w:trHeight w:val="300"/>
        </w:trPr>
        <w:tc>
          <w:tcPr>
            <w:tcW w:w="14253" w:type="dxa"/>
            <w:gridSpan w:val="3"/>
            <w:tcBorders>
              <w:top w:val="nil"/>
              <w:left w:val="nil"/>
              <w:bottom w:val="single" w:sz="4" w:space="0" w:color="auto"/>
              <w:right w:val="nil"/>
            </w:tcBorders>
            <w:shd w:val="clear" w:color="auto" w:fill="auto"/>
            <w:noWrap/>
            <w:vAlign w:val="bottom"/>
            <w:hideMark/>
          </w:tcPr>
          <w:p w14:paraId="3FE07A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7BA65D63"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9A30C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4DB84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07A2626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E8DB10B"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385999D9"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606FEF79"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4142E66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88F8B6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CCDD2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F15557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7C387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DBF080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E36A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4085DEE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активната двустранна и многостранна дипломация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AC5B5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136 897,0</w:t>
            </w:r>
          </w:p>
        </w:tc>
      </w:tr>
      <w:tr w:rsidR="00761800" w:rsidRPr="00761800" w14:paraId="755CF5E9"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64A445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vAlign w:val="bottom"/>
            <w:hideMark/>
          </w:tcPr>
          <w:p w14:paraId="0D0BC9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публичната дипломация и публичните дейности в подкрепа на целите на външната политика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8439F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927,3</w:t>
            </w:r>
          </w:p>
        </w:tc>
      </w:tr>
      <w:tr w:rsidR="00761800" w:rsidRPr="00761800" w14:paraId="2CB2C712" w14:textId="77777777" w:rsidTr="00406B4D">
        <w:trPr>
          <w:trHeight w:val="177"/>
        </w:trPr>
        <w:tc>
          <w:tcPr>
            <w:tcW w:w="1013" w:type="dxa"/>
            <w:tcBorders>
              <w:top w:val="nil"/>
              <w:left w:val="single" w:sz="4" w:space="0" w:color="auto"/>
              <w:bottom w:val="single" w:sz="4" w:space="0" w:color="auto"/>
              <w:right w:val="single" w:sz="4" w:space="0" w:color="auto"/>
            </w:tcBorders>
            <w:shd w:val="clear" w:color="auto" w:fill="auto"/>
            <w:noWrap/>
            <w:hideMark/>
          </w:tcPr>
          <w:p w14:paraId="0A52DF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vAlign w:val="bottom"/>
            <w:hideMark/>
          </w:tcPr>
          <w:p w14:paraId="28518B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подкрепата за българските общности и лицата с българско самосъзнание зад граница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B5025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795,0</w:t>
            </w:r>
          </w:p>
        </w:tc>
      </w:tr>
      <w:tr w:rsidR="00761800" w:rsidRPr="00761800" w14:paraId="45F01C2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18BD2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C231D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A3B09B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138 619,3</w:t>
            </w:r>
          </w:p>
        </w:tc>
      </w:tr>
      <w:tr w:rsidR="00761800" w:rsidRPr="00761800" w14:paraId="5BEFE341" w14:textId="77777777" w:rsidTr="00406B4D">
        <w:trPr>
          <w:trHeight w:val="300"/>
        </w:trPr>
        <w:tc>
          <w:tcPr>
            <w:tcW w:w="1013" w:type="dxa"/>
            <w:tcBorders>
              <w:top w:val="nil"/>
              <w:left w:val="nil"/>
              <w:bottom w:val="nil"/>
              <w:right w:val="nil"/>
            </w:tcBorders>
            <w:shd w:val="clear" w:color="auto" w:fill="auto"/>
            <w:noWrap/>
            <w:vAlign w:val="bottom"/>
            <w:hideMark/>
          </w:tcPr>
          <w:p w14:paraId="2773DA75"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290846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1D338130" w14:textId="77777777" w:rsidR="00761800" w:rsidRPr="00761800" w:rsidRDefault="00761800" w:rsidP="00761800">
            <w:pPr>
              <w:rPr>
                <w:rFonts w:ascii="Times New Roman" w:hAnsi="Times New Roman"/>
                <w:sz w:val="20"/>
                <w:lang w:eastAsia="bg-BG"/>
              </w:rPr>
            </w:pPr>
          </w:p>
        </w:tc>
      </w:tr>
      <w:tr w:rsidR="00761800" w:rsidRPr="00761800" w14:paraId="7739A0F1"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1CEE26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външните работи, както следва:</w:t>
            </w:r>
          </w:p>
        </w:tc>
      </w:tr>
      <w:tr w:rsidR="00761800" w:rsidRPr="00761800" w14:paraId="0BB86698" w14:textId="77777777" w:rsidTr="00406B4D">
        <w:trPr>
          <w:trHeight w:val="300"/>
        </w:trPr>
        <w:tc>
          <w:tcPr>
            <w:tcW w:w="1013" w:type="dxa"/>
            <w:tcBorders>
              <w:top w:val="nil"/>
              <w:left w:val="single" w:sz="4" w:space="0" w:color="auto"/>
              <w:bottom w:val="nil"/>
              <w:right w:val="single" w:sz="4" w:space="0" w:color="auto"/>
            </w:tcBorders>
            <w:shd w:val="clear" w:color="auto" w:fill="auto"/>
            <w:noWrap/>
            <w:vAlign w:val="center"/>
            <w:hideMark/>
          </w:tcPr>
          <w:p w14:paraId="78E03F6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tcBorders>
              <w:top w:val="nil"/>
              <w:left w:val="nil"/>
              <w:bottom w:val="nil"/>
              <w:right w:val="single" w:sz="4" w:space="0" w:color="auto"/>
            </w:tcBorders>
            <w:shd w:val="clear" w:color="auto" w:fill="auto"/>
            <w:noWrap/>
            <w:vAlign w:val="center"/>
            <w:hideMark/>
          </w:tcPr>
          <w:p w14:paraId="4DED240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1D8B7FF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7B7AC9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center"/>
            <w:hideMark/>
          </w:tcPr>
          <w:p w14:paraId="3C449C7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center"/>
            <w:hideMark/>
          </w:tcPr>
          <w:p w14:paraId="2F33C43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nil"/>
              <w:bottom w:val="single" w:sz="4" w:space="0" w:color="auto"/>
              <w:right w:val="single" w:sz="4" w:space="0" w:color="auto"/>
            </w:tcBorders>
            <w:shd w:val="clear" w:color="auto" w:fill="auto"/>
            <w:noWrap/>
            <w:vAlign w:val="bottom"/>
            <w:hideMark/>
          </w:tcPr>
          <w:p w14:paraId="6FFA7DC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32F0F9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C659F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1A2392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780A4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A5346F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F7637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553078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F8A5E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106 015,5</w:t>
            </w:r>
          </w:p>
        </w:tc>
      </w:tr>
      <w:tr w:rsidR="00761800" w:rsidRPr="00761800" w14:paraId="1108409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D748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08F21E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B7636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106 015,5</w:t>
            </w:r>
          </w:p>
        </w:tc>
      </w:tr>
      <w:tr w:rsidR="00761800" w:rsidRPr="00761800" w14:paraId="3C212051" w14:textId="77777777" w:rsidTr="00406B4D">
        <w:trPr>
          <w:trHeight w:val="108"/>
        </w:trPr>
        <w:tc>
          <w:tcPr>
            <w:tcW w:w="1013" w:type="dxa"/>
            <w:tcBorders>
              <w:top w:val="nil"/>
              <w:left w:val="nil"/>
              <w:bottom w:val="nil"/>
              <w:right w:val="nil"/>
            </w:tcBorders>
            <w:shd w:val="clear" w:color="auto" w:fill="auto"/>
            <w:noWrap/>
            <w:vAlign w:val="bottom"/>
            <w:hideMark/>
          </w:tcPr>
          <w:p w14:paraId="04A2090B"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741A2F7"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C15D1DF" w14:textId="77777777" w:rsidR="00761800" w:rsidRPr="00761800" w:rsidRDefault="00761800" w:rsidP="00761800">
            <w:pPr>
              <w:rPr>
                <w:rFonts w:ascii="Times New Roman" w:hAnsi="Times New Roman"/>
                <w:sz w:val="20"/>
                <w:lang w:eastAsia="bg-BG"/>
              </w:rPr>
            </w:pPr>
          </w:p>
        </w:tc>
      </w:tr>
      <w:tr w:rsidR="00761800" w:rsidRPr="00761800" w14:paraId="34FBD8A0" w14:textId="77777777" w:rsidTr="00406B4D">
        <w:trPr>
          <w:trHeight w:val="660"/>
        </w:trPr>
        <w:tc>
          <w:tcPr>
            <w:tcW w:w="14253" w:type="dxa"/>
            <w:gridSpan w:val="3"/>
            <w:tcBorders>
              <w:top w:val="nil"/>
              <w:left w:val="nil"/>
              <w:bottom w:val="nil"/>
              <w:right w:val="nil"/>
            </w:tcBorders>
            <w:shd w:val="clear" w:color="auto" w:fill="auto"/>
            <w:hideMark/>
          </w:tcPr>
          <w:p w14:paraId="5DE1A821"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(4) Утвърждава целеви текущи и капиталови трансфери за чужбина за официална помощ за развитие и хуманитарна помощ общо в размер на 3 499,5 хил. евро. Утвърдените средства не могат да бъдат разходвани за други цели, като не повече от 5 на сто от тези средства могат да се разходват за администриране на помощта.</w:t>
            </w:r>
          </w:p>
        </w:tc>
      </w:tr>
      <w:tr w:rsidR="00761800" w:rsidRPr="00761800" w14:paraId="1BB7DB55" w14:textId="77777777" w:rsidTr="00406B4D">
        <w:trPr>
          <w:trHeight w:val="374"/>
        </w:trPr>
        <w:tc>
          <w:tcPr>
            <w:tcW w:w="14253" w:type="dxa"/>
            <w:gridSpan w:val="3"/>
            <w:tcBorders>
              <w:top w:val="nil"/>
              <w:left w:val="nil"/>
              <w:bottom w:val="nil"/>
              <w:right w:val="nil"/>
            </w:tcBorders>
            <w:shd w:val="clear" w:color="auto" w:fill="auto"/>
            <w:hideMark/>
          </w:tcPr>
          <w:p w14:paraId="3CB23569"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(5) Утвърждава целеви средства в размер на 9 037,2  хил. евро за националната вноска за 2026 г. за изпълнението на мерки за помощ, финансирани чрез Европейския механизъм за подкрепа на мира.</w:t>
            </w:r>
          </w:p>
        </w:tc>
      </w:tr>
      <w:tr w:rsidR="00761800" w:rsidRPr="00761800" w14:paraId="36DDE1B5" w14:textId="77777777" w:rsidTr="00406B4D">
        <w:trPr>
          <w:trHeight w:val="66"/>
        </w:trPr>
        <w:tc>
          <w:tcPr>
            <w:tcW w:w="1013" w:type="dxa"/>
            <w:tcBorders>
              <w:top w:val="nil"/>
              <w:left w:val="nil"/>
              <w:bottom w:val="nil"/>
              <w:right w:val="nil"/>
            </w:tcBorders>
            <w:shd w:val="clear" w:color="auto" w:fill="auto"/>
            <w:vAlign w:val="bottom"/>
            <w:hideMark/>
          </w:tcPr>
          <w:p w14:paraId="77660BB7"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20DC626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41B77A5C" w14:textId="77777777" w:rsidR="00761800" w:rsidRPr="00761800" w:rsidRDefault="00761800" w:rsidP="00761800">
            <w:pPr>
              <w:rPr>
                <w:rFonts w:ascii="Times New Roman" w:hAnsi="Times New Roman"/>
                <w:sz w:val="20"/>
                <w:lang w:eastAsia="bg-BG"/>
              </w:rPr>
            </w:pPr>
          </w:p>
        </w:tc>
      </w:tr>
      <w:tr w:rsidR="00761800" w:rsidRPr="00761800" w14:paraId="265FA005" w14:textId="77777777" w:rsidTr="00406B4D">
        <w:trPr>
          <w:trHeight w:val="300"/>
        </w:trPr>
        <w:tc>
          <w:tcPr>
            <w:tcW w:w="14253" w:type="dxa"/>
            <w:gridSpan w:val="3"/>
            <w:tcBorders>
              <w:top w:val="nil"/>
              <w:left w:val="nil"/>
              <w:bottom w:val="nil"/>
              <w:right w:val="nil"/>
            </w:tcBorders>
            <w:shd w:val="clear" w:color="auto" w:fill="auto"/>
            <w:vAlign w:val="bottom"/>
            <w:hideMark/>
          </w:tcPr>
          <w:p w14:paraId="79289EC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11.</w:t>
            </w:r>
            <w:r w:rsidRPr="00761800">
              <w:rPr>
                <w:rFonts w:ascii="Times New Roman" w:hAnsi="Times New Roman"/>
                <w:color w:val="000000"/>
                <w:sz w:val="22"/>
                <w:szCs w:val="22"/>
                <w:lang w:eastAsia="bg-BG"/>
              </w:rPr>
              <w:t xml:space="preserve"> (1) Приема бюджета на Министерството на отбраната за 2026 г., както следва:</w:t>
            </w:r>
          </w:p>
        </w:tc>
      </w:tr>
      <w:tr w:rsidR="00761800" w:rsidRPr="00761800" w14:paraId="326D837A"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D8A98F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91BEC1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0F3D017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AE9BDB7"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E59ABF9"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4127425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1A28665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229224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41FE73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6F67C6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hideMark/>
          </w:tcPr>
          <w:p w14:paraId="5910521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BCC29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F15D2C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634482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63CF6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72 497,8</w:t>
            </w:r>
          </w:p>
        </w:tc>
      </w:tr>
      <w:tr w:rsidR="00761800" w:rsidRPr="00761800" w14:paraId="1BB77BD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25E84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F1A9C72"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AF09C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72 497,8</w:t>
            </w:r>
          </w:p>
        </w:tc>
      </w:tr>
      <w:tr w:rsidR="00761800" w:rsidRPr="00761800" w14:paraId="66E4636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9164B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767FFB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BCA31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21,5</w:t>
            </w:r>
          </w:p>
        </w:tc>
      </w:tr>
      <w:tr w:rsidR="00761800" w:rsidRPr="00761800" w14:paraId="70A3E89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2C644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6B3FCE4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9D94E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62 756,7</w:t>
            </w:r>
          </w:p>
        </w:tc>
      </w:tr>
      <w:tr w:rsidR="00761800" w:rsidRPr="00761800" w14:paraId="7553D3F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B1F06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1.3.</w:t>
            </w:r>
          </w:p>
        </w:tc>
        <w:tc>
          <w:tcPr>
            <w:tcW w:w="11062" w:type="dxa"/>
            <w:tcBorders>
              <w:top w:val="nil"/>
              <w:left w:val="nil"/>
              <w:bottom w:val="single" w:sz="4" w:space="0" w:color="auto"/>
              <w:right w:val="nil"/>
            </w:tcBorders>
            <w:shd w:val="clear" w:color="auto" w:fill="auto"/>
            <w:noWrap/>
            <w:vAlign w:val="bottom"/>
            <w:hideMark/>
          </w:tcPr>
          <w:p w14:paraId="5043A3B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DEC17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552,2</w:t>
            </w:r>
          </w:p>
        </w:tc>
      </w:tr>
      <w:tr w:rsidR="00761800" w:rsidRPr="00761800" w14:paraId="66FF89E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BF72EA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44C49B0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57CFC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9 167,4</w:t>
            </w:r>
          </w:p>
        </w:tc>
      </w:tr>
      <w:tr w:rsidR="00761800" w:rsidRPr="00761800" w14:paraId="32EE347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45953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21EB22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496A9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2 568 607,9</w:t>
            </w:r>
          </w:p>
        </w:tc>
      </w:tr>
      <w:tr w:rsidR="00761800" w:rsidRPr="00761800" w14:paraId="4DFEDE7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75F24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17F5EAE0"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0404E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1 699 727,7</w:t>
            </w:r>
          </w:p>
        </w:tc>
      </w:tr>
      <w:tr w:rsidR="00761800" w:rsidRPr="00761800" w14:paraId="056ABBE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A8D5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915015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5E0A0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97DE22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AB802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303A85C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02BC0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1 326 697,8</w:t>
            </w:r>
          </w:p>
        </w:tc>
      </w:tr>
      <w:tr w:rsidR="00761800" w:rsidRPr="00761800" w14:paraId="0EC018C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D58EB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4758DD7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73531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2 741,5</w:t>
            </w:r>
          </w:p>
        </w:tc>
      </w:tr>
      <w:tr w:rsidR="00761800" w:rsidRPr="00761800" w14:paraId="0900B09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A82B2E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03170FE2"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6C906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2 607,5</w:t>
            </w:r>
          </w:p>
        </w:tc>
      </w:tr>
      <w:tr w:rsidR="00761800" w:rsidRPr="00761800" w14:paraId="42BAB01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A8399A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w:t>
            </w:r>
          </w:p>
        </w:tc>
        <w:tc>
          <w:tcPr>
            <w:tcW w:w="11062" w:type="dxa"/>
            <w:tcBorders>
              <w:top w:val="nil"/>
              <w:left w:val="nil"/>
              <w:bottom w:val="single" w:sz="4" w:space="0" w:color="auto"/>
              <w:right w:val="nil"/>
            </w:tcBorders>
            <w:shd w:val="clear" w:color="auto" w:fill="auto"/>
            <w:noWrap/>
            <w:vAlign w:val="bottom"/>
            <w:hideMark/>
          </w:tcPr>
          <w:p w14:paraId="25AB4F40"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80C16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134,0</w:t>
            </w:r>
          </w:p>
        </w:tc>
      </w:tr>
      <w:tr w:rsidR="00761800" w:rsidRPr="00761800" w14:paraId="6F6FA5B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F01EE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81EA255"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468B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F4A755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934A1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w:t>
            </w:r>
          </w:p>
        </w:tc>
        <w:tc>
          <w:tcPr>
            <w:tcW w:w="11062" w:type="dxa"/>
            <w:tcBorders>
              <w:top w:val="nil"/>
              <w:left w:val="nil"/>
              <w:bottom w:val="single" w:sz="4" w:space="0" w:color="auto"/>
              <w:right w:val="single" w:sz="4" w:space="0" w:color="auto"/>
            </w:tcBorders>
            <w:shd w:val="clear" w:color="auto" w:fill="auto"/>
            <w:vAlign w:val="center"/>
            <w:hideMark/>
          </w:tcPr>
          <w:p w14:paraId="632E98AB"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Съюз на ветераните от войните в България</w:t>
            </w:r>
          </w:p>
        </w:tc>
        <w:tc>
          <w:tcPr>
            <w:tcW w:w="2178" w:type="dxa"/>
            <w:tcBorders>
              <w:top w:val="nil"/>
              <w:left w:val="nil"/>
              <w:bottom w:val="single" w:sz="4" w:space="0" w:color="auto"/>
              <w:right w:val="single" w:sz="4" w:space="0" w:color="auto"/>
            </w:tcBorders>
            <w:shd w:val="clear" w:color="auto" w:fill="auto"/>
            <w:noWrap/>
            <w:vAlign w:val="bottom"/>
            <w:hideMark/>
          </w:tcPr>
          <w:p w14:paraId="0DA3C85E"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134,0</w:t>
            </w:r>
          </w:p>
        </w:tc>
      </w:tr>
      <w:tr w:rsidR="00761800" w:rsidRPr="00761800" w14:paraId="2F3C82C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68592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0D4B920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Текущи трансфери, обезщетения и помощи за домакинствата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72E1D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1 079,0</w:t>
            </w:r>
          </w:p>
        </w:tc>
      </w:tr>
      <w:tr w:rsidR="00761800" w:rsidRPr="00761800" w14:paraId="4E801BF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F71B7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0897A899"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D2BA5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868 880,2</w:t>
            </w:r>
          </w:p>
        </w:tc>
      </w:tr>
      <w:tr w:rsidR="00761800" w:rsidRPr="00761800" w14:paraId="0C26B91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3BCBF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1B0E27C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091881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868 880,2</w:t>
            </w:r>
          </w:p>
        </w:tc>
      </w:tr>
      <w:tr w:rsidR="00761800" w:rsidRPr="00761800" w14:paraId="1112D79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497F3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146F47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C0759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2 496 110,1</w:t>
            </w:r>
          </w:p>
        </w:tc>
      </w:tr>
      <w:tr w:rsidR="00761800" w:rsidRPr="00761800" w14:paraId="26DC03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AE639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D40E43F"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D80F2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2 541 946,9</w:t>
            </w:r>
          </w:p>
        </w:tc>
      </w:tr>
      <w:tr w:rsidR="00761800" w:rsidRPr="00761800" w14:paraId="180103A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18FB5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613C5CFE"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C858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-45 836,8</w:t>
            </w:r>
          </w:p>
        </w:tc>
      </w:tr>
      <w:tr w:rsidR="00761800" w:rsidRPr="00761800" w14:paraId="27C4FF7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9F70C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15B38944"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A5B9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-45 836,8</w:t>
            </w:r>
          </w:p>
        </w:tc>
      </w:tr>
      <w:tr w:rsidR="00761800" w:rsidRPr="00761800" w14:paraId="4783D062"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4B88B06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2.1.1.</w:t>
            </w:r>
          </w:p>
        </w:tc>
        <w:tc>
          <w:tcPr>
            <w:tcW w:w="11062" w:type="dxa"/>
            <w:tcBorders>
              <w:top w:val="nil"/>
              <w:left w:val="nil"/>
              <w:bottom w:val="single" w:sz="4" w:space="0" w:color="auto"/>
              <w:right w:val="single" w:sz="4" w:space="0" w:color="auto"/>
            </w:tcBorders>
            <w:shd w:val="clear" w:color="auto" w:fill="auto"/>
            <w:noWrap/>
            <w:vAlign w:val="bottom"/>
            <w:hideMark/>
          </w:tcPr>
          <w:p w14:paraId="55E3254C"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 xml:space="preserve">- за държавните висши училища </w:t>
            </w:r>
          </w:p>
        </w:tc>
        <w:tc>
          <w:tcPr>
            <w:tcW w:w="2178" w:type="dxa"/>
            <w:tcBorders>
              <w:top w:val="nil"/>
              <w:left w:val="nil"/>
              <w:bottom w:val="single" w:sz="4" w:space="0" w:color="auto"/>
              <w:right w:val="single" w:sz="4" w:space="0" w:color="auto"/>
            </w:tcBorders>
            <w:shd w:val="clear" w:color="auto" w:fill="auto"/>
            <w:noWrap/>
            <w:vAlign w:val="bottom"/>
            <w:hideMark/>
          </w:tcPr>
          <w:p w14:paraId="061AA6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-45 836,8</w:t>
            </w:r>
          </w:p>
        </w:tc>
      </w:tr>
      <w:tr w:rsidR="00761800" w:rsidRPr="00761800" w14:paraId="1963C6D4"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26DE0F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2FF6279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158DE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F0EEB4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3CF72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68566D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6B4BE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D48E7CA" w14:textId="77777777" w:rsidTr="00406B4D">
        <w:trPr>
          <w:trHeight w:val="300"/>
        </w:trPr>
        <w:tc>
          <w:tcPr>
            <w:tcW w:w="1013" w:type="dxa"/>
            <w:tcBorders>
              <w:top w:val="nil"/>
              <w:left w:val="nil"/>
              <w:bottom w:val="nil"/>
              <w:right w:val="nil"/>
            </w:tcBorders>
            <w:shd w:val="clear" w:color="auto" w:fill="auto"/>
            <w:noWrap/>
            <w:vAlign w:val="bottom"/>
            <w:hideMark/>
          </w:tcPr>
          <w:p w14:paraId="2A653C64"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8CA9F5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604EE235" w14:textId="77777777" w:rsidR="00761800" w:rsidRPr="00761800" w:rsidRDefault="00761800" w:rsidP="00761800">
            <w:pPr>
              <w:rPr>
                <w:rFonts w:ascii="Times New Roman" w:hAnsi="Times New Roman"/>
                <w:sz w:val="20"/>
                <w:lang w:eastAsia="bg-BG"/>
              </w:rPr>
            </w:pPr>
          </w:p>
        </w:tc>
      </w:tr>
      <w:tr w:rsidR="00761800" w:rsidRPr="00761800" w14:paraId="3C0208C8" w14:textId="77777777" w:rsidTr="00406B4D">
        <w:trPr>
          <w:trHeight w:val="300"/>
        </w:trPr>
        <w:tc>
          <w:tcPr>
            <w:tcW w:w="14253" w:type="dxa"/>
            <w:gridSpan w:val="3"/>
            <w:tcBorders>
              <w:top w:val="nil"/>
              <w:left w:val="nil"/>
              <w:bottom w:val="single" w:sz="4" w:space="0" w:color="auto"/>
              <w:right w:val="nil"/>
            </w:tcBorders>
            <w:shd w:val="clear" w:color="auto" w:fill="auto"/>
            <w:hideMark/>
          </w:tcPr>
          <w:p w14:paraId="00F116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4E8D366C"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17BC5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A2540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707EE11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8770604"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A6DA0C8"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7ABDE06F"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615802F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579D8C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92E8F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A340B5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40C5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728693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E7EBB4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1EE2D9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отбранителните способности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FB253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2 476 552,2</w:t>
            </w:r>
          </w:p>
        </w:tc>
      </w:tr>
      <w:tr w:rsidR="00761800" w:rsidRPr="00761800" w14:paraId="4283CE3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45A5B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798066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съюзната и международната сигурност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DF170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92 055,7</w:t>
            </w:r>
          </w:p>
        </w:tc>
      </w:tr>
      <w:tr w:rsidR="00761800" w:rsidRPr="00761800" w14:paraId="21A0D04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589E3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5ED4E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BE7AB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2 568 607,9</w:t>
            </w:r>
          </w:p>
        </w:tc>
      </w:tr>
      <w:tr w:rsidR="00761800" w:rsidRPr="00761800" w14:paraId="042A81DA" w14:textId="77777777" w:rsidTr="00406B4D">
        <w:trPr>
          <w:trHeight w:val="56"/>
        </w:trPr>
        <w:tc>
          <w:tcPr>
            <w:tcW w:w="1013" w:type="dxa"/>
            <w:tcBorders>
              <w:top w:val="nil"/>
              <w:left w:val="nil"/>
              <w:bottom w:val="nil"/>
              <w:right w:val="nil"/>
            </w:tcBorders>
            <w:shd w:val="clear" w:color="auto" w:fill="auto"/>
            <w:noWrap/>
            <w:vAlign w:val="bottom"/>
            <w:hideMark/>
          </w:tcPr>
          <w:p w14:paraId="3162DF1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915C1D6"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12B9FCF8" w14:textId="77777777" w:rsidR="00761800" w:rsidRPr="00761800" w:rsidRDefault="00761800" w:rsidP="00761800">
            <w:pPr>
              <w:rPr>
                <w:rFonts w:ascii="Times New Roman" w:hAnsi="Times New Roman"/>
                <w:sz w:val="20"/>
                <w:lang w:eastAsia="bg-BG"/>
              </w:rPr>
            </w:pPr>
          </w:p>
        </w:tc>
      </w:tr>
      <w:tr w:rsidR="00761800" w:rsidRPr="00761800" w14:paraId="1A1E3F16"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6DC42D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отбраната, както следва:</w:t>
            </w:r>
          </w:p>
        </w:tc>
      </w:tr>
      <w:tr w:rsidR="00761800" w:rsidRPr="00761800" w14:paraId="042779C1" w14:textId="77777777" w:rsidTr="00406B4D">
        <w:trPr>
          <w:trHeight w:val="338"/>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66DD3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41B05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411600B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48FA80A2"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97696D5"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558572A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7B8C1B2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573DAE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D259C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6E5FFB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90936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470738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8A13C1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1C8A06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hideMark/>
          </w:tcPr>
          <w:p w14:paraId="762780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2 547 912,4</w:t>
            </w:r>
          </w:p>
        </w:tc>
      </w:tr>
      <w:tr w:rsidR="00761800" w:rsidRPr="00761800" w14:paraId="13F110E6" w14:textId="77777777" w:rsidTr="00406B4D">
        <w:trPr>
          <w:trHeight w:val="70"/>
        </w:trPr>
        <w:tc>
          <w:tcPr>
            <w:tcW w:w="1013" w:type="dxa"/>
            <w:tcBorders>
              <w:top w:val="nil"/>
              <w:left w:val="single" w:sz="4" w:space="0" w:color="auto"/>
              <w:bottom w:val="single" w:sz="4" w:space="0" w:color="auto"/>
              <w:right w:val="single" w:sz="4" w:space="0" w:color="auto"/>
            </w:tcBorders>
            <w:shd w:val="clear" w:color="auto" w:fill="auto"/>
            <w:noWrap/>
            <w:hideMark/>
          </w:tcPr>
          <w:p w14:paraId="490D4F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1EBDF6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8A95A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1 195 435,5</w:t>
            </w:r>
          </w:p>
        </w:tc>
      </w:tr>
      <w:tr w:rsidR="00761800" w:rsidRPr="00761800" w14:paraId="55A299E8" w14:textId="77777777" w:rsidTr="00406B4D">
        <w:trPr>
          <w:trHeight w:val="70"/>
        </w:trPr>
        <w:tc>
          <w:tcPr>
            <w:tcW w:w="1013" w:type="dxa"/>
            <w:tcBorders>
              <w:top w:val="nil"/>
              <w:left w:val="nil"/>
              <w:bottom w:val="nil"/>
              <w:right w:val="nil"/>
            </w:tcBorders>
            <w:shd w:val="clear" w:color="auto" w:fill="auto"/>
            <w:noWrap/>
            <w:vAlign w:val="bottom"/>
            <w:hideMark/>
          </w:tcPr>
          <w:p w14:paraId="22220F6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FB61068"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56A0106A" w14:textId="77777777" w:rsidR="00761800" w:rsidRPr="00761800" w:rsidRDefault="00761800" w:rsidP="00761800">
            <w:pPr>
              <w:rPr>
                <w:rFonts w:ascii="Times New Roman" w:hAnsi="Times New Roman"/>
                <w:sz w:val="20"/>
                <w:lang w:eastAsia="bg-BG"/>
              </w:rPr>
            </w:pPr>
          </w:p>
        </w:tc>
      </w:tr>
      <w:tr w:rsidR="00761800" w:rsidRPr="00761800" w14:paraId="7F4251F6" w14:textId="77777777" w:rsidTr="00406B4D">
        <w:trPr>
          <w:trHeight w:val="80"/>
        </w:trPr>
        <w:tc>
          <w:tcPr>
            <w:tcW w:w="14253" w:type="dxa"/>
            <w:gridSpan w:val="3"/>
            <w:tcBorders>
              <w:top w:val="nil"/>
              <w:left w:val="nil"/>
              <w:bottom w:val="single" w:sz="4" w:space="0" w:color="auto"/>
              <w:right w:val="nil"/>
            </w:tcBorders>
            <w:shd w:val="clear" w:color="auto" w:fill="auto"/>
            <w:hideMark/>
          </w:tcPr>
          <w:p w14:paraId="59F74C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(4) Определя трансферите от бюджета на Министерството на отбраната за държавните висши училища, както следва:</w:t>
            </w:r>
          </w:p>
        </w:tc>
      </w:tr>
      <w:tr w:rsidR="00761800" w:rsidRPr="00761800" w14:paraId="64EA52C8"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4F360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D8F83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w:t>
            </w:r>
          </w:p>
        </w:tc>
        <w:tc>
          <w:tcPr>
            <w:tcW w:w="2178" w:type="dxa"/>
            <w:tcBorders>
              <w:top w:val="nil"/>
              <w:left w:val="nil"/>
              <w:bottom w:val="nil"/>
              <w:right w:val="single" w:sz="4" w:space="0" w:color="auto"/>
            </w:tcBorders>
            <w:shd w:val="clear" w:color="auto" w:fill="auto"/>
            <w:noWrap/>
            <w:vAlign w:val="bottom"/>
            <w:hideMark/>
          </w:tcPr>
          <w:p w14:paraId="31B76D5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DC2049B"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C76BAFF"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41F0712C"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4032891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2EEF44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73792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9FE79A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28DBF4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87AC75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41F507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single" w:sz="4" w:space="0" w:color="auto"/>
            </w:tcBorders>
            <w:shd w:val="clear" w:color="auto" w:fill="auto"/>
            <w:vAlign w:val="center"/>
            <w:hideMark/>
          </w:tcPr>
          <w:p w14:paraId="205FCAC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Военна академия „Георги Стойков Раковски“</w:t>
            </w:r>
          </w:p>
        </w:tc>
        <w:tc>
          <w:tcPr>
            <w:tcW w:w="2178" w:type="dxa"/>
            <w:tcBorders>
              <w:top w:val="nil"/>
              <w:left w:val="nil"/>
              <w:bottom w:val="single" w:sz="4" w:space="0" w:color="auto"/>
              <w:right w:val="single" w:sz="4" w:space="0" w:color="auto"/>
            </w:tcBorders>
            <w:shd w:val="clear" w:color="auto" w:fill="auto"/>
            <w:vAlign w:val="center"/>
            <w:hideMark/>
          </w:tcPr>
          <w:p w14:paraId="15F379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10 090,4</w:t>
            </w:r>
          </w:p>
        </w:tc>
      </w:tr>
      <w:tr w:rsidR="00761800" w:rsidRPr="00761800" w14:paraId="454A38E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93E6B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single" w:sz="4" w:space="0" w:color="auto"/>
            </w:tcBorders>
            <w:shd w:val="clear" w:color="auto" w:fill="auto"/>
            <w:vAlign w:val="center"/>
            <w:hideMark/>
          </w:tcPr>
          <w:p w14:paraId="4AAC73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Национален военен университет „Васил Левски“</w:t>
            </w:r>
          </w:p>
        </w:tc>
        <w:tc>
          <w:tcPr>
            <w:tcW w:w="2178" w:type="dxa"/>
            <w:tcBorders>
              <w:top w:val="nil"/>
              <w:left w:val="nil"/>
              <w:bottom w:val="single" w:sz="4" w:space="0" w:color="auto"/>
              <w:right w:val="single" w:sz="4" w:space="0" w:color="auto"/>
            </w:tcBorders>
            <w:shd w:val="clear" w:color="auto" w:fill="auto"/>
            <w:vAlign w:val="center"/>
            <w:hideMark/>
          </w:tcPr>
          <w:p w14:paraId="54E3E1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19 373,0</w:t>
            </w:r>
          </w:p>
        </w:tc>
      </w:tr>
      <w:tr w:rsidR="00761800" w:rsidRPr="00761800" w14:paraId="0337022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B74E6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single" w:sz="4" w:space="0" w:color="auto"/>
            </w:tcBorders>
            <w:shd w:val="clear" w:color="auto" w:fill="auto"/>
            <w:vAlign w:val="center"/>
            <w:hideMark/>
          </w:tcPr>
          <w:p w14:paraId="5EAD6A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Висше военноморско училище „Никола Йонков Вапцаров“</w:t>
            </w:r>
          </w:p>
        </w:tc>
        <w:tc>
          <w:tcPr>
            <w:tcW w:w="2178" w:type="dxa"/>
            <w:tcBorders>
              <w:top w:val="nil"/>
              <w:left w:val="nil"/>
              <w:bottom w:val="single" w:sz="4" w:space="0" w:color="auto"/>
              <w:right w:val="single" w:sz="4" w:space="0" w:color="auto"/>
            </w:tcBorders>
            <w:shd w:val="clear" w:color="auto" w:fill="auto"/>
            <w:vAlign w:val="center"/>
            <w:hideMark/>
          </w:tcPr>
          <w:p w14:paraId="3DD72F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9 767,3</w:t>
            </w:r>
          </w:p>
        </w:tc>
      </w:tr>
      <w:tr w:rsidR="00761800" w:rsidRPr="00761800" w14:paraId="2340484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5AD9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4.</w:t>
            </w:r>
          </w:p>
        </w:tc>
        <w:tc>
          <w:tcPr>
            <w:tcW w:w="11062" w:type="dxa"/>
            <w:tcBorders>
              <w:top w:val="nil"/>
              <w:left w:val="nil"/>
              <w:bottom w:val="single" w:sz="4" w:space="0" w:color="auto"/>
              <w:right w:val="single" w:sz="4" w:space="0" w:color="auto"/>
            </w:tcBorders>
            <w:shd w:val="clear" w:color="auto" w:fill="auto"/>
            <w:vAlign w:val="center"/>
            <w:hideMark/>
          </w:tcPr>
          <w:p w14:paraId="6858DD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Висше военновъздушно училище „Георги Бенковски“</w:t>
            </w:r>
          </w:p>
        </w:tc>
        <w:tc>
          <w:tcPr>
            <w:tcW w:w="2178" w:type="dxa"/>
            <w:tcBorders>
              <w:top w:val="nil"/>
              <w:left w:val="nil"/>
              <w:bottom w:val="single" w:sz="4" w:space="0" w:color="auto"/>
              <w:right w:val="single" w:sz="4" w:space="0" w:color="auto"/>
            </w:tcBorders>
            <w:shd w:val="clear" w:color="auto" w:fill="auto"/>
            <w:vAlign w:val="center"/>
            <w:hideMark/>
          </w:tcPr>
          <w:p w14:paraId="342FA7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6 606,1</w:t>
            </w:r>
          </w:p>
        </w:tc>
      </w:tr>
      <w:tr w:rsidR="00761800" w:rsidRPr="00761800" w14:paraId="123DB45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420A6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bottom"/>
            <w:hideMark/>
          </w:tcPr>
          <w:p w14:paraId="239202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nil"/>
              <w:bottom w:val="single" w:sz="4" w:space="0" w:color="auto"/>
              <w:right w:val="single" w:sz="4" w:space="0" w:color="auto"/>
            </w:tcBorders>
            <w:shd w:val="clear" w:color="auto" w:fill="auto"/>
            <w:noWrap/>
            <w:vAlign w:val="bottom"/>
            <w:hideMark/>
          </w:tcPr>
          <w:p w14:paraId="3377B3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45 836,8</w:t>
            </w:r>
          </w:p>
        </w:tc>
      </w:tr>
      <w:tr w:rsidR="00761800" w:rsidRPr="00761800" w14:paraId="2F025DEA" w14:textId="77777777" w:rsidTr="00406B4D">
        <w:trPr>
          <w:trHeight w:val="300"/>
        </w:trPr>
        <w:tc>
          <w:tcPr>
            <w:tcW w:w="1013" w:type="dxa"/>
            <w:tcBorders>
              <w:top w:val="nil"/>
              <w:left w:val="nil"/>
              <w:bottom w:val="nil"/>
              <w:right w:val="nil"/>
            </w:tcBorders>
            <w:shd w:val="clear" w:color="auto" w:fill="auto"/>
            <w:noWrap/>
            <w:vAlign w:val="bottom"/>
            <w:hideMark/>
          </w:tcPr>
          <w:p w14:paraId="643BEDAE"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A1A0D0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472465F" w14:textId="77777777" w:rsidR="00761800" w:rsidRPr="00761800" w:rsidRDefault="00761800" w:rsidP="00761800">
            <w:pPr>
              <w:rPr>
                <w:rFonts w:ascii="Times New Roman" w:hAnsi="Times New Roman"/>
                <w:sz w:val="20"/>
                <w:lang w:eastAsia="bg-BG"/>
              </w:rPr>
            </w:pPr>
          </w:p>
        </w:tc>
      </w:tr>
      <w:tr w:rsidR="00761800" w:rsidRPr="00761800" w14:paraId="2090B7A1" w14:textId="77777777" w:rsidTr="00406B4D">
        <w:trPr>
          <w:trHeight w:val="1912"/>
        </w:trPr>
        <w:tc>
          <w:tcPr>
            <w:tcW w:w="14253" w:type="dxa"/>
            <w:gridSpan w:val="3"/>
            <w:tcBorders>
              <w:top w:val="nil"/>
              <w:left w:val="nil"/>
              <w:bottom w:val="nil"/>
              <w:right w:val="nil"/>
            </w:tcBorders>
            <w:shd w:val="clear" w:color="auto" w:fill="auto"/>
            <w:hideMark/>
          </w:tcPr>
          <w:p w14:paraId="08D9A4B7"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(5) Преведени през 2019 г. от Министерството на отбраната по сметка на правителството на Съединените американски щати средства за изпълнение на международните договори във връзка с придобиването на нов тип боен самолет (ратифицирани със закон - ДВ, бр. 60 от 2019 г.), могат да се депозират и инвестират чрез сметки във Федералната резервна банка на Ню Йорк в полза на Министерството на отбраната при условията на Споразумение за сметка между Федералната резервна банка на Ню Йорк и Министерството на отбраната на Република България и на Споразумение относно определени сметки, свързани с финансиране на чуждестранни военни продажби от правителството на Република България, сключено между Министерството на отбраната, Федералната резервна банка на Ню Йорк и Агенцията на Департамента по отбрана на САЩ за сътрудничество в областта на сигурността (ратифицирани със закон - ДВ, бр. 96 от 2022 г.).</w:t>
            </w:r>
          </w:p>
        </w:tc>
      </w:tr>
      <w:tr w:rsidR="00761800" w:rsidRPr="00761800" w14:paraId="6492FDE1" w14:textId="77777777" w:rsidTr="00406B4D">
        <w:trPr>
          <w:trHeight w:val="863"/>
        </w:trPr>
        <w:tc>
          <w:tcPr>
            <w:tcW w:w="14253" w:type="dxa"/>
            <w:gridSpan w:val="3"/>
            <w:tcBorders>
              <w:top w:val="nil"/>
              <w:left w:val="nil"/>
              <w:bottom w:val="nil"/>
              <w:right w:val="nil"/>
            </w:tcBorders>
            <w:shd w:val="clear" w:color="auto" w:fill="auto"/>
            <w:hideMark/>
          </w:tcPr>
          <w:p w14:paraId="6AE16956"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(6) По реда на ал. 5 могат да се депозират и инвестират предвидените плащания от Министерство на отбраната по сметка на правителството на Съединените американски щати за изпълнение на Международния договор BU-B-UCP „Придобиване на бойни машини Страйкьр“ (ратифициран със закон - ДВ, бр. 102 от 2023 г.).</w:t>
            </w:r>
          </w:p>
        </w:tc>
      </w:tr>
      <w:tr w:rsidR="00761800" w:rsidRPr="00761800" w14:paraId="24CDC58B" w14:textId="77777777" w:rsidTr="00406B4D">
        <w:trPr>
          <w:trHeight w:val="1701"/>
        </w:trPr>
        <w:tc>
          <w:tcPr>
            <w:tcW w:w="14253" w:type="dxa"/>
            <w:gridSpan w:val="3"/>
            <w:tcBorders>
              <w:top w:val="nil"/>
              <w:left w:val="nil"/>
              <w:bottom w:val="nil"/>
              <w:right w:val="nil"/>
            </w:tcBorders>
            <w:shd w:val="clear" w:color="auto" w:fill="auto"/>
            <w:hideMark/>
          </w:tcPr>
          <w:p w14:paraId="76228178"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lastRenderedPageBreak/>
              <w:t>(7) Превеждането на средствата за изпълнението на международните договори във връзка с придобиването на нов тип боен самолет и на бойни машини Страйкьр и произтичащите от управлението и инвестирането на средствата по ал. 5 и 6 нетни постъпления от лихви, друга доходност, такси и комисиони, както и прехвърлянето по банкова бюджетна сметка на Министерството на отбраната в Българската народна банка на неусвоени средства по ал. 5 и 6, включително прехвърлянето на средствата от лихви и друга доходност, се отразяват като приходи и разходи по бюджета на Министерството на отбраната по реда, предвиден за отчитане по бюджетите на бюджетните организации на постъпления и плащания, произтичащи от операции, извършени чрез акредитивни и други подобни сметки.</w:t>
            </w:r>
          </w:p>
        </w:tc>
      </w:tr>
      <w:tr w:rsidR="00761800" w:rsidRPr="00761800" w14:paraId="3C0BD2E3" w14:textId="77777777" w:rsidTr="00406B4D">
        <w:trPr>
          <w:trHeight w:val="573"/>
        </w:trPr>
        <w:tc>
          <w:tcPr>
            <w:tcW w:w="14253" w:type="dxa"/>
            <w:gridSpan w:val="3"/>
            <w:tcBorders>
              <w:top w:val="nil"/>
              <w:left w:val="nil"/>
              <w:bottom w:val="nil"/>
              <w:right w:val="nil"/>
            </w:tcBorders>
            <w:shd w:val="clear" w:color="auto" w:fill="auto"/>
            <w:hideMark/>
          </w:tcPr>
          <w:p w14:paraId="05201D2C"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(8) При недостиг на средства за обезщетения и попълване на некомплекта във въоръжените сили министърът на отбраната въз основа на акт на Министерския съвет може да използва икономии от капиталови разходи по бюджета на Министерството на отбраната за 2026 г.</w:t>
            </w:r>
          </w:p>
        </w:tc>
      </w:tr>
      <w:tr w:rsidR="00761800" w:rsidRPr="00761800" w14:paraId="3706925C" w14:textId="77777777" w:rsidTr="00406B4D">
        <w:trPr>
          <w:trHeight w:val="66"/>
        </w:trPr>
        <w:tc>
          <w:tcPr>
            <w:tcW w:w="1013" w:type="dxa"/>
            <w:tcBorders>
              <w:top w:val="nil"/>
              <w:left w:val="nil"/>
              <w:bottom w:val="nil"/>
              <w:right w:val="nil"/>
            </w:tcBorders>
            <w:shd w:val="clear" w:color="auto" w:fill="auto"/>
            <w:vAlign w:val="bottom"/>
            <w:hideMark/>
          </w:tcPr>
          <w:p w14:paraId="2CA62742"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7D3CCBD1"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2063FDA6" w14:textId="77777777" w:rsidR="00761800" w:rsidRPr="00761800" w:rsidRDefault="00761800" w:rsidP="00761800">
            <w:pPr>
              <w:rPr>
                <w:rFonts w:ascii="Times New Roman" w:hAnsi="Times New Roman"/>
                <w:sz w:val="20"/>
                <w:lang w:eastAsia="bg-BG"/>
              </w:rPr>
            </w:pPr>
          </w:p>
        </w:tc>
      </w:tr>
      <w:tr w:rsidR="00761800" w:rsidRPr="00761800" w14:paraId="647B4E6A" w14:textId="77777777" w:rsidTr="00406B4D">
        <w:trPr>
          <w:trHeight w:val="300"/>
        </w:trPr>
        <w:tc>
          <w:tcPr>
            <w:tcW w:w="14253" w:type="dxa"/>
            <w:gridSpan w:val="3"/>
            <w:tcBorders>
              <w:top w:val="nil"/>
              <w:left w:val="nil"/>
              <w:bottom w:val="nil"/>
              <w:right w:val="nil"/>
            </w:tcBorders>
            <w:shd w:val="clear" w:color="auto" w:fill="auto"/>
            <w:vAlign w:val="bottom"/>
            <w:hideMark/>
          </w:tcPr>
          <w:p w14:paraId="1229B116"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12.</w:t>
            </w:r>
            <w:r w:rsidRPr="00761800">
              <w:rPr>
                <w:rFonts w:ascii="Times New Roman" w:hAnsi="Times New Roman"/>
                <w:color w:val="000000"/>
                <w:sz w:val="22"/>
                <w:szCs w:val="22"/>
                <w:lang w:eastAsia="bg-BG"/>
              </w:rPr>
              <w:t xml:space="preserve"> (1) Приема бюджета на Министерството на вътрешните работи за 2026 г., както следва:</w:t>
            </w:r>
          </w:p>
        </w:tc>
      </w:tr>
      <w:tr w:rsidR="00761800" w:rsidRPr="00761800" w14:paraId="7C17E442"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97C25E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AC6F04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1CFB9F3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F4272A3"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B9CABAB"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047283FC"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383E0B4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86A8CE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334AFA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7429A3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1230B0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B2272E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AABEB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40637F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43047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215 907,4</w:t>
            </w:r>
          </w:p>
        </w:tc>
      </w:tr>
      <w:tr w:rsidR="00761800" w:rsidRPr="00761800" w14:paraId="335197D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9FA0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DD29867"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32D7E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215 907,4</w:t>
            </w:r>
          </w:p>
        </w:tc>
      </w:tr>
      <w:tr w:rsidR="00761800" w:rsidRPr="00761800" w14:paraId="3CE3434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C3A38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08B898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42790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62 808,2</w:t>
            </w:r>
          </w:p>
        </w:tc>
      </w:tr>
      <w:tr w:rsidR="00761800" w:rsidRPr="00761800" w14:paraId="1D38C87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597F0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60E8A6B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85057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33 489,7</w:t>
            </w:r>
          </w:p>
        </w:tc>
      </w:tr>
      <w:tr w:rsidR="00761800" w:rsidRPr="00761800" w14:paraId="4A4144E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66FAC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2527CC8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2DF44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127 823,0</w:t>
            </w:r>
          </w:p>
        </w:tc>
      </w:tr>
      <w:tr w:rsidR="00761800" w:rsidRPr="00761800" w14:paraId="05D1DB1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4FCA6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2B993F9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128D0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-8 213,5</w:t>
            </w:r>
          </w:p>
        </w:tc>
      </w:tr>
      <w:tr w:rsidR="00761800" w:rsidRPr="00761800" w14:paraId="0977C42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ECFD3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65FA91D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8BA98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2 115 233,2</w:t>
            </w:r>
          </w:p>
        </w:tc>
      </w:tr>
      <w:tr w:rsidR="00761800" w:rsidRPr="00761800" w14:paraId="23A8287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2ACEB7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4ED282F5"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CF6D0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2 087 143,2</w:t>
            </w:r>
          </w:p>
        </w:tc>
      </w:tr>
      <w:tr w:rsidR="00761800" w:rsidRPr="00761800" w14:paraId="3ADE492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5244E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CDE50E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D253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8CC34B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CA97A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0CC5654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BCAA9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1 972 559,4</w:t>
            </w:r>
          </w:p>
        </w:tc>
      </w:tr>
      <w:tr w:rsidR="00761800" w:rsidRPr="00761800" w14:paraId="5A0E4D6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D0F7E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667C0BEA"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FE1F2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28 090,0</w:t>
            </w:r>
          </w:p>
        </w:tc>
      </w:tr>
      <w:tr w:rsidR="00761800" w:rsidRPr="00761800" w14:paraId="47482B9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1BC73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65A17AF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7EF63B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28 090,0</w:t>
            </w:r>
          </w:p>
        </w:tc>
      </w:tr>
      <w:tr w:rsidR="00761800" w:rsidRPr="00761800" w14:paraId="4F55AE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6BC69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751B44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20D9D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1 899 325,8</w:t>
            </w:r>
          </w:p>
        </w:tc>
      </w:tr>
      <w:tr w:rsidR="00761800" w:rsidRPr="00761800" w14:paraId="47BE9F8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511B5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36E211C"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2F90E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1 955 786,8</w:t>
            </w:r>
          </w:p>
        </w:tc>
      </w:tr>
      <w:tr w:rsidR="00761800" w:rsidRPr="00761800" w14:paraId="5B23064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6FB84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2A1A80AE"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hideMark/>
          </w:tcPr>
          <w:p w14:paraId="55C755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-56 461,0</w:t>
            </w:r>
          </w:p>
        </w:tc>
      </w:tr>
      <w:tr w:rsidR="00761800" w:rsidRPr="00761800" w14:paraId="48ACDF9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9B40FA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3BC884C8"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169AB8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-56 461,0</w:t>
            </w:r>
          </w:p>
        </w:tc>
      </w:tr>
      <w:tr w:rsidR="00761800" w:rsidRPr="00761800" w14:paraId="143CE5C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B0B0D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6219AE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E52A9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546B13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487E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V.</w:t>
            </w:r>
          </w:p>
        </w:tc>
        <w:tc>
          <w:tcPr>
            <w:tcW w:w="11062" w:type="dxa"/>
            <w:tcBorders>
              <w:top w:val="nil"/>
              <w:left w:val="nil"/>
              <w:bottom w:val="single" w:sz="4" w:space="0" w:color="auto"/>
              <w:right w:val="nil"/>
            </w:tcBorders>
            <w:shd w:val="clear" w:color="auto" w:fill="auto"/>
            <w:noWrap/>
            <w:vAlign w:val="bottom"/>
            <w:hideMark/>
          </w:tcPr>
          <w:p w14:paraId="1B1F5CF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D3E97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0B917F1" w14:textId="77777777" w:rsidTr="00406B4D">
        <w:trPr>
          <w:trHeight w:val="300"/>
        </w:trPr>
        <w:tc>
          <w:tcPr>
            <w:tcW w:w="1013" w:type="dxa"/>
            <w:tcBorders>
              <w:top w:val="nil"/>
              <w:left w:val="nil"/>
              <w:bottom w:val="nil"/>
              <w:right w:val="nil"/>
            </w:tcBorders>
            <w:shd w:val="clear" w:color="auto" w:fill="auto"/>
            <w:noWrap/>
            <w:vAlign w:val="bottom"/>
            <w:hideMark/>
          </w:tcPr>
          <w:p w14:paraId="040948CD"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733A8E5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28730CA7" w14:textId="77777777" w:rsidR="00761800" w:rsidRPr="00761800" w:rsidRDefault="00761800" w:rsidP="00761800">
            <w:pPr>
              <w:rPr>
                <w:rFonts w:ascii="Times New Roman" w:hAnsi="Times New Roman"/>
                <w:sz w:val="20"/>
                <w:lang w:eastAsia="bg-BG"/>
              </w:rPr>
            </w:pPr>
          </w:p>
        </w:tc>
      </w:tr>
      <w:tr w:rsidR="00761800" w:rsidRPr="00761800" w14:paraId="01B52E4E" w14:textId="77777777" w:rsidTr="00406B4D">
        <w:trPr>
          <w:trHeight w:val="398"/>
        </w:trPr>
        <w:tc>
          <w:tcPr>
            <w:tcW w:w="14253" w:type="dxa"/>
            <w:gridSpan w:val="3"/>
            <w:tcBorders>
              <w:top w:val="nil"/>
              <w:left w:val="nil"/>
              <w:bottom w:val="single" w:sz="4" w:space="0" w:color="auto"/>
              <w:right w:val="nil"/>
            </w:tcBorders>
            <w:shd w:val="clear" w:color="auto" w:fill="auto"/>
            <w:noWrap/>
            <w:hideMark/>
          </w:tcPr>
          <w:p w14:paraId="37D858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0A81BDF1"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BE173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8C76C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10B4FE0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79DEACE"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E607BE7"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467E0CFB"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6CC4DEA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7D68C5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045C7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00B7A0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54D0A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97D3D0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CD293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center"/>
            <w:hideMark/>
          </w:tcPr>
          <w:p w14:paraId="255ECD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Политика в областта на противодействието на престъпността и опазването на обществения ред </w:t>
            </w:r>
          </w:p>
        </w:tc>
        <w:tc>
          <w:tcPr>
            <w:tcW w:w="2178" w:type="dxa"/>
            <w:tcBorders>
              <w:top w:val="nil"/>
              <w:left w:val="single" w:sz="4" w:space="0" w:color="auto"/>
              <w:bottom w:val="nil"/>
              <w:right w:val="single" w:sz="4" w:space="0" w:color="auto"/>
            </w:tcBorders>
            <w:shd w:val="clear" w:color="auto" w:fill="auto"/>
            <w:noWrap/>
            <w:vAlign w:val="bottom"/>
            <w:hideMark/>
          </w:tcPr>
          <w:p w14:paraId="410936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1 225 550,2</w:t>
            </w:r>
          </w:p>
        </w:tc>
      </w:tr>
      <w:tr w:rsidR="00761800" w:rsidRPr="00761800" w14:paraId="45E0EFDA"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749AC5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center"/>
            <w:hideMark/>
          </w:tcPr>
          <w:p w14:paraId="708C34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защитата на границите и контрол на миграционните процеси</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BF7B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325 396,0</w:t>
            </w:r>
          </w:p>
        </w:tc>
      </w:tr>
      <w:tr w:rsidR="00761800" w:rsidRPr="00761800" w14:paraId="6769CBF1"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615E4C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noWrap/>
            <w:vAlign w:val="center"/>
            <w:hideMark/>
          </w:tcPr>
          <w:p w14:paraId="79A0D7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пожарната безопасност и защитата на населението при извънредни ситуации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6E60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351 618,0</w:t>
            </w:r>
          </w:p>
        </w:tc>
      </w:tr>
      <w:tr w:rsidR="00761800" w:rsidRPr="00761800" w14:paraId="60BB2038" w14:textId="77777777" w:rsidTr="00406B4D">
        <w:trPr>
          <w:trHeight w:val="405"/>
        </w:trPr>
        <w:tc>
          <w:tcPr>
            <w:tcW w:w="1013" w:type="dxa"/>
            <w:tcBorders>
              <w:top w:val="nil"/>
              <w:left w:val="single" w:sz="4" w:space="0" w:color="auto"/>
              <w:bottom w:val="single" w:sz="4" w:space="0" w:color="auto"/>
              <w:right w:val="single" w:sz="4" w:space="0" w:color="auto"/>
            </w:tcBorders>
            <w:shd w:val="clear" w:color="auto" w:fill="auto"/>
            <w:noWrap/>
            <w:hideMark/>
          </w:tcPr>
          <w:p w14:paraId="60C1B8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4.</w:t>
            </w:r>
          </w:p>
        </w:tc>
        <w:tc>
          <w:tcPr>
            <w:tcW w:w="11062" w:type="dxa"/>
            <w:tcBorders>
              <w:top w:val="nil"/>
              <w:left w:val="nil"/>
              <w:bottom w:val="single" w:sz="4" w:space="0" w:color="auto"/>
              <w:right w:val="nil"/>
            </w:tcBorders>
            <w:shd w:val="clear" w:color="auto" w:fill="auto"/>
            <w:vAlign w:val="center"/>
            <w:hideMark/>
          </w:tcPr>
          <w:p w14:paraId="02C109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управлението и развитието на системата на Министерството на вътрешните работи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28418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212 669,0</w:t>
            </w:r>
          </w:p>
        </w:tc>
      </w:tr>
      <w:tr w:rsidR="00761800" w:rsidRPr="00761800" w14:paraId="7A09B71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5CFE2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33DBA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23157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2 115 233,2</w:t>
            </w:r>
          </w:p>
        </w:tc>
      </w:tr>
      <w:tr w:rsidR="00761800" w:rsidRPr="00761800" w14:paraId="34203363" w14:textId="77777777" w:rsidTr="00406B4D">
        <w:trPr>
          <w:trHeight w:val="289"/>
        </w:trPr>
        <w:tc>
          <w:tcPr>
            <w:tcW w:w="1013" w:type="dxa"/>
            <w:tcBorders>
              <w:top w:val="nil"/>
              <w:left w:val="nil"/>
              <w:bottom w:val="nil"/>
              <w:right w:val="nil"/>
            </w:tcBorders>
            <w:shd w:val="clear" w:color="auto" w:fill="auto"/>
            <w:noWrap/>
            <w:vAlign w:val="bottom"/>
            <w:hideMark/>
          </w:tcPr>
          <w:p w14:paraId="61C1C4F2"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1AD5EC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531A5448" w14:textId="77777777" w:rsidR="00761800" w:rsidRPr="00761800" w:rsidRDefault="00761800" w:rsidP="00761800">
            <w:pPr>
              <w:rPr>
                <w:rFonts w:ascii="Times New Roman" w:hAnsi="Times New Roman"/>
                <w:sz w:val="20"/>
                <w:lang w:eastAsia="bg-BG"/>
              </w:rPr>
            </w:pPr>
          </w:p>
        </w:tc>
      </w:tr>
      <w:tr w:rsidR="00761800" w:rsidRPr="00761800" w14:paraId="4CAB1678"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52601F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вътрешните работи, както следва:</w:t>
            </w:r>
          </w:p>
        </w:tc>
      </w:tr>
      <w:tr w:rsidR="00761800" w:rsidRPr="00761800" w14:paraId="734337C6"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89DA6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8C6EF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2789F9D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C80FAD2"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4BF9260"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745F58FE"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08E60CA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F0693B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B2350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4D0AB6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44B7CF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B7EB5C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A5E52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4F7D18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D1937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161 623,7</w:t>
            </w:r>
          </w:p>
        </w:tc>
      </w:tr>
      <w:tr w:rsidR="00761800" w:rsidRPr="00761800" w14:paraId="4AC7284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1041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75BCED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BF5AB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139 996,7</w:t>
            </w:r>
          </w:p>
        </w:tc>
      </w:tr>
      <w:tr w:rsidR="00761800" w:rsidRPr="00761800" w14:paraId="37EE2ED8" w14:textId="77777777" w:rsidTr="00406B4D">
        <w:trPr>
          <w:trHeight w:val="300"/>
        </w:trPr>
        <w:tc>
          <w:tcPr>
            <w:tcW w:w="1013" w:type="dxa"/>
            <w:tcBorders>
              <w:top w:val="nil"/>
              <w:left w:val="nil"/>
              <w:bottom w:val="nil"/>
              <w:right w:val="nil"/>
            </w:tcBorders>
            <w:shd w:val="clear" w:color="auto" w:fill="auto"/>
            <w:vAlign w:val="bottom"/>
            <w:hideMark/>
          </w:tcPr>
          <w:p w14:paraId="5560A99E"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7858085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6444A155" w14:textId="77777777" w:rsidR="00761800" w:rsidRPr="00761800" w:rsidRDefault="00761800" w:rsidP="00761800">
            <w:pPr>
              <w:rPr>
                <w:rFonts w:ascii="Times New Roman" w:hAnsi="Times New Roman"/>
                <w:sz w:val="20"/>
                <w:lang w:eastAsia="bg-BG"/>
              </w:rPr>
            </w:pPr>
          </w:p>
        </w:tc>
      </w:tr>
      <w:tr w:rsidR="00761800" w:rsidRPr="00761800" w14:paraId="422A9CC3" w14:textId="77777777" w:rsidTr="00406B4D">
        <w:trPr>
          <w:trHeight w:val="300"/>
        </w:trPr>
        <w:tc>
          <w:tcPr>
            <w:tcW w:w="14253" w:type="dxa"/>
            <w:gridSpan w:val="3"/>
            <w:tcBorders>
              <w:top w:val="nil"/>
              <w:left w:val="nil"/>
              <w:bottom w:val="nil"/>
              <w:right w:val="nil"/>
            </w:tcBorders>
            <w:shd w:val="clear" w:color="auto" w:fill="auto"/>
            <w:vAlign w:val="bottom"/>
            <w:hideMark/>
          </w:tcPr>
          <w:p w14:paraId="4787DCB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13.</w:t>
            </w:r>
            <w:r w:rsidRPr="00761800">
              <w:rPr>
                <w:rFonts w:ascii="Times New Roman" w:hAnsi="Times New Roman"/>
                <w:color w:val="000000"/>
                <w:sz w:val="22"/>
                <w:szCs w:val="22"/>
                <w:lang w:eastAsia="bg-BG"/>
              </w:rPr>
              <w:t xml:space="preserve"> (1) Приема бюджета на Министерството на правосъдието за 2026 г., както следва:</w:t>
            </w:r>
          </w:p>
        </w:tc>
      </w:tr>
      <w:tr w:rsidR="00761800" w:rsidRPr="00761800" w14:paraId="7C0B0CFF" w14:textId="77777777" w:rsidTr="00406B4D">
        <w:trPr>
          <w:trHeight w:val="612"/>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7CCC79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611FB7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7AE9F28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C899254"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EFE838E"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1509AE3D"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2F6E10D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93985E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4BF622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D25508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B8E32A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0201DB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ED213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3C4EA47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0879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52 575,8</w:t>
            </w:r>
          </w:p>
        </w:tc>
      </w:tr>
      <w:tr w:rsidR="00761800" w:rsidRPr="00761800" w14:paraId="075119E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B208E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B191D8E"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D8F8E4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52 575,8</w:t>
            </w:r>
          </w:p>
        </w:tc>
      </w:tr>
      <w:tr w:rsidR="00761800" w:rsidRPr="00761800" w14:paraId="5001237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D5B4E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2E7AB3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CA0CD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52 455,2</w:t>
            </w:r>
          </w:p>
        </w:tc>
      </w:tr>
      <w:tr w:rsidR="00761800" w:rsidRPr="00761800" w14:paraId="1F2F4B11"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56BBB1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1.2.</w:t>
            </w:r>
          </w:p>
        </w:tc>
        <w:tc>
          <w:tcPr>
            <w:tcW w:w="11062" w:type="dxa"/>
            <w:tcBorders>
              <w:top w:val="nil"/>
              <w:left w:val="nil"/>
              <w:bottom w:val="single" w:sz="4" w:space="0" w:color="auto"/>
              <w:right w:val="nil"/>
            </w:tcBorders>
            <w:shd w:val="clear" w:color="auto" w:fill="auto"/>
            <w:noWrap/>
            <w:vAlign w:val="bottom"/>
            <w:hideMark/>
          </w:tcPr>
          <w:p w14:paraId="7997561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DCDE7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18,4</w:t>
            </w:r>
          </w:p>
        </w:tc>
      </w:tr>
      <w:tr w:rsidR="00761800" w:rsidRPr="00761800" w14:paraId="154225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45F99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12984FA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8349B9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102,2</w:t>
            </w:r>
          </w:p>
        </w:tc>
      </w:tr>
      <w:tr w:rsidR="00761800" w:rsidRPr="00761800" w14:paraId="1874D6A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5B604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52CF42C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441B9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360 030,3</w:t>
            </w:r>
          </w:p>
        </w:tc>
      </w:tr>
      <w:tr w:rsidR="00761800" w:rsidRPr="00761800" w14:paraId="384F285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55BCF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3E2EDE94"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71DAB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354 604,2</w:t>
            </w:r>
          </w:p>
        </w:tc>
      </w:tr>
      <w:tr w:rsidR="00761800" w:rsidRPr="00761800" w14:paraId="5F4AB5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FCB89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E63925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CF287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F465CF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03268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38DAB01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8A364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312 230,9</w:t>
            </w:r>
          </w:p>
        </w:tc>
      </w:tr>
      <w:tr w:rsidR="00761800" w:rsidRPr="00761800" w14:paraId="13E4098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96A96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0912F99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7FD84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9 087,0</w:t>
            </w:r>
          </w:p>
        </w:tc>
      </w:tr>
      <w:tr w:rsidR="00761800" w:rsidRPr="00761800" w14:paraId="13A16A0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E4D25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609DD956"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2A79F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9 087,0</w:t>
            </w:r>
          </w:p>
        </w:tc>
      </w:tr>
      <w:tr w:rsidR="00761800" w:rsidRPr="00761800" w14:paraId="08F2A99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26D34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228AE283"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52073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5 426,1</w:t>
            </w:r>
          </w:p>
        </w:tc>
      </w:tr>
      <w:tr w:rsidR="00761800" w:rsidRPr="00761800" w14:paraId="52DFE68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06178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16493A4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124DEF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5 426,1</w:t>
            </w:r>
          </w:p>
        </w:tc>
      </w:tr>
      <w:tr w:rsidR="00761800" w:rsidRPr="00761800" w14:paraId="6476629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29AB9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34CD5C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5623A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307 454,5</w:t>
            </w:r>
          </w:p>
        </w:tc>
      </w:tr>
      <w:tr w:rsidR="00761800" w:rsidRPr="00761800" w14:paraId="5E4AD56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CB1742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EC1DD93"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E5E2F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307 454,5</w:t>
            </w:r>
          </w:p>
        </w:tc>
      </w:tr>
      <w:tr w:rsidR="00761800" w:rsidRPr="00761800" w14:paraId="10DC5E0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7E99E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5863CC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ACF26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EBA154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11092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23DCB5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522AFA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933A961" w14:textId="77777777" w:rsidTr="00406B4D">
        <w:trPr>
          <w:trHeight w:val="300"/>
        </w:trPr>
        <w:tc>
          <w:tcPr>
            <w:tcW w:w="1013" w:type="dxa"/>
            <w:tcBorders>
              <w:top w:val="nil"/>
              <w:left w:val="nil"/>
              <w:bottom w:val="nil"/>
              <w:right w:val="nil"/>
            </w:tcBorders>
            <w:shd w:val="clear" w:color="auto" w:fill="auto"/>
            <w:noWrap/>
            <w:vAlign w:val="bottom"/>
            <w:hideMark/>
          </w:tcPr>
          <w:p w14:paraId="43CF1CAF"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7B8C41F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4ECB52C8" w14:textId="77777777" w:rsidR="00761800" w:rsidRPr="00761800" w:rsidRDefault="00761800" w:rsidP="00761800">
            <w:pPr>
              <w:rPr>
                <w:rFonts w:ascii="Times New Roman" w:hAnsi="Times New Roman"/>
                <w:sz w:val="20"/>
                <w:lang w:eastAsia="bg-BG"/>
              </w:rPr>
            </w:pPr>
          </w:p>
        </w:tc>
      </w:tr>
      <w:tr w:rsidR="00761800" w:rsidRPr="00761800" w14:paraId="5EF454C8" w14:textId="77777777" w:rsidTr="00406B4D">
        <w:trPr>
          <w:trHeight w:val="398"/>
        </w:trPr>
        <w:tc>
          <w:tcPr>
            <w:tcW w:w="14253" w:type="dxa"/>
            <w:gridSpan w:val="3"/>
            <w:tcBorders>
              <w:top w:val="nil"/>
              <w:left w:val="nil"/>
              <w:bottom w:val="single" w:sz="4" w:space="0" w:color="auto"/>
              <w:right w:val="nil"/>
            </w:tcBorders>
            <w:shd w:val="clear" w:color="auto" w:fill="auto"/>
            <w:hideMark/>
          </w:tcPr>
          <w:p w14:paraId="7DF5EF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183CEB7F"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65650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E1BEB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595E786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CF63925"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4231AD6"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01C96A5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270098E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7A4272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CFB3A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D0E759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C145E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E525D0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7EFA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456694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правосъдието</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14:paraId="0B4AC4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126 975,3</w:t>
            </w:r>
          </w:p>
        </w:tc>
      </w:tr>
      <w:tr w:rsidR="00761800" w:rsidRPr="00761800" w14:paraId="784159F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8C6F2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135A19E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изпълнение на наказанията</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14:paraId="02A112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226 043,1</w:t>
            </w:r>
          </w:p>
        </w:tc>
      </w:tr>
      <w:tr w:rsidR="00761800" w:rsidRPr="00761800" w14:paraId="46B5CE6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E2490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noWrap/>
            <w:vAlign w:val="bottom"/>
            <w:hideMark/>
          </w:tcPr>
          <w:p w14:paraId="5BCB4B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14:paraId="21153C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7 011,9</w:t>
            </w:r>
          </w:p>
        </w:tc>
      </w:tr>
      <w:tr w:rsidR="00761800" w:rsidRPr="00761800" w14:paraId="507EB00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7BB12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EB888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869DE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360 030,3</w:t>
            </w:r>
          </w:p>
        </w:tc>
      </w:tr>
      <w:tr w:rsidR="00761800" w:rsidRPr="00761800" w14:paraId="65D1F93F" w14:textId="77777777" w:rsidTr="00406B4D">
        <w:trPr>
          <w:trHeight w:val="300"/>
        </w:trPr>
        <w:tc>
          <w:tcPr>
            <w:tcW w:w="1013" w:type="dxa"/>
            <w:tcBorders>
              <w:top w:val="nil"/>
              <w:left w:val="nil"/>
              <w:bottom w:val="nil"/>
              <w:right w:val="nil"/>
            </w:tcBorders>
            <w:shd w:val="clear" w:color="auto" w:fill="auto"/>
            <w:noWrap/>
            <w:vAlign w:val="bottom"/>
            <w:hideMark/>
          </w:tcPr>
          <w:p w14:paraId="27340AC2"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28D84E1"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5A2F5B64" w14:textId="77777777" w:rsidR="00761800" w:rsidRPr="00761800" w:rsidRDefault="00761800" w:rsidP="00761800">
            <w:pPr>
              <w:rPr>
                <w:rFonts w:ascii="Times New Roman" w:hAnsi="Times New Roman"/>
                <w:sz w:val="20"/>
                <w:lang w:eastAsia="bg-BG"/>
              </w:rPr>
            </w:pPr>
          </w:p>
        </w:tc>
      </w:tr>
      <w:tr w:rsidR="00761800" w:rsidRPr="00761800" w14:paraId="019E1556"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4353D1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правосъдието, както следва:</w:t>
            </w:r>
          </w:p>
        </w:tc>
      </w:tr>
      <w:tr w:rsidR="00761800" w:rsidRPr="00761800" w14:paraId="564EBEF3"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A543C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262AB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3E40C83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A8BFAA7"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600549C"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75BAA07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13AACD2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F08EC7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71B8A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6A59B9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A4E0B0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CC8420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4649F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1.</w:t>
            </w:r>
          </w:p>
        </w:tc>
        <w:tc>
          <w:tcPr>
            <w:tcW w:w="11062" w:type="dxa"/>
            <w:tcBorders>
              <w:top w:val="nil"/>
              <w:left w:val="nil"/>
              <w:bottom w:val="single" w:sz="4" w:space="0" w:color="auto"/>
              <w:right w:val="nil"/>
            </w:tcBorders>
            <w:shd w:val="clear" w:color="auto" w:fill="auto"/>
            <w:noWrap/>
            <w:vAlign w:val="bottom"/>
            <w:hideMark/>
          </w:tcPr>
          <w:p w14:paraId="7356E8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81084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72 437,6</w:t>
            </w:r>
          </w:p>
        </w:tc>
      </w:tr>
      <w:tr w:rsidR="00761800" w:rsidRPr="00761800" w14:paraId="31A4696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99AD1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135B617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3B7EA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46 903,9</w:t>
            </w:r>
          </w:p>
        </w:tc>
      </w:tr>
      <w:tr w:rsidR="00761800" w:rsidRPr="00761800" w14:paraId="2CAA7F39" w14:textId="77777777" w:rsidTr="00406B4D">
        <w:trPr>
          <w:trHeight w:val="300"/>
        </w:trPr>
        <w:tc>
          <w:tcPr>
            <w:tcW w:w="1013" w:type="dxa"/>
            <w:tcBorders>
              <w:top w:val="nil"/>
              <w:left w:val="nil"/>
              <w:bottom w:val="nil"/>
              <w:right w:val="nil"/>
            </w:tcBorders>
            <w:shd w:val="clear" w:color="auto" w:fill="auto"/>
            <w:noWrap/>
            <w:vAlign w:val="bottom"/>
            <w:hideMark/>
          </w:tcPr>
          <w:p w14:paraId="0B6CA808"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276E7F0"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6ACC266" w14:textId="77777777" w:rsidR="00761800" w:rsidRPr="00761800" w:rsidRDefault="00761800" w:rsidP="00761800">
            <w:pPr>
              <w:rPr>
                <w:rFonts w:ascii="Times New Roman" w:hAnsi="Times New Roman"/>
                <w:sz w:val="20"/>
                <w:lang w:eastAsia="bg-BG"/>
              </w:rPr>
            </w:pPr>
          </w:p>
        </w:tc>
      </w:tr>
      <w:tr w:rsidR="00761800" w:rsidRPr="00761800" w14:paraId="508E00F9" w14:textId="77777777" w:rsidTr="00406B4D">
        <w:trPr>
          <w:trHeight w:val="249"/>
        </w:trPr>
        <w:tc>
          <w:tcPr>
            <w:tcW w:w="14253" w:type="dxa"/>
            <w:gridSpan w:val="3"/>
            <w:tcBorders>
              <w:top w:val="nil"/>
              <w:left w:val="nil"/>
              <w:bottom w:val="nil"/>
              <w:right w:val="nil"/>
            </w:tcBorders>
            <w:shd w:val="clear" w:color="auto" w:fill="auto"/>
            <w:hideMark/>
          </w:tcPr>
          <w:p w14:paraId="23DF8214"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 xml:space="preserve">(4) Утвърждава целеви текущи разходи за предоставяне на държавна субсидия на политическите партии по чл. 25 от Закона за политическите партии в размер до 8 964,3 хил. евро, които не могат да бъдат изразходвани за други цели. </w:t>
            </w:r>
          </w:p>
        </w:tc>
      </w:tr>
      <w:tr w:rsidR="00761800" w:rsidRPr="00761800" w14:paraId="42D90D51" w14:textId="77777777" w:rsidTr="00406B4D">
        <w:trPr>
          <w:trHeight w:val="300"/>
        </w:trPr>
        <w:tc>
          <w:tcPr>
            <w:tcW w:w="1013" w:type="dxa"/>
            <w:tcBorders>
              <w:top w:val="nil"/>
              <w:left w:val="nil"/>
              <w:bottom w:val="nil"/>
              <w:right w:val="nil"/>
            </w:tcBorders>
            <w:shd w:val="clear" w:color="auto" w:fill="auto"/>
            <w:vAlign w:val="bottom"/>
            <w:hideMark/>
          </w:tcPr>
          <w:p w14:paraId="72C823C6"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0311628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4CFDE222" w14:textId="77777777" w:rsidR="00761800" w:rsidRPr="00761800" w:rsidRDefault="00761800" w:rsidP="00761800">
            <w:pPr>
              <w:rPr>
                <w:rFonts w:ascii="Times New Roman" w:hAnsi="Times New Roman"/>
                <w:sz w:val="20"/>
                <w:lang w:eastAsia="bg-BG"/>
              </w:rPr>
            </w:pPr>
          </w:p>
        </w:tc>
      </w:tr>
      <w:tr w:rsidR="00761800" w:rsidRPr="00761800" w14:paraId="1760F902" w14:textId="77777777" w:rsidTr="00406B4D">
        <w:trPr>
          <w:trHeight w:val="300"/>
        </w:trPr>
        <w:tc>
          <w:tcPr>
            <w:tcW w:w="14253" w:type="dxa"/>
            <w:gridSpan w:val="3"/>
            <w:tcBorders>
              <w:top w:val="nil"/>
              <w:left w:val="nil"/>
              <w:bottom w:val="nil"/>
              <w:right w:val="nil"/>
            </w:tcBorders>
            <w:shd w:val="clear" w:color="auto" w:fill="auto"/>
            <w:vAlign w:val="bottom"/>
            <w:hideMark/>
          </w:tcPr>
          <w:p w14:paraId="1BE0BA8A"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14.</w:t>
            </w:r>
            <w:r w:rsidRPr="00761800">
              <w:rPr>
                <w:rFonts w:ascii="Times New Roman" w:hAnsi="Times New Roman"/>
                <w:color w:val="000000"/>
                <w:sz w:val="22"/>
                <w:szCs w:val="22"/>
                <w:lang w:eastAsia="bg-BG"/>
              </w:rPr>
              <w:t xml:space="preserve"> (1) Приема бюджета на Министерството на труда и социалната политика за 2026 г., както следва:</w:t>
            </w:r>
          </w:p>
        </w:tc>
      </w:tr>
      <w:tr w:rsidR="00761800" w:rsidRPr="00761800" w14:paraId="773E677E" w14:textId="77777777" w:rsidTr="00406B4D">
        <w:trPr>
          <w:trHeight w:val="312"/>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E3D700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5FFC67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106E6C5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598E7C7"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0154795"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B67EDE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1D1DA6E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41CC1C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6007A7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B65D68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CE4E47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A6E0A6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E41E8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000000" w:fill="FFFFFF"/>
            <w:noWrap/>
            <w:vAlign w:val="bottom"/>
            <w:hideMark/>
          </w:tcPr>
          <w:p w14:paraId="618F92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BE48F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28 404,3</w:t>
            </w:r>
          </w:p>
        </w:tc>
      </w:tr>
      <w:tr w:rsidR="00761800" w:rsidRPr="00761800" w14:paraId="6237745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A913A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000000" w:fill="FFFFFF"/>
            <w:noWrap/>
            <w:vAlign w:val="bottom"/>
            <w:hideMark/>
          </w:tcPr>
          <w:p w14:paraId="506CE68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CD3BE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28 404,3</w:t>
            </w:r>
          </w:p>
        </w:tc>
      </w:tr>
      <w:tr w:rsidR="00761800" w:rsidRPr="00761800" w14:paraId="55FDA4F5"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47749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000000" w:fill="FFFFFF"/>
            <w:noWrap/>
            <w:vAlign w:val="bottom"/>
            <w:hideMark/>
          </w:tcPr>
          <w:p w14:paraId="6F5DFF3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415DE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24 408,9</w:t>
            </w:r>
          </w:p>
        </w:tc>
      </w:tr>
      <w:tr w:rsidR="00761800" w:rsidRPr="00761800" w14:paraId="530382C9" w14:textId="77777777" w:rsidTr="00406B4D">
        <w:trPr>
          <w:trHeight w:val="289"/>
        </w:trPr>
        <w:tc>
          <w:tcPr>
            <w:tcW w:w="1013" w:type="dxa"/>
            <w:tcBorders>
              <w:top w:val="nil"/>
              <w:left w:val="single" w:sz="4" w:space="0" w:color="auto"/>
              <w:bottom w:val="single" w:sz="4" w:space="0" w:color="auto"/>
              <w:right w:val="single" w:sz="4" w:space="0" w:color="auto"/>
            </w:tcBorders>
            <w:shd w:val="clear" w:color="000000" w:fill="FFFFFF"/>
            <w:noWrap/>
            <w:hideMark/>
          </w:tcPr>
          <w:p w14:paraId="7EAE30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000000" w:fill="FFFFFF"/>
            <w:noWrap/>
            <w:vAlign w:val="bottom"/>
            <w:hideMark/>
          </w:tcPr>
          <w:p w14:paraId="7B80105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B003B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25,6</w:t>
            </w:r>
          </w:p>
        </w:tc>
      </w:tr>
      <w:tr w:rsidR="00761800" w:rsidRPr="00761800" w14:paraId="2E499ED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8BD4C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000000" w:fill="FFFFFF"/>
            <w:noWrap/>
            <w:vAlign w:val="bottom"/>
            <w:hideMark/>
          </w:tcPr>
          <w:p w14:paraId="212647A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4968A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5 605,9</w:t>
            </w:r>
          </w:p>
        </w:tc>
      </w:tr>
      <w:tr w:rsidR="00761800" w:rsidRPr="00761800" w14:paraId="0EF8E750"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95F61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000000" w:fill="FFFFFF"/>
            <w:noWrap/>
            <w:vAlign w:val="bottom"/>
            <w:hideMark/>
          </w:tcPr>
          <w:p w14:paraId="3B3676D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37AF4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-1 636,1</w:t>
            </w:r>
          </w:p>
        </w:tc>
      </w:tr>
      <w:tr w:rsidR="00761800" w:rsidRPr="00761800" w14:paraId="15AE80D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DCE94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000000" w:fill="FFFFFF"/>
            <w:noWrap/>
            <w:vAlign w:val="bottom"/>
            <w:hideMark/>
          </w:tcPr>
          <w:p w14:paraId="79125B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05631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2 112 455,5</w:t>
            </w:r>
          </w:p>
        </w:tc>
      </w:tr>
      <w:tr w:rsidR="00761800" w:rsidRPr="00761800" w14:paraId="1230569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29163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000000" w:fill="FFFFFF"/>
            <w:noWrap/>
            <w:vAlign w:val="bottom"/>
            <w:hideMark/>
          </w:tcPr>
          <w:p w14:paraId="7E943369"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68548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2 110 391,8</w:t>
            </w:r>
          </w:p>
        </w:tc>
      </w:tr>
      <w:tr w:rsidR="00761800" w:rsidRPr="00761800" w14:paraId="55A5A751"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37705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6820718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FAFC8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08EFA0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F10B5F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000000" w:fill="FFFFFF"/>
            <w:noWrap/>
            <w:vAlign w:val="bottom"/>
            <w:hideMark/>
          </w:tcPr>
          <w:p w14:paraId="4F2212B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93490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160 860,6</w:t>
            </w:r>
          </w:p>
        </w:tc>
      </w:tr>
      <w:tr w:rsidR="00761800" w:rsidRPr="00761800" w14:paraId="286F93E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81AFE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000000" w:fill="FFFFFF"/>
            <w:noWrap/>
            <w:vAlign w:val="bottom"/>
            <w:hideMark/>
          </w:tcPr>
          <w:p w14:paraId="2EAB7FD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45413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7 374,9</w:t>
            </w:r>
          </w:p>
        </w:tc>
      </w:tr>
      <w:tr w:rsidR="00761800" w:rsidRPr="00761800" w14:paraId="1886D23E"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B8A3C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000000" w:fill="FFFFFF"/>
            <w:noWrap/>
            <w:vAlign w:val="bottom"/>
            <w:hideMark/>
          </w:tcPr>
          <w:p w14:paraId="613408E1"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4457A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4 563,1</w:t>
            </w:r>
          </w:p>
        </w:tc>
      </w:tr>
      <w:tr w:rsidR="00761800" w:rsidRPr="00761800" w14:paraId="7C58A46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73C4E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w:t>
            </w:r>
          </w:p>
        </w:tc>
        <w:tc>
          <w:tcPr>
            <w:tcW w:w="11062" w:type="dxa"/>
            <w:tcBorders>
              <w:top w:val="nil"/>
              <w:left w:val="nil"/>
              <w:bottom w:val="single" w:sz="4" w:space="0" w:color="auto"/>
              <w:right w:val="nil"/>
            </w:tcBorders>
            <w:shd w:val="clear" w:color="000000" w:fill="FFFFFF"/>
            <w:noWrap/>
            <w:vAlign w:val="bottom"/>
            <w:hideMark/>
          </w:tcPr>
          <w:p w14:paraId="2F918EF0"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E2569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2 811,8</w:t>
            </w:r>
          </w:p>
        </w:tc>
      </w:tr>
      <w:tr w:rsidR="00761800" w:rsidRPr="00761800" w14:paraId="53C4BFF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FA8EA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3E352E2F"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939A6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A6A08A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E061F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w:t>
            </w:r>
          </w:p>
        </w:tc>
        <w:tc>
          <w:tcPr>
            <w:tcW w:w="11062" w:type="dxa"/>
            <w:tcBorders>
              <w:top w:val="nil"/>
              <w:left w:val="nil"/>
              <w:bottom w:val="single" w:sz="4" w:space="0" w:color="auto"/>
              <w:right w:val="single" w:sz="4" w:space="0" w:color="auto"/>
            </w:tcBorders>
            <w:shd w:val="clear" w:color="000000" w:fill="FFFFFF"/>
            <w:vAlign w:val="center"/>
            <w:hideMark/>
          </w:tcPr>
          <w:p w14:paraId="0BE4329E"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„Съюз на инвалидите в България“</w:t>
            </w:r>
          </w:p>
        </w:tc>
        <w:tc>
          <w:tcPr>
            <w:tcW w:w="2178" w:type="dxa"/>
            <w:tcBorders>
              <w:top w:val="nil"/>
              <w:left w:val="nil"/>
              <w:bottom w:val="single" w:sz="4" w:space="0" w:color="auto"/>
              <w:right w:val="single" w:sz="4" w:space="0" w:color="auto"/>
            </w:tcBorders>
            <w:shd w:val="clear" w:color="000000" w:fill="FFFFFF"/>
            <w:noWrap/>
            <w:vAlign w:val="bottom"/>
            <w:hideMark/>
          </w:tcPr>
          <w:p w14:paraId="4C7688C7"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400,2</w:t>
            </w:r>
          </w:p>
        </w:tc>
      </w:tr>
      <w:tr w:rsidR="00761800" w:rsidRPr="00761800" w14:paraId="7C6E1EE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0DB61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1.2.2.2.</w:t>
            </w:r>
          </w:p>
        </w:tc>
        <w:tc>
          <w:tcPr>
            <w:tcW w:w="11062" w:type="dxa"/>
            <w:tcBorders>
              <w:top w:val="nil"/>
              <w:left w:val="nil"/>
              <w:bottom w:val="single" w:sz="4" w:space="0" w:color="auto"/>
              <w:right w:val="single" w:sz="4" w:space="0" w:color="auto"/>
            </w:tcBorders>
            <w:shd w:val="clear" w:color="000000" w:fill="FFFFFF"/>
            <w:vAlign w:val="center"/>
            <w:hideMark/>
          </w:tcPr>
          <w:p w14:paraId="0B442C60"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„Съюз на военноинвалидите и военнопострадалите“</w:t>
            </w:r>
          </w:p>
        </w:tc>
        <w:tc>
          <w:tcPr>
            <w:tcW w:w="2178" w:type="dxa"/>
            <w:tcBorders>
              <w:top w:val="nil"/>
              <w:left w:val="nil"/>
              <w:bottom w:val="single" w:sz="4" w:space="0" w:color="auto"/>
              <w:right w:val="single" w:sz="4" w:space="0" w:color="auto"/>
            </w:tcBorders>
            <w:shd w:val="clear" w:color="000000" w:fill="FFFFFF"/>
            <w:noWrap/>
            <w:vAlign w:val="bottom"/>
            <w:hideMark/>
          </w:tcPr>
          <w:p w14:paraId="5167211C"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159,6</w:t>
            </w:r>
          </w:p>
        </w:tc>
      </w:tr>
      <w:tr w:rsidR="00761800" w:rsidRPr="00761800" w14:paraId="51AC5AA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7A3E4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1.2.2.3.</w:t>
            </w:r>
          </w:p>
        </w:tc>
        <w:tc>
          <w:tcPr>
            <w:tcW w:w="11062" w:type="dxa"/>
            <w:tcBorders>
              <w:top w:val="nil"/>
              <w:left w:val="nil"/>
              <w:bottom w:val="single" w:sz="4" w:space="0" w:color="auto"/>
              <w:right w:val="single" w:sz="4" w:space="0" w:color="auto"/>
            </w:tcBorders>
            <w:shd w:val="clear" w:color="000000" w:fill="FFFFFF"/>
            <w:vAlign w:val="center"/>
            <w:hideMark/>
          </w:tcPr>
          <w:p w14:paraId="556E9F74"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„Съюз на слепите в България“</w:t>
            </w:r>
          </w:p>
        </w:tc>
        <w:tc>
          <w:tcPr>
            <w:tcW w:w="2178" w:type="dxa"/>
            <w:tcBorders>
              <w:top w:val="nil"/>
              <w:left w:val="nil"/>
              <w:bottom w:val="single" w:sz="4" w:space="0" w:color="auto"/>
              <w:right w:val="single" w:sz="4" w:space="0" w:color="auto"/>
            </w:tcBorders>
            <w:shd w:val="clear" w:color="000000" w:fill="FFFFFF"/>
            <w:noWrap/>
            <w:vAlign w:val="bottom"/>
            <w:hideMark/>
          </w:tcPr>
          <w:p w14:paraId="0FE7FB9C"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407,0</w:t>
            </w:r>
          </w:p>
        </w:tc>
      </w:tr>
      <w:tr w:rsidR="00761800" w:rsidRPr="00761800" w14:paraId="46039496"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C1F71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1.2.2.4.</w:t>
            </w:r>
          </w:p>
        </w:tc>
        <w:tc>
          <w:tcPr>
            <w:tcW w:w="11062" w:type="dxa"/>
            <w:tcBorders>
              <w:top w:val="nil"/>
              <w:left w:val="nil"/>
              <w:bottom w:val="single" w:sz="4" w:space="0" w:color="auto"/>
              <w:right w:val="single" w:sz="4" w:space="0" w:color="auto"/>
            </w:tcBorders>
            <w:shd w:val="clear" w:color="000000" w:fill="FFFFFF"/>
            <w:vAlign w:val="center"/>
            <w:hideMark/>
          </w:tcPr>
          <w:p w14:paraId="3D603561"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„Българска асоциация за лица с интелектуални затруднения“</w:t>
            </w:r>
          </w:p>
        </w:tc>
        <w:tc>
          <w:tcPr>
            <w:tcW w:w="2178" w:type="dxa"/>
            <w:tcBorders>
              <w:top w:val="nil"/>
              <w:left w:val="nil"/>
              <w:bottom w:val="single" w:sz="4" w:space="0" w:color="auto"/>
              <w:right w:val="single" w:sz="4" w:space="0" w:color="auto"/>
            </w:tcBorders>
            <w:shd w:val="clear" w:color="000000" w:fill="FFFFFF"/>
            <w:noWrap/>
            <w:vAlign w:val="bottom"/>
            <w:hideMark/>
          </w:tcPr>
          <w:p w14:paraId="2EEC9B03"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120,0</w:t>
            </w:r>
          </w:p>
        </w:tc>
      </w:tr>
      <w:tr w:rsidR="00761800" w:rsidRPr="00761800" w14:paraId="7830EBD6"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26817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1.2.2.5.</w:t>
            </w:r>
          </w:p>
        </w:tc>
        <w:tc>
          <w:tcPr>
            <w:tcW w:w="11062" w:type="dxa"/>
            <w:tcBorders>
              <w:top w:val="nil"/>
              <w:left w:val="nil"/>
              <w:bottom w:val="single" w:sz="4" w:space="0" w:color="auto"/>
              <w:right w:val="single" w:sz="4" w:space="0" w:color="auto"/>
            </w:tcBorders>
            <w:shd w:val="clear" w:color="000000" w:fill="FFFFFF"/>
            <w:vAlign w:val="center"/>
            <w:hideMark/>
          </w:tcPr>
          <w:p w14:paraId="3E662775"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„Асоциация на родителите на деца с увреден слух“</w:t>
            </w:r>
          </w:p>
        </w:tc>
        <w:tc>
          <w:tcPr>
            <w:tcW w:w="2178" w:type="dxa"/>
            <w:tcBorders>
              <w:top w:val="nil"/>
              <w:left w:val="nil"/>
              <w:bottom w:val="single" w:sz="4" w:space="0" w:color="auto"/>
              <w:right w:val="single" w:sz="4" w:space="0" w:color="auto"/>
            </w:tcBorders>
            <w:shd w:val="clear" w:color="000000" w:fill="FFFFFF"/>
            <w:noWrap/>
            <w:vAlign w:val="bottom"/>
            <w:hideMark/>
          </w:tcPr>
          <w:p w14:paraId="70048360"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63,6</w:t>
            </w:r>
          </w:p>
        </w:tc>
      </w:tr>
      <w:tr w:rsidR="00761800" w:rsidRPr="00761800" w14:paraId="27A1670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7D47B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1.2.2.6.</w:t>
            </w:r>
          </w:p>
        </w:tc>
        <w:tc>
          <w:tcPr>
            <w:tcW w:w="11062" w:type="dxa"/>
            <w:tcBorders>
              <w:top w:val="nil"/>
              <w:left w:val="nil"/>
              <w:bottom w:val="single" w:sz="4" w:space="0" w:color="auto"/>
              <w:right w:val="single" w:sz="4" w:space="0" w:color="auto"/>
            </w:tcBorders>
            <w:shd w:val="clear" w:color="000000" w:fill="FFFFFF"/>
            <w:vAlign w:val="center"/>
            <w:hideMark/>
          </w:tcPr>
          <w:p w14:paraId="7D95F34B"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„Съюз на глухите в България“</w:t>
            </w:r>
          </w:p>
        </w:tc>
        <w:tc>
          <w:tcPr>
            <w:tcW w:w="2178" w:type="dxa"/>
            <w:tcBorders>
              <w:top w:val="nil"/>
              <w:left w:val="nil"/>
              <w:bottom w:val="single" w:sz="4" w:space="0" w:color="auto"/>
              <w:right w:val="single" w:sz="4" w:space="0" w:color="auto"/>
            </w:tcBorders>
            <w:shd w:val="clear" w:color="000000" w:fill="FFFFFF"/>
            <w:noWrap/>
            <w:vAlign w:val="bottom"/>
            <w:hideMark/>
          </w:tcPr>
          <w:p w14:paraId="7CA38139"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210,2</w:t>
            </w:r>
          </w:p>
        </w:tc>
      </w:tr>
      <w:tr w:rsidR="00761800" w:rsidRPr="00761800" w14:paraId="6950DA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5F9A8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1.2.2.7.</w:t>
            </w:r>
          </w:p>
        </w:tc>
        <w:tc>
          <w:tcPr>
            <w:tcW w:w="11062" w:type="dxa"/>
            <w:tcBorders>
              <w:top w:val="nil"/>
              <w:left w:val="nil"/>
              <w:bottom w:val="single" w:sz="4" w:space="0" w:color="auto"/>
              <w:right w:val="single" w:sz="4" w:space="0" w:color="auto"/>
            </w:tcBorders>
            <w:shd w:val="clear" w:color="000000" w:fill="FFFFFF"/>
            <w:vAlign w:val="center"/>
            <w:hideMark/>
          </w:tcPr>
          <w:p w14:paraId="05D31100"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„Българска асоциация „Диабет“</w:t>
            </w:r>
          </w:p>
        </w:tc>
        <w:tc>
          <w:tcPr>
            <w:tcW w:w="2178" w:type="dxa"/>
            <w:tcBorders>
              <w:top w:val="nil"/>
              <w:left w:val="nil"/>
              <w:bottom w:val="single" w:sz="4" w:space="0" w:color="auto"/>
              <w:right w:val="single" w:sz="4" w:space="0" w:color="auto"/>
            </w:tcBorders>
            <w:shd w:val="clear" w:color="000000" w:fill="FFFFFF"/>
            <w:noWrap/>
            <w:vAlign w:val="bottom"/>
            <w:hideMark/>
          </w:tcPr>
          <w:p w14:paraId="0D3FF2C3"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229,0</w:t>
            </w:r>
          </w:p>
        </w:tc>
      </w:tr>
      <w:tr w:rsidR="00761800" w:rsidRPr="00761800" w14:paraId="18BC2320"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DD8CB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1.2.2.8.</w:t>
            </w:r>
          </w:p>
        </w:tc>
        <w:tc>
          <w:tcPr>
            <w:tcW w:w="11062" w:type="dxa"/>
            <w:tcBorders>
              <w:top w:val="nil"/>
              <w:left w:val="nil"/>
              <w:bottom w:val="single" w:sz="4" w:space="0" w:color="auto"/>
              <w:right w:val="single" w:sz="4" w:space="0" w:color="auto"/>
            </w:tcBorders>
            <w:shd w:val="clear" w:color="000000" w:fill="FFFFFF"/>
            <w:vAlign w:val="center"/>
            <w:hideMark/>
          </w:tcPr>
          <w:p w14:paraId="61165F75"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„Асоциация на родителите на деца с нарушено зрение“</w:t>
            </w:r>
          </w:p>
        </w:tc>
        <w:tc>
          <w:tcPr>
            <w:tcW w:w="2178" w:type="dxa"/>
            <w:tcBorders>
              <w:top w:val="nil"/>
              <w:left w:val="nil"/>
              <w:bottom w:val="single" w:sz="4" w:space="0" w:color="auto"/>
              <w:right w:val="single" w:sz="4" w:space="0" w:color="auto"/>
            </w:tcBorders>
            <w:shd w:val="clear" w:color="000000" w:fill="FFFFFF"/>
            <w:noWrap/>
            <w:vAlign w:val="bottom"/>
            <w:hideMark/>
          </w:tcPr>
          <w:p w14:paraId="3258EE56"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51,9</w:t>
            </w:r>
          </w:p>
        </w:tc>
      </w:tr>
      <w:tr w:rsidR="00761800" w:rsidRPr="00761800" w14:paraId="6BD4445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49C39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1.2.2.9.</w:t>
            </w:r>
          </w:p>
        </w:tc>
        <w:tc>
          <w:tcPr>
            <w:tcW w:w="11062" w:type="dxa"/>
            <w:tcBorders>
              <w:top w:val="nil"/>
              <w:left w:val="nil"/>
              <w:bottom w:val="single" w:sz="4" w:space="0" w:color="auto"/>
              <w:right w:val="single" w:sz="4" w:space="0" w:color="auto"/>
            </w:tcBorders>
            <w:shd w:val="clear" w:color="000000" w:fill="FFFFFF"/>
            <w:vAlign w:val="center"/>
            <w:hideMark/>
          </w:tcPr>
          <w:p w14:paraId="78640EA6"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„Национална асоциация на сляпо-глухите в България“</w:t>
            </w:r>
          </w:p>
        </w:tc>
        <w:tc>
          <w:tcPr>
            <w:tcW w:w="2178" w:type="dxa"/>
            <w:tcBorders>
              <w:top w:val="nil"/>
              <w:left w:val="nil"/>
              <w:bottom w:val="single" w:sz="4" w:space="0" w:color="auto"/>
              <w:right w:val="single" w:sz="4" w:space="0" w:color="auto"/>
            </w:tcBorders>
            <w:shd w:val="clear" w:color="000000" w:fill="FFFFFF"/>
            <w:noWrap/>
            <w:vAlign w:val="bottom"/>
            <w:hideMark/>
          </w:tcPr>
          <w:p w14:paraId="3192E7D2"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109,0</w:t>
            </w:r>
          </w:p>
        </w:tc>
      </w:tr>
      <w:tr w:rsidR="00761800" w:rsidRPr="00761800" w14:paraId="32B014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94DE0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1.2.2.10.</w:t>
            </w:r>
          </w:p>
        </w:tc>
        <w:tc>
          <w:tcPr>
            <w:tcW w:w="11062" w:type="dxa"/>
            <w:tcBorders>
              <w:top w:val="nil"/>
              <w:left w:val="nil"/>
              <w:bottom w:val="single" w:sz="4" w:space="0" w:color="auto"/>
              <w:right w:val="single" w:sz="4" w:space="0" w:color="auto"/>
            </w:tcBorders>
            <w:shd w:val="clear" w:color="000000" w:fill="FFFFFF"/>
            <w:vAlign w:val="center"/>
            <w:hideMark/>
          </w:tcPr>
          <w:p w14:paraId="4BA09E70"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Национално сдружение на работодателите на хората с увреждания</w:t>
            </w:r>
          </w:p>
        </w:tc>
        <w:tc>
          <w:tcPr>
            <w:tcW w:w="2178" w:type="dxa"/>
            <w:tcBorders>
              <w:top w:val="nil"/>
              <w:left w:val="nil"/>
              <w:bottom w:val="single" w:sz="4" w:space="0" w:color="auto"/>
              <w:right w:val="single" w:sz="4" w:space="0" w:color="auto"/>
            </w:tcBorders>
            <w:shd w:val="clear" w:color="000000" w:fill="FFFFFF"/>
            <w:noWrap/>
            <w:vAlign w:val="bottom"/>
            <w:hideMark/>
          </w:tcPr>
          <w:p w14:paraId="6BEB0873"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176,4</w:t>
            </w:r>
          </w:p>
        </w:tc>
      </w:tr>
      <w:tr w:rsidR="00761800" w:rsidRPr="00761800" w14:paraId="2DDE0B4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81C80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1.2.2.11.</w:t>
            </w:r>
          </w:p>
        </w:tc>
        <w:tc>
          <w:tcPr>
            <w:tcW w:w="11062" w:type="dxa"/>
            <w:tcBorders>
              <w:top w:val="nil"/>
              <w:left w:val="nil"/>
              <w:bottom w:val="single" w:sz="4" w:space="0" w:color="auto"/>
              <w:right w:val="single" w:sz="4" w:space="0" w:color="auto"/>
            </w:tcBorders>
            <w:shd w:val="clear" w:color="000000" w:fill="FFFFFF"/>
            <w:vAlign w:val="center"/>
            <w:hideMark/>
          </w:tcPr>
          <w:p w14:paraId="68696DE7"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„Център за психологически изследвания“</w:t>
            </w:r>
          </w:p>
        </w:tc>
        <w:tc>
          <w:tcPr>
            <w:tcW w:w="2178" w:type="dxa"/>
            <w:tcBorders>
              <w:top w:val="nil"/>
              <w:left w:val="nil"/>
              <w:bottom w:val="single" w:sz="4" w:space="0" w:color="auto"/>
              <w:right w:val="single" w:sz="4" w:space="0" w:color="auto"/>
            </w:tcBorders>
            <w:shd w:val="clear" w:color="000000" w:fill="FFFFFF"/>
            <w:noWrap/>
            <w:vAlign w:val="bottom"/>
            <w:hideMark/>
          </w:tcPr>
          <w:p w14:paraId="2FAA2870"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162,2</w:t>
            </w:r>
          </w:p>
        </w:tc>
      </w:tr>
      <w:tr w:rsidR="00761800" w:rsidRPr="00761800" w14:paraId="6632870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A63A4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1.2.2.12.</w:t>
            </w:r>
          </w:p>
        </w:tc>
        <w:tc>
          <w:tcPr>
            <w:tcW w:w="11062" w:type="dxa"/>
            <w:tcBorders>
              <w:top w:val="nil"/>
              <w:left w:val="nil"/>
              <w:bottom w:val="single" w:sz="4" w:space="0" w:color="auto"/>
              <w:right w:val="single" w:sz="4" w:space="0" w:color="auto"/>
            </w:tcBorders>
            <w:shd w:val="clear" w:color="000000" w:fill="FFFFFF"/>
            <w:vAlign w:val="center"/>
            <w:hideMark/>
          </w:tcPr>
          <w:p w14:paraId="1BB01F77"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„Българска асоциация за невромускулни заболявания“</w:t>
            </w:r>
          </w:p>
        </w:tc>
        <w:tc>
          <w:tcPr>
            <w:tcW w:w="2178" w:type="dxa"/>
            <w:tcBorders>
              <w:top w:val="nil"/>
              <w:left w:val="nil"/>
              <w:bottom w:val="single" w:sz="4" w:space="0" w:color="auto"/>
              <w:right w:val="single" w:sz="4" w:space="0" w:color="auto"/>
            </w:tcBorders>
            <w:shd w:val="clear" w:color="000000" w:fill="FFFFFF"/>
            <w:noWrap/>
            <w:vAlign w:val="bottom"/>
            <w:hideMark/>
          </w:tcPr>
          <w:p w14:paraId="4EB3E3AF"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33,8</w:t>
            </w:r>
          </w:p>
        </w:tc>
      </w:tr>
      <w:tr w:rsidR="00761800" w:rsidRPr="00761800" w14:paraId="2D4219A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B737C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1.2.2.13.</w:t>
            </w:r>
          </w:p>
        </w:tc>
        <w:tc>
          <w:tcPr>
            <w:tcW w:w="11062" w:type="dxa"/>
            <w:tcBorders>
              <w:top w:val="nil"/>
              <w:left w:val="nil"/>
              <w:bottom w:val="single" w:sz="4" w:space="0" w:color="auto"/>
              <w:right w:val="single" w:sz="4" w:space="0" w:color="auto"/>
            </w:tcBorders>
            <w:shd w:val="clear" w:color="000000" w:fill="FFFFFF"/>
            <w:vAlign w:val="center"/>
            <w:hideMark/>
          </w:tcPr>
          <w:p w14:paraId="5868DF05"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„Национална организация „Малки български хора“</w:t>
            </w:r>
          </w:p>
        </w:tc>
        <w:tc>
          <w:tcPr>
            <w:tcW w:w="2178" w:type="dxa"/>
            <w:tcBorders>
              <w:top w:val="nil"/>
              <w:left w:val="nil"/>
              <w:bottom w:val="single" w:sz="4" w:space="0" w:color="auto"/>
              <w:right w:val="single" w:sz="4" w:space="0" w:color="auto"/>
            </w:tcBorders>
            <w:shd w:val="clear" w:color="000000" w:fill="FFFFFF"/>
            <w:noWrap/>
            <w:vAlign w:val="bottom"/>
            <w:hideMark/>
          </w:tcPr>
          <w:p w14:paraId="4A40A68C"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30,1</w:t>
            </w:r>
          </w:p>
        </w:tc>
      </w:tr>
      <w:tr w:rsidR="00761800" w:rsidRPr="00761800" w14:paraId="0522DC4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BDE2E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1.2.2.14.</w:t>
            </w:r>
          </w:p>
        </w:tc>
        <w:tc>
          <w:tcPr>
            <w:tcW w:w="11062" w:type="dxa"/>
            <w:tcBorders>
              <w:top w:val="nil"/>
              <w:left w:val="nil"/>
              <w:bottom w:val="single" w:sz="4" w:space="0" w:color="auto"/>
              <w:right w:val="single" w:sz="4" w:space="0" w:color="auto"/>
            </w:tcBorders>
            <w:shd w:val="clear" w:color="000000" w:fill="FFFFFF"/>
            <w:vAlign w:val="center"/>
            <w:hideMark/>
          </w:tcPr>
          <w:p w14:paraId="75A4E5A5"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„Асоциация на родители на деца с епилепсия“</w:t>
            </w:r>
          </w:p>
        </w:tc>
        <w:tc>
          <w:tcPr>
            <w:tcW w:w="2178" w:type="dxa"/>
            <w:tcBorders>
              <w:top w:val="nil"/>
              <w:left w:val="nil"/>
              <w:bottom w:val="single" w:sz="4" w:space="0" w:color="auto"/>
              <w:right w:val="single" w:sz="4" w:space="0" w:color="auto"/>
            </w:tcBorders>
            <w:shd w:val="clear" w:color="000000" w:fill="FFFFFF"/>
            <w:noWrap/>
            <w:vAlign w:val="bottom"/>
            <w:hideMark/>
          </w:tcPr>
          <w:p w14:paraId="520AD890"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33,8</w:t>
            </w:r>
          </w:p>
        </w:tc>
      </w:tr>
      <w:tr w:rsidR="00761800" w:rsidRPr="00761800" w14:paraId="71DCD8D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568C8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1.2.2.15.</w:t>
            </w:r>
          </w:p>
        </w:tc>
        <w:tc>
          <w:tcPr>
            <w:tcW w:w="11062" w:type="dxa"/>
            <w:tcBorders>
              <w:top w:val="nil"/>
              <w:left w:val="nil"/>
              <w:bottom w:val="single" w:sz="4" w:space="0" w:color="auto"/>
              <w:right w:val="single" w:sz="4" w:space="0" w:color="auto"/>
            </w:tcBorders>
            <w:shd w:val="clear" w:color="000000" w:fill="FFFFFF"/>
            <w:vAlign w:val="center"/>
            <w:hideMark/>
          </w:tcPr>
          <w:p w14:paraId="3FF072ED"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„Национален център за рехабилитация на слепи“</w:t>
            </w:r>
          </w:p>
        </w:tc>
        <w:tc>
          <w:tcPr>
            <w:tcW w:w="2178" w:type="dxa"/>
            <w:tcBorders>
              <w:top w:val="nil"/>
              <w:left w:val="nil"/>
              <w:bottom w:val="single" w:sz="4" w:space="0" w:color="auto"/>
              <w:right w:val="single" w:sz="4" w:space="0" w:color="auto"/>
            </w:tcBorders>
            <w:shd w:val="clear" w:color="000000" w:fill="FFFFFF"/>
            <w:noWrap/>
            <w:vAlign w:val="bottom"/>
            <w:hideMark/>
          </w:tcPr>
          <w:p w14:paraId="0675D79A"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133,6</w:t>
            </w:r>
          </w:p>
        </w:tc>
      </w:tr>
      <w:tr w:rsidR="00761800" w:rsidRPr="00761800" w14:paraId="2463C16C"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0772B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1.2.2.16.</w:t>
            </w:r>
          </w:p>
        </w:tc>
        <w:tc>
          <w:tcPr>
            <w:tcW w:w="11062" w:type="dxa"/>
            <w:tcBorders>
              <w:top w:val="nil"/>
              <w:left w:val="nil"/>
              <w:bottom w:val="single" w:sz="4" w:space="0" w:color="auto"/>
              <w:right w:val="single" w:sz="4" w:space="0" w:color="auto"/>
            </w:tcBorders>
            <w:shd w:val="clear" w:color="000000" w:fill="FFFFFF"/>
            <w:vAlign w:val="center"/>
            <w:hideMark/>
          </w:tcPr>
          <w:p w14:paraId="36CB1DD1"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„Българска асоциация за рекреация, интеграция и спорт“</w:t>
            </w:r>
          </w:p>
        </w:tc>
        <w:tc>
          <w:tcPr>
            <w:tcW w:w="2178" w:type="dxa"/>
            <w:tcBorders>
              <w:top w:val="nil"/>
              <w:left w:val="nil"/>
              <w:bottom w:val="single" w:sz="4" w:space="0" w:color="auto"/>
              <w:right w:val="single" w:sz="4" w:space="0" w:color="auto"/>
            </w:tcBorders>
            <w:shd w:val="clear" w:color="000000" w:fill="FFFFFF"/>
            <w:noWrap/>
            <w:vAlign w:val="bottom"/>
            <w:hideMark/>
          </w:tcPr>
          <w:p w14:paraId="2943AD80"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29,5</w:t>
            </w:r>
          </w:p>
        </w:tc>
      </w:tr>
      <w:tr w:rsidR="00761800" w:rsidRPr="00761800" w14:paraId="7C42E4AE"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2000F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1.2.2.17.</w:t>
            </w:r>
          </w:p>
        </w:tc>
        <w:tc>
          <w:tcPr>
            <w:tcW w:w="11062" w:type="dxa"/>
            <w:tcBorders>
              <w:top w:val="nil"/>
              <w:left w:val="nil"/>
              <w:bottom w:val="single" w:sz="4" w:space="0" w:color="auto"/>
              <w:right w:val="single" w:sz="4" w:space="0" w:color="auto"/>
            </w:tcBorders>
            <w:shd w:val="clear" w:color="000000" w:fill="FFFFFF"/>
            <w:vAlign w:val="center"/>
            <w:hideMark/>
          </w:tcPr>
          <w:p w14:paraId="775A7FC2"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„Национален алианс за социална отговорност“</w:t>
            </w:r>
          </w:p>
        </w:tc>
        <w:tc>
          <w:tcPr>
            <w:tcW w:w="2178" w:type="dxa"/>
            <w:tcBorders>
              <w:top w:val="nil"/>
              <w:left w:val="nil"/>
              <w:bottom w:val="single" w:sz="4" w:space="0" w:color="auto"/>
              <w:right w:val="single" w:sz="4" w:space="0" w:color="auto"/>
            </w:tcBorders>
            <w:shd w:val="clear" w:color="000000" w:fill="FFFFFF"/>
            <w:noWrap/>
            <w:vAlign w:val="bottom"/>
            <w:hideMark/>
          </w:tcPr>
          <w:p w14:paraId="65E423EB"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129,8</w:t>
            </w:r>
          </w:p>
        </w:tc>
      </w:tr>
      <w:tr w:rsidR="00761800" w:rsidRPr="00761800" w14:paraId="567400C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D4BE02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1.2.2.18.</w:t>
            </w:r>
          </w:p>
        </w:tc>
        <w:tc>
          <w:tcPr>
            <w:tcW w:w="11062" w:type="dxa"/>
            <w:tcBorders>
              <w:top w:val="nil"/>
              <w:left w:val="nil"/>
              <w:bottom w:val="single" w:sz="4" w:space="0" w:color="auto"/>
              <w:right w:val="single" w:sz="4" w:space="0" w:color="auto"/>
            </w:tcBorders>
            <w:shd w:val="clear" w:color="000000" w:fill="FFFFFF"/>
            <w:vAlign w:val="center"/>
            <w:hideMark/>
          </w:tcPr>
          <w:p w14:paraId="52E2CBE0"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Кооперация „Национална потребителна кооперация на слепите в България“</w:t>
            </w:r>
          </w:p>
        </w:tc>
        <w:tc>
          <w:tcPr>
            <w:tcW w:w="2178" w:type="dxa"/>
            <w:tcBorders>
              <w:top w:val="nil"/>
              <w:left w:val="nil"/>
              <w:bottom w:val="single" w:sz="4" w:space="0" w:color="auto"/>
              <w:right w:val="single" w:sz="4" w:space="0" w:color="auto"/>
            </w:tcBorders>
            <w:shd w:val="clear" w:color="000000" w:fill="FFFFFF"/>
            <w:noWrap/>
            <w:vAlign w:val="bottom"/>
            <w:hideMark/>
          </w:tcPr>
          <w:p w14:paraId="61B42172"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64,3</w:t>
            </w:r>
          </w:p>
        </w:tc>
      </w:tr>
      <w:tr w:rsidR="00761800" w:rsidRPr="00761800" w14:paraId="31CCD9DF"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B4EE7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1.2.2.19.</w:t>
            </w:r>
          </w:p>
        </w:tc>
        <w:tc>
          <w:tcPr>
            <w:tcW w:w="11062" w:type="dxa"/>
            <w:tcBorders>
              <w:top w:val="nil"/>
              <w:left w:val="nil"/>
              <w:bottom w:val="single" w:sz="4" w:space="0" w:color="auto"/>
              <w:right w:val="single" w:sz="4" w:space="0" w:color="auto"/>
            </w:tcBorders>
            <w:shd w:val="clear" w:color="000000" w:fill="FFFFFF"/>
            <w:vAlign w:val="center"/>
            <w:hideMark/>
          </w:tcPr>
          <w:p w14:paraId="5D215EF3"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„Българска асоциация за рекреация и туризъм“</w:t>
            </w:r>
          </w:p>
        </w:tc>
        <w:tc>
          <w:tcPr>
            <w:tcW w:w="2178" w:type="dxa"/>
            <w:tcBorders>
              <w:top w:val="nil"/>
              <w:left w:val="nil"/>
              <w:bottom w:val="single" w:sz="4" w:space="0" w:color="auto"/>
              <w:right w:val="single" w:sz="4" w:space="0" w:color="auto"/>
            </w:tcBorders>
            <w:shd w:val="clear" w:color="000000" w:fill="FFFFFF"/>
            <w:noWrap/>
            <w:vAlign w:val="bottom"/>
            <w:hideMark/>
          </w:tcPr>
          <w:p w14:paraId="6444786D"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29,5</w:t>
            </w:r>
          </w:p>
        </w:tc>
      </w:tr>
      <w:tr w:rsidR="00761800" w:rsidRPr="00761800" w14:paraId="315025E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ACF05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1.2.2.20.</w:t>
            </w:r>
          </w:p>
        </w:tc>
        <w:tc>
          <w:tcPr>
            <w:tcW w:w="11062" w:type="dxa"/>
            <w:tcBorders>
              <w:top w:val="nil"/>
              <w:left w:val="nil"/>
              <w:bottom w:val="single" w:sz="4" w:space="0" w:color="auto"/>
              <w:right w:val="single" w:sz="4" w:space="0" w:color="auto"/>
            </w:tcBorders>
            <w:shd w:val="clear" w:color="000000" w:fill="FFFFFF"/>
            <w:vAlign w:val="center"/>
            <w:hideMark/>
          </w:tcPr>
          <w:p w14:paraId="131494EB"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Сдружение „Национална асоциация на хората с придобити увреждания“</w:t>
            </w:r>
          </w:p>
        </w:tc>
        <w:tc>
          <w:tcPr>
            <w:tcW w:w="2178" w:type="dxa"/>
            <w:tcBorders>
              <w:top w:val="nil"/>
              <w:left w:val="nil"/>
              <w:bottom w:val="single" w:sz="4" w:space="0" w:color="auto"/>
              <w:right w:val="single" w:sz="4" w:space="0" w:color="auto"/>
            </w:tcBorders>
            <w:shd w:val="clear" w:color="000000" w:fill="FFFFFF"/>
            <w:noWrap/>
            <w:vAlign w:val="bottom"/>
            <w:hideMark/>
          </w:tcPr>
          <w:p w14:paraId="17A1B2AC"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33,8</w:t>
            </w:r>
          </w:p>
        </w:tc>
      </w:tr>
      <w:tr w:rsidR="00761800" w:rsidRPr="00761800" w14:paraId="575263FF"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ACB22A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000000" w:fill="FFFFFF"/>
            <w:noWrap/>
            <w:vAlign w:val="bottom"/>
            <w:hideMark/>
          </w:tcPr>
          <w:p w14:paraId="0DFE282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Текущи трансфери, обезщетения и помощи за домакинствата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A5844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1 925 824,6</w:t>
            </w:r>
          </w:p>
        </w:tc>
      </w:tr>
      <w:tr w:rsidR="00761800" w:rsidRPr="00761800" w14:paraId="1C248BC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ED31D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000000" w:fill="FFFFFF"/>
            <w:noWrap/>
            <w:vAlign w:val="bottom"/>
            <w:hideMark/>
          </w:tcPr>
          <w:p w14:paraId="54143F7D"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7D471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2 063,7</w:t>
            </w:r>
          </w:p>
        </w:tc>
      </w:tr>
      <w:tr w:rsidR="00761800" w:rsidRPr="00761800" w14:paraId="7F50541C"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11378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000000" w:fill="FFFFFF"/>
            <w:noWrap/>
            <w:vAlign w:val="bottom"/>
            <w:hideMark/>
          </w:tcPr>
          <w:p w14:paraId="22FB43D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000000" w:fill="FFFFFF"/>
            <w:noWrap/>
            <w:vAlign w:val="bottom"/>
            <w:hideMark/>
          </w:tcPr>
          <w:p w14:paraId="1C658F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2 063,7</w:t>
            </w:r>
          </w:p>
        </w:tc>
      </w:tr>
      <w:tr w:rsidR="00761800" w:rsidRPr="00761800" w14:paraId="0D2A5DE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7B7B98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000000" w:fill="FFFFFF"/>
            <w:noWrap/>
            <w:vAlign w:val="bottom"/>
            <w:hideMark/>
          </w:tcPr>
          <w:p w14:paraId="6E550D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FE7DD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2 084 051,2</w:t>
            </w:r>
          </w:p>
        </w:tc>
      </w:tr>
      <w:tr w:rsidR="00761800" w:rsidRPr="00761800" w14:paraId="48F0E235"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D6078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000000" w:fill="FFFFFF"/>
            <w:noWrap/>
            <w:vAlign w:val="bottom"/>
            <w:hideMark/>
          </w:tcPr>
          <w:p w14:paraId="69061D51"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A9FA1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2 082 006,0</w:t>
            </w:r>
          </w:p>
        </w:tc>
      </w:tr>
      <w:tr w:rsidR="00761800" w:rsidRPr="00761800" w14:paraId="76787F8E"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C22D7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000000" w:fill="FFFFFF"/>
            <w:noWrap/>
            <w:vAlign w:val="bottom"/>
            <w:hideMark/>
          </w:tcPr>
          <w:p w14:paraId="3FA7D351"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4629E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2 045,2</w:t>
            </w:r>
          </w:p>
        </w:tc>
      </w:tr>
      <w:tr w:rsidR="00761800" w:rsidRPr="00761800" w14:paraId="2FB83D6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7C25C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000000" w:fill="FFFFFF"/>
            <w:noWrap/>
            <w:vAlign w:val="bottom"/>
            <w:hideMark/>
          </w:tcPr>
          <w:p w14:paraId="465152AF"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Получени трансфери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8DDCA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2 045,2</w:t>
            </w:r>
          </w:p>
        </w:tc>
      </w:tr>
      <w:tr w:rsidR="00761800" w:rsidRPr="00761800" w14:paraId="6DF0B46E" w14:textId="77777777" w:rsidTr="00406B4D">
        <w:trPr>
          <w:trHeight w:val="315"/>
        </w:trPr>
        <w:tc>
          <w:tcPr>
            <w:tcW w:w="1013" w:type="dxa"/>
            <w:tcBorders>
              <w:top w:val="nil"/>
              <w:left w:val="single" w:sz="4" w:space="0" w:color="auto"/>
              <w:bottom w:val="single" w:sz="4" w:space="0" w:color="auto"/>
              <w:right w:val="single" w:sz="4" w:space="0" w:color="auto"/>
            </w:tcBorders>
            <w:shd w:val="clear" w:color="000000" w:fill="FFFFFF"/>
            <w:noWrap/>
            <w:hideMark/>
          </w:tcPr>
          <w:p w14:paraId="4A17A8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2.1.1.</w:t>
            </w:r>
          </w:p>
        </w:tc>
        <w:tc>
          <w:tcPr>
            <w:tcW w:w="11062" w:type="dxa"/>
            <w:tcBorders>
              <w:top w:val="nil"/>
              <w:left w:val="nil"/>
              <w:bottom w:val="single" w:sz="4" w:space="0" w:color="auto"/>
              <w:right w:val="single" w:sz="4" w:space="0" w:color="auto"/>
            </w:tcBorders>
            <w:shd w:val="clear" w:color="000000" w:fill="FFFFFF"/>
            <w:noWrap/>
            <w:vAlign w:val="bottom"/>
            <w:hideMark/>
          </w:tcPr>
          <w:p w14:paraId="08A15C2F"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 xml:space="preserve">- от Държавното обществено осигуряване </w:t>
            </w:r>
          </w:p>
        </w:tc>
        <w:tc>
          <w:tcPr>
            <w:tcW w:w="2178" w:type="dxa"/>
            <w:tcBorders>
              <w:top w:val="nil"/>
              <w:left w:val="nil"/>
              <w:bottom w:val="single" w:sz="4" w:space="0" w:color="auto"/>
              <w:right w:val="single" w:sz="4" w:space="0" w:color="auto"/>
            </w:tcBorders>
            <w:shd w:val="clear" w:color="000000" w:fill="FFFFFF"/>
            <w:noWrap/>
            <w:vAlign w:val="bottom"/>
            <w:hideMark/>
          </w:tcPr>
          <w:p w14:paraId="315A3D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2 045,2</w:t>
            </w:r>
          </w:p>
        </w:tc>
      </w:tr>
      <w:tr w:rsidR="00761800" w:rsidRPr="00761800" w14:paraId="7A2E7F0E"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646E12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000000" w:fill="FFFFFF"/>
            <w:noWrap/>
            <w:vAlign w:val="bottom"/>
            <w:hideMark/>
          </w:tcPr>
          <w:p w14:paraId="2837DB4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1E2F0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870B52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4CD26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000000" w:fill="FFFFFF"/>
            <w:noWrap/>
            <w:vAlign w:val="bottom"/>
            <w:hideMark/>
          </w:tcPr>
          <w:p w14:paraId="2D55D0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03626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1C54844" w14:textId="77777777" w:rsidTr="00406B4D">
        <w:trPr>
          <w:trHeight w:val="300"/>
        </w:trPr>
        <w:tc>
          <w:tcPr>
            <w:tcW w:w="1013" w:type="dxa"/>
            <w:tcBorders>
              <w:top w:val="nil"/>
              <w:left w:val="nil"/>
              <w:bottom w:val="nil"/>
              <w:right w:val="nil"/>
            </w:tcBorders>
            <w:shd w:val="clear" w:color="000000" w:fill="FFFFFF"/>
            <w:noWrap/>
            <w:vAlign w:val="bottom"/>
            <w:hideMark/>
          </w:tcPr>
          <w:p w14:paraId="26E358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7ACD39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nil"/>
              <w:bottom w:val="nil"/>
              <w:right w:val="nil"/>
            </w:tcBorders>
            <w:shd w:val="clear" w:color="000000" w:fill="FFFFFF"/>
            <w:noWrap/>
            <w:hideMark/>
          </w:tcPr>
          <w:p w14:paraId="2E111E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3B5C5E2" w14:textId="77777777" w:rsidTr="00406B4D">
        <w:trPr>
          <w:trHeight w:val="300"/>
        </w:trPr>
        <w:tc>
          <w:tcPr>
            <w:tcW w:w="14253" w:type="dxa"/>
            <w:gridSpan w:val="3"/>
            <w:tcBorders>
              <w:top w:val="nil"/>
              <w:left w:val="nil"/>
              <w:bottom w:val="single" w:sz="4" w:space="0" w:color="auto"/>
              <w:right w:val="nil"/>
            </w:tcBorders>
            <w:shd w:val="clear" w:color="000000" w:fill="FFFFFF"/>
            <w:hideMark/>
          </w:tcPr>
          <w:p w14:paraId="68724B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0C4F2A0B"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751D4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F0429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000000" w:fill="FFFFFF"/>
            <w:noWrap/>
            <w:vAlign w:val="bottom"/>
            <w:hideMark/>
          </w:tcPr>
          <w:p w14:paraId="6E3898E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332247D"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40CA42A"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0402B3A2"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000000" w:fill="FFFFFF"/>
            <w:noWrap/>
            <w:vAlign w:val="bottom"/>
            <w:hideMark/>
          </w:tcPr>
          <w:p w14:paraId="76B1EF3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38DA06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vAlign w:val="bottom"/>
            <w:hideMark/>
          </w:tcPr>
          <w:p w14:paraId="55AE82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w:t>
            </w:r>
          </w:p>
        </w:tc>
        <w:tc>
          <w:tcPr>
            <w:tcW w:w="11062" w:type="dxa"/>
            <w:tcBorders>
              <w:top w:val="nil"/>
              <w:left w:val="nil"/>
              <w:bottom w:val="single" w:sz="4" w:space="0" w:color="auto"/>
              <w:right w:val="nil"/>
            </w:tcBorders>
            <w:shd w:val="clear" w:color="000000" w:fill="FFFFFF"/>
            <w:noWrap/>
            <w:vAlign w:val="bottom"/>
            <w:hideMark/>
          </w:tcPr>
          <w:p w14:paraId="22C9112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A498F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FA78FA5"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B4FC4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000000" w:fill="FFFFFF"/>
            <w:noWrap/>
            <w:vAlign w:val="bottom"/>
            <w:hideMark/>
          </w:tcPr>
          <w:p w14:paraId="2E21BD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Политика в областта на пазара на труда, свободното движение на работници и трудовата миграция </w:t>
            </w:r>
          </w:p>
        </w:tc>
        <w:tc>
          <w:tcPr>
            <w:tcW w:w="2178" w:type="dxa"/>
            <w:tcBorders>
              <w:top w:val="nil"/>
              <w:left w:val="single" w:sz="4" w:space="0" w:color="auto"/>
              <w:bottom w:val="nil"/>
              <w:right w:val="single" w:sz="4" w:space="0" w:color="auto"/>
            </w:tcBorders>
            <w:shd w:val="clear" w:color="000000" w:fill="FFFFFF"/>
            <w:noWrap/>
            <w:vAlign w:val="bottom"/>
            <w:hideMark/>
          </w:tcPr>
          <w:p w14:paraId="5F7F3F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85 286,0</w:t>
            </w:r>
          </w:p>
        </w:tc>
      </w:tr>
      <w:tr w:rsidR="00761800" w:rsidRPr="00761800" w14:paraId="7A25DC9E"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A3E6E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000000" w:fill="FFFFFF"/>
            <w:noWrap/>
            <w:vAlign w:val="bottom"/>
            <w:hideMark/>
          </w:tcPr>
          <w:p w14:paraId="582DA1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трудовите отношения</w:t>
            </w:r>
          </w:p>
        </w:tc>
        <w:tc>
          <w:tcPr>
            <w:tcW w:w="21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9A1AA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18 346,4</w:t>
            </w:r>
          </w:p>
        </w:tc>
      </w:tr>
      <w:tr w:rsidR="00761800" w:rsidRPr="00761800" w14:paraId="4357364F"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98D99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nil"/>
            </w:tcBorders>
            <w:shd w:val="clear" w:color="000000" w:fill="FFFFFF"/>
            <w:noWrap/>
            <w:vAlign w:val="bottom"/>
            <w:hideMark/>
          </w:tcPr>
          <w:p w14:paraId="6855FA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социалното подпомагане и равнопоставеността на жените и мъжете</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56B60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216 912,5</w:t>
            </w:r>
          </w:p>
        </w:tc>
      </w:tr>
      <w:tr w:rsidR="00761800" w:rsidRPr="00761800" w14:paraId="4347C0E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3CB59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4.</w:t>
            </w:r>
          </w:p>
        </w:tc>
        <w:tc>
          <w:tcPr>
            <w:tcW w:w="11062" w:type="dxa"/>
            <w:tcBorders>
              <w:top w:val="nil"/>
              <w:left w:val="nil"/>
              <w:bottom w:val="single" w:sz="4" w:space="0" w:color="auto"/>
              <w:right w:val="nil"/>
            </w:tcBorders>
            <w:shd w:val="clear" w:color="000000" w:fill="FFFFFF"/>
            <w:noWrap/>
            <w:vAlign w:val="bottom"/>
            <w:hideMark/>
          </w:tcPr>
          <w:p w14:paraId="2B26239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хората с увреждания</w:t>
            </w:r>
          </w:p>
        </w:tc>
        <w:tc>
          <w:tcPr>
            <w:tcW w:w="2178" w:type="dxa"/>
            <w:tcBorders>
              <w:top w:val="nil"/>
              <w:left w:val="single" w:sz="4" w:space="0" w:color="auto"/>
              <w:bottom w:val="nil"/>
              <w:right w:val="single" w:sz="4" w:space="0" w:color="auto"/>
            </w:tcBorders>
            <w:shd w:val="clear" w:color="000000" w:fill="FFFFFF"/>
            <w:noWrap/>
            <w:vAlign w:val="bottom"/>
            <w:hideMark/>
          </w:tcPr>
          <w:p w14:paraId="712F6B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1 364 484,6</w:t>
            </w:r>
          </w:p>
        </w:tc>
      </w:tr>
      <w:tr w:rsidR="00761800" w:rsidRPr="00761800" w14:paraId="20C8C32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2BF92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5.</w:t>
            </w:r>
          </w:p>
        </w:tc>
        <w:tc>
          <w:tcPr>
            <w:tcW w:w="11062" w:type="dxa"/>
            <w:tcBorders>
              <w:top w:val="nil"/>
              <w:left w:val="nil"/>
              <w:bottom w:val="single" w:sz="4" w:space="0" w:color="auto"/>
              <w:right w:val="nil"/>
            </w:tcBorders>
            <w:shd w:val="clear" w:color="000000" w:fill="FFFFFF"/>
            <w:noWrap/>
            <w:vAlign w:val="bottom"/>
            <w:hideMark/>
          </w:tcPr>
          <w:p w14:paraId="7A62BC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социалното включване</w:t>
            </w:r>
          </w:p>
        </w:tc>
        <w:tc>
          <w:tcPr>
            <w:tcW w:w="21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E413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417 867,9</w:t>
            </w:r>
          </w:p>
        </w:tc>
      </w:tr>
      <w:tr w:rsidR="00761800" w:rsidRPr="00761800" w14:paraId="7D76595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0F3E1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6.</w:t>
            </w:r>
          </w:p>
        </w:tc>
        <w:tc>
          <w:tcPr>
            <w:tcW w:w="11062" w:type="dxa"/>
            <w:tcBorders>
              <w:top w:val="nil"/>
              <w:left w:val="nil"/>
              <w:bottom w:val="single" w:sz="4" w:space="0" w:color="auto"/>
              <w:right w:val="nil"/>
            </w:tcBorders>
            <w:shd w:val="clear" w:color="000000" w:fill="FFFFFF"/>
            <w:noWrap/>
            <w:vAlign w:val="bottom"/>
            <w:hideMark/>
          </w:tcPr>
          <w:p w14:paraId="372FE9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жизненото равнище, демографското развитие и социалните инвестиции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42C95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740,8</w:t>
            </w:r>
          </w:p>
        </w:tc>
      </w:tr>
      <w:tr w:rsidR="00761800" w:rsidRPr="00761800" w14:paraId="5E6DA83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04D92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7.</w:t>
            </w:r>
          </w:p>
        </w:tc>
        <w:tc>
          <w:tcPr>
            <w:tcW w:w="11062" w:type="dxa"/>
            <w:tcBorders>
              <w:top w:val="nil"/>
              <w:left w:val="nil"/>
              <w:bottom w:val="single" w:sz="4" w:space="0" w:color="auto"/>
              <w:right w:val="nil"/>
            </w:tcBorders>
            <w:shd w:val="clear" w:color="000000" w:fill="FFFFFF"/>
            <w:noWrap/>
            <w:vAlign w:val="bottom"/>
            <w:hideMark/>
          </w:tcPr>
          <w:p w14:paraId="7AF37DF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A33C0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8 817,3</w:t>
            </w:r>
          </w:p>
        </w:tc>
      </w:tr>
      <w:tr w:rsidR="00761800" w:rsidRPr="00761800" w14:paraId="3770A14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vAlign w:val="bottom"/>
            <w:hideMark/>
          </w:tcPr>
          <w:p w14:paraId="2FDB80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12EB05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D3E3B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2 112 455,5</w:t>
            </w:r>
          </w:p>
        </w:tc>
      </w:tr>
      <w:tr w:rsidR="00761800" w:rsidRPr="00761800" w14:paraId="250A36ED" w14:textId="77777777" w:rsidTr="00406B4D">
        <w:trPr>
          <w:trHeight w:val="300"/>
        </w:trPr>
        <w:tc>
          <w:tcPr>
            <w:tcW w:w="1013" w:type="dxa"/>
            <w:tcBorders>
              <w:top w:val="nil"/>
              <w:left w:val="nil"/>
              <w:bottom w:val="nil"/>
              <w:right w:val="nil"/>
            </w:tcBorders>
            <w:shd w:val="clear" w:color="000000" w:fill="FFFFFF"/>
            <w:noWrap/>
            <w:vAlign w:val="bottom"/>
            <w:hideMark/>
          </w:tcPr>
          <w:p w14:paraId="76E83DF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469F16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nil"/>
              <w:bottom w:val="nil"/>
              <w:right w:val="nil"/>
            </w:tcBorders>
            <w:shd w:val="clear" w:color="000000" w:fill="FFFFFF"/>
            <w:noWrap/>
            <w:vAlign w:val="bottom"/>
            <w:hideMark/>
          </w:tcPr>
          <w:p w14:paraId="6025CB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CB33A14" w14:textId="77777777" w:rsidTr="00406B4D">
        <w:trPr>
          <w:trHeight w:val="469"/>
        </w:trPr>
        <w:tc>
          <w:tcPr>
            <w:tcW w:w="14253" w:type="dxa"/>
            <w:gridSpan w:val="3"/>
            <w:tcBorders>
              <w:top w:val="nil"/>
              <w:left w:val="nil"/>
              <w:bottom w:val="single" w:sz="4" w:space="0" w:color="auto"/>
              <w:right w:val="nil"/>
            </w:tcBorders>
            <w:shd w:val="clear" w:color="000000" w:fill="FFFFFF"/>
            <w:hideMark/>
          </w:tcPr>
          <w:p w14:paraId="13E9D5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труда и социалната политика, както следва:</w:t>
            </w:r>
          </w:p>
        </w:tc>
      </w:tr>
      <w:tr w:rsidR="00761800" w:rsidRPr="00761800" w14:paraId="0298A219"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C7C44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C23F7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000000" w:fill="FFFFFF"/>
            <w:noWrap/>
            <w:vAlign w:val="bottom"/>
            <w:hideMark/>
          </w:tcPr>
          <w:p w14:paraId="3B09D0B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81E5DE6"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348F539A"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79870F77"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000000" w:fill="FFFFFF"/>
            <w:noWrap/>
            <w:vAlign w:val="bottom"/>
            <w:hideMark/>
          </w:tcPr>
          <w:p w14:paraId="4D6934E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076FFEE"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vAlign w:val="bottom"/>
            <w:hideMark/>
          </w:tcPr>
          <w:p w14:paraId="200529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010E6CA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16A276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22B41A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044F4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000000" w:fill="FFFFFF"/>
            <w:noWrap/>
            <w:vAlign w:val="bottom"/>
            <w:hideMark/>
          </w:tcPr>
          <w:p w14:paraId="2054CF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09794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1 951 079,1</w:t>
            </w:r>
          </w:p>
        </w:tc>
      </w:tr>
      <w:tr w:rsidR="00761800" w:rsidRPr="00761800" w14:paraId="2D3F2FA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082D9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46D417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19A73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1 951 079,1</w:t>
            </w:r>
          </w:p>
        </w:tc>
      </w:tr>
      <w:tr w:rsidR="00761800" w:rsidRPr="00761800" w14:paraId="01F77D1A" w14:textId="77777777" w:rsidTr="00406B4D">
        <w:trPr>
          <w:trHeight w:val="300"/>
        </w:trPr>
        <w:tc>
          <w:tcPr>
            <w:tcW w:w="1013" w:type="dxa"/>
            <w:tcBorders>
              <w:top w:val="nil"/>
              <w:left w:val="nil"/>
              <w:bottom w:val="nil"/>
              <w:right w:val="nil"/>
            </w:tcBorders>
            <w:shd w:val="clear" w:color="auto" w:fill="auto"/>
            <w:vAlign w:val="bottom"/>
            <w:hideMark/>
          </w:tcPr>
          <w:p w14:paraId="6C12CBE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2825B217"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492DED5A" w14:textId="77777777" w:rsidR="00761800" w:rsidRPr="00761800" w:rsidRDefault="00761800" w:rsidP="00761800">
            <w:pPr>
              <w:rPr>
                <w:rFonts w:ascii="Times New Roman" w:hAnsi="Times New Roman"/>
                <w:sz w:val="20"/>
                <w:lang w:eastAsia="bg-BG"/>
              </w:rPr>
            </w:pPr>
          </w:p>
        </w:tc>
      </w:tr>
      <w:tr w:rsidR="00761800" w:rsidRPr="00761800" w14:paraId="6A7322A6" w14:textId="77777777" w:rsidTr="00406B4D">
        <w:trPr>
          <w:trHeight w:val="300"/>
        </w:trPr>
        <w:tc>
          <w:tcPr>
            <w:tcW w:w="14253" w:type="dxa"/>
            <w:gridSpan w:val="3"/>
            <w:tcBorders>
              <w:top w:val="nil"/>
              <w:left w:val="nil"/>
              <w:bottom w:val="nil"/>
              <w:right w:val="nil"/>
            </w:tcBorders>
            <w:shd w:val="clear" w:color="auto" w:fill="auto"/>
            <w:vAlign w:val="bottom"/>
            <w:hideMark/>
          </w:tcPr>
          <w:p w14:paraId="0E86F50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15.</w:t>
            </w:r>
            <w:r w:rsidRPr="00761800">
              <w:rPr>
                <w:rFonts w:ascii="Times New Roman" w:hAnsi="Times New Roman"/>
                <w:color w:val="000000"/>
                <w:sz w:val="22"/>
                <w:szCs w:val="22"/>
                <w:lang w:eastAsia="bg-BG"/>
              </w:rPr>
              <w:t xml:space="preserve"> (1) Приема бюджета на Министерството на здравеопазването за 2026 г., както следва:</w:t>
            </w:r>
          </w:p>
        </w:tc>
      </w:tr>
      <w:tr w:rsidR="00761800" w:rsidRPr="00761800" w14:paraId="7FF946D4" w14:textId="77777777" w:rsidTr="00406B4D">
        <w:trPr>
          <w:trHeight w:val="36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E053CF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A013AA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6C331D5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F041CA0"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191F2416"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5AB81737"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635F6DC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F03F6B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BCB071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6DB8C1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F9B2C6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BE5915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61B94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000000" w:fill="FFFFFF"/>
            <w:noWrap/>
            <w:vAlign w:val="bottom"/>
            <w:hideMark/>
          </w:tcPr>
          <w:p w14:paraId="5B1924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EA506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22 236,5</w:t>
            </w:r>
          </w:p>
        </w:tc>
      </w:tr>
      <w:tr w:rsidR="00761800" w:rsidRPr="00761800" w14:paraId="6214F46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1066D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000000" w:fill="FFFFFF"/>
            <w:noWrap/>
            <w:vAlign w:val="bottom"/>
            <w:hideMark/>
          </w:tcPr>
          <w:p w14:paraId="2EA8B95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9DA2D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22 236,5</w:t>
            </w:r>
          </w:p>
        </w:tc>
      </w:tr>
      <w:tr w:rsidR="00761800" w:rsidRPr="00761800" w14:paraId="6EBA39C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8F093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000000" w:fill="FFFFFF"/>
            <w:noWrap/>
            <w:vAlign w:val="bottom"/>
            <w:hideMark/>
          </w:tcPr>
          <w:p w14:paraId="2045EA5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53C8B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16 264,2</w:t>
            </w:r>
          </w:p>
        </w:tc>
      </w:tr>
      <w:tr w:rsidR="00761800" w:rsidRPr="00761800" w14:paraId="1A7B042B" w14:textId="77777777" w:rsidTr="00406B4D">
        <w:trPr>
          <w:trHeight w:val="289"/>
        </w:trPr>
        <w:tc>
          <w:tcPr>
            <w:tcW w:w="1013" w:type="dxa"/>
            <w:tcBorders>
              <w:top w:val="nil"/>
              <w:left w:val="single" w:sz="4" w:space="0" w:color="auto"/>
              <w:bottom w:val="single" w:sz="4" w:space="0" w:color="auto"/>
              <w:right w:val="single" w:sz="4" w:space="0" w:color="auto"/>
            </w:tcBorders>
            <w:shd w:val="clear" w:color="000000" w:fill="FFFFFF"/>
            <w:noWrap/>
            <w:hideMark/>
          </w:tcPr>
          <w:p w14:paraId="7946A7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000000" w:fill="FFFFFF"/>
            <w:noWrap/>
            <w:vAlign w:val="bottom"/>
            <w:hideMark/>
          </w:tcPr>
          <w:p w14:paraId="268D67D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9D4F9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5 031,5</w:t>
            </w:r>
          </w:p>
        </w:tc>
      </w:tr>
      <w:tr w:rsidR="00761800" w:rsidRPr="00761800" w14:paraId="726474F5"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C5BA0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000000" w:fill="FFFFFF"/>
            <w:noWrap/>
            <w:vAlign w:val="bottom"/>
            <w:hideMark/>
          </w:tcPr>
          <w:p w14:paraId="6226D91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762BF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1 022,6</w:t>
            </w:r>
          </w:p>
        </w:tc>
      </w:tr>
      <w:tr w:rsidR="00761800" w:rsidRPr="00761800" w14:paraId="09790FD1"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2E7CD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000000" w:fill="FFFFFF"/>
            <w:noWrap/>
            <w:vAlign w:val="bottom"/>
            <w:hideMark/>
          </w:tcPr>
          <w:p w14:paraId="61BAAA0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11ABA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-81,8</w:t>
            </w:r>
          </w:p>
        </w:tc>
      </w:tr>
      <w:tr w:rsidR="00761800" w:rsidRPr="00761800" w14:paraId="7CCBA036"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4606D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000000" w:fill="FFFFFF"/>
            <w:noWrap/>
            <w:vAlign w:val="bottom"/>
            <w:hideMark/>
          </w:tcPr>
          <w:p w14:paraId="02570B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606E269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646 423,2</w:t>
            </w:r>
          </w:p>
        </w:tc>
      </w:tr>
      <w:tr w:rsidR="00761800" w:rsidRPr="00761800" w14:paraId="0C6B7D26"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ACE26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1.     </w:t>
            </w:r>
          </w:p>
        </w:tc>
        <w:tc>
          <w:tcPr>
            <w:tcW w:w="11062" w:type="dxa"/>
            <w:tcBorders>
              <w:top w:val="nil"/>
              <w:left w:val="nil"/>
              <w:bottom w:val="single" w:sz="4" w:space="0" w:color="auto"/>
              <w:right w:val="nil"/>
            </w:tcBorders>
            <w:shd w:val="clear" w:color="000000" w:fill="FFFFFF"/>
            <w:noWrap/>
            <w:vAlign w:val="bottom"/>
            <w:hideMark/>
          </w:tcPr>
          <w:p w14:paraId="419FA34C"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44880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617 718,2</w:t>
            </w:r>
          </w:p>
        </w:tc>
      </w:tr>
      <w:tr w:rsidR="00761800" w:rsidRPr="00761800" w14:paraId="69D53FC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2ACD3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0B2789A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6D9BA8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AA0DF7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4FCAF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000000" w:fill="FFFFFF"/>
            <w:noWrap/>
            <w:vAlign w:val="bottom"/>
            <w:hideMark/>
          </w:tcPr>
          <w:p w14:paraId="5CEE44C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BD0F7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321 467,8</w:t>
            </w:r>
          </w:p>
        </w:tc>
      </w:tr>
      <w:tr w:rsidR="00761800" w:rsidRPr="00761800" w14:paraId="31763EBF"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8A9CC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000000" w:fill="FFFFFF"/>
            <w:noWrap/>
            <w:vAlign w:val="bottom"/>
            <w:hideMark/>
          </w:tcPr>
          <w:p w14:paraId="55291FC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5B525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181 650,6</w:t>
            </w:r>
          </w:p>
        </w:tc>
      </w:tr>
      <w:tr w:rsidR="00761800" w:rsidRPr="00761800" w14:paraId="7BCAD64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051F2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000000" w:fill="FFFFFF"/>
            <w:noWrap/>
            <w:vAlign w:val="bottom"/>
            <w:hideMark/>
          </w:tcPr>
          <w:p w14:paraId="02DEDB16"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A8783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178 508,0</w:t>
            </w:r>
          </w:p>
        </w:tc>
      </w:tr>
      <w:tr w:rsidR="00761800" w:rsidRPr="00761800" w14:paraId="371D26FE"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F8B4A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w:t>
            </w:r>
          </w:p>
        </w:tc>
        <w:tc>
          <w:tcPr>
            <w:tcW w:w="11062" w:type="dxa"/>
            <w:tcBorders>
              <w:top w:val="nil"/>
              <w:left w:val="nil"/>
              <w:bottom w:val="single" w:sz="4" w:space="0" w:color="auto"/>
              <w:right w:val="nil"/>
            </w:tcBorders>
            <w:shd w:val="clear" w:color="000000" w:fill="FFFFFF"/>
            <w:noWrap/>
            <w:vAlign w:val="bottom"/>
            <w:hideMark/>
          </w:tcPr>
          <w:p w14:paraId="0DA92E83"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E6A17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3 142,6</w:t>
            </w:r>
          </w:p>
        </w:tc>
      </w:tr>
      <w:tr w:rsidR="00761800" w:rsidRPr="00761800" w14:paraId="57BBBACD"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46DB1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2F48AD33"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2295C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273133A"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7FA30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w:t>
            </w:r>
          </w:p>
        </w:tc>
        <w:tc>
          <w:tcPr>
            <w:tcW w:w="11062" w:type="dxa"/>
            <w:tcBorders>
              <w:top w:val="nil"/>
              <w:left w:val="nil"/>
              <w:bottom w:val="single" w:sz="4" w:space="0" w:color="auto"/>
              <w:right w:val="nil"/>
            </w:tcBorders>
            <w:shd w:val="clear" w:color="auto" w:fill="auto"/>
            <w:noWrap/>
            <w:vAlign w:val="bottom"/>
            <w:hideMark/>
          </w:tcPr>
          <w:p w14:paraId="3432CD02"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Български Червен кръст, 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BEF9D52"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3 142,6</w:t>
            </w:r>
          </w:p>
        </w:tc>
      </w:tr>
      <w:tr w:rsidR="00761800" w:rsidRPr="00761800" w14:paraId="7CF3530C"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3B57A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1.2.2.1.1.</w:t>
            </w:r>
          </w:p>
        </w:tc>
        <w:tc>
          <w:tcPr>
            <w:tcW w:w="11062" w:type="dxa"/>
            <w:tcBorders>
              <w:top w:val="nil"/>
              <w:left w:val="nil"/>
              <w:bottom w:val="single" w:sz="4" w:space="0" w:color="auto"/>
              <w:right w:val="nil"/>
            </w:tcBorders>
            <w:shd w:val="clear" w:color="auto" w:fill="auto"/>
            <w:noWrap/>
            <w:vAlign w:val="bottom"/>
            <w:hideMark/>
          </w:tcPr>
          <w:p w14:paraId="04163B5A" w14:textId="77777777" w:rsidR="00761800" w:rsidRPr="00761800" w:rsidRDefault="00761800" w:rsidP="00761800">
            <w:pPr>
              <w:ind w:firstLineChars="600" w:firstLine="1320"/>
              <w:rPr>
                <w:rFonts w:ascii="Times New Roman" w:hAnsi="Times New Roman"/>
                <w:i/>
                <w:iCs/>
                <w:sz w:val="22"/>
                <w:szCs w:val="22"/>
                <w:lang w:eastAsia="bg-BG"/>
              </w:rPr>
            </w:pPr>
            <w:r w:rsidRPr="00761800">
              <w:rPr>
                <w:rFonts w:ascii="Times New Roman" w:hAnsi="Times New Roman"/>
                <w:i/>
                <w:iCs/>
                <w:sz w:val="22"/>
                <w:szCs w:val="22"/>
                <w:lang w:eastAsia="bg-BG"/>
              </w:rPr>
              <w:t>Планинска спасителна служба при Български Червен кръст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EFAE01"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1 328,8</w:t>
            </w:r>
          </w:p>
        </w:tc>
      </w:tr>
      <w:tr w:rsidR="00761800" w:rsidRPr="00761800" w14:paraId="245CCA1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DC5E8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000000" w:fill="FFFFFF"/>
            <w:noWrap/>
            <w:vAlign w:val="bottom"/>
            <w:hideMark/>
          </w:tcPr>
          <w:p w14:paraId="4C7FBFA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Текущи трансфери, обезщетения и помощи за домакинствата</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BE968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11 248,4</w:t>
            </w:r>
          </w:p>
        </w:tc>
      </w:tr>
      <w:tr w:rsidR="00761800" w:rsidRPr="00761800" w14:paraId="7B9A1371"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6C242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000000" w:fill="FFFFFF"/>
            <w:noWrap/>
            <w:vAlign w:val="bottom"/>
            <w:hideMark/>
          </w:tcPr>
          <w:p w14:paraId="35776629"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096FD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28 705,0</w:t>
            </w:r>
          </w:p>
        </w:tc>
      </w:tr>
      <w:tr w:rsidR="00761800" w:rsidRPr="00761800" w14:paraId="43A3527C"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0E8DC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000000" w:fill="FFFFFF"/>
            <w:noWrap/>
            <w:vAlign w:val="bottom"/>
            <w:hideMark/>
          </w:tcPr>
          <w:p w14:paraId="604DA35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000000" w:fill="FFFFFF"/>
            <w:noWrap/>
            <w:vAlign w:val="bottom"/>
            <w:hideMark/>
          </w:tcPr>
          <w:p w14:paraId="1D7F9C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23 789,7</w:t>
            </w:r>
          </w:p>
        </w:tc>
      </w:tr>
      <w:tr w:rsidR="00761800" w:rsidRPr="00761800" w14:paraId="4461B2C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BA028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w:t>
            </w:r>
          </w:p>
        </w:tc>
        <w:tc>
          <w:tcPr>
            <w:tcW w:w="11062" w:type="dxa"/>
            <w:tcBorders>
              <w:top w:val="nil"/>
              <w:left w:val="nil"/>
              <w:bottom w:val="single" w:sz="4" w:space="0" w:color="auto"/>
              <w:right w:val="single" w:sz="4" w:space="0" w:color="auto"/>
            </w:tcBorders>
            <w:shd w:val="clear" w:color="000000" w:fill="FFFFFF"/>
            <w:noWrap/>
            <w:vAlign w:val="bottom"/>
            <w:hideMark/>
          </w:tcPr>
          <w:p w14:paraId="7A322AF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Капиталови трансфери </w:t>
            </w:r>
          </w:p>
        </w:tc>
        <w:tc>
          <w:tcPr>
            <w:tcW w:w="2178" w:type="dxa"/>
            <w:tcBorders>
              <w:top w:val="nil"/>
              <w:left w:val="nil"/>
              <w:bottom w:val="single" w:sz="4" w:space="0" w:color="auto"/>
              <w:right w:val="single" w:sz="4" w:space="0" w:color="auto"/>
            </w:tcBorders>
            <w:shd w:val="clear" w:color="000000" w:fill="FFFFFF"/>
            <w:noWrap/>
            <w:vAlign w:val="bottom"/>
            <w:hideMark/>
          </w:tcPr>
          <w:p w14:paraId="71A790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4 915,3</w:t>
            </w:r>
          </w:p>
        </w:tc>
      </w:tr>
      <w:tr w:rsidR="00761800" w:rsidRPr="00761800" w14:paraId="5BD46D6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313C39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842A4FC"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FC035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137046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75947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2.2.1.</w:t>
            </w:r>
          </w:p>
        </w:tc>
        <w:tc>
          <w:tcPr>
            <w:tcW w:w="11062" w:type="dxa"/>
            <w:tcBorders>
              <w:top w:val="nil"/>
              <w:left w:val="nil"/>
              <w:bottom w:val="single" w:sz="4" w:space="0" w:color="auto"/>
              <w:right w:val="nil"/>
            </w:tcBorders>
            <w:shd w:val="clear" w:color="auto" w:fill="auto"/>
            <w:noWrap/>
            <w:vAlign w:val="bottom"/>
            <w:hideMark/>
          </w:tcPr>
          <w:p w14:paraId="5CCE15E3"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Български Червен кръст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2A922F"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1 380,5</w:t>
            </w:r>
          </w:p>
        </w:tc>
      </w:tr>
      <w:tr w:rsidR="00761800" w:rsidRPr="00761800" w14:paraId="08DEF4B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6B153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000000" w:fill="FFFFFF"/>
            <w:noWrap/>
            <w:vAlign w:val="bottom"/>
            <w:hideMark/>
          </w:tcPr>
          <w:p w14:paraId="6BDF9B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C52A0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621 983,8</w:t>
            </w:r>
          </w:p>
        </w:tc>
      </w:tr>
      <w:tr w:rsidR="00761800" w:rsidRPr="00761800" w14:paraId="6A9EFCE0"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C5EDD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000000" w:fill="FFFFFF"/>
            <w:noWrap/>
            <w:vAlign w:val="bottom"/>
            <w:hideMark/>
          </w:tcPr>
          <w:p w14:paraId="0E6D3331"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E5193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718 213,3</w:t>
            </w:r>
          </w:p>
        </w:tc>
      </w:tr>
      <w:tr w:rsidR="00761800" w:rsidRPr="00761800" w14:paraId="218BBEF1"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05817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000000" w:fill="FFFFFF"/>
            <w:noWrap/>
            <w:vAlign w:val="bottom"/>
            <w:hideMark/>
          </w:tcPr>
          <w:p w14:paraId="7E87D30A"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BB81F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-96 229,5</w:t>
            </w:r>
          </w:p>
        </w:tc>
      </w:tr>
      <w:tr w:rsidR="00761800" w:rsidRPr="00761800" w14:paraId="3BE6BA39"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928E4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000000" w:fill="FFFFFF"/>
            <w:noWrap/>
            <w:vAlign w:val="bottom"/>
            <w:hideMark/>
          </w:tcPr>
          <w:p w14:paraId="00C50296"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Получени трансфери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100EF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5 261,2</w:t>
            </w:r>
          </w:p>
        </w:tc>
      </w:tr>
      <w:tr w:rsidR="00761800" w:rsidRPr="00761800" w14:paraId="29FB11B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D82F17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2.1.1.</w:t>
            </w:r>
          </w:p>
        </w:tc>
        <w:tc>
          <w:tcPr>
            <w:tcW w:w="11062" w:type="dxa"/>
            <w:tcBorders>
              <w:top w:val="nil"/>
              <w:left w:val="nil"/>
              <w:bottom w:val="single" w:sz="4" w:space="0" w:color="auto"/>
              <w:right w:val="single" w:sz="4" w:space="0" w:color="auto"/>
            </w:tcBorders>
            <w:shd w:val="clear" w:color="000000" w:fill="FFFFFF"/>
            <w:noWrap/>
            <w:vAlign w:val="bottom"/>
            <w:hideMark/>
          </w:tcPr>
          <w:p w14:paraId="43772339"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 xml:space="preserve">- от Държавното обществено осигуряване </w:t>
            </w:r>
          </w:p>
        </w:tc>
        <w:tc>
          <w:tcPr>
            <w:tcW w:w="2178" w:type="dxa"/>
            <w:tcBorders>
              <w:top w:val="nil"/>
              <w:left w:val="nil"/>
              <w:bottom w:val="single" w:sz="4" w:space="0" w:color="auto"/>
              <w:right w:val="single" w:sz="4" w:space="0" w:color="auto"/>
            </w:tcBorders>
            <w:shd w:val="clear" w:color="000000" w:fill="FFFFFF"/>
            <w:noWrap/>
            <w:vAlign w:val="bottom"/>
            <w:hideMark/>
          </w:tcPr>
          <w:p w14:paraId="4C8F21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1 610,6</w:t>
            </w:r>
          </w:p>
        </w:tc>
      </w:tr>
      <w:tr w:rsidR="00761800" w:rsidRPr="00761800" w14:paraId="1997228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FE2F9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w:t>
            </w:r>
          </w:p>
        </w:tc>
        <w:tc>
          <w:tcPr>
            <w:tcW w:w="11062" w:type="dxa"/>
            <w:tcBorders>
              <w:top w:val="nil"/>
              <w:left w:val="nil"/>
              <w:bottom w:val="single" w:sz="4" w:space="0" w:color="auto"/>
              <w:right w:val="nil"/>
            </w:tcBorders>
            <w:shd w:val="clear" w:color="000000" w:fill="FFFFFF"/>
            <w:noWrap/>
            <w:vAlign w:val="bottom"/>
            <w:hideMark/>
          </w:tcPr>
          <w:p w14:paraId="6189F4BE"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47F10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-101 490,7</w:t>
            </w:r>
          </w:p>
        </w:tc>
      </w:tr>
      <w:tr w:rsidR="00761800" w:rsidRPr="00761800" w14:paraId="319E9C2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61384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2.2.1.</w:t>
            </w:r>
          </w:p>
        </w:tc>
        <w:tc>
          <w:tcPr>
            <w:tcW w:w="11062" w:type="dxa"/>
            <w:tcBorders>
              <w:top w:val="nil"/>
              <w:left w:val="nil"/>
              <w:bottom w:val="single" w:sz="4" w:space="0" w:color="auto"/>
              <w:right w:val="single" w:sz="4" w:space="0" w:color="auto"/>
            </w:tcBorders>
            <w:shd w:val="clear" w:color="000000" w:fill="FFFFFF"/>
            <w:noWrap/>
            <w:vAlign w:val="bottom"/>
            <w:hideMark/>
          </w:tcPr>
          <w:p w14:paraId="45D4FA0C"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 за Националната здравноосигурителна каса</w:t>
            </w:r>
          </w:p>
        </w:tc>
        <w:tc>
          <w:tcPr>
            <w:tcW w:w="2178" w:type="dxa"/>
            <w:tcBorders>
              <w:top w:val="nil"/>
              <w:left w:val="nil"/>
              <w:bottom w:val="single" w:sz="4" w:space="0" w:color="auto"/>
              <w:right w:val="single" w:sz="4" w:space="0" w:color="auto"/>
            </w:tcBorders>
            <w:shd w:val="clear" w:color="000000" w:fill="FFFFFF"/>
            <w:noWrap/>
            <w:vAlign w:val="bottom"/>
            <w:hideMark/>
          </w:tcPr>
          <w:p w14:paraId="168970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-101 490,7</w:t>
            </w:r>
          </w:p>
        </w:tc>
      </w:tr>
      <w:tr w:rsidR="00761800" w:rsidRPr="00761800" w14:paraId="496B765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CD9E7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000000" w:fill="FFFFFF"/>
            <w:noWrap/>
            <w:vAlign w:val="bottom"/>
            <w:hideMark/>
          </w:tcPr>
          <w:p w14:paraId="3E9B96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1F119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-2 202,9</w:t>
            </w:r>
          </w:p>
        </w:tc>
      </w:tr>
      <w:tr w:rsidR="00761800" w:rsidRPr="00761800" w14:paraId="5FEBAAA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AA724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000000" w:fill="FFFFFF"/>
            <w:noWrap/>
            <w:vAlign w:val="bottom"/>
            <w:hideMark/>
          </w:tcPr>
          <w:p w14:paraId="393792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40146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2 202,9</w:t>
            </w:r>
          </w:p>
        </w:tc>
      </w:tr>
      <w:tr w:rsidR="00761800" w:rsidRPr="00761800" w14:paraId="0551DE5F"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EFE22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68B0346"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Предоставени кредити (нето)</w:t>
            </w:r>
          </w:p>
        </w:tc>
        <w:tc>
          <w:tcPr>
            <w:tcW w:w="2178" w:type="dxa"/>
            <w:tcBorders>
              <w:top w:val="nil"/>
              <w:left w:val="single" w:sz="4" w:space="0" w:color="auto"/>
              <w:bottom w:val="single" w:sz="4" w:space="0" w:color="auto"/>
              <w:right w:val="single" w:sz="4" w:space="0" w:color="auto"/>
            </w:tcBorders>
            <w:shd w:val="clear" w:color="auto" w:fill="auto"/>
            <w:noWrap/>
            <w:hideMark/>
          </w:tcPr>
          <w:p w14:paraId="3E0949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2 202,9</w:t>
            </w:r>
          </w:p>
        </w:tc>
      </w:tr>
      <w:tr w:rsidR="00761800" w:rsidRPr="00761800" w14:paraId="0C6F20EB"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30CC8F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32B72730" w14:textId="77777777" w:rsidR="00761800" w:rsidRPr="00761800" w:rsidRDefault="00761800" w:rsidP="00761800">
            <w:pPr>
              <w:ind w:firstLineChars="200" w:firstLine="440"/>
              <w:rPr>
                <w:rFonts w:ascii="Times New Roman" w:hAnsi="Times New Roman"/>
                <w:i/>
                <w:iCs/>
                <w:sz w:val="22"/>
                <w:szCs w:val="22"/>
                <w:lang w:eastAsia="bg-BG"/>
              </w:rPr>
            </w:pPr>
            <w:r w:rsidRPr="00761800">
              <w:rPr>
                <w:rFonts w:ascii="Times New Roman" w:hAnsi="Times New Roman"/>
                <w:i/>
                <w:iCs/>
                <w:sz w:val="22"/>
                <w:szCs w:val="22"/>
                <w:lang w:eastAsia="bg-BG"/>
              </w:rPr>
              <w:t>Предоставени средства по лихвени заеми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37672E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57C2A76"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E4E90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471D2DE6" w14:textId="77777777" w:rsidR="00761800" w:rsidRPr="00761800" w:rsidRDefault="00761800" w:rsidP="00761800">
            <w:pPr>
              <w:ind w:firstLineChars="200" w:firstLine="440"/>
              <w:rPr>
                <w:rFonts w:ascii="Times New Roman" w:hAnsi="Times New Roman"/>
                <w:i/>
                <w:iCs/>
                <w:sz w:val="22"/>
                <w:szCs w:val="22"/>
                <w:lang w:eastAsia="bg-BG"/>
              </w:rPr>
            </w:pPr>
            <w:r w:rsidRPr="00761800">
              <w:rPr>
                <w:rFonts w:ascii="Times New Roman" w:hAnsi="Times New Roman"/>
                <w:i/>
                <w:iCs/>
                <w:sz w:val="22"/>
                <w:szCs w:val="22"/>
                <w:lang w:eastAsia="bg-BG"/>
              </w:rPr>
              <w:t>Възстановени главници по предоставени лихвени заеми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4576B1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2 202,9</w:t>
            </w:r>
          </w:p>
        </w:tc>
      </w:tr>
      <w:tr w:rsidR="00761800" w:rsidRPr="00761800" w14:paraId="3A0655CB" w14:textId="77777777" w:rsidTr="00406B4D">
        <w:trPr>
          <w:trHeight w:val="300"/>
        </w:trPr>
        <w:tc>
          <w:tcPr>
            <w:tcW w:w="1013" w:type="dxa"/>
            <w:tcBorders>
              <w:top w:val="nil"/>
              <w:left w:val="nil"/>
              <w:bottom w:val="nil"/>
              <w:right w:val="nil"/>
            </w:tcBorders>
            <w:shd w:val="clear" w:color="000000" w:fill="FFFFFF"/>
            <w:noWrap/>
            <w:vAlign w:val="bottom"/>
            <w:hideMark/>
          </w:tcPr>
          <w:p w14:paraId="3775F5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nil"/>
              <w:right w:val="nil"/>
            </w:tcBorders>
            <w:shd w:val="clear" w:color="000000" w:fill="FFFFFF"/>
            <w:noWrap/>
            <w:vAlign w:val="bottom"/>
            <w:hideMark/>
          </w:tcPr>
          <w:p w14:paraId="43494A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178" w:type="dxa"/>
            <w:tcBorders>
              <w:top w:val="nil"/>
              <w:left w:val="nil"/>
              <w:bottom w:val="nil"/>
              <w:right w:val="nil"/>
            </w:tcBorders>
            <w:shd w:val="clear" w:color="000000" w:fill="FFFFFF"/>
            <w:noWrap/>
            <w:hideMark/>
          </w:tcPr>
          <w:p w14:paraId="6DB453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B072EDC" w14:textId="77777777" w:rsidTr="00406B4D">
        <w:trPr>
          <w:trHeight w:val="300"/>
        </w:trPr>
        <w:tc>
          <w:tcPr>
            <w:tcW w:w="14253" w:type="dxa"/>
            <w:gridSpan w:val="3"/>
            <w:tcBorders>
              <w:top w:val="nil"/>
              <w:left w:val="nil"/>
              <w:bottom w:val="single" w:sz="4" w:space="0" w:color="auto"/>
              <w:right w:val="nil"/>
            </w:tcBorders>
            <w:shd w:val="clear" w:color="000000" w:fill="FFFFFF"/>
            <w:hideMark/>
          </w:tcPr>
          <w:p w14:paraId="20161A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663E04D7"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9D682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lastRenderedPageBreak/>
              <w:t>№</w:t>
            </w:r>
          </w:p>
        </w:tc>
        <w:tc>
          <w:tcPr>
            <w:tcW w:w="110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B10C1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000000" w:fill="FFFFFF"/>
            <w:noWrap/>
            <w:vAlign w:val="bottom"/>
            <w:hideMark/>
          </w:tcPr>
          <w:p w14:paraId="45298E1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56A6FDB"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44C942E"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38DD8E0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000000" w:fill="FFFFFF"/>
            <w:noWrap/>
            <w:vAlign w:val="bottom"/>
            <w:hideMark/>
          </w:tcPr>
          <w:p w14:paraId="269DF91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22F2FB8"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vAlign w:val="bottom"/>
            <w:hideMark/>
          </w:tcPr>
          <w:p w14:paraId="2F51DF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72F3564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C415A3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705711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7469F2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000000" w:fill="FFFFFF"/>
            <w:noWrap/>
            <w:vAlign w:val="center"/>
            <w:hideMark/>
          </w:tcPr>
          <w:p w14:paraId="0B5478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промоцията, превенцията и контрола на общественото здраве</w:t>
            </w:r>
          </w:p>
        </w:tc>
        <w:tc>
          <w:tcPr>
            <w:tcW w:w="2178" w:type="dxa"/>
            <w:tcBorders>
              <w:top w:val="nil"/>
              <w:left w:val="single" w:sz="4" w:space="0" w:color="auto"/>
              <w:bottom w:val="nil"/>
              <w:right w:val="single" w:sz="4" w:space="0" w:color="auto"/>
            </w:tcBorders>
            <w:shd w:val="clear" w:color="000000" w:fill="FFFFFF"/>
            <w:noWrap/>
            <w:vAlign w:val="bottom"/>
            <w:hideMark/>
          </w:tcPr>
          <w:p w14:paraId="428C9A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91 268,3</w:t>
            </w:r>
          </w:p>
        </w:tc>
      </w:tr>
      <w:tr w:rsidR="00761800" w:rsidRPr="00761800" w14:paraId="036C1BA0"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16CF9C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000000" w:fill="FFFFFF"/>
            <w:noWrap/>
            <w:vAlign w:val="center"/>
            <w:hideMark/>
          </w:tcPr>
          <w:p w14:paraId="35BD4A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диагностиката и лечението</w:t>
            </w:r>
          </w:p>
        </w:tc>
        <w:tc>
          <w:tcPr>
            <w:tcW w:w="21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9D034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506 645,0</w:t>
            </w:r>
          </w:p>
        </w:tc>
      </w:tr>
      <w:tr w:rsidR="00761800" w:rsidRPr="00761800" w14:paraId="348E16E7"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656C697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000000" w:fill="FFFFFF"/>
            <w:noWrap/>
            <w:vAlign w:val="center"/>
            <w:hideMark/>
          </w:tcPr>
          <w:p w14:paraId="0B17F2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лекарствените продукти и медицинските изделия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0C299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26 084,0</w:t>
            </w:r>
          </w:p>
        </w:tc>
      </w:tr>
      <w:tr w:rsidR="00761800" w:rsidRPr="00761800" w14:paraId="58ACACA5"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A1177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4.</w:t>
            </w:r>
          </w:p>
        </w:tc>
        <w:tc>
          <w:tcPr>
            <w:tcW w:w="11062" w:type="dxa"/>
            <w:tcBorders>
              <w:top w:val="nil"/>
              <w:left w:val="nil"/>
              <w:bottom w:val="single" w:sz="4" w:space="0" w:color="auto"/>
              <w:right w:val="nil"/>
            </w:tcBorders>
            <w:shd w:val="clear" w:color="000000" w:fill="FFFFFF"/>
            <w:noWrap/>
            <w:vAlign w:val="center"/>
            <w:hideMark/>
          </w:tcPr>
          <w:p w14:paraId="1B1BC2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2FEEB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22 425,9</w:t>
            </w:r>
          </w:p>
        </w:tc>
      </w:tr>
      <w:tr w:rsidR="00761800" w:rsidRPr="00761800" w14:paraId="6C01C3A6"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vAlign w:val="bottom"/>
            <w:hideMark/>
          </w:tcPr>
          <w:p w14:paraId="73682A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000000" w:fill="FFFFFF"/>
            <w:noWrap/>
            <w:vAlign w:val="bottom"/>
            <w:hideMark/>
          </w:tcPr>
          <w:p w14:paraId="7E3FEE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5B2EB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646 423,2</w:t>
            </w:r>
          </w:p>
        </w:tc>
      </w:tr>
      <w:tr w:rsidR="00761800" w:rsidRPr="00761800" w14:paraId="740CDE6B" w14:textId="77777777" w:rsidTr="00406B4D">
        <w:trPr>
          <w:trHeight w:val="300"/>
        </w:trPr>
        <w:tc>
          <w:tcPr>
            <w:tcW w:w="1013" w:type="dxa"/>
            <w:tcBorders>
              <w:top w:val="nil"/>
              <w:left w:val="nil"/>
              <w:bottom w:val="nil"/>
              <w:right w:val="nil"/>
            </w:tcBorders>
            <w:shd w:val="clear" w:color="auto" w:fill="auto"/>
            <w:noWrap/>
            <w:vAlign w:val="bottom"/>
            <w:hideMark/>
          </w:tcPr>
          <w:p w14:paraId="1ABBA706"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C03646D"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19307BDF" w14:textId="77777777" w:rsidR="00761800" w:rsidRPr="00761800" w:rsidRDefault="00761800" w:rsidP="00761800">
            <w:pPr>
              <w:rPr>
                <w:rFonts w:ascii="Times New Roman" w:hAnsi="Times New Roman"/>
                <w:sz w:val="20"/>
                <w:lang w:eastAsia="bg-BG"/>
              </w:rPr>
            </w:pPr>
          </w:p>
        </w:tc>
      </w:tr>
      <w:tr w:rsidR="00761800" w:rsidRPr="00761800" w14:paraId="0303A850" w14:textId="77777777" w:rsidTr="00406B4D">
        <w:trPr>
          <w:trHeight w:val="638"/>
        </w:trPr>
        <w:tc>
          <w:tcPr>
            <w:tcW w:w="14253" w:type="dxa"/>
            <w:gridSpan w:val="3"/>
            <w:tcBorders>
              <w:top w:val="nil"/>
              <w:left w:val="nil"/>
              <w:bottom w:val="single" w:sz="4" w:space="0" w:color="auto"/>
              <w:right w:val="nil"/>
            </w:tcBorders>
            <w:shd w:val="clear" w:color="auto" w:fill="auto"/>
            <w:hideMark/>
          </w:tcPr>
          <w:p w14:paraId="2CBDA8D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здравеопазването, както следва:</w:t>
            </w:r>
          </w:p>
        </w:tc>
      </w:tr>
      <w:tr w:rsidR="00761800" w:rsidRPr="00761800" w14:paraId="71BDC4A7"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5CB4D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937E2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065B259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66673A9" w14:textId="77777777" w:rsidTr="00406B4D">
        <w:trPr>
          <w:trHeight w:val="289"/>
        </w:trPr>
        <w:tc>
          <w:tcPr>
            <w:tcW w:w="1013" w:type="dxa"/>
            <w:vMerge/>
            <w:tcBorders>
              <w:top w:val="nil"/>
              <w:left w:val="single" w:sz="4" w:space="0" w:color="auto"/>
              <w:bottom w:val="single" w:sz="4" w:space="0" w:color="000000"/>
              <w:right w:val="single" w:sz="4" w:space="0" w:color="auto"/>
            </w:tcBorders>
            <w:vAlign w:val="center"/>
            <w:hideMark/>
          </w:tcPr>
          <w:p w14:paraId="182E40B8"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417584AC"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546F8C4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A4142D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37006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BBF738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BFC6F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49D925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4AEA3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4ACFAE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C6408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323 778,7</w:t>
            </w:r>
          </w:p>
        </w:tc>
      </w:tr>
      <w:tr w:rsidR="00761800" w:rsidRPr="00761800" w14:paraId="1207E94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C03B6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65727F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748E4C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323 778,7</w:t>
            </w:r>
          </w:p>
        </w:tc>
      </w:tr>
      <w:tr w:rsidR="00761800" w:rsidRPr="00761800" w14:paraId="17CE4457" w14:textId="77777777" w:rsidTr="00406B4D">
        <w:trPr>
          <w:trHeight w:val="300"/>
        </w:trPr>
        <w:tc>
          <w:tcPr>
            <w:tcW w:w="1013" w:type="dxa"/>
            <w:tcBorders>
              <w:top w:val="nil"/>
              <w:left w:val="nil"/>
              <w:bottom w:val="nil"/>
              <w:right w:val="nil"/>
            </w:tcBorders>
            <w:shd w:val="clear" w:color="auto" w:fill="auto"/>
            <w:noWrap/>
            <w:vAlign w:val="bottom"/>
            <w:hideMark/>
          </w:tcPr>
          <w:p w14:paraId="548C69B5"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9C031B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4D3F7DE9" w14:textId="77777777" w:rsidR="00761800" w:rsidRPr="00761800" w:rsidRDefault="00761800" w:rsidP="00761800">
            <w:pPr>
              <w:rPr>
                <w:rFonts w:ascii="Times New Roman" w:hAnsi="Times New Roman"/>
                <w:sz w:val="20"/>
                <w:lang w:eastAsia="bg-BG"/>
              </w:rPr>
            </w:pPr>
          </w:p>
        </w:tc>
      </w:tr>
      <w:tr w:rsidR="00761800" w:rsidRPr="00761800" w14:paraId="7BB2F7E2" w14:textId="77777777" w:rsidTr="00406B4D">
        <w:trPr>
          <w:trHeight w:val="1189"/>
        </w:trPr>
        <w:tc>
          <w:tcPr>
            <w:tcW w:w="14253" w:type="dxa"/>
            <w:gridSpan w:val="3"/>
            <w:tcBorders>
              <w:top w:val="nil"/>
              <w:left w:val="nil"/>
              <w:bottom w:val="nil"/>
              <w:right w:val="nil"/>
            </w:tcBorders>
            <w:shd w:val="clear" w:color="auto" w:fill="auto"/>
            <w:hideMark/>
          </w:tcPr>
          <w:p w14:paraId="5F207846"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(4) Министерството на здравеопазването предоставя възмездно на държавни и общински лечебни заведения - търговски дружества, и на лечебни заведения - търговски дружества със смесено държавно и общинско участие в капитала, средства от Револвиращия инвестиционен фонд по проект „Реформа в здравния сектор - заем БУЛ 4565“ за закупуване през 2026 г. на медицинска апаратура и други дълготрайни активи въз основа на сключени договори за възстановяване на предоставените средства на месечни вноски.</w:t>
            </w:r>
          </w:p>
        </w:tc>
      </w:tr>
      <w:tr w:rsidR="00761800" w:rsidRPr="00761800" w14:paraId="7714EC8C" w14:textId="77777777" w:rsidTr="00406B4D">
        <w:trPr>
          <w:trHeight w:val="552"/>
        </w:trPr>
        <w:tc>
          <w:tcPr>
            <w:tcW w:w="14253" w:type="dxa"/>
            <w:gridSpan w:val="3"/>
            <w:tcBorders>
              <w:top w:val="nil"/>
              <w:left w:val="nil"/>
              <w:bottom w:val="nil"/>
              <w:right w:val="nil"/>
            </w:tcBorders>
            <w:shd w:val="clear" w:color="auto" w:fill="auto"/>
            <w:hideMark/>
          </w:tcPr>
          <w:p w14:paraId="1BDC8CDE"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 xml:space="preserve">(5) Предоставяните средства по реда на ал. 4 са до размера на възстановените и неизразходвани средства от минали години и текущо възстановяваните през 2026 г. постъпления по Револвиращия инвестиционен фонд по проект „Реформа в здравния сектор - заем БУЛ 4565“. </w:t>
            </w:r>
          </w:p>
        </w:tc>
      </w:tr>
      <w:tr w:rsidR="00761800" w:rsidRPr="00761800" w14:paraId="3E837EFD" w14:textId="77777777" w:rsidTr="00406B4D">
        <w:trPr>
          <w:trHeight w:val="300"/>
        </w:trPr>
        <w:tc>
          <w:tcPr>
            <w:tcW w:w="1013" w:type="dxa"/>
            <w:tcBorders>
              <w:top w:val="nil"/>
              <w:left w:val="nil"/>
              <w:bottom w:val="nil"/>
              <w:right w:val="nil"/>
            </w:tcBorders>
            <w:shd w:val="clear" w:color="auto" w:fill="auto"/>
            <w:vAlign w:val="bottom"/>
            <w:hideMark/>
          </w:tcPr>
          <w:p w14:paraId="78C3B722"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0755925C"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78DC8266" w14:textId="77777777" w:rsidR="00761800" w:rsidRPr="00761800" w:rsidRDefault="00761800" w:rsidP="00761800">
            <w:pPr>
              <w:rPr>
                <w:rFonts w:ascii="Times New Roman" w:hAnsi="Times New Roman"/>
                <w:sz w:val="20"/>
                <w:lang w:eastAsia="bg-BG"/>
              </w:rPr>
            </w:pPr>
          </w:p>
        </w:tc>
      </w:tr>
      <w:tr w:rsidR="00761800" w:rsidRPr="00761800" w14:paraId="2D9481AB" w14:textId="77777777" w:rsidTr="00406B4D">
        <w:trPr>
          <w:trHeight w:val="300"/>
        </w:trPr>
        <w:tc>
          <w:tcPr>
            <w:tcW w:w="14253" w:type="dxa"/>
            <w:gridSpan w:val="3"/>
            <w:tcBorders>
              <w:top w:val="nil"/>
              <w:left w:val="nil"/>
              <w:bottom w:val="nil"/>
              <w:right w:val="nil"/>
            </w:tcBorders>
            <w:shd w:val="clear" w:color="auto" w:fill="auto"/>
            <w:vAlign w:val="bottom"/>
            <w:hideMark/>
          </w:tcPr>
          <w:p w14:paraId="55AB742B"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16.</w:t>
            </w:r>
            <w:r w:rsidRPr="00761800">
              <w:rPr>
                <w:rFonts w:ascii="Times New Roman" w:hAnsi="Times New Roman"/>
                <w:color w:val="000000"/>
                <w:sz w:val="22"/>
                <w:szCs w:val="22"/>
                <w:lang w:eastAsia="bg-BG"/>
              </w:rPr>
              <w:t xml:space="preserve"> (1) Приема бюджета на Министерството на образованието и науката за 2026 г., както следва:</w:t>
            </w:r>
          </w:p>
        </w:tc>
      </w:tr>
      <w:tr w:rsidR="00761800" w:rsidRPr="00761800" w14:paraId="13C836B4" w14:textId="77777777" w:rsidTr="00406B4D">
        <w:trPr>
          <w:trHeight w:val="372"/>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53F541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98AB1F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38D9BA2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0A4A584"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2E74F84"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7EE2304C"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4663E06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669C76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76E611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0907D2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hideMark/>
          </w:tcPr>
          <w:p w14:paraId="721E7B3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746E90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31437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698EE0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95119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4 755,0</w:t>
            </w:r>
          </w:p>
        </w:tc>
      </w:tr>
      <w:tr w:rsidR="00761800" w:rsidRPr="00761800" w14:paraId="72175F9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666FF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w:t>
            </w:r>
          </w:p>
        </w:tc>
        <w:tc>
          <w:tcPr>
            <w:tcW w:w="11062" w:type="dxa"/>
            <w:tcBorders>
              <w:top w:val="nil"/>
              <w:left w:val="nil"/>
              <w:bottom w:val="single" w:sz="4" w:space="0" w:color="auto"/>
              <w:right w:val="nil"/>
            </w:tcBorders>
            <w:shd w:val="clear" w:color="auto" w:fill="auto"/>
            <w:noWrap/>
            <w:vAlign w:val="bottom"/>
            <w:hideMark/>
          </w:tcPr>
          <w:p w14:paraId="1870F74E"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0CC20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4 499,4</w:t>
            </w:r>
          </w:p>
        </w:tc>
      </w:tr>
      <w:tr w:rsidR="00761800" w:rsidRPr="00761800" w14:paraId="5BCAF6D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5BBE3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4051B6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2F994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447,4</w:t>
            </w:r>
          </w:p>
        </w:tc>
      </w:tr>
      <w:tr w:rsidR="00761800" w:rsidRPr="00761800" w14:paraId="2A23FDB5"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146C5F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1C88A5B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1490A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4 427,6</w:t>
            </w:r>
          </w:p>
        </w:tc>
      </w:tr>
      <w:tr w:rsidR="00761800" w:rsidRPr="00761800" w14:paraId="3F9A0E8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1C8C7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4E90821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8DBB4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w:t>
            </w:r>
          </w:p>
        </w:tc>
      </w:tr>
      <w:tr w:rsidR="00761800" w:rsidRPr="00761800" w14:paraId="5BFE1EF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42D63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2C3FF6E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CEEB0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-393,5</w:t>
            </w:r>
          </w:p>
        </w:tc>
      </w:tr>
      <w:tr w:rsidR="00761800" w:rsidRPr="00761800" w14:paraId="11F32A8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EF5E1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79E4AF5E"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5289B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255,6</w:t>
            </w:r>
          </w:p>
        </w:tc>
      </w:tr>
      <w:tr w:rsidR="00761800" w:rsidRPr="00761800" w14:paraId="660A0D1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8B2EC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4318C61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87330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758 408,4</w:t>
            </w:r>
          </w:p>
        </w:tc>
      </w:tr>
      <w:tr w:rsidR="00761800" w:rsidRPr="00761800" w14:paraId="29347C8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AA456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7D92EE8D"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8D688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722 334,1</w:t>
            </w:r>
          </w:p>
        </w:tc>
      </w:tr>
      <w:tr w:rsidR="00761800" w:rsidRPr="00761800" w14:paraId="533922E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D99F2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5FEBF9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90801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1F2D86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1FD02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72571CF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12FEBF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484 664,5</w:t>
            </w:r>
          </w:p>
        </w:tc>
      </w:tr>
      <w:tr w:rsidR="00761800" w:rsidRPr="00761800" w14:paraId="6C47DD2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C64494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1.1.1.</w:t>
            </w:r>
          </w:p>
        </w:tc>
        <w:tc>
          <w:tcPr>
            <w:tcW w:w="11062" w:type="dxa"/>
            <w:tcBorders>
              <w:top w:val="nil"/>
              <w:left w:val="nil"/>
              <w:bottom w:val="single" w:sz="4" w:space="0" w:color="auto"/>
              <w:right w:val="nil"/>
            </w:tcBorders>
            <w:shd w:val="clear" w:color="auto" w:fill="auto"/>
            <w:noWrap/>
            <w:vAlign w:val="bottom"/>
            <w:hideMark/>
          </w:tcPr>
          <w:p w14:paraId="5E5CC1B3"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      в т.ч.  Персонал без делегирани бюджети</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277FC8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37 432,7</w:t>
            </w:r>
          </w:p>
        </w:tc>
      </w:tr>
      <w:tr w:rsidR="00761800" w:rsidRPr="00761800" w14:paraId="527BA0B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BFB27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0D2F3A2D"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D787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10 346,7</w:t>
            </w:r>
          </w:p>
        </w:tc>
      </w:tr>
      <w:tr w:rsidR="00761800" w:rsidRPr="00761800" w14:paraId="5D7C278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BD1EC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6F7CA10F"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B3BBA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10 193,4</w:t>
            </w:r>
          </w:p>
        </w:tc>
      </w:tr>
      <w:tr w:rsidR="00761800" w:rsidRPr="00761800" w14:paraId="4FC3B12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04E9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w:t>
            </w:r>
          </w:p>
        </w:tc>
        <w:tc>
          <w:tcPr>
            <w:tcW w:w="11062" w:type="dxa"/>
            <w:tcBorders>
              <w:top w:val="nil"/>
              <w:left w:val="nil"/>
              <w:bottom w:val="single" w:sz="4" w:space="0" w:color="auto"/>
              <w:right w:val="nil"/>
            </w:tcBorders>
            <w:shd w:val="clear" w:color="auto" w:fill="auto"/>
            <w:noWrap/>
            <w:vAlign w:val="bottom"/>
            <w:hideMark/>
          </w:tcPr>
          <w:p w14:paraId="7A7E47E2"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998A3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153,3</w:t>
            </w:r>
          </w:p>
        </w:tc>
      </w:tr>
      <w:tr w:rsidR="00761800" w:rsidRPr="00761800" w14:paraId="44826F0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170AD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ABD7432"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11F9A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9AF973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AEA67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w:t>
            </w:r>
          </w:p>
        </w:tc>
        <w:tc>
          <w:tcPr>
            <w:tcW w:w="11062" w:type="dxa"/>
            <w:tcBorders>
              <w:top w:val="nil"/>
              <w:left w:val="nil"/>
              <w:bottom w:val="single" w:sz="4" w:space="0" w:color="auto"/>
              <w:right w:val="nil"/>
            </w:tcBorders>
            <w:shd w:val="clear" w:color="auto" w:fill="auto"/>
            <w:noWrap/>
            <w:vAlign w:val="bottom"/>
            <w:hideMark/>
          </w:tcPr>
          <w:p w14:paraId="6D9006BC"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Македонски научен институт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95F5794"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51,1</w:t>
            </w:r>
          </w:p>
        </w:tc>
      </w:tr>
      <w:tr w:rsidR="00761800" w:rsidRPr="00761800" w14:paraId="4C848C2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048F9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1.2.2.2.</w:t>
            </w:r>
          </w:p>
        </w:tc>
        <w:tc>
          <w:tcPr>
            <w:tcW w:w="11062" w:type="dxa"/>
            <w:tcBorders>
              <w:top w:val="nil"/>
              <w:left w:val="nil"/>
              <w:bottom w:val="single" w:sz="4" w:space="0" w:color="auto"/>
              <w:right w:val="nil"/>
            </w:tcBorders>
            <w:shd w:val="clear" w:color="auto" w:fill="auto"/>
            <w:noWrap/>
            <w:vAlign w:val="bottom"/>
            <w:hideMark/>
          </w:tcPr>
          <w:p w14:paraId="5A9DC831"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 xml:space="preserve">Добруджански научен институт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215E1CE"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51,1</w:t>
            </w:r>
          </w:p>
        </w:tc>
      </w:tr>
      <w:tr w:rsidR="00761800" w:rsidRPr="00761800" w14:paraId="6FB9AED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40198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1.2.2.3.</w:t>
            </w:r>
          </w:p>
        </w:tc>
        <w:tc>
          <w:tcPr>
            <w:tcW w:w="11062" w:type="dxa"/>
            <w:tcBorders>
              <w:top w:val="nil"/>
              <w:left w:val="nil"/>
              <w:bottom w:val="single" w:sz="4" w:space="0" w:color="auto"/>
              <w:right w:val="nil"/>
            </w:tcBorders>
            <w:shd w:val="clear" w:color="auto" w:fill="auto"/>
            <w:noWrap/>
            <w:vAlign w:val="bottom"/>
            <w:hideMark/>
          </w:tcPr>
          <w:p w14:paraId="1C4FA1C7"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 xml:space="preserve">Тракийски научен институт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5FE16B3"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51,1</w:t>
            </w:r>
          </w:p>
        </w:tc>
      </w:tr>
      <w:tr w:rsidR="00761800" w:rsidRPr="00761800" w14:paraId="72FB206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17531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47F7877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Текущи трансфери, обезщетения и помощи за домакинствата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E147C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w:t>
            </w:r>
          </w:p>
        </w:tc>
      </w:tr>
      <w:tr w:rsidR="00761800" w:rsidRPr="00761800" w14:paraId="1B0B979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1656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1F0E976E"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DD40D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29 141,2</w:t>
            </w:r>
          </w:p>
        </w:tc>
      </w:tr>
      <w:tr w:rsidR="00761800" w:rsidRPr="00761800" w14:paraId="613B8A3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6C2BC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17D0874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35E304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29 141,2</w:t>
            </w:r>
          </w:p>
        </w:tc>
      </w:tr>
      <w:tr w:rsidR="00761800" w:rsidRPr="00761800" w14:paraId="3A6E7AF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432D2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nil"/>
            </w:tcBorders>
            <w:shd w:val="clear" w:color="auto" w:fill="auto"/>
            <w:noWrap/>
            <w:vAlign w:val="bottom"/>
            <w:hideMark/>
          </w:tcPr>
          <w:p w14:paraId="6CD196BF"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Предоставени текущи и капиталови трансфери за чужбина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F910B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6 933,1</w:t>
            </w:r>
          </w:p>
        </w:tc>
      </w:tr>
      <w:tr w:rsidR="00761800" w:rsidRPr="00761800" w14:paraId="02FFBB8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B6FC0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4925A6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468C9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755 519,6</w:t>
            </w:r>
          </w:p>
        </w:tc>
      </w:tr>
      <w:tr w:rsidR="00761800" w:rsidRPr="00761800" w14:paraId="7117D02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CA36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13980F7C"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B96BE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1 550 953,7</w:t>
            </w:r>
          </w:p>
        </w:tc>
      </w:tr>
      <w:tr w:rsidR="00761800" w:rsidRPr="00761800" w14:paraId="42F2D63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99A42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6DFE1D67"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8BAD7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-792 877,6</w:t>
            </w:r>
          </w:p>
        </w:tc>
      </w:tr>
      <w:tr w:rsidR="00761800" w:rsidRPr="00761800" w14:paraId="34C1082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9108E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0B3FC5B2"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88FEE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-792 877,6</w:t>
            </w:r>
          </w:p>
        </w:tc>
      </w:tr>
      <w:tr w:rsidR="00761800" w:rsidRPr="00761800" w14:paraId="0C9D804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C6265D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2.1.1.</w:t>
            </w:r>
          </w:p>
        </w:tc>
        <w:tc>
          <w:tcPr>
            <w:tcW w:w="11062" w:type="dxa"/>
            <w:tcBorders>
              <w:top w:val="nil"/>
              <w:left w:val="nil"/>
              <w:bottom w:val="single" w:sz="4" w:space="0" w:color="auto"/>
              <w:right w:val="single" w:sz="4" w:space="0" w:color="auto"/>
            </w:tcBorders>
            <w:shd w:val="clear" w:color="auto" w:fill="auto"/>
            <w:noWrap/>
            <w:vAlign w:val="bottom"/>
            <w:hideMark/>
          </w:tcPr>
          <w:p w14:paraId="15EA6A6A"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 xml:space="preserve">в т.ч. за Българската академия на науките </w:t>
            </w:r>
          </w:p>
        </w:tc>
        <w:tc>
          <w:tcPr>
            <w:tcW w:w="2178" w:type="dxa"/>
            <w:tcBorders>
              <w:top w:val="nil"/>
              <w:left w:val="nil"/>
              <w:bottom w:val="single" w:sz="4" w:space="0" w:color="auto"/>
              <w:right w:val="single" w:sz="4" w:space="0" w:color="auto"/>
            </w:tcBorders>
            <w:shd w:val="clear" w:color="auto" w:fill="auto"/>
            <w:noWrap/>
            <w:vAlign w:val="bottom"/>
            <w:hideMark/>
          </w:tcPr>
          <w:p w14:paraId="5D010E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-131 577,7</w:t>
            </w:r>
          </w:p>
        </w:tc>
      </w:tr>
      <w:tr w:rsidR="00761800" w:rsidRPr="00761800" w14:paraId="7CBBD0F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14E234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2.1.2.</w:t>
            </w:r>
          </w:p>
        </w:tc>
        <w:tc>
          <w:tcPr>
            <w:tcW w:w="11062" w:type="dxa"/>
            <w:tcBorders>
              <w:top w:val="nil"/>
              <w:left w:val="nil"/>
              <w:bottom w:val="single" w:sz="4" w:space="0" w:color="auto"/>
              <w:right w:val="single" w:sz="4" w:space="0" w:color="auto"/>
            </w:tcBorders>
            <w:shd w:val="clear" w:color="auto" w:fill="auto"/>
            <w:noWrap/>
            <w:vAlign w:val="bottom"/>
            <w:hideMark/>
          </w:tcPr>
          <w:p w14:paraId="7DACBA60" w14:textId="77777777" w:rsidR="00761800" w:rsidRPr="00761800" w:rsidRDefault="00761800" w:rsidP="00761800">
            <w:pPr>
              <w:ind w:firstLineChars="700" w:firstLine="1540"/>
              <w:rPr>
                <w:rFonts w:ascii="Times New Roman" w:hAnsi="Times New Roman"/>
                <w:sz w:val="22"/>
                <w:szCs w:val="22"/>
                <w:lang w:eastAsia="bg-BG"/>
              </w:rPr>
            </w:pPr>
            <w:r w:rsidRPr="00761800">
              <w:rPr>
                <w:rFonts w:ascii="Times New Roman" w:hAnsi="Times New Roman"/>
                <w:sz w:val="22"/>
                <w:szCs w:val="22"/>
                <w:lang w:eastAsia="bg-BG"/>
              </w:rPr>
              <w:t xml:space="preserve">  за държавните висши училища </w:t>
            </w:r>
          </w:p>
        </w:tc>
        <w:tc>
          <w:tcPr>
            <w:tcW w:w="2178" w:type="dxa"/>
            <w:tcBorders>
              <w:top w:val="nil"/>
              <w:left w:val="nil"/>
              <w:bottom w:val="single" w:sz="4" w:space="0" w:color="auto"/>
              <w:right w:val="single" w:sz="4" w:space="0" w:color="auto"/>
            </w:tcBorders>
            <w:shd w:val="clear" w:color="auto" w:fill="auto"/>
            <w:noWrap/>
            <w:vAlign w:val="bottom"/>
            <w:hideMark/>
          </w:tcPr>
          <w:p w14:paraId="6676F5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-661 299,9</w:t>
            </w:r>
          </w:p>
        </w:tc>
      </w:tr>
      <w:tr w:rsidR="00761800" w:rsidRPr="00761800" w14:paraId="636F4AE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C4CEC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nil"/>
            </w:tcBorders>
            <w:shd w:val="clear" w:color="auto" w:fill="auto"/>
            <w:noWrap/>
            <w:vAlign w:val="bottom"/>
            <w:hideMark/>
          </w:tcPr>
          <w:p w14:paraId="3E1C90A7"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8E63A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-2 556,5</w:t>
            </w:r>
          </w:p>
        </w:tc>
      </w:tr>
      <w:tr w:rsidR="00761800" w:rsidRPr="00761800" w14:paraId="4FF8A95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F9A1B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3.1.</w:t>
            </w:r>
          </w:p>
        </w:tc>
        <w:tc>
          <w:tcPr>
            <w:tcW w:w="11062" w:type="dxa"/>
            <w:tcBorders>
              <w:top w:val="nil"/>
              <w:left w:val="nil"/>
              <w:bottom w:val="single" w:sz="4" w:space="0" w:color="auto"/>
              <w:right w:val="nil"/>
            </w:tcBorders>
            <w:shd w:val="clear" w:color="auto" w:fill="auto"/>
            <w:noWrap/>
            <w:vAlign w:val="bottom"/>
            <w:hideMark/>
          </w:tcPr>
          <w:p w14:paraId="16274A54"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C5B27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-2 556,5</w:t>
            </w:r>
          </w:p>
        </w:tc>
      </w:tr>
      <w:tr w:rsidR="00761800" w:rsidRPr="00761800" w14:paraId="780B8A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185BA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52500A4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A625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1 866,2</w:t>
            </w:r>
          </w:p>
        </w:tc>
      </w:tr>
      <w:tr w:rsidR="00761800" w:rsidRPr="00761800" w14:paraId="17B5AB7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DCAC1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166986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4F06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-1 866,2</w:t>
            </w:r>
          </w:p>
        </w:tc>
      </w:tr>
      <w:tr w:rsidR="00761800" w:rsidRPr="00761800" w14:paraId="43A099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F8076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single" w:sz="4" w:space="0" w:color="auto"/>
            </w:tcBorders>
            <w:shd w:val="clear" w:color="auto" w:fill="auto"/>
            <w:noWrap/>
            <w:hideMark/>
          </w:tcPr>
          <w:p w14:paraId="6E4F377C"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Плащания по активирани гаранции, поръчителства и преоформен държавен дълг (нето)</w:t>
            </w:r>
          </w:p>
        </w:tc>
        <w:tc>
          <w:tcPr>
            <w:tcW w:w="2178" w:type="dxa"/>
            <w:tcBorders>
              <w:top w:val="nil"/>
              <w:left w:val="nil"/>
              <w:bottom w:val="single" w:sz="4" w:space="0" w:color="auto"/>
              <w:right w:val="single" w:sz="4" w:space="0" w:color="auto"/>
            </w:tcBorders>
            <w:shd w:val="clear" w:color="auto" w:fill="auto"/>
            <w:noWrap/>
            <w:hideMark/>
          </w:tcPr>
          <w:p w14:paraId="70107D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-1 866,2</w:t>
            </w:r>
          </w:p>
        </w:tc>
      </w:tr>
      <w:tr w:rsidR="00761800" w:rsidRPr="00761800" w14:paraId="46975C96" w14:textId="77777777" w:rsidTr="00406B4D">
        <w:trPr>
          <w:trHeight w:val="300"/>
        </w:trPr>
        <w:tc>
          <w:tcPr>
            <w:tcW w:w="1013" w:type="dxa"/>
            <w:tcBorders>
              <w:top w:val="nil"/>
              <w:left w:val="nil"/>
              <w:bottom w:val="nil"/>
              <w:right w:val="nil"/>
            </w:tcBorders>
            <w:shd w:val="clear" w:color="auto" w:fill="auto"/>
            <w:noWrap/>
            <w:vAlign w:val="bottom"/>
            <w:hideMark/>
          </w:tcPr>
          <w:p w14:paraId="033ADED8"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483C31D"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4DE0DD51" w14:textId="77777777" w:rsidR="00761800" w:rsidRPr="00761800" w:rsidRDefault="00761800" w:rsidP="00761800">
            <w:pPr>
              <w:rPr>
                <w:rFonts w:ascii="Times New Roman" w:hAnsi="Times New Roman"/>
                <w:sz w:val="20"/>
                <w:lang w:eastAsia="bg-BG"/>
              </w:rPr>
            </w:pPr>
          </w:p>
        </w:tc>
      </w:tr>
      <w:tr w:rsidR="00761800" w:rsidRPr="00761800" w14:paraId="02644E80" w14:textId="77777777" w:rsidTr="00406B4D">
        <w:trPr>
          <w:trHeight w:val="300"/>
        </w:trPr>
        <w:tc>
          <w:tcPr>
            <w:tcW w:w="14253" w:type="dxa"/>
            <w:gridSpan w:val="3"/>
            <w:tcBorders>
              <w:top w:val="nil"/>
              <w:left w:val="nil"/>
              <w:bottom w:val="single" w:sz="4" w:space="0" w:color="auto"/>
              <w:right w:val="nil"/>
            </w:tcBorders>
            <w:shd w:val="clear" w:color="auto" w:fill="auto"/>
            <w:hideMark/>
          </w:tcPr>
          <w:p w14:paraId="37C7AD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2A155A1B" w14:textId="77777777" w:rsidTr="00406B4D">
        <w:trPr>
          <w:trHeight w:val="289"/>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24259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C4032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50BAD1F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ED0A908"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02E76D5"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6191859F"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26C0001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ABCFBB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5F16B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9B9C8A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53F3C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4530F62"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0F1108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vAlign w:val="bottom"/>
            <w:hideMark/>
          </w:tcPr>
          <w:p w14:paraId="1B7B18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всеобхватното, достъпно и качествено предучилищно и училищно образование. Учене през целия живот</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5C67C7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703 080,7</w:t>
            </w:r>
          </w:p>
        </w:tc>
      </w:tr>
      <w:tr w:rsidR="00761800" w:rsidRPr="00761800" w14:paraId="718AF503" w14:textId="77777777" w:rsidTr="00406B4D">
        <w:trPr>
          <w:trHeight w:val="321"/>
        </w:trPr>
        <w:tc>
          <w:tcPr>
            <w:tcW w:w="1013" w:type="dxa"/>
            <w:tcBorders>
              <w:top w:val="nil"/>
              <w:left w:val="single" w:sz="4" w:space="0" w:color="auto"/>
              <w:bottom w:val="single" w:sz="4" w:space="0" w:color="auto"/>
              <w:right w:val="single" w:sz="4" w:space="0" w:color="auto"/>
            </w:tcBorders>
            <w:shd w:val="clear" w:color="auto" w:fill="auto"/>
            <w:noWrap/>
            <w:hideMark/>
          </w:tcPr>
          <w:p w14:paraId="5181DA1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vAlign w:val="bottom"/>
            <w:hideMark/>
          </w:tcPr>
          <w:p w14:paraId="7D99C7F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равен достъп до качествено висше образование и развитие на научния потенциал</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F98BC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48 541,0</w:t>
            </w:r>
          </w:p>
        </w:tc>
      </w:tr>
      <w:tr w:rsidR="00761800" w:rsidRPr="00761800" w14:paraId="1125EDFE" w14:textId="77777777" w:rsidTr="00406B4D">
        <w:trPr>
          <w:trHeight w:val="128"/>
        </w:trPr>
        <w:tc>
          <w:tcPr>
            <w:tcW w:w="1013" w:type="dxa"/>
            <w:tcBorders>
              <w:top w:val="nil"/>
              <w:left w:val="single" w:sz="4" w:space="0" w:color="auto"/>
              <w:bottom w:val="single" w:sz="4" w:space="0" w:color="auto"/>
              <w:right w:val="single" w:sz="4" w:space="0" w:color="auto"/>
            </w:tcBorders>
            <w:shd w:val="clear" w:color="auto" w:fill="auto"/>
            <w:noWrap/>
            <w:hideMark/>
          </w:tcPr>
          <w:p w14:paraId="7AE66E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noWrap/>
            <w:vAlign w:val="bottom"/>
            <w:hideMark/>
          </w:tcPr>
          <w:p w14:paraId="75365C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187C8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6 786,7</w:t>
            </w:r>
          </w:p>
        </w:tc>
      </w:tr>
      <w:tr w:rsidR="00761800" w:rsidRPr="00761800" w14:paraId="12F607A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727ED2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1C207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B9735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758 408,4</w:t>
            </w:r>
          </w:p>
        </w:tc>
      </w:tr>
      <w:tr w:rsidR="00761800" w:rsidRPr="00761800" w14:paraId="0C23BA3A" w14:textId="77777777" w:rsidTr="00406B4D">
        <w:trPr>
          <w:trHeight w:val="300"/>
        </w:trPr>
        <w:tc>
          <w:tcPr>
            <w:tcW w:w="1013" w:type="dxa"/>
            <w:tcBorders>
              <w:top w:val="nil"/>
              <w:left w:val="nil"/>
              <w:bottom w:val="nil"/>
              <w:right w:val="nil"/>
            </w:tcBorders>
            <w:shd w:val="clear" w:color="auto" w:fill="auto"/>
            <w:noWrap/>
            <w:vAlign w:val="bottom"/>
            <w:hideMark/>
          </w:tcPr>
          <w:p w14:paraId="038F6F27"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0A7DF78"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3334D031" w14:textId="77777777" w:rsidR="00761800" w:rsidRPr="00761800" w:rsidRDefault="00761800" w:rsidP="00761800">
            <w:pPr>
              <w:rPr>
                <w:rFonts w:ascii="Times New Roman" w:hAnsi="Times New Roman"/>
                <w:sz w:val="20"/>
                <w:lang w:eastAsia="bg-BG"/>
              </w:rPr>
            </w:pPr>
          </w:p>
        </w:tc>
      </w:tr>
      <w:tr w:rsidR="00761800" w:rsidRPr="00761800" w14:paraId="4BFEB777" w14:textId="77777777" w:rsidTr="00406B4D">
        <w:trPr>
          <w:trHeight w:val="852"/>
        </w:trPr>
        <w:tc>
          <w:tcPr>
            <w:tcW w:w="14253" w:type="dxa"/>
            <w:gridSpan w:val="3"/>
            <w:tcBorders>
              <w:top w:val="nil"/>
              <w:left w:val="nil"/>
              <w:bottom w:val="single" w:sz="4" w:space="0" w:color="auto"/>
              <w:right w:val="nil"/>
            </w:tcBorders>
            <w:shd w:val="clear" w:color="auto" w:fill="auto"/>
            <w:hideMark/>
          </w:tcPr>
          <w:p w14:paraId="51ABEF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образованието и науката, както следва:</w:t>
            </w:r>
          </w:p>
        </w:tc>
      </w:tr>
      <w:tr w:rsidR="00761800" w:rsidRPr="00761800" w14:paraId="19D3E1F9"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D11FB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BB180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1E96CA1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4A0F791" w14:textId="77777777" w:rsidTr="00406B4D">
        <w:trPr>
          <w:trHeight w:val="312"/>
        </w:trPr>
        <w:tc>
          <w:tcPr>
            <w:tcW w:w="1013" w:type="dxa"/>
            <w:vMerge/>
            <w:tcBorders>
              <w:top w:val="nil"/>
              <w:left w:val="single" w:sz="4" w:space="0" w:color="auto"/>
              <w:bottom w:val="single" w:sz="4" w:space="0" w:color="000000"/>
              <w:right w:val="single" w:sz="4" w:space="0" w:color="auto"/>
            </w:tcBorders>
            <w:vAlign w:val="center"/>
            <w:hideMark/>
          </w:tcPr>
          <w:p w14:paraId="7090CC78"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7E010E9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09992EB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DE89F8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E4669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E4ABFC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4AAF79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C7DD38D"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503D42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592D32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60081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273 003,6</w:t>
            </w:r>
          </w:p>
        </w:tc>
      </w:tr>
      <w:tr w:rsidR="00761800" w:rsidRPr="00761800" w14:paraId="14AED68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229A2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6243B1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9EDD9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290 081,6</w:t>
            </w:r>
          </w:p>
        </w:tc>
      </w:tr>
      <w:tr w:rsidR="00761800" w:rsidRPr="00761800" w14:paraId="298C6F7D" w14:textId="77777777" w:rsidTr="00406B4D">
        <w:trPr>
          <w:trHeight w:val="300"/>
        </w:trPr>
        <w:tc>
          <w:tcPr>
            <w:tcW w:w="1013" w:type="dxa"/>
            <w:tcBorders>
              <w:top w:val="nil"/>
              <w:left w:val="nil"/>
              <w:bottom w:val="nil"/>
              <w:right w:val="nil"/>
            </w:tcBorders>
            <w:shd w:val="clear" w:color="auto" w:fill="auto"/>
            <w:noWrap/>
            <w:hideMark/>
          </w:tcPr>
          <w:p w14:paraId="126893DF"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50FD868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291F1C46" w14:textId="77777777" w:rsidR="00761800" w:rsidRPr="00761800" w:rsidRDefault="00761800" w:rsidP="00761800">
            <w:pPr>
              <w:rPr>
                <w:rFonts w:ascii="Times New Roman" w:hAnsi="Times New Roman"/>
                <w:sz w:val="20"/>
                <w:lang w:eastAsia="bg-BG"/>
              </w:rPr>
            </w:pPr>
          </w:p>
        </w:tc>
      </w:tr>
      <w:tr w:rsidR="00761800" w:rsidRPr="00761800" w14:paraId="42EF5BEA" w14:textId="77777777" w:rsidTr="00406B4D">
        <w:trPr>
          <w:trHeight w:val="623"/>
        </w:trPr>
        <w:tc>
          <w:tcPr>
            <w:tcW w:w="14253" w:type="dxa"/>
            <w:gridSpan w:val="3"/>
            <w:tcBorders>
              <w:top w:val="nil"/>
              <w:left w:val="nil"/>
              <w:bottom w:val="nil"/>
              <w:right w:val="nil"/>
            </w:tcBorders>
            <w:shd w:val="clear" w:color="auto" w:fill="auto"/>
            <w:hideMark/>
          </w:tcPr>
          <w:p w14:paraId="0B9DE1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(4) Определя трансферите от бюджета на Министерството на образованието и науката за Българската академия на науките и за държавните висши училища, както следва:</w:t>
            </w:r>
          </w:p>
        </w:tc>
      </w:tr>
      <w:tr w:rsidR="00761800" w:rsidRPr="00761800" w14:paraId="26A9A114"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3A5FE6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21E239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w:t>
            </w:r>
          </w:p>
        </w:tc>
        <w:tc>
          <w:tcPr>
            <w:tcW w:w="2178" w:type="dxa"/>
            <w:tcBorders>
              <w:top w:val="single" w:sz="4" w:space="0" w:color="auto"/>
              <w:left w:val="nil"/>
              <w:bottom w:val="nil"/>
              <w:right w:val="single" w:sz="4" w:space="0" w:color="auto"/>
            </w:tcBorders>
            <w:shd w:val="clear" w:color="auto" w:fill="auto"/>
            <w:noWrap/>
            <w:vAlign w:val="bottom"/>
            <w:hideMark/>
          </w:tcPr>
          <w:p w14:paraId="194928A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74A1A7F" w14:textId="77777777" w:rsidTr="00406B4D">
        <w:trPr>
          <w:trHeight w:val="312"/>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54955342"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7FA7E06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66585F3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28FBEE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0E75F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74AFB7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29D2B3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954C9D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9BD9F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1.</w:t>
            </w:r>
          </w:p>
        </w:tc>
        <w:tc>
          <w:tcPr>
            <w:tcW w:w="11062" w:type="dxa"/>
            <w:tcBorders>
              <w:top w:val="nil"/>
              <w:left w:val="nil"/>
              <w:bottom w:val="single" w:sz="4" w:space="0" w:color="auto"/>
              <w:right w:val="single" w:sz="4" w:space="0" w:color="auto"/>
            </w:tcBorders>
            <w:shd w:val="clear" w:color="auto" w:fill="auto"/>
            <w:noWrap/>
            <w:hideMark/>
          </w:tcPr>
          <w:p w14:paraId="1906CDF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Българска академия на науките</w:t>
            </w:r>
          </w:p>
        </w:tc>
        <w:tc>
          <w:tcPr>
            <w:tcW w:w="2178" w:type="dxa"/>
            <w:tcBorders>
              <w:top w:val="nil"/>
              <w:left w:val="nil"/>
              <w:bottom w:val="single" w:sz="4" w:space="0" w:color="auto"/>
              <w:right w:val="single" w:sz="4" w:space="0" w:color="auto"/>
            </w:tcBorders>
            <w:shd w:val="clear" w:color="auto" w:fill="auto"/>
            <w:hideMark/>
          </w:tcPr>
          <w:p w14:paraId="3517B3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131 577,7</w:t>
            </w:r>
          </w:p>
        </w:tc>
      </w:tr>
      <w:tr w:rsidR="00761800" w:rsidRPr="00761800" w14:paraId="794CE34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4D111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single" w:sz="4" w:space="0" w:color="auto"/>
            </w:tcBorders>
            <w:shd w:val="clear" w:color="auto" w:fill="auto"/>
            <w:noWrap/>
            <w:hideMark/>
          </w:tcPr>
          <w:p w14:paraId="138DE3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Технически университет – София</w:t>
            </w:r>
          </w:p>
        </w:tc>
        <w:tc>
          <w:tcPr>
            <w:tcW w:w="2178" w:type="dxa"/>
            <w:tcBorders>
              <w:top w:val="nil"/>
              <w:left w:val="nil"/>
              <w:bottom w:val="single" w:sz="4" w:space="0" w:color="auto"/>
              <w:right w:val="single" w:sz="4" w:space="0" w:color="auto"/>
            </w:tcBorders>
            <w:shd w:val="clear" w:color="auto" w:fill="auto"/>
            <w:hideMark/>
          </w:tcPr>
          <w:p w14:paraId="4562C5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79 996,9</w:t>
            </w:r>
          </w:p>
        </w:tc>
      </w:tr>
      <w:tr w:rsidR="00761800" w:rsidRPr="00761800" w14:paraId="30ADC82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5B920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single" w:sz="4" w:space="0" w:color="auto"/>
            </w:tcBorders>
            <w:shd w:val="clear" w:color="auto" w:fill="auto"/>
            <w:noWrap/>
            <w:hideMark/>
          </w:tcPr>
          <w:p w14:paraId="7A2077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Технически университет – Варна</w:t>
            </w:r>
          </w:p>
        </w:tc>
        <w:tc>
          <w:tcPr>
            <w:tcW w:w="2178" w:type="dxa"/>
            <w:tcBorders>
              <w:top w:val="nil"/>
              <w:left w:val="nil"/>
              <w:bottom w:val="single" w:sz="4" w:space="0" w:color="auto"/>
              <w:right w:val="single" w:sz="4" w:space="0" w:color="auto"/>
            </w:tcBorders>
            <w:shd w:val="clear" w:color="auto" w:fill="auto"/>
            <w:hideMark/>
          </w:tcPr>
          <w:p w14:paraId="4A8378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16 376,5</w:t>
            </w:r>
          </w:p>
        </w:tc>
      </w:tr>
      <w:tr w:rsidR="00761800" w:rsidRPr="00761800" w14:paraId="0FA7431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5E357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4.</w:t>
            </w:r>
          </w:p>
        </w:tc>
        <w:tc>
          <w:tcPr>
            <w:tcW w:w="11062" w:type="dxa"/>
            <w:tcBorders>
              <w:top w:val="nil"/>
              <w:left w:val="nil"/>
              <w:bottom w:val="single" w:sz="4" w:space="0" w:color="auto"/>
              <w:right w:val="single" w:sz="4" w:space="0" w:color="auto"/>
            </w:tcBorders>
            <w:shd w:val="clear" w:color="auto" w:fill="auto"/>
            <w:noWrap/>
            <w:hideMark/>
          </w:tcPr>
          <w:p w14:paraId="4DAF2D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Технически университет – Габрово</w:t>
            </w:r>
          </w:p>
        </w:tc>
        <w:tc>
          <w:tcPr>
            <w:tcW w:w="2178" w:type="dxa"/>
            <w:tcBorders>
              <w:top w:val="nil"/>
              <w:left w:val="nil"/>
              <w:bottom w:val="single" w:sz="4" w:space="0" w:color="auto"/>
              <w:right w:val="single" w:sz="4" w:space="0" w:color="auto"/>
            </w:tcBorders>
            <w:shd w:val="clear" w:color="auto" w:fill="auto"/>
            <w:hideMark/>
          </w:tcPr>
          <w:p w14:paraId="5481B9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7 415,8</w:t>
            </w:r>
          </w:p>
        </w:tc>
      </w:tr>
      <w:tr w:rsidR="00761800" w:rsidRPr="00761800" w14:paraId="5680257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EC65E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5.</w:t>
            </w:r>
          </w:p>
        </w:tc>
        <w:tc>
          <w:tcPr>
            <w:tcW w:w="11062" w:type="dxa"/>
            <w:tcBorders>
              <w:top w:val="nil"/>
              <w:left w:val="nil"/>
              <w:bottom w:val="single" w:sz="4" w:space="0" w:color="auto"/>
              <w:right w:val="single" w:sz="4" w:space="0" w:color="auto"/>
            </w:tcBorders>
            <w:shd w:val="clear" w:color="auto" w:fill="auto"/>
            <w:noWrap/>
            <w:hideMark/>
          </w:tcPr>
          <w:p w14:paraId="3B1664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Русенски университет „Ангел Кънчев“</w:t>
            </w:r>
          </w:p>
        </w:tc>
        <w:tc>
          <w:tcPr>
            <w:tcW w:w="2178" w:type="dxa"/>
            <w:tcBorders>
              <w:top w:val="nil"/>
              <w:left w:val="nil"/>
              <w:bottom w:val="single" w:sz="4" w:space="0" w:color="auto"/>
              <w:right w:val="single" w:sz="4" w:space="0" w:color="auto"/>
            </w:tcBorders>
            <w:shd w:val="clear" w:color="auto" w:fill="auto"/>
            <w:hideMark/>
          </w:tcPr>
          <w:p w14:paraId="650D9E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20 511,4</w:t>
            </w:r>
          </w:p>
        </w:tc>
      </w:tr>
      <w:tr w:rsidR="00761800" w:rsidRPr="00761800" w14:paraId="064951A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D2AAA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6.</w:t>
            </w:r>
          </w:p>
        </w:tc>
        <w:tc>
          <w:tcPr>
            <w:tcW w:w="11062" w:type="dxa"/>
            <w:tcBorders>
              <w:top w:val="nil"/>
              <w:left w:val="nil"/>
              <w:bottom w:val="single" w:sz="4" w:space="0" w:color="auto"/>
              <w:right w:val="single" w:sz="4" w:space="0" w:color="auto"/>
            </w:tcBorders>
            <w:shd w:val="clear" w:color="auto" w:fill="auto"/>
            <w:noWrap/>
            <w:hideMark/>
          </w:tcPr>
          <w:p w14:paraId="38CED5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Университет по хранителни технологии – Пловдив</w:t>
            </w:r>
          </w:p>
        </w:tc>
        <w:tc>
          <w:tcPr>
            <w:tcW w:w="2178" w:type="dxa"/>
            <w:tcBorders>
              <w:top w:val="nil"/>
              <w:left w:val="nil"/>
              <w:bottom w:val="single" w:sz="4" w:space="0" w:color="auto"/>
              <w:right w:val="single" w:sz="4" w:space="0" w:color="auto"/>
            </w:tcBorders>
            <w:shd w:val="clear" w:color="auto" w:fill="auto"/>
            <w:hideMark/>
          </w:tcPr>
          <w:p w14:paraId="71EF59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7 927,9</w:t>
            </w:r>
          </w:p>
        </w:tc>
      </w:tr>
      <w:tr w:rsidR="00761800" w:rsidRPr="00761800" w14:paraId="3E70965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CE38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7.</w:t>
            </w:r>
          </w:p>
        </w:tc>
        <w:tc>
          <w:tcPr>
            <w:tcW w:w="11062" w:type="dxa"/>
            <w:tcBorders>
              <w:top w:val="nil"/>
              <w:left w:val="nil"/>
              <w:bottom w:val="single" w:sz="4" w:space="0" w:color="auto"/>
              <w:right w:val="single" w:sz="4" w:space="0" w:color="auto"/>
            </w:tcBorders>
            <w:shd w:val="clear" w:color="auto" w:fill="auto"/>
            <w:noWrap/>
            <w:hideMark/>
          </w:tcPr>
          <w:p w14:paraId="135B6A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Химикотехнологичен и металургичен университет – София</w:t>
            </w:r>
          </w:p>
        </w:tc>
        <w:tc>
          <w:tcPr>
            <w:tcW w:w="2178" w:type="dxa"/>
            <w:tcBorders>
              <w:top w:val="nil"/>
              <w:left w:val="nil"/>
              <w:bottom w:val="single" w:sz="4" w:space="0" w:color="auto"/>
              <w:right w:val="single" w:sz="4" w:space="0" w:color="auto"/>
            </w:tcBorders>
            <w:shd w:val="clear" w:color="auto" w:fill="auto"/>
            <w:hideMark/>
          </w:tcPr>
          <w:p w14:paraId="350290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11 075,0</w:t>
            </w:r>
          </w:p>
        </w:tc>
      </w:tr>
      <w:tr w:rsidR="00761800" w:rsidRPr="00761800" w14:paraId="37A2931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04554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8.</w:t>
            </w:r>
          </w:p>
        </w:tc>
        <w:tc>
          <w:tcPr>
            <w:tcW w:w="11062" w:type="dxa"/>
            <w:tcBorders>
              <w:top w:val="nil"/>
              <w:left w:val="nil"/>
              <w:bottom w:val="single" w:sz="4" w:space="0" w:color="auto"/>
              <w:right w:val="single" w:sz="4" w:space="0" w:color="auto"/>
            </w:tcBorders>
            <w:shd w:val="clear" w:color="auto" w:fill="auto"/>
            <w:noWrap/>
            <w:hideMark/>
          </w:tcPr>
          <w:p w14:paraId="7EC800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Бургаски държавен университет „Проф. д-р Асен Златаров“</w:t>
            </w:r>
          </w:p>
        </w:tc>
        <w:tc>
          <w:tcPr>
            <w:tcW w:w="2178" w:type="dxa"/>
            <w:tcBorders>
              <w:top w:val="nil"/>
              <w:left w:val="nil"/>
              <w:bottom w:val="single" w:sz="4" w:space="0" w:color="auto"/>
              <w:right w:val="single" w:sz="4" w:space="0" w:color="auto"/>
            </w:tcBorders>
            <w:shd w:val="clear" w:color="auto" w:fill="auto"/>
            <w:hideMark/>
          </w:tcPr>
          <w:p w14:paraId="59CA0E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8 833,3</w:t>
            </w:r>
          </w:p>
        </w:tc>
      </w:tr>
      <w:tr w:rsidR="00761800" w:rsidRPr="00761800" w14:paraId="1E86DA6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2F0A2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9.</w:t>
            </w:r>
          </w:p>
        </w:tc>
        <w:tc>
          <w:tcPr>
            <w:tcW w:w="11062" w:type="dxa"/>
            <w:tcBorders>
              <w:top w:val="nil"/>
              <w:left w:val="nil"/>
              <w:bottom w:val="single" w:sz="4" w:space="0" w:color="auto"/>
              <w:right w:val="single" w:sz="4" w:space="0" w:color="auto"/>
            </w:tcBorders>
            <w:shd w:val="clear" w:color="auto" w:fill="auto"/>
            <w:noWrap/>
            <w:hideMark/>
          </w:tcPr>
          <w:p w14:paraId="14A38CF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Лесотехнически университет – София</w:t>
            </w:r>
          </w:p>
        </w:tc>
        <w:tc>
          <w:tcPr>
            <w:tcW w:w="2178" w:type="dxa"/>
            <w:tcBorders>
              <w:top w:val="nil"/>
              <w:left w:val="nil"/>
              <w:bottom w:val="single" w:sz="4" w:space="0" w:color="auto"/>
              <w:right w:val="single" w:sz="4" w:space="0" w:color="auto"/>
            </w:tcBorders>
            <w:shd w:val="clear" w:color="auto" w:fill="auto"/>
            <w:hideMark/>
          </w:tcPr>
          <w:p w14:paraId="616298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11 147,0</w:t>
            </w:r>
          </w:p>
        </w:tc>
      </w:tr>
      <w:tr w:rsidR="00761800" w:rsidRPr="00761800" w14:paraId="71E231E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67510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10.</w:t>
            </w:r>
          </w:p>
        </w:tc>
        <w:tc>
          <w:tcPr>
            <w:tcW w:w="11062" w:type="dxa"/>
            <w:tcBorders>
              <w:top w:val="nil"/>
              <w:left w:val="nil"/>
              <w:bottom w:val="single" w:sz="4" w:space="0" w:color="auto"/>
              <w:right w:val="single" w:sz="4" w:space="0" w:color="auto"/>
            </w:tcBorders>
            <w:shd w:val="clear" w:color="auto" w:fill="auto"/>
            <w:noWrap/>
            <w:hideMark/>
          </w:tcPr>
          <w:p w14:paraId="43F7DD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Университет по архитектура, строителство и геодезия – София</w:t>
            </w:r>
          </w:p>
        </w:tc>
        <w:tc>
          <w:tcPr>
            <w:tcW w:w="2178" w:type="dxa"/>
            <w:tcBorders>
              <w:top w:val="nil"/>
              <w:left w:val="nil"/>
              <w:bottom w:val="single" w:sz="4" w:space="0" w:color="auto"/>
              <w:right w:val="single" w:sz="4" w:space="0" w:color="auto"/>
            </w:tcBorders>
            <w:shd w:val="clear" w:color="auto" w:fill="auto"/>
            <w:hideMark/>
          </w:tcPr>
          <w:p w14:paraId="16FC8E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24 194,5</w:t>
            </w:r>
          </w:p>
        </w:tc>
      </w:tr>
      <w:tr w:rsidR="00761800" w:rsidRPr="00761800" w14:paraId="6A5321A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DA273E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11.</w:t>
            </w:r>
          </w:p>
        </w:tc>
        <w:tc>
          <w:tcPr>
            <w:tcW w:w="11062" w:type="dxa"/>
            <w:tcBorders>
              <w:top w:val="nil"/>
              <w:left w:val="nil"/>
              <w:bottom w:val="single" w:sz="4" w:space="0" w:color="auto"/>
              <w:right w:val="single" w:sz="4" w:space="0" w:color="auto"/>
            </w:tcBorders>
            <w:shd w:val="clear" w:color="auto" w:fill="auto"/>
            <w:noWrap/>
            <w:hideMark/>
          </w:tcPr>
          <w:p w14:paraId="2C45CCF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Минно-геоложки университет „Св. Иван Рилски“ – София</w:t>
            </w:r>
          </w:p>
        </w:tc>
        <w:tc>
          <w:tcPr>
            <w:tcW w:w="2178" w:type="dxa"/>
            <w:tcBorders>
              <w:top w:val="nil"/>
              <w:left w:val="nil"/>
              <w:bottom w:val="single" w:sz="4" w:space="0" w:color="auto"/>
              <w:right w:val="single" w:sz="4" w:space="0" w:color="auto"/>
            </w:tcBorders>
            <w:shd w:val="clear" w:color="auto" w:fill="auto"/>
            <w:hideMark/>
          </w:tcPr>
          <w:p w14:paraId="0CD534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6 347,1</w:t>
            </w:r>
          </w:p>
        </w:tc>
      </w:tr>
      <w:tr w:rsidR="00761800" w:rsidRPr="00761800" w14:paraId="7C366E5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23FA6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12.</w:t>
            </w:r>
          </w:p>
        </w:tc>
        <w:tc>
          <w:tcPr>
            <w:tcW w:w="11062" w:type="dxa"/>
            <w:tcBorders>
              <w:top w:val="nil"/>
              <w:left w:val="nil"/>
              <w:bottom w:val="single" w:sz="4" w:space="0" w:color="auto"/>
              <w:right w:val="single" w:sz="4" w:space="0" w:color="auto"/>
            </w:tcBorders>
            <w:shd w:val="clear" w:color="auto" w:fill="auto"/>
            <w:noWrap/>
            <w:hideMark/>
          </w:tcPr>
          <w:p w14:paraId="2ED95B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Университет за национално и световно стопанство – София</w:t>
            </w:r>
          </w:p>
        </w:tc>
        <w:tc>
          <w:tcPr>
            <w:tcW w:w="2178" w:type="dxa"/>
            <w:tcBorders>
              <w:top w:val="nil"/>
              <w:left w:val="nil"/>
              <w:bottom w:val="single" w:sz="4" w:space="0" w:color="auto"/>
              <w:right w:val="single" w:sz="4" w:space="0" w:color="auto"/>
            </w:tcBorders>
            <w:shd w:val="clear" w:color="auto" w:fill="auto"/>
            <w:hideMark/>
          </w:tcPr>
          <w:p w14:paraId="639593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32 085,9</w:t>
            </w:r>
          </w:p>
        </w:tc>
      </w:tr>
      <w:tr w:rsidR="00761800" w:rsidRPr="00761800" w14:paraId="300AE7D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F3441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13.</w:t>
            </w:r>
          </w:p>
        </w:tc>
        <w:tc>
          <w:tcPr>
            <w:tcW w:w="11062" w:type="dxa"/>
            <w:tcBorders>
              <w:top w:val="nil"/>
              <w:left w:val="nil"/>
              <w:bottom w:val="single" w:sz="4" w:space="0" w:color="auto"/>
              <w:right w:val="single" w:sz="4" w:space="0" w:color="auto"/>
            </w:tcBorders>
            <w:shd w:val="clear" w:color="auto" w:fill="auto"/>
            <w:noWrap/>
            <w:hideMark/>
          </w:tcPr>
          <w:p w14:paraId="22BCA8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Икономически университет – Варна</w:t>
            </w:r>
          </w:p>
        </w:tc>
        <w:tc>
          <w:tcPr>
            <w:tcW w:w="2178" w:type="dxa"/>
            <w:tcBorders>
              <w:top w:val="nil"/>
              <w:left w:val="nil"/>
              <w:bottom w:val="single" w:sz="4" w:space="0" w:color="auto"/>
              <w:right w:val="single" w:sz="4" w:space="0" w:color="auto"/>
            </w:tcBorders>
            <w:shd w:val="clear" w:color="auto" w:fill="auto"/>
            <w:hideMark/>
          </w:tcPr>
          <w:p w14:paraId="3AA6E7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10 773,6</w:t>
            </w:r>
          </w:p>
        </w:tc>
      </w:tr>
      <w:tr w:rsidR="00761800" w:rsidRPr="00761800" w14:paraId="7862966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D6D2FF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14.</w:t>
            </w:r>
          </w:p>
        </w:tc>
        <w:tc>
          <w:tcPr>
            <w:tcW w:w="11062" w:type="dxa"/>
            <w:tcBorders>
              <w:top w:val="nil"/>
              <w:left w:val="nil"/>
              <w:bottom w:val="single" w:sz="4" w:space="0" w:color="auto"/>
              <w:right w:val="single" w:sz="4" w:space="0" w:color="auto"/>
            </w:tcBorders>
            <w:shd w:val="clear" w:color="auto" w:fill="auto"/>
            <w:noWrap/>
            <w:hideMark/>
          </w:tcPr>
          <w:p w14:paraId="50D629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Стопанска академия „Димитър А. Ценов“ – Свищов</w:t>
            </w:r>
          </w:p>
        </w:tc>
        <w:tc>
          <w:tcPr>
            <w:tcW w:w="2178" w:type="dxa"/>
            <w:tcBorders>
              <w:top w:val="nil"/>
              <w:left w:val="nil"/>
              <w:bottom w:val="single" w:sz="4" w:space="0" w:color="auto"/>
              <w:right w:val="single" w:sz="4" w:space="0" w:color="auto"/>
            </w:tcBorders>
            <w:shd w:val="clear" w:color="auto" w:fill="auto"/>
            <w:hideMark/>
          </w:tcPr>
          <w:p w14:paraId="430380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6 076,8</w:t>
            </w:r>
          </w:p>
        </w:tc>
      </w:tr>
      <w:tr w:rsidR="00761800" w:rsidRPr="00761800" w14:paraId="1DA57BD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93118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15.</w:t>
            </w:r>
          </w:p>
        </w:tc>
        <w:tc>
          <w:tcPr>
            <w:tcW w:w="11062" w:type="dxa"/>
            <w:tcBorders>
              <w:top w:val="nil"/>
              <w:left w:val="nil"/>
              <w:bottom w:val="single" w:sz="4" w:space="0" w:color="auto"/>
              <w:right w:val="single" w:sz="4" w:space="0" w:color="auto"/>
            </w:tcBorders>
            <w:shd w:val="clear" w:color="auto" w:fill="auto"/>
            <w:noWrap/>
            <w:hideMark/>
          </w:tcPr>
          <w:p w14:paraId="6B87D4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Софийски университет „Св. Климент Охридски“</w:t>
            </w:r>
          </w:p>
        </w:tc>
        <w:tc>
          <w:tcPr>
            <w:tcW w:w="2178" w:type="dxa"/>
            <w:tcBorders>
              <w:top w:val="nil"/>
              <w:left w:val="nil"/>
              <w:bottom w:val="single" w:sz="4" w:space="0" w:color="auto"/>
              <w:right w:val="single" w:sz="4" w:space="0" w:color="auto"/>
            </w:tcBorders>
            <w:shd w:val="clear" w:color="auto" w:fill="auto"/>
            <w:hideMark/>
          </w:tcPr>
          <w:p w14:paraId="54E985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106 322,0</w:t>
            </w:r>
          </w:p>
        </w:tc>
      </w:tr>
      <w:tr w:rsidR="00761800" w:rsidRPr="00761800" w14:paraId="7BE7C38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8C9E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16.</w:t>
            </w:r>
          </w:p>
        </w:tc>
        <w:tc>
          <w:tcPr>
            <w:tcW w:w="11062" w:type="dxa"/>
            <w:tcBorders>
              <w:top w:val="nil"/>
              <w:left w:val="nil"/>
              <w:bottom w:val="single" w:sz="4" w:space="0" w:color="auto"/>
              <w:right w:val="single" w:sz="4" w:space="0" w:color="auto"/>
            </w:tcBorders>
            <w:shd w:val="clear" w:color="auto" w:fill="auto"/>
            <w:noWrap/>
            <w:hideMark/>
          </w:tcPr>
          <w:p w14:paraId="5DB130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Великотърновски университет „Св. св. Кирил и Методий“</w:t>
            </w:r>
          </w:p>
        </w:tc>
        <w:tc>
          <w:tcPr>
            <w:tcW w:w="2178" w:type="dxa"/>
            <w:tcBorders>
              <w:top w:val="nil"/>
              <w:left w:val="nil"/>
              <w:bottom w:val="single" w:sz="4" w:space="0" w:color="auto"/>
              <w:right w:val="single" w:sz="4" w:space="0" w:color="auto"/>
            </w:tcBorders>
            <w:shd w:val="clear" w:color="auto" w:fill="auto"/>
            <w:hideMark/>
          </w:tcPr>
          <w:p w14:paraId="71A5AC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20 211,7</w:t>
            </w:r>
          </w:p>
        </w:tc>
      </w:tr>
      <w:tr w:rsidR="00761800" w:rsidRPr="00761800" w14:paraId="77B7AA3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54524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17.</w:t>
            </w:r>
          </w:p>
        </w:tc>
        <w:tc>
          <w:tcPr>
            <w:tcW w:w="11062" w:type="dxa"/>
            <w:tcBorders>
              <w:top w:val="nil"/>
              <w:left w:val="nil"/>
              <w:bottom w:val="single" w:sz="4" w:space="0" w:color="auto"/>
              <w:right w:val="single" w:sz="4" w:space="0" w:color="auto"/>
            </w:tcBorders>
            <w:shd w:val="clear" w:color="auto" w:fill="auto"/>
            <w:noWrap/>
            <w:hideMark/>
          </w:tcPr>
          <w:p w14:paraId="48972D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Пловдивски университет „Паисий Хилендарски“</w:t>
            </w:r>
          </w:p>
        </w:tc>
        <w:tc>
          <w:tcPr>
            <w:tcW w:w="2178" w:type="dxa"/>
            <w:tcBorders>
              <w:top w:val="nil"/>
              <w:left w:val="nil"/>
              <w:bottom w:val="single" w:sz="4" w:space="0" w:color="auto"/>
              <w:right w:val="single" w:sz="4" w:space="0" w:color="auto"/>
            </w:tcBorders>
            <w:shd w:val="clear" w:color="auto" w:fill="auto"/>
            <w:hideMark/>
          </w:tcPr>
          <w:p w14:paraId="6AA930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38 557,3</w:t>
            </w:r>
          </w:p>
        </w:tc>
      </w:tr>
      <w:tr w:rsidR="00761800" w:rsidRPr="00761800" w14:paraId="55C1AEF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C0923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18.</w:t>
            </w:r>
          </w:p>
        </w:tc>
        <w:tc>
          <w:tcPr>
            <w:tcW w:w="11062" w:type="dxa"/>
            <w:tcBorders>
              <w:top w:val="nil"/>
              <w:left w:val="nil"/>
              <w:bottom w:val="single" w:sz="4" w:space="0" w:color="auto"/>
              <w:right w:val="single" w:sz="4" w:space="0" w:color="auto"/>
            </w:tcBorders>
            <w:shd w:val="clear" w:color="auto" w:fill="auto"/>
            <w:noWrap/>
            <w:hideMark/>
          </w:tcPr>
          <w:p w14:paraId="659EB9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Югозападен университет „Неофит Рилски“ – Благоевград</w:t>
            </w:r>
          </w:p>
        </w:tc>
        <w:tc>
          <w:tcPr>
            <w:tcW w:w="2178" w:type="dxa"/>
            <w:tcBorders>
              <w:top w:val="nil"/>
              <w:left w:val="nil"/>
              <w:bottom w:val="single" w:sz="4" w:space="0" w:color="auto"/>
              <w:right w:val="single" w:sz="4" w:space="0" w:color="auto"/>
            </w:tcBorders>
            <w:shd w:val="clear" w:color="auto" w:fill="auto"/>
            <w:hideMark/>
          </w:tcPr>
          <w:p w14:paraId="154D68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20 006,8</w:t>
            </w:r>
          </w:p>
        </w:tc>
      </w:tr>
      <w:tr w:rsidR="00761800" w:rsidRPr="00761800" w14:paraId="05DD24E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26219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19.</w:t>
            </w:r>
          </w:p>
        </w:tc>
        <w:tc>
          <w:tcPr>
            <w:tcW w:w="11062" w:type="dxa"/>
            <w:tcBorders>
              <w:top w:val="nil"/>
              <w:left w:val="nil"/>
              <w:bottom w:val="single" w:sz="4" w:space="0" w:color="auto"/>
              <w:right w:val="single" w:sz="4" w:space="0" w:color="auto"/>
            </w:tcBorders>
            <w:shd w:val="clear" w:color="auto" w:fill="auto"/>
            <w:noWrap/>
            <w:hideMark/>
          </w:tcPr>
          <w:p w14:paraId="087E6F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Шуменски университет „Епископ Константин Преславски“</w:t>
            </w:r>
          </w:p>
        </w:tc>
        <w:tc>
          <w:tcPr>
            <w:tcW w:w="2178" w:type="dxa"/>
            <w:tcBorders>
              <w:top w:val="nil"/>
              <w:left w:val="nil"/>
              <w:bottom w:val="single" w:sz="4" w:space="0" w:color="auto"/>
              <w:right w:val="single" w:sz="4" w:space="0" w:color="auto"/>
            </w:tcBorders>
            <w:shd w:val="clear" w:color="auto" w:fill="auto"/>
            <w:hideMark/>
          </w:tcPr>
          <w:p w14:paraId="757E35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13 947,0</w:t>
            </w:r>
          </w:p>
        </w:tc>
      </w:tr>
      <w:tr w:rsidR="00761800" w:rsidRPr="00761800" w14:paraId="6265BA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FDC48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20.</w:t>
            </w:r>
          </w:p>
        </w:tc>
        <w:tc>
          <w:tcPr>
            <w:tcW w:w="11062" w:type="dxa"/>
            <w:tcBorders>
              <w:top w:val="nil"/>
              <w:left w:val="nil"/>
              <w:bottom w:val="single" w:sz="4" w:space="0" w:color="auto"/>
              <w:right w:val="single" w:sz="4" w:space="0" w:color="auto"/>
            </w:tcBorders>
            <w:shd w:val="clear" w:color="auto" w:fill="auto"/>
            <w:noWrap/>
            <w:hideMark/>
          </w:tcPr>
          <w:p w14:paraId="10CB51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Национална спортна академия „Васил Левски“ – София</w:t>
            </w:r>
          </w:p>
        </w:tc>
        <w:tc>
          <w:tcPr>
            <w:tcW w:w="2178" w:type="dxa"/>
            <w:tcBorders>
              <w:top w:val="nil"/>
              <w:left w:val="nil"/>
              <w:bottom w:val="single" w:sz="4" w:space="0" w:color="auto"/>
              <w:right w:val="single" w:sz="4" w:space="0" w:color="auto"/>
            </w:tcBorders>
            <w:shd w:val="clear" w:color="auto" w:fill="auto"/>
            <w:hideMark/>
          </w:tcPr>
          <w:p w14:paraId="63056E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20 554,9</w:t>
            </w:r>
          </w:p>
        </w:tc>
      </w:tr>
      <w:tr w:rsidR="00761800" w:rsidRPr="00761800" w14:paraId="65D6C85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3BDCA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21.</w:t>
            </w:r>
          </w:p>
        </w:tc>
        <w:tc>
          <w:tcPr>
            <w:tcW w:w="11062" w:type="dxa"/>
            <w:tcBorders>
              <w:top w:val="nil"/>
              <w:left w:val="nil"/>
              <w:bottom w:val="single" w:sz="4" w:space="0" w:color="auto"/>
              <w:right w:val="single" w:sz="4" w:space="0" w:color="auto"/>
            </w:tcBorders>
            <w:shd w:val="clear" w:color="auto" w:fill="auto"/>
            <w:noWrap/>
            <w:hideMark/>
          </w:tcPr>
          <w:p w14:paraId="531849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Аграрен университет – Пловдив</w:t>
            </w:r>
          </w:p>
        </w:tc>
        <w:tc>
          <w:tcPr>
            <w:tcW w:w="2178" w:type="dxa"/>
            <w:tcBorders>
              <w:top w:val="nil"/>
              <w:left w:val="nil"/>
              <w:bottom w:val="single" w:sz="4" w:space="0" w:color="auto"/>
              <w:right w:val="single" w:sz="4" w:space="0" w:color="auto"/>
            </w:tcBorders>
            <w:shd w:val="clear" w:color="auto" w:fill="auto"/>
            <w:hideMark/>
          </w:tcPr>
          <w:p w14:paraId="65CC33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8 455,6</w:t>
            </w:r>
          </w:p>
        </w:tc>
      </w:tr>
      <w:tr w:rsidR="00761800" w:rsidRPr="00761800" w14:paraId="7ACE346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BD14E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22.</w:t>
            </w:r>
          </w:p>
        </w:tc>
        <w:tc>
          <w:tcPr>
            <w:tcW w:w="11062" w:type="dxa"/>
            <w:tcBorders>
              <w:top w:val="nil"/>
              <w:left w:val="nil"/>
              <w:bottom w:val="single" w:sz="4" w:space="0" w:color="auto"/>
              <w:right w:val="single" w:sz="4" w:space="0" w:color="auto"/>
            </w:tcBorders>
            <w:shd w:val="clear" w:color="auto" w:fill="auto"/>
            <w:noWrap/>
            <w:hideMark/>
          </w:tcPr>
          <w:p w14:paraId="27B9D5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Академия за музикално, танцово и изобразително изкуство „Проф. Асен Диамандиев“ – Пловдив</w:t>
            </w:r>
          </w:p>
        </w:tc>
        <w:tc>
          <w:tcPr>
            <w:tcW w:w="2178" w:type="dxa"/>
            <w:tcBorders>
              <w:top w:val="nil"/>
              <w:left w:val="nil"/>
              <w:bottom w:val="single" w:sz="4" w:space="0" w:color="auto"/>
              <w:right w:val="single" w:sz="4" w:space="0" w:color="auto"/>
            </w:tcBorders>
            <w:shd w:val="clear" w:color="auto" w:fill="auto"/>
            <w:hideMark/>
          </w:tcPr>
          <w:p w14:paraId="1F437A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4 589,0</w:t>
            </w:r>
          </w:p>
        </w:tc>
      </w:tr>
      <w:tr w:rsidR="00761800" w:rsidRPr="00761800" w14:paraId="33ADCF9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3BE0A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23.</w:t>
            </w:r>
          </w:p>
        </w:tc>
        <w:tc>
          <w:tcPr>
            <w:tcW w:w="11062" w:type="dxa"/>
            <w:tcBorders>
              <w:top w:val="nil"/>
              <w:left w:val="nil"/>
              <w:bottom w:val="single" w:sz="4" w:space="0" w:color="auto"/>
              <w:right w:val="single" w:sz="4" w:space="0" w:color="auto"/>
            </w:tcBorders>
            <w:shd w:val="clear" w:color="auto" w:fill="auto"/>
            <w:hideMark/>
          </w:tcPr>
          <w:p w14:paraId="3CB4D0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Национална академия за театрално и филмово изкуство „Кръстьо Сарафов“ – София</w:t>
            </w:r>
          </w:p>
        </w:tc>
        <w:tc>
          <w:tcPr>
            <w:tcW w:w="2178" w:type="dxa"/>
            <w:tcBorders>
              <w:top w:val="nil"/>
              <w:left w:val="nil"/>
              <w:bottom w:val="single" w:sz="4" w:space="0" w:color="auto"/>
              <w:right w:val="single" w:sz="4" w:space="0" w:color="auto"/>
            </w:tcBorders>
            <w:shd w:val="clear" w:color="auto" w:fill="auto"/>
            <w:hideMark/>
          </w:tcPr>
          <w:p w14:paraId="7FA338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6 138,8</w:t>
            </w:r>
          </w:p>
        </w:tc>
      </w:tr>
      <w:tr w:rsidR="00761800" w:rsidRPr="00761800" w14:paraId="19ED64B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E00A5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24.</w:t>
            </w:r>
          </w:p>
        </w:tc>
        <w:tc>
          <w:tcPr>
            <w:tcW w:w="11062" w:type="dxa"/>
            <w:tcBorders>
              <w:top w:val="nil"/>
              <w:left w:val="nil"/>
              <w:bottom w:val="single" w:sz="4" w:space="0" w:color="auto"/>
              <w:right w:val="single" w:sz="4" w:space="0" w:color="auto"/>
            </w:tcBorders>
            <w:shd w:val="clear" w:color="auto" w:fill="auto"/>
            <w:noWrap/>
            <w:hideMark/>
          </w:tcPr>
          <w:p w14:paraId="69D41F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Национална музикална академия „Проф. Панчо Владигеров“ – София</w:t>
            </w:r>
          </w:p>
        </w:tc>
        <w:tc>
          <w:tcPr>
            <w:tcW w:w="2178" w:type="dxa"/>
            <w:tcBorders>
              <w:top w:val="nil"/>
              <w:left w:val="nil"/>
              <w:bottom w:val="single" w:sz="4" w:space="0" w:color="auto"/>
              <w:right w:val="single" w:sz="4" w:space="0" w:color="auto"/>
            </w:tcBorders>
            <w:shd w:val="clear" w:color="auto" w:fill="auto"/>
            <w:hideMark/>
          </w:tcPr>
          <w:p w14:paraId="09CD09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8 128,4</w:t>
            </w:r>
          </w:p>
        </w:tc>
      </w:tr>
      <w:tr w:rsidR="00761800" w:rsidRPr="00761800" w14:paraId="0FA6424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3DAD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25.</w:t>
            </w:r>
          </w:p>
        </w:tc>
        <w:tc>
          <w:tcPr>
            <w:tcW w:w="11062" w:type="dxa"/>
            <w:tcBorders>
              <w:top w:val="nil"/>
              <w:left w:val="nil"/>
              <w:bottom w:val="single" w:sz="4" w:space="0" w:color="auto"/>
              <w:right w:val="single" w:sz="4" w:space="0" w:color="auto"/>
            </w:tcBorders>
            <w:shd w:val="clear" w:color="auto" w:fill="auto"/>
            <w:noWrap/>
            <w:hideMark/>
          </w:tcPr>
          <w:p w14:paraId="302A6C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Национална художествена академия – София</w:t>
            </w:r>
          </w:p>
        </w:tc>
        <w:tc>
          <w:tcPr>
            <w:tcW w:w="2178" w:type="dxa"/>
            <w:tcBorders>
              <w:top w:val="nil"/>
              <w:left w:val="nil"/>
              <w:bottom w:val="single" w:sz="4" w:space="0" w:color="auto"/>
              <w:right w:val="single" w:sz="4" w:space="0" w:color="auto"/>
            </w:tcBorders>
            <w:shd w:val="clear" w:color="auto" w:fill="auto"/>
            <w:hideMark/>
          </w:tcPr>
          <w:p w14:paraId="669F7D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8 104,3</w:t>
            </w:r>
          </w:p>
        </w:tc>
      </w:tr>
      <w:tr w:rsidR="00761800" w:rsidRPr="00761800" w14:paraId="0F111C8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84A4A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26.</w:t>
            </w:r>
          </w:p>
        </w:tc>
        <w:tc>
          <w:tcPr>
            <w:tcW w:w="11062" w:type="dxa"/>
            <w:tcBorders>
              <w:top w:val="nil"/>
              <w:left w:val="nil"/>
              <w:bottom w:val="single" w:sz="4" w:space="0" w:color="auto"/>
              <w:right w:val="single" w:sz="4" w:space="0" w:color="auto"/>
            </w:tcBorders>
            <w:shd w:val="clear" w:color="auto" w:fill="auto"/>
            <w:noWrap/>
            <w:hideMark/>
          </w:tcPr>
          <w:p w14:paraId="551DE7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Университет по библиотекознание и информационни технологии – София</w:t>
            </w:r>
          </w:p>
        </w:tc>
        <w:tc>
          <w:tcPr>
            <w:tcW w:w="2178" w:type="dxa"/>
            <w:tcBorders>
              <w:top w:val="nil"/>
              <w:left w:val="nil"/>
              <w:bottom w:val="single" w:sz="4" w:space="0" w:color="auto"/>
              <w:right w:val="single" w:sz="4" w:space="0" w:color="auto"/>
            </w:tcBorders>
            <w:shd w:val="clear" w:color="auto" w:fill="auto"/>
            <w:hideMark/>
          </w:tcPr>
          <w:p w14:paraId="7740E1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5 691,6</w:t>
            </w:r>
          </w:p>
        </w:tc>
      </w:tr>
      <w:tr w:rsidR="00761800" w:rsidRPr="00761800" w14:paraId="6AB5495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E7F0AF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27.</w:t>
            </w:r>
          </w:p>
        </w:tc>
        <w:tc>
          <w:tcPr>
            <w:tcW w:w="11062" w:type="dxa"/>
            <w:tcBorders>
              <w:top w:val="nil"/>
              <w:left w:val="nil"/>
              <w:bottom w:val="single" w:sz="4" w:space="0" w:color="auto"/>
              <w:right w:val="single" w:sz="4" w:space="0" w:color="auto"/>
            </w:tcBorders>
            <w:shd w:val="clear" w:color="auto" w:fill="auto"/>
            <w:noWrap/>
            <w:hideMark/>
          </w:tcPr>
          <w:p w14:paraId="0AD506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Висше училище по телекомуникации и пощи – София</w:t>
            </w:r>
          </w:p>
        </w:tc>
        <w:tc>
          <w:tcPr>
            <w:tcW w:w="2178" w:type="dxa"/>
            <w:tcBorders>
              <w:top w:val="nil"/>
              <w:left w:val="nil"/>
              <w:bottom w:val="single" w:sz="4" w:space="0" w:color="auto"/>
              <w:right w:val="single" w:sz="4" w:space="0" w:color="auto"/>
            </w:tcBorders>
            <w:shd w:val="clear" w:color="auto" w:fill="auto"/>
            <w:hideMark/>
          </w:tcPr>
          <w:p w14:paraId="296D8C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3 866,6</w:t>
            </w:r>
          </w:p>
        </w:tc>
      </w:tr>
      <w:tr w:rsidR="00761800" w:rsidRPr="00761800" w14:paraId="5C3973F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7CCA7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28.</w:t>
            </w:r>
          </w:p>
        </w:tc>
        <w:tc>
          <w:tcPr>
            <w:tcW w:w="11062" w:type="dxa"/>
            <w:tcBorders>
              <w:top w:val="nil"/>
              <w:left w:val="nil"/>
              <w:bottom w:val="single" w:sz="4" w:space="0" w:color="auto"/>
              <w:right w:val="single" w:sz="4" w:space="0" w:color="auto"/>
            </w:tcBorders>
            <w:shd w:val="clear" w:color="auto" w:fill="auto"/>
            <w:noWrap/>
            <w:hideMark/>
          </w:tcPr>
          <w:p w14:paraId="113109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Медицински университет – София</w:t>
            </w:r>
          </w:p>
        </w:tc>
        <w:tc>
          <w:tcPr>
            <w:tcW w:w="2178" w:type="dxa"/>
            <w:tcBorders>
              <w:top w:val="nil"/>
              <w:left w:val="nil"/>
              <w:bottom w:val="single" w:sz="4" w:space="0" w:color="auto"/>
              <w:right w:val="single" w:sz="4" w:space="0" w:color="auto"/>
            </w:tcBorders>
            <w:shd w:val="clear" w:color="auto" w:fill="auto"/>
            <w:hideMark/>
          </w:tcPr>
          <w:p w14:paraId="213A7F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46 170,6</w:t>
            </w:r>
          </w:p>
        </w:tc>
      </w:tr>
      <w:tr w:rsidR="00761800" w:rsidRPr="00761800" w14:paraId="363711C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32396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29.</w:t>
            </w:r>
          </w:p>
        </w:tc>
        <w:tc>
          <w:tcPr>
            <w:tcW w:w="11062" w:type="dxa"/>
            <w:tcBorders>
              <w:top w:val="nil"/>
              <w:left w:val="nil"/>
              <w:bottom w:val="single" w:sz="4" w:space="0" w:color="auto"/>
              <w:right w:val="single" w:sz="4" w:space="0" w:color="auto"/>
            </w:tcBorders>
            <w:shd w:val="clear" w:color="auto" w:fill="auto"/>
            <w:noWrap/>
            <w:hideMark/>
          </w:tcPr>
          <w:p w14:paraId="275AA4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Медицински университет „Проф. д-р Параскев Стоянов“ – Варна</w:t>
            </w:r>
          </w:p>
        </w:tc>
        <w:tc>
          <w:tcPr>
            <w:tcW w:w="2178" w:type="dxa"/>
            <w:tcBorders>
              <w:top w:val="nil"/>
              <w:left w:val="nil"/>
              <w:bottom w:val="single" w:sz="4" w:space="0" w:color="auto"/>
              <w:right w:val="single" w:sz="4" w:space="0" w:color="auto"/>
            </w:tcBorders>
            <w:shd w:val="clear" w:color="auto" w:fill="auto"/>
            <w:hideMark/>
          </w:tcPr>
          <w:p w14:paraId="5B6E6C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30 745,7</w:t>
            </w:r>
          </w:p>
        </w:tc>
      </w:tr>
      <w:tr w:rsidR="00761800" w:rsidRPr="00761800" w14:paraId="3D7DA29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9B270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30.</w:t>
            </w:r>
          </w:p>
        </w:tc>
        <w:tc>
          <w:tcPr>
            <w:tcW w:w="11062" w:type="dxa"/>
            <w:tcBorders>
              <w:top w:val="nil"/>
              <w:left w:val="nil"/>
              <w:bottom w:val="single" w:sz="4" w:space="0" w:color="auto"/>
              <w:right w:val="single" w:sz="4" w:space="0" w:color="auto"/>
            </w:tcBorders>
            <w:shd w:val="clear" w:color="auto" w:fill="auto"/>
            <w:noWrap/>
            <w:hideMark/>
          </w:tcPr>
          <w:p w14:paraId="4D9239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Медицински университет – Пловдив</w:t>
            </w:r>
          </w:p>
        </w:tc>
        <w:tc>
          <w:tcPr>
            <w:tcW w:w="2178" w:type="dxa"/>
            <w:tcBorders>
              <w:top w:val="nil"/>
              <w:left w:val="nil"/>
              <w:bottom w:val="single" w:sz="4" w:space="0" w:color="auto"/>
              <w:right w:val="single" w:sz="4" w:space="0" w:color="auto"/>
            </w:tcBorders>
            <w:shd w:val="clear" w:color="auto" w:fill="auto"/>
            <w:hideMark/>
          </w:tcPr>
          <w:p w14:paraId="7DBFAD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29 793,5</w:t>
            </w:r>
          </w:p>
        </w:tc>
      </w:tr>
      <w:tr w:rsidR="00761800" w:rsidRPr="00761800" w14:paraId="199E1A1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7D37A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31.</w:t>
            </w:r>
          </w:p>
        </w:tc>
        <w:tc>
          <w:tcPr>
            <w:tcW w:w="11062" w:type="dxa"/>
            <w:tcBorders>
              <w:top w:val="nil"/>
              <w:left w:val="nil"/>
              <w:bottom w:val="single" w:sz="4" w:space="0" w:color="auto"/>
              <w:right w:val="single" w:sz="4" w:space="0" w:color="auto"/>
            </w:tcBorders>
            <w:shd w:val="clear" w:color="auto" w:fill="auto"/>
            <w:noWrap/>
            <w:hideMark/>
          </w:tcPr>
          <w:p w14:paraId="271940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Медицински университет – Плевен</w:t>
            </w:r>
          </w:p>
        </w:tc>
        <w:tc>
          <w:tcPr>
            <w:tcW w:w="2178" w:type="dxa"/>
            <w:tcBorders>
              <w:top w:val="nil"/>
              <w:left w:val="nil"/>
              <w:bottom w:val="single" w:sz="4" w:space="0" w:color="auto"/>
              <w:right w:val="single" w:sz="4" w:space="0" w:color="auto"/>
            </w:tcBorders>
            <w:shd w:val="clear" w:color="auto" w:fill="auto"/>
            <w:hideMark/>
          </w:tcPr>
          <w:p w14:paraId="0ED197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12 338,7</w:t>
            </w:r>
          </w:p>
        </w:tc>
      </w:tr>
      <w:tr w:rsidR="00761800" w:rsidRPr="00761800" w14:paraId="538432F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15B71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32.</w:t>
            </w:r>
          </w:p>
        </w:tc>
        <w:tc>
          <w:tcPr>
            <w:tcW w:w="11062" w:type="dxa"/>
            <w:tcBorders>
              <w:top w:val="nil"/>
              <w:left w:val="nil"/>
              <w:bottom w:val="single" w:sz="4" w:space="0" w:color="auto"/>
              <w:right w:val="single" w:sz="4" w:space="0" w:color="auto"/>
            </w:tcBorders>
            <w:shd w:val="clear" w:color="auto" w:fill="auto"/>
            <w:noWrap/>
            <w:hideMark/>
          </w:tcPr>
          <w:p w14:paraId="0C1CDA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Тракийски университет – Стара Загора</w:t>
            </w:r>
          </w:p>
        </w:tc>
        <w:tc>
          <w:tcPr>
            <w:tcW w:w="2178" w:type="dxa"/>
            <w:tcBorders>
              <w:top w:val="nil"/>
              <w:left w:val="nil"/>
              <w:bottom w:val="single" w:sz="4" w:space="0" w:color="auto"/>
              <w:right w:val="single" w:sz="4" w:space="0" w:color="auto"/>
            </w:tcBorders>
            <w:shd w:val="clear" w:color="auto" w:fill="auto"/>
            <w:hideMark/>
          </w:tcPr>
          <w:p w14:paraId="49EE3C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29 802,2</w:t>
            </w:r>
          </w:p>
        </w:tc>
      </w:tr>
      <w:tr w:rsidR="00761800" w:rsidRPr="00761800" w14:paraId="0274844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1A339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33.</w:t>
            </w:r>
          </w:p>
        </w:tc>
        <w:tc>
          <w:tcPr>
            <w:tcW w:w="11062" w:type="dxa"/>
            <w:tcBorders>
              <w:top w:val="nil"/>
              <w:left w:val="nil"/>
              <w:bottom w:val="single" w:sz="4" w:space="0" w:color="auto"/>
              <w:right w:val="single" w:sz="4" w:space="0" w:color="auto"/>
            </w:tcBorders>
            <w:shd w:val="clear" w:color="auto" w:fill="auto"/>
            <w:noWrap/>
            <w:hideMark/>
          </w:tcPr>
          <w:p w14:paraId="3DE821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Висше транспортно училище „Тодор Каблешков“ – София</w:t>
            </w:r>
          </w:p>
        </w:tc>
        <w:tc>
          <w:tcPr>
            <w:tcW w:w="2178" w:type="dxa"/>
            <w:tcBorders>
              <w:top w:val="nil"/>
              <w:left w:val="nil"/>
              <w:bottom w:val="single" w:sz="4" w:space="0" w:color="auto"/>
              <w:right w:val="single" w:sz="4" w:space="0" w:color="auto"/>
            </w:tcBorders>
            <w:shd w:val="clear" w:color="auto" w:fill="auto"/>
            <w:hideMark/>
          </w:tcPr>
          <w:p w14:paraId="0D4A9C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3 437,0</w:t>
            </w:r>
          </w:p>
        </w:tc>
      </w:tr>
      <w:tr w:rsidR="00761800" w:rsidRPr="00761800" w14:paraId="5CE919F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B0260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34.</w:t>
            </w:r>
          </w:p>
        </w:tc>
        <w:tc>
          <w:tcPr>
            <w:tcW w:w="11062" w:type="dxa"/>
            <w:tcBorders>
              <w:top w:val="nil"/>
              <w:left w:val="nil"/>
              <w:bottom w:val="single" w:sz="4" w:space="0" w:color="auto"/>
              <w:right w:val="single" w:sz="4" w:space="0" w:color="auto"/>
            </w:tcBorders>
            <w:shd w:val="clear" w:color="auto" w:fill="auto"/>
            <w:noWrap/>
            <w:hideMark/>
          </w:tcPr>
          <w:p w14:paraId="354BFC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Висше строително училище „Любен Каравелов“ – София</w:t>
            </w:r>
          </w:p>
        </w:tc>
        <w:tc>
          <w:tcPr>
            <w:tcW w:w="2178" w:type="dxa"/>
            <w:tcBorders>
              <w:top w:val="nil"/>
              <w:left w:val="nil"/>
              <w:bottom w:val="single" w:sz="4" w:space="0" w:color="auto"/>
              <w:right w:val="single" w:sz="4" w:space="0" w:color="auto"/>
            </w:tcBorders>
            <w:shd w:val="clear" w:color="auto" w:fill="auto"/>
            <w:hideMark/>
          </w:tcPr>
          <w:p w14:paraId="3F19D4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1 676,5</w:t>
            </w:r>
          </w:p>
        </w:tc>
      </w:tr>
      <w:tr w:rsidR="00761800" w:rsidRPr="00761800" w14:paraId="600BD9B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596F7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single" w:sz="4" w:space="0" w:color="auto"/>
            </w:tcBorders>
            <w:shd w:val="clear" w:color="auto" w:fill="auto"/>
            <w:noWrap/>
            <w:hideMark/>
          </w:tcPr>
          <w:p w14:paraId="3B97FA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nil"/>
              <w:bottom w:val="single" w:sz="4" w:space="0" w:color="auto"/>
              <w:right w:val="single" w:sz="4" w:space="0" w:color="auto"/>
            </w:tcBorders>
            <w:shd w:val="clear" w:color="auto" w:fill="auto"/>
            <w:noWrap/>
            <w:hideMark/>
          </w:tcPr>
          <w:p w14:paraId="507CD5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792 877,6</w:t>
            </w:r>
          </w:p>
        </w:tc>
      </w:tr>
      <w:tr w:rsidR="00761800" w:rsidRPr="00761800" w14:paraId="4A8563C4" w14:textId="77777777" w:rsidTr="00406B4D">
        <w:trPr>
          <w:trHeight w:val="300"/>
        </w:trPr>
        <w:tc>
          <w:tcPr>
            <w:tcW w:w="1013" w:type="dxa"/>
            <w:tcBorders>
              <w:top w:val="nil"/>
              <w:left w:val="nil"/>
              <w:bottom w:val="nil"/>
              <w:right w:val="nil"/>
            </w:tcBorders>
            <w:shd w:val="clear" w:color="auto" w:fill="auto"/>
            <w:noWrap/>
            <w:vAlign w:val="bottom"/>
            <w:hideMark/>
          </w:tcPr>
          <w:p w14:paraId="41AD5485"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1904DE1"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808893B" w14:textId="77777777" w:rsidR="00761800" w:rsidRPr="00761800" w:rsidRDefault="00761800" w:rsidP="00761800">
            <w:pPr>
              <w:rPr>
                <w:rFonts w:ascii="Times New Roman" w:hAnsi="Times New Roman"/>
                <w:sz w:val="20"/>
                <w:lang w:eastAsia="bg-BG"/>
              </w:rPr>
            </w:pPr>
          </w:p>
        </w:tc>
      </w:tr>
      <w:tr w:rsidR="00761800" w:rsidRPr="00761800" w14:paraId="1739ECD8" w14:textId="77777777" w:rsidTr="00406B4D">
        <w:trPr>
          <w:trHeight w:val="698"/>
        </w:trPr>
        <w:tc>
          <w:tcPr>
            <w:tcW w:w="14253" w:type="dxa"/>
            <w:gridSpan w:val="3"/>
            <w:tcBorders>
              <w:top w:val="nil"/>
              <w:left w:val="nil"/>
              <w:bottom w:val="nil"/>
              <w:right w:val="nil"/>
            </w:tcBorders>
            <w:shd w:val="clear" w:color="auto" w:fill="auto"/>
            <w:hideMark/>
          </w:tcPr>
          <w:p w14:paraId="7A512D0B"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 В трансфера по ал. 4, т. 15 са включени средства в размер на 213,5 хил. евро за осигуряване на дейността на Научноизследователската и изпитваща лаборатория в спорта към Софийския университет „Св. Климент Охридски“.</w:t>
            </w:r>
          </w:p>
        </w:tc>
      </w:tr>
      <w:tr w:rsidR="00761800" w:rsidRPr="00761800" w14:paraId="4075FB72" w14:textId="77777777" w:rsidTr="00406B4D">
        <w:trPr>
          <w:trHeight w:val="698"/>
        </w:trPr>
        <w:tc>
          <w:tcPr>
            <w:tcW w:w="14253" w:type="dxa"/>
            <w:gridSpan w:val="3"/>
            <w:tcBorders>
              <w:top w:val="nil"/>
              <w:left w:val="nil"/>
              <w:bottom w:val="nil"/>
              <w:right w:val="nil"/>
            </w:tcBorders>
            <w:shd w:val="clear" w:color="000000" w:fill="FFFFFF"/>
            <w:hideMark/>
          </w:tcPr>
          <w:p w14:paraId="243FD909" w14:textId="77777777" w:rsidR="00761800" w:rsidRPr="00761800" w:rsidRDefault="00761800" w:rsidP="00761800">
            <w:pPr>
              <w:jc w:val="both"/>
              <w:rPr>
                <w:rFonts w:ascii="Times New Roman" w:hAnsi="Times New Roman"/>
                <w:color w:val="000000"/>
                <w:sz w:val="22"/>
                <w:szCs w:val="22"/>
                <w:lang w:eastAsia="bg-BG"/>
              </w:rPr>
            </w:pPr>
            <w:r w:rsidRPr="00761800">
              <w:rPr>
                <w:rFonts w:ascii="Times New Roman" w:hAnsi="Times New Roman"/>
                <w:color w:val="000000"/>
                <w:sz w:val="22"/>
                <w:szCs w:val="22"/>
                <w:lang w:eastAsia="bg-BG"/>
              </w:rPr>
              <w:t>(6) В трансферите по ал. 4 по бюджетите на държавните висши училища са включени средства за персонал в размер на 13 635,8 хил. евро като част от субсидията за издръжка на обучението над формираната по чл. 91, ал. 2 от Закона за висшето образование.</w:t>
            </w:r>
          </w:p>
        </w:tc>
      </w:tr>
      <w:tr w:rsidR="00761800" w:rsidRPr="00761800" w14:paraId="62E5AF56" w14:textId="77777777" w:rsidTr="00406B4D">
        <w:trPr>
          <w:trHeight w:val="567"/>
        </w:trPr>
        <w:tc>
          <w:tcPr>
            <w:tcW w:w="14253" w:type="dxa"/>
            <w:gridSpan w:val="3"/>
            <w:tcBorders>
              <w:top w:val="nil"/>
              <w:left w:val="nil"/>
              <w:bottom w:val="nil"/>
              <w:right w:val="nil"/>
            </w:tcBorders>
            <w:shd w:val="clear" w:color="auto" w:fill="auto"/>
            <w:hideMark/>
          </w:tcPr>
          <w:p w14:paraId="093C21B4"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(7) В трансфера по ал. 4, т. 5 са включени средства в размер на 846,1 хил. евро за осигуряване дейността на поделението на Русенския университет „Ангел Кънчев“ в гр. Тараклия, Република Молдова.</w:t>
            </w:r>
          </w:p>
        </w:tc>
      </w:tr>
      <w:tr w:rsidR="00761800" w:rsidRPr="00761800" w14:paraId="23C9B8E1" w14:textId="77777777" w:rsidTr="00406B4D">
        <w:trPr>
          <w:trHeight w:val="300"/>
        </w:trPr>
        <w:tc>
          <w:tcPr>
            <w:tcW w:w="1013" w:type="dxa"/>
            <w:tcBorders>
              <w:top w:val="nil"/>
              <w:left w:val="nil"/>
              <w:bottom w:val="nil"/>
              <w:right w:val="nil"/>
            </w:tcBorders>
            <w:shd w:val="clear" w:color="auto" w:fill="auto"/>
            <w:vAlign w:val="bottom"/>
            <w:hideMark/>
          </w:tcPr>
          <w:p w14:paraId="208451E2" w14:textId="77777777" w:rsidR="00761800" w:rsidRPr="00761800" w:rsidRDefault="00761800" w:rsidP="00761800">
            <w:pPr>
              <w:rPr>
                <w:rFonts w:ascii="Times New Roman" w:hAnsi="Times New Roman"/>
                <w:color w:val="000000"/>
                <w:sz w:val="22"/>
                <w:szCs w:val="22"/>
                <w:lang w:eastAsia="bg-BG"/>
              </w:rPr>
            </w:pPr>
          </w:p>
        </w:tc>
        <w:tc>
          <w:tcPr>
            <w:tcW w:w="11062" w:type="dxa"/>
            <w:tcBorders>
              <w:top w:val="nil"/>
              <w:left w:val="nil"/>
              <w:bottom w:val="nil"/>
              <w:right w:val="nil"/>
            </w:tcBorders>
            <w:shd w:val="clear" w:color="auto" w:fill="auto"/>
            <w:vAlign w:val="bottom"/>
            <w:hideMark/>
          </w:tcPr>
          <w:p w14:paraId="0F46043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0C1BDBBE" w14:textId="77777777" w:rsidR="00761800" w:rsidRPr="00761800" w:rsidRDefault="00761800" w:rsidP="00761800">
            <w:pPr>
              <w:rPr>
                <w:rFonts w:ascii="Times New Roman" w:hAnsi="Times New Roman"/>
                <w:sz w:val="20"/>
                <w:lang w:eastAsia="bg-BG"/>
              </w:rPr>
            </w:pPr>
          </w:p>
        </w:tc>
      </w:tr>
      <w:tr w:rsidR="00761800" w:rsidRPr="00761800" w14:paraId="2F85CA34" w14:textId="77777777" w:rsidTr="00406B4D">
        <w:trPr>
          <w:trHeight w:val="127"/>
        </w:trPr>
        <w:tc>
          <w:tcPr>
            <w:tcW w:w="14253" w:type="dxa"/>
            <w:gridSpan w:val="3"/>
            <w:tcBorders>
              <w:top w:val="nil"/>
              <w:left w:val="nil"/>
              <w:bottom w:val="nil"/>
              <w:right w:val="nil"/>
            </w:tcBorders>
            <w:shd w:val="clear" w:color="auto" w:fill="auto"/>
            <w:vAlign w:val="bottom"/>
            <w:hideMark/>
          </w:tcPr>
          <w:p w14:paraId="0CC653B4"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17.</w:t>
            </w:r>
            <w:r w:rsidRPr="00761800">
              <w:rPr>
                <w:rFonts w:ascii="Times New Roman" w:hAnsi="Times New Roman"/>
                <w:color w:val="000000"/>
                <w:sz w:val="22"/>
                <w:szCs w:val="22"/>
                <w:lang w:eastAsia="bg-BG"/>
              </w:rPr>
              <w:t xml:space="preserve"> (1) Приема бюджета на Министерството на културата за 2026 г., както следва:</w:t>
            </w:r>
          </w:p>
        </w:tc>
      </w:tr>
      <w:tr w:rsidR="00761800" w:rsidRPr="00761800" w14:paraId="28881257" w14:textId="77777777" w:rsidTr="00406B4D">
        <w:trPr>
          <w:trHeight w:val="409"/>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AAAEE0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79704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2FD564C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F56871F"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7346A9A"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00EA450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3665ED8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AD86D7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58A9A3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14ADD7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01EDB8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642224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BED04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7ED8C6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D4B8B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27 676,2</w:t>
            </w:r>
          </w:p>
        </w:tc>
      </w:tr>
      <w:tr w:rsidR="00761800" w:rsidRPr="00761800" w14:paraId="59B5EE9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22930E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1467347"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6C11E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27 676,2</w:t>
            </w:r>
          </w:p>
        </w:tc>
      </w:tr>
      <w:tr w:rsidR="00761800" w:rsidRPr="00761800" w14:paraId="70ABE9C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38FAB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29C40B2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0EC9F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511,3</w:t>
            </w:r>
          </w:p>
        </w:tc>
      </w:tr>
      <w:tr w:rsidR="00761800" w:rsidRPr="00761800" w14:paraId="2282B4A0"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0E34CD2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1AAEA12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868AB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27 062,7</w:t>
            </w:r>
          </w:p>
        </w:tc>
      </w:tr>
      <w:tr w:rsidR="00761800" w:rsidRPr="00761800" w14:paraId="64C4BF3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B582D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50D8426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3775A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562,4</w:t>
            </w:r>
          </w:p>
        </w:tc>
      </w:tr>
      <w:tr w:rsidR="00761800" w:rsidRPr="00761800" w14:paraId="4A71F93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AE9700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187CD4A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F7D9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-460,2</w:t>
            </w:r>
          </w:p>
        </w:tc>
      </w:tr>
      <w:tr w:rsidR="00761800" w:rsidRPr="00761800" w14:paraId="5BB92AD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17302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043D9A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A5937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267 051,7</w:t>
            </w:r>
          </w:p>
        </w:tc>
      </w:tr>
      <w:tr w:rsidR="00761800" w:rsidRPr="00761800" w14:paraId="2F2BBD9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9ADF2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514DEA28"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51CDBD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263 264,0</w:t>
            </w:r>
          </w:p>
        </w:tc>
      </w:tr>
      <w:tr w:rsidR="00761800" w:rsidRPr="00761800" w14:paraId="6CFF1D1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C156A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C9AFB8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0AFA2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10073A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20B8E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606AF64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276C2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128 865,0</w:t>
            </w:r>
          </w:p>
        </w:tc>
      </w:tr>
      <w:tr w:rsidR="00761800" w:rsidRPr="00761800" w14:paraId="27061F6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9608C5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1.1.1.</w:t>
            </w:r>
          </w:p>
        </w:tc>
        <w:tc>
          <w:tcPr>
            <w:tcW w:w="11062" w:type="dxa"/>
            <w:tcBorders>
              <w:top w:val="nil"/>
              <w:left w:val="nil"/>
              <w:bottom w:val="single" w:sz="4" w:space="0" w:color="auto"/>
              <w:right w:val="nil"/>
            </w:tcBorders>
            <w:shd w:val="clear" w:color="auto" w:fill="auto"/>
            <w:noWrap/>
            <w:vAlign w:val="bottom"/>
            <w:hideMark/>
          </w:tcPr>
          <w:p w14:paraId="77F5579F"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      в т.ч.  Персонал без делегирани бюджети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A2F63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8 216,1</w:t>
            </w:r>
          </w:p>
        </w:tc>
      </w:tr>
      <w:tr w:rsidR="00761800" w:rsidRPr="00761800" w14:paraId="0CC1AB7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0EF34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63BE891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9E08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35 147,1</w:t>
            </w:r>
          </w:p>
        </w:tc>
      </w:tr>
      <w:tr w:rsidR="00761800" w:rsidRPr="00761800" w14:paraId="242DEFB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CDB39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01393AAB"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B8C65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32 564,3</w:t>
            </w:r>
          </w:p>
        </w:tc>
      </w:tr>
      <w:tr w:rsidR="00761800" w:rsidRPr="00761800" w14:paraId="6BCB82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152FA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w:t>
            </w:r>
          </w:p>
        </w:tc>
        <w:tc>
          <w:tcPr>
            <w:tcW w:w="11062" w:type="dxa"/>
            <w:tcBorders>
              <w:top w:val="nil"/>
              <w:left w:val="nil"/>
              <w:bottom w:val="single" w:sz="4" w:space="0" w:color="auto"/>
              <w:right w:val="nil"/>
            </w:tcBorders>
            <w:shd w:val="clear" w:color="auto" w:fill="auto"/>
            <w:noWrap/>
            <w:vAlign w:val="bottom"/>
            <w:hideMark/>
          </w:tcPr>
          <w:p w14:paraId="37503C8C"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C2FAB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2 582,8</w:t>
            </w:r>
          </w:p>
        </w:tc>
      </w:tr>
      <w:tr w:rsidR="00761800" w:rsidRPr="00761800" w14:paraId="1240DF6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957D7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A01C0CF"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04E98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3620F4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DC83B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w:t>
            </w:r>
          </w:p>
        </w:tc>
        <w:tc>
          <w:tcPr>
            <w:tcW w:w="11062" w:type="dxa"/>
            <w:tcBorders>
              <w:top w:val="nil"/>
              <w:left w:val="nil"/>
              <w:bottom w:val="single" w:sz="4" w:space="0" w:color="auto"/>
              <w:right w:val="nil"/>
            </w:tcBorders>
            <w:shd w:val="clear" w:color="auto" w:fill="auto"/>
            <w:noWrap/>
            <w:vAlign w:val="bottom"/>
            <w:hideMark/>
          </w:tcPr>
          <w:p w14:paraId="6591355B"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Национален дарителски фонд „13 века България“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EB8D222"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115,6</w:t>
            </w:r>
          </w:p>
        </w:tc>
      </w:tr>
      <w:tr w:rsidR="00761800" w:rsidRPr="00761800" w14:paraId="7E073BAB" w14:textId="77777777" w:rsidTr="00406B4D">
        <w:trPr>
          <w:trHeight w:val="88"/>
        </w:trPr>
        <w:tc>
          <w:tcPr>
            <w:tcW w:w="1013" w:type="dxa"/>
            <w:tcBorders>
              <w:top w:val="nil"/>
              <w:left w:val="single" w:sz="4" w:space="0" w:color="auto"/>
              <w:bottom w:val="single" w:sz="4" w:space="0" w:color="auto"/>
              <w:right w:val="single" w:sz="4" w:space="0" w:color="auto"/>
            </w:tcBorders>
            <w:shd w:val="clear" w:color="auto" w:fill="auto"/>
            <w:noWrap/>
            <w:hideMark/>
          </w:tcPr>
          <w:p w14:paraId="43F222F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1.2.2.2.</w:t>
            </w:r>
          </w:p>
        </w:tc>
        <w:tc>
          <w:tcPr>
            <w:tcW w:w="11062" w:type="dxa"/>
            <w:tcBorders>
              <w:top w:val="nil"/>
              <w:left w:val="nil"/>
              <w:bottom w:val="single" w:sz="4" w:space="0" w:color="auto"/>
              <w:right w:val="nil"/>
            </w:tcBorders>
            <w:shd w:val="clear" w:color="auto" w:fill="auto"/>
            <w:vAlign w:val="bottom"/>
            <w:hideMark/>
          </w:tcPr>
          <w:p w14:paraId="3B3337D7"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Регионален център за опазване на нематериалното културно наследство в Югоизточна Европа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6F2071A"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415,2</w:t>
            </w:r>
          </w:p>
        </w:tc>
      </w:tr>
      <w:tr w:rsidR="00761800" w:rsidRPr="00761800" w14:paraId="1A90901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6891D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1.2.2.3.</w:t>
            </w:r>
          </w:p>
        </w:tc>
        <w:tc>
          <w:tcPr>
            <w:tcW w:w="11062" w:type="dxa"/>
            <w:tcBorders>
              <w:top w:val="nil"/>
              <w:left w:val="nil"/>
              <w:bottom w:val="single" w:sz="4" w:space="0" w:color="auto"/>
              <w:right w:val="nil"/>
            </w:tcBorders>
            <w:shd w:val="clear" w:color="auto" w:fill="auto"/>
            <w:vAlign w:val="bottom"/>
            <w:hideMark/>
          </w:tcPr>
          <w:p w14:paraId="053A1C97"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Съюз на народните читалища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1677F6F"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44,0</w:t>
            </w:r>
          </w:p>
        </w:tc>
      </w:tr>
      <w:tr w:rsidR="00761800" w:rsidRPr="00761800" w14:paraId="36670CE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6F519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73F062D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Текущи трансфери, обезщетения и помощи за домакинствата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80C2E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561,7</w:t>
            </w:r>
          </w:p>
        </w:tc>
      </w:tr>
      <w:tr w:rsidR="00761800" w:rsidRPr="00761800" w14:paraId="7A94B7D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A667E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39123E3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BE8BC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3 787,7</w:t>
            </w:r>
          </w:p>
        </w:tc>
      </w:tr>
      <w:tr w:rsidR="00761800" w:rsidRPr="00761800" w14:paraId="7EA6388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65DB3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43BD4F2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5091A6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3 787,7</w:t>
            </w:r>
          </w:p>
        </w:tc>
      </w:tr>
      <w:tr w:rsidR="00761800" w:rsidRPr="00761800" w14:paraId="5FCDCAF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9D3A1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56EF70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ABF81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239 375,5</w:t>
            </w:r>
          </w:p>
        </w:tc>
      </w:tr>
      <w:tr w:rsidR="00761800" w:rsidRPr="00761800" w14:paraId="000FF09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4F03C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F47FB46"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77F77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237 125,8</w:t>
            </w:r>
          </w:p>
        </w:tc>
      </w:tr>
      <w:tr w:rsidR="00761800" w:rsidRPr="00761800" w14:paraId="6F1891C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E8E2F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2FD11A66"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3EE7C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2 249,7</w:t>
            </w:r>
          </w:p>
        </w:tc>
      </w:tr>
      <w:tr w:rsidR="00761800" w:rsidRPr="00761800" w14:paraId="18E19DF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C9E31F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7BF008D3"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Получени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28F92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2 249,7</w:t>
            </w:r>
          </w:p>
        </w:tc>
      </w:tr>
      <w:tr w:rsidR="00761800" w:rsidRPr="00761800" w14:paraId="4AA392C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275BF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1A41A4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40DE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7DC46D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043FA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4AF377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94C1C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5045F19" w14:textId="77777777" w:rsidTr="00406B4D">
        <w:trPr>
          <w:trHeight w:val="300"/>
        </w:trPr>
        <w:tc>
          <w:tcPr>
            <w:tcW w:w="1013" w:type="dxa"/>
            <w:tcBorders>
              <w:top w:val="nil"/>
              <w:left w:val="nil"/>
              <w:bottom w:val="nil"/>
              <w:right w:val="nil"/>
            </w:tcBorders>
            <w:shd w:val="clear" w:color="auto" w:fill="auto"/>
            <w:noWrap/>
            <w:vAlign w:val="bottom"/>
            <w:hideMark/>
          </w:tcPr>
          <w:p w14:paraId="589630D2"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4DBC13B"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4D90BF36" w14:textId="77777777" w:rsidR="00761800" w:rsidRPr="00761800" w:rsidRDefault="00761800" w:rsidP="00761800">
            <w:pPr>
              <w:rPr>
                <w:rFonts w:ascii="Times New Roman" w:hAnsi="Times New Roman"/>
                <w:sz w:val="20"/>
                <w:lang w:eastAsia="bg-BG"/>
              </w:rPr>
            </w:pPr>
          </w:p>
        </w:tc>
      </w:tr>
      <w:tr w:rsidR="00761800" w:rsidRPr="00761800" w14:paraId="2FEEFA36" w14:textId="77777777" w:rsidTr="00406B4D">
        <w:trPr>
          <w:trHeight w:val="300"/>
        </w:trPr>
        <w:tc>
          <w:tcPr>
            <w:tcW w:w="14253" w:type="dxa"/>
            <w:gridSpan w:val="3"/>
            <w:tcBorders>
              <w:top w:val="nil"/>
              <w:left w:val="nil"/>
              <w:bottom w:val="single" w:sz="4" w:space="0" w:color="auto"/>
              <w:right w:val="nil"/>
            </w:tcBorders>
            <w:shd w:val="clear" w:color="auto" w:fill="auto"/>
            <w:hideMark/>
          </w:tcPr>
          <w:p w14:paraId="53C10B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502CCD79"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01C6A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2FCB9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35A32E1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6EE9F9B"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1D38AF9"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0B87618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63B44CA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D73A76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B6DC2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CCA422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595DE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9B788C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8E90C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7F9FE9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опазване на движимото и недвижимото културно наследство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4BDA0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24 152,0</w:t>
            </w:r>
          </w:p>
        </w:tc>
      </w:tr>
      <w:tr w:rsidR="00761800" w:rsidRPr="00761800" w14:paraId="25C2212C"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410773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vAlign w:val="bottom"/>
            <w:hideMark/>
          </w:tcPr>
          <w:p w14:paraId="55D62A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1C89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238 720,7</w:t>
            </w:r>
          </w:p>
        </w:tc>
      </w:tr>
      <w:tr w:rsidR="00761800" w:rsidRPr="00761800" w14:paraId="605027C4"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237F54F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noWrap/>
            <w:vAlign w:val="bottom"/>
            <w:hideMark/>
          </w:tcPr>
          <w:p w14:paraId="66EBB2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B3CA3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4 179,0</w:t>
            </w:r>
          </w:p>
        </w:tc>
      </w:tr>
      <w:tr w:rsidR="00761800" w:rsidRPr="00761800" w14:paraId="2649673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E126F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45537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43EBF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267 051,7</w:t>
            </w:r>
          </w:p>
        </w:tc>
      </w:tr>
      <w:tr w:rsidR="00761800" w:rsidRPr="00761800" w14:paraId="7BC44D87" w14:textId="77777777" w:rsidTr="00406B4D">
        <w:trPr>
          <w:trHeight w:val="300"/>
        </w:trPr>
        <w:tc>
          <w:tcPr>
            <w:tcW w:w="1013" w:type="dxa"/>
            <w:tcBorders>
              <w:top w:val="nil"/>
              <w:left w:val="nil"/>
              <w:bottom w:val="nil"/>
              <w:right w:val="nil"/>
            </w:tcBorders>
            <w:shd w:val="clear" w:color="auto" w:fill="auto"/>
            <w:noWrap/>
            <w:vAlign w:val="bottom"/>
            <w:hideMark/>
          </w:tcPr>
          <w:p w14:paraId="69087A2C"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543CCBE"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151257F0" w14:textId="77777777" w:rsidR="00761800" w:rsidRPr="00761800" w:rsidRDefault="00761800" w:rsidP="00761800">
            <w:pPr>
              <w:rPr>
                <w:rFonts w:ascii="Times New Roman" w:hAnsi="Times New Roman"/>
                <w:sz w:val="20"/>
                <w:lang w:eastAsia="bg-BG"/>
              </w:rPr>
            </w:pPr>
          </w:p>
        </w:tc>
      </w:tr>
      <w:tr w:rsidR="00761800" w:rsidRPr="00761800" w14:paraId="71152FF1"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34DF2E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културата, както следва:</w:t>
            </w:r>
          </w:p>
        </w:tc>
      </w:tr>
      <w:tr w:rsidR="00761800" w:rsidRPr="00761800" w14:paraId="429A7137" w14:textId="77777777" w:rsidTr="00406B4D">
        <w:trPr>
          <w:trHeight w:val="323"/>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DD2D1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17544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4E08CC8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3CA2350"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39F62A97"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33CCB40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4F22595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F3503B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CB9A3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8C4633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11F0CA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725512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FDC3A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5ECD7F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CAD80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137 887,1</w:t>
            </w:r>
          </w:p>
        </w:tc>
      </w:tr>
      <w:tr w:rsidR="00761800" w:rsidRPr="00761800" w14:paraId="2DB7F74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DA656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21489B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9903E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137 396,3</w:t>
            </w:r>
          </w:p>
        </w:tc>
      </w:tr>
      <w:tr w:rsidR="00761800" w:rsidRPr="00761800" w14:paraId="0C2B9CE4" w14:textId="77777777" w:rsidTr="00406B4D">
        <w:trPr>
          <w:trHeight w:val="300"/>
        </w:trPr>
        <w:tc>
          <w:tcPr>
            <w:tcW w:w="1013" w:type="dxa"/>
            <w:tcBorders>
              <w:top w:val="nil"/>
              <w:left w:val="nil"/>
              <w:bottom w:val="nil"/>
              <w:right w:val="nil"/>
            </w:tcBorders>
            <w:shd w:val="clear" w:color="auto" w:fill="auto"/>
            <w:vAlign w:val="bottom"/>
            <w:hideMark/>
          </w:tcPr>
          <w:p w14:paraId="059709D6"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0E61077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3B677CCD" w14:textId="77777777" w:rsidR="00761800" w:rsidRPr="00761800" w:rsidRDefault="00761800" w:rsidP="00761800">
            <w:pPr>
              <w:rPr>
                <w:rFonts w:ascii="Times New Roman" w:hAnsi="Times New Roman"/>
                <w:sz w:val="20"/>
                <w:lang w:eastAsia="bg-BG"/>
              </w:rPr>
            </w:pPr>
          </w:p>
        </w:tc>
      </w:tr>
      <w:tr w:rsidR="00761800" w:rsidRPr="00761800" w14:paraId="166B0DC4" w14:textId="77777777" w:rsidTr="00406B4D">
        <w:trPr>
          <w:trHeight w:val="300"/>
        </w:trPr>
        <w:tc>
          <w:tcPr>
            <w:tcW w:w="14253" w:type="dxa"/>
            <w:gridSpan w:val="3"/>
            <w:tcBorders>
              <w:top w:val="nil"/>
              <w:left w:val="nil"/>
              <w:bottom w:val="nil"/>
              <w:right w:val="nil"/>
            </w:tcBorders>
            <w:shd w:val="clear" w:color="auto" w:fill="auto"/>
            <w:vAlign w:val="bottom"/>
            <w:hideMark/>
          </w:tcPr>
          <w:p w14:paraId="002E9732"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18.</w:t>
            </w:r>
            <w:r w:rsidRPr="00761800">
              <w:rPr>
                <w:rFonts w:ascii="Times New Roman" w:hAnsi="Times New Roman"/>
                <w:color w:val="000000"/>
                <w:sz w:val="22"/>
                <w:szCs w:val="22"/>
                <w:lang w:eastAsia="bg-BG"/>
              </w:rPr>
              <w:t xml:space="preserve"> (1) Приема бюджета на Министерството на околната среда и водите за 2026 г., както следва:</w:t>
            </w:r>
          </w:p>
        </w:tc>
      </w:tr>
      <w:tr w:rsidR="00761800" w:rsidRPr="00761800" w14:paraId="42FAC3A0" w14:textId="77777777" w:rsidTr="00406B4D">
        <w:trPr>
          <w:trHeight w:val="383"/>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FBDF5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0B2D05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36F07D1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B620CE1"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92FB1C9"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25C42BA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71CAC7D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CFA34E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B94D20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749480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15D225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9EFC2D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5CB38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304C69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E7642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26 221,9</w:t>
            </w:r>
          </w:p>
        </w:tc>
      </w:tr>
      <w:tr w:rsidR="00761800" w:rsidRPr="00761800" w14:paraId="553100F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E12B8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4F4C46FD"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4C46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26 221,9</w:t>
            </w:r>
          </w:p>
        </w:tc>
      </w:tr>
      <w:tr w:rsidR="00761800" w:rsidRPr="00761800" w14:paraId="3262A01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3FFB2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3760BE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2B3AF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22 804,6</w:t>
            </w:r>
          </w:p>
        </w:tc>
      </w:tr>
      <w:tr w:rsidR="00761800" w:rsidRPr="00761800" w14:paraId="715D79B0"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0CA58E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4651971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31E02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2 984,8</w:t>
            </w:r>
          </w:p>
        </w:tc>
      </w:tr>
      <w:tr w:rsidR="00761800" w:rsidRPr="00761800" w14:paraId="772E5BA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A1236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17B8CD1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7A16F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892,7</w:t>
            </w:r>
          </w:p>
        </w:tc>
      </w:tr>
      <w:tr w:rsidR="00761800" w:rsidRPr="00761800" w14:paraId="7991B93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87F01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4B60613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B7F9C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-460,2</w:t>
            </w:r>
          </w:p>
        </w:tc>
      </w:tr>
      <w:tr w:rsidR="00761800" w:rsidRPr="00761800" w14:paraId="08C607D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67A88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05CB19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B91F0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77 774,1</w:t>
            </w:r>
          </w:p>
        </w:tc>
      </w:tr>
      <w:tr w:rsidR="00761800" w:rsidRPr="00761800" w14:paraId="44257F5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027D3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02E0C3D4"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3C553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75 461,6</w:t>
            </w:r>
          </w:p>
        </w:tc>
      </w:tr>
      <w:tr w:rsidR="00761800" w:rsidRPr="00761800" w14:paraId="4FC970C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D92D3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4D3908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35B47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4DB0AE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F7D5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27B77F1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5929E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54 329,5</w:t>
            </w:r>
          </w:p>
        </w:tc>
      </w:tr>
      <w:tr w:rsidR="00761800" w:rsidRPr="00761800" w14:paraId="7A6719C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23D35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1.1.1.</w:t>
            </w:r>
          </w:p>
        </w:tc>
        <w:tc>
          <w:tcPr>
            <w:tcW w:w="11062" w:type="dxa"/>
            <w:tcBorders>
              <w:top w:val="nil"/>
              <w:left w:val="nil"/>
              <w:bottom w:val="single" w:sz="4" w:space="0" w:color="auto"/>
              <w:right w:val="nil"/>
            </w:tcBorders>
            <w:shd w:val="clear" w:color="auto" w:fill="auto"/>
            <w:noWrap/>
            <w:vAlign w:val="bottom"/>
            <w:hideMark/>
          </w:tcPr>
          <w:p w14:paraId="013B4314" w14:textId="77777777" w:rsidR="00761800" w:rsidRPr="00761800" w:rsidRDefault="00761800" w:rsidP="00761800">
            <w:pPr>
              <w:ind w:firstLineChars="200" w:firstLine="440"/>
              <w:rPr>
                <w:rFonts w:ascii="Times New Roman" w:hAnsi="Times New Roman"/>
                <w:i/>
                <w:iCs/>
                <w:sz w:val="22"/>
                <w:szCs w:val="22"/>
                <w:lang w:eastAsia="bg-BG"/>
              </w:rPr>
            </w:pPr>
            <w:r w:rsidRPr="00761800">
              <w:rPr>
                <w:rFonts w:ascii="Times New Roman" w:hAnsi="Times New Roman"/>
                <w:i/>
                <w:iCs/>
                <w:sz w:val="22"/>
                <w:szCs w:val="22"/>
                <w:lang w:eastAsia="bg-BG"/>
              </w:rPr>
              <w:t xml:space="preserve">    в т.ч.  Персонал без делегирани бюджети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98911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40 141,7</w:t>
            </w:r>
          </w:p>
        </w:tc>
      </w:tr>
      <w:tr w:rsidR="00761800" w:rsidRPr="00761800" w14:paraId="08FC093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05414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14B4704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Текущи трансфери, обезщетения и помощи за домакинствата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44A1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184,1</w:t>
            </w:r>
          </w:p>
        </w:tc>
      </w:tr>
      <w:tr w:rsidR="00761800" w:rsidRPr="00761800" w14:paraId="1BDC020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7F9B3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516FF9D9"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FD0E4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2 312,5</w:t>
            </w:r>
          </w:p>
        </w:tc>
      </w:tr>
      <w:tr w:rsidR="00761800" w:rsidRPr="00761800" w14:paraId="49EB093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247CC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77763B9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0DD89C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2 312,5</w:t>
            </w:r>
          </w:p>
        </w:tc>
      </w:tr>
      <w:tr w:rsidR="00761800" w:rsidRPr="00761800" w14:paraId="4E5686A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8CC56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322A9A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76AFC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51 552,2</w:t>
            </w:r>
          </w:p>
        </w:tc>
      </w:tr>
      <w:tr w:rsidR="00761800" w:rsidRPr="00761800" w14:paraId="344C708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8779A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4F792798"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5F0DC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71 329,5</w:t>
            </w:r>
          </w:p>
        </w:tc>
      </w:tr>
      <w:tr w:rsidR="00761800" w:rsidRPr="00761800" w14:paraId="67EFB52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38641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2.</w:t>
            </w:r>
          </w:p>
        </w:tc>
        <w:tc>
          <w:tcPr>
            <w:tcW w:w="11062" w:type="dxa"/>
            <w:tcBorders>
              <w:top w:val="nil"/>
              <w:left w:val="nil"/>
              <w:bottom w:val="single" w:sz="4" w:space="0" w:color="auto"/>
              <w:right w:val="nil"/>
            </w:tcBorders>
            <w:shd w:val="clear" w:color="auto" w:fill="auto"/>
            <w:noWrap/>
            <w:vAlign w:val="bottom"/>
            <w:hideMark/>
          </w:tcPr>
          <w:p w14:paraId="008E0C94"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48546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-19 777,3</w:t>
            </w:r>
          </w:p>
        </w:tc>
      </w:tr>
      <w:tr w:rsidR="00761800" w:rsidRPr="00761800" w14:paraId="2DFA66B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205BE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6168832A"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Получени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17CDB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3 067,8</w:t>
            </w:r>
          </w:p>
        </w:tc>
      </w:tr>
      <w:tr w:rsidR="00761800" w:rsidRPr="00761800" w14:paraId="6029A13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A4297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2.1.1.</w:t>
            </w:r>
          </w:p>
        </w:tc>
        <w:tc>
          <w:tcPr>
            <w:tcW w:w="11062" w:type="dxa"/>
            <w:tcBorders>
              <w:top w:val="nil"/>
              <w:left w:val="nil"/>
              <w:bottom w:val="single" w:sz="4" w:space="0" w:color="auto"/>
              <w:right w:val="single" w:sz="4" w:space="0" w:color="auto"/>
            </w:tcBorders>
            <w:shd w:val="clear" w:color="auto" w:fill="auto"/>
            <w:noWrap/>
            <w:vAlign w:val="bottom"/>
            <w:hideMark/>
          </w:tcPr>
          <w:p w14:paraId="67C67058"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 xml:space="preserve">- от Предприятието за управление на дейностите по опазване на околната среда </w:t>
            </w:r>
          </w:p>
        </w:tc>
        <w:tc>
          <w:tcPr>
            <w:tcW w:w="2178" w:type="dxa"/>
            <w:tcBorders>
              <w:top w:val="nil"/>
              <w:left w:val="nil"/>
              <w:bottom w:val="single" w:sz="4" w:space="0" w:color="auto"/>
              <w:right w:val="single" w:sz="4" w:space="0" w:color="auto"/>
            </w:tcBorders>
            <w:shd w:val="clear" w:color="auto" w:fill="auto"/>
            <w:noWrap/>
            <w:vAlign w:val="bottom"/>
            <w:hideMark/>
          </w:tcPr>
          <w:p w14:paraId="42D0D2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3 067,8</w:t>
            </w:r>
          </w:p>
        </w:tc>
      </w:tr>
      <w:tr w:rsidR="00761800" w:rsidRPr="00761800" w14:paraId="2E903CC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819C3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w:t>
            </w:r>
          </w:p>
        </w:tc>
        <w:tc>
          <w:tcPr>
            <w:tcW w:w="11062" w:type="dxa"/>
            <w:tcBorders>
              <w:top w:val="nil"/>
              <w:left w:val="nil"/>
              <w:bottom w:val="single" w:sz="4" w:space="0" w:color="auto"/>
              <w:right w:val="nil"/>
            </w:tcBorders>
            <w:shd w:val="clear" w:color="auto" w:fill="auto"/>
            <w:noWrap/>
            <w:vAlign w:val="bottom"/>
            <w:hideMark/>
          </w:tcPr>
          <w:p w14:paraId="4F66F78E"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33E9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-22 845,1</w:t>
            </w:r>
          </w:p>
        </w:tc>
      </w:tr>
      <w:tr w:rsidR="00761800" w:rsidRPr="00761800" w14:paraId="63DC4B6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E7810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2.2.1.</w:t>
            </w:r>
          </w:p>
        </w:tc>
        <w:tc>
          <w:tcPr>
            <w:tcW w:w="11062" w:type="dxa"/>
            <w:tcBorders>
              <w:top w:val="nil"/>
              <w:left w:val="nil"/>
              <w:bottom w:val="single" w:sz="4" w:space="0" w:color="auto"/>
              <w:right w:val="single" w:sz="4" w:space="0" w:color="auto"/>
            </w:tcBorders>
            <w:shd w:val="clear" w:color="auto" w:fill="auto"/>
            <w:noWrap/>
            <w:vAlign w:val="bottom"/>
            <w:hideMark/>
          </w:tcPr>
          <w:p w14:paraId="0F1B3504"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 xml:space="preserve">в т.ч.  за Българската академия на науките </w:t>
            </w:r>
          </w:p>
        </w:tc>
        <w:tc>
          <w:tcPr>
            <w:tcW w:w="2178" w:type="dxa"/>
            <w:tcBorders>
              <w:top w:val="nil"/>
              <w:left w:val="nil"/>
              <w:bottom w:val="single" w:sz="4" w:space="0" w:color="auto"/>
              <w:right w:val="single" w:sz="4" w:space="0" w:color="auto"/>
            </w:tcBorders>
            <w:shd w:val="clear" w:color="auto" w:fill="auto"/>
            <w:noWrap/>
            <w:vAlign w:val="bottom"/>
            <w:hideMark/>
          </w:tcPr>
          <w:p w14:paraId="21CD81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-345,1</w:t>
            </w:r>
          </w:p>
        </w:tc>
      </w:tr>
      <w:tr w:rsidR="00761800" w:rsidRPr="00761800" w14:paraId="5DF22E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5448D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2.2.2.</w:t>
            </w:r>
          </w:p>
        </w:tc>
        <w:tc>
          <w:tcPr>
            <w:tcW w:w="11062" w:type="dxa"/>
            <w:tcBorders>
              <w:top w:val="nil"/>
              <w:left w:val="nil"/>
              <w:bottom w:val="single" w:sz="4" w:space="0" w:color="auto"/>
              <w:right w:val="single" w:sz="4" w:space="0" w:color="auto"/>
            </w:tcBorders>
            <w:shd w:val="clear" w:color="auto" w:fill="auto"/>
            <w:noWrap/>
            <w:vAlign w:val="bottom"/>
            <w:hideMark/>
          </w:tcPr>
          <w:p w14:paraId="01F70E60" w14:textId="77777777" w:rsidR="00761800" w:rsidRPr="00761800" w:rsidRDefault="00761800" w:rsidP="00761800">
            <w:pPr>
              <w:ind w:firstLineChars="800" w:firstLine="1760"/>
              <w:rPr>
                <w:rFonts w:ascii="Times New Roman" w:hAnsi="Times New Roman"/>
                <w:sz w:val="22"/>
                <w:szCs w:val="22"/>
                <w:lang w:eastAsia="bg-BG"/>
              </w:rPr>
            </w:pPr>
            <w:r w:rsidRPr="00761800">
              <w:rPr>
                <w:rFonts w:ascii="Times New Roman" w:hAnsi="Times New Roman"/>
                <w:sz w:val="22"/>
                <w:szCs w:val="22"/>
                <w:lang w:eastAsia="bg-BG"/>
              </w:rPr>
              <w:t xml:space="preserve"> за Предприятието за управление на дейностите по опазване на околната среда </w:t>
            </w:r>
          </w:p>
        </w:tc>
        <w:tc>
          <w:tcPr>
            <w:tcW w:w="2178" w:type="dxa"/>
            <w:tcBorders>
              <w:top w:val="nil"/>
              <w:left w:val="nil"/>
              <w:bottom w:val="single" w:sz="4" w:space="0" w:color="auto"/>
              <w:right w:val="single" w:sz="4" w:space="0" w:color="auto"/>
            </w:tcBorders>
            <w:shd w:val="clear" w:color="auto" w:fill="auto"/>
            <w:noWrap/>
            <w:vAlign w:val="bottom"/>
            <w:hideMark/>
          </w:tcPr>
          <w:p w14:paraId="7DEF3C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-22 500,0</w:t>
            </w:r>
          </w:p>
        </w:tc>
      </w:tr>
      <w:tr w:rsidR="00761800" w:rsidRPr="00761800" w14:paraId="259F0E9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EEC41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38866D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81CD8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3EAFF9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1FEBC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0480FD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84AC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B0D6021" w14:textId="77777777" w:rsidTr="00406B4D">
        <w:trPr>
          <w:trHeight w:val="300"/>
        </w:trPr>
        <w:tc>
          <w:tcPr>
            <w:tcW w:w="1013" w:type="dxa"/>
            <w:tcBorders>
              <w:top w:val="nil"/>
              <w:left w:val="nil"/>
              <w:bottom w:val="nil"/>
              <w:right w:val="nil"/>
            </w:tcBorders>
            <w:shd w:val="clear" w:color="auto" w:fill="auto"/>
            <w:noWrap/>
            <w:vAlign w:val="bottom"/>
            <w:hideMark/>
          </w:tcPr>
          <w:p w14:paraId="195D7CD0"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289E96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6FCB7326" w14:textId="77777777" w:rsidR="00761800" w:rsidRPr="00761800" w:rsidRDefault="00761800" w:rsidP="00761800">
            <w:pPr>
              <w:rPr>
                <w:rFonts w:ascii="Times New Roman" w:hAnsi="Times New Roman"/>
                <w:sz w:val="20"/>
                <w:lang w:eastAsia="bg-BG"/>
              </w:rPr>
            </w:pPr>
          </w:p>
        </w:tc>
      </w:tr>
      <w:tr w:rsidR="00761800" w:rsidRPr="00761800" w14:paraId="24EE95B1" w14:textId="77777777" w:rsidTr="00406B4D">
        <w:trPr>
          <w:trHeight w:val="300"/>
        </w:trPr>
        <w:tc>
          <w:tcPr>
            <w:tcW w:w="14253" w:type="dxa"/>
            <w:gridSpan w:val="3"/>
            <w:tcBorders>
              <w:top w:val="nil"/>
              <w:left w:val="nil"/>
              <w:bottom w:val="single" w:sz="4" w:space="0" w:color="auto"/>
              <w:right w:val="nil"/>
            </w:tcBorders>
            <w:shd w:val="clear" w:color="auto" w:fill="auto"/>
            <w:hideMark/>
          </w:tcPr>
          <w:p w14:paraId="7B2DBE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3BEF7062"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F16F2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4232C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32A3408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7B449B4"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BB7244F"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6BF8DA3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44D76E6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390FD99"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A7C4C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D99D4E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89190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1E588E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C5DC6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vAlign w:val="center"/>
            <w:hideMark/>
          </w:tcPr>
          <w:p w14:paraId="448D4B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опазването и ползването на компонентите на околната среда</w:t>
            </w:r>
          </w:p>
        </w:tc>
        <w:tc>
          <w:tcPr>
            <w:tcW w:w="2178" w:type="dxa"/>
            <w:tcBorders>
              <w:top w:val="nil"/>
              <w:left w:val="single" w:sz="4" w:space="0" w:color="auto"/>
              <w:bottom w:val="nil"/>
              <w:right w:val="single" w:sz="4" w:space="0" w:color="auto"/>
            </w:tcBorders>
            <w:shd w:val="clear" w:color="auto" w:fill="auto"/>
            <w:noWrap/>
            <w:vAlign w:val="bottom"/>
            <w:hideMark/>
          </w:tcPr>
          <w:p w14:paraId="7B8895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28 831,9</w:t>
            </w:r>
          </w:p>
        </w:tc>
      </w:tr>
      <w:tr w:rsidR="00761800" w:rsidRPr="00761800" w14:paraId="26F237D0" w14:textId="77777777" w:rsidTr="00406B4D">
        <w:trPr>
          <w:trHeight w:val="121"/>
        </w:trPr>
        <w:tc>
          <w:tcPr>
            <w:tcW w:w="1013" w:type="dxa"/>
            <w:tcBorders>
              <w:top w:val="nil"/>
              <w:left w:val="single" w:sz="4" w:space="0" w:color="auto"/>
              <w:bottom w:val="single" w:sz="4" w:space="0" w:color="auto"/>
              <w:right w:val="single" w:sz="4" w:space="0" w:color="auto"/>
            </w:tcBorders>
            <w:shd w:val="clear" w:color="auto" w:fill="auto"/>
            <w:noWrap/>
            <w:hideMark/>
          </w:tcPr>
          <w:p w14:paraId="1DC272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vAlign w:val="center"/>
            <w:hideMark/>
          </w:tcPr>
          <w:p w14:paraId="47B3E9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Националната система за мониторинг на околната среда и информационна обезпеченост</w:t>
            </w:r>
          </w:p>
        </w:tc>
        <w:tc>
          <w:tcPr>
            <w:tcW w:w="2178" w:type="dxa"/>
            <w:tcBorders>
              <w:top w:val="single" w:sz="4" w:space="0" w:color="auto"/>
              <w:left w:val="single" w:sz="4" w:space="0" w:color="auto"/>
              <w:bottom w:val="nil"/>
              <w:right w:val="single" w:sz="4" w:space="0" w:color="auto"/>
            </w:tcBorders>
            <w:shd w:val="clear" w:color="auto" w:fill="auto"/>
            <w:noWrap/>
            <w:vAlign w:val="bottom"/>
            <w:hideMark/>
          </w:tcPr>
          <w:p w14:paraId="5C182F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10 853,8</w:t>
            </w:r>
          </w:p>
        </w:tc>
      </w:tr>
      <w:tr w:rsidR="00761800" w:rsidRPr="00761800" w14:paraId="41E857A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553F5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vAlign w:val="center"/>
            <w:hideMark/>
          </w:tcPr>
          <w:p w14:paraId="70F6D4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Други бюджетни програми:</w:t>
            </w:r>
          </w:p>
        </w:tc>
        <w:tc>
          <w:tcPr>
            <w:tcW w:w="2178" w:type="dxa"/>
            <w:tcBorders>
              <w:top w:val="single" w:sz="4" w:space="0" w:color="auto"/>
              <w:left w:val="single" w:sz="4" w:space="0" w:color="auto"/>
              <w:bottom w:val="nil"/>
              <w:right w:val="single" w:sz="4" w:space="0" w:color="auto"/>
            </w:tcBorders>
            <w:shd w:val="clear" w:color="auto" w:fill="auto"/>
            <w:noWrap/>
            <w:vAlign w:val="bottom"/>
            <w:hideMark/>
          </w:tcPr>
          <w:p w14:paraId="4838B0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19 497,9</w:t>
            </w:r>
          </w:p>
        </w:tc>
      </w:tr>
      <w:tr w:rsidR="00761800" w:rsidRPr="00761800" w14:paraId="7A04DDC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97871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3.1.</w:t>
            </w:r>
          </w:p>
        </w:tc>
        <w:tc>
          <w:tcPr>
            <w:tcW w:w="11062" w:type="dxa"/>
            <w:tcBorders>
              <w:top w:val="nil"/>
              <w:left w:val="nil"/>
              <w:bottom w:val="single" w:sz="4" w:space="0" w:color="auto"/>
              <w:right w:val="nil"/>
            </w:tcBorders>
            <w:shd w:val="clear" w:color="auto" w:fill="auto"/>
            <w:vAlign w:val="center"/>
            <w:hideMark/>
          </w:tcPr>
          <w:p w14:paraId="6C95B418"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Бюджетна програма „Дейности по метеорология, хидрология и агрометеорология“</w:t>
            </w:r>
          </w:p>
        </w:tc>
        <w:tc>
          <w:tcPr>
            <w:tcW w:w="2178" w:type="dxa"/>
            <w:tcBorders>
              <w:top w:val="single" w:sz="4" w:space="0" w:color="auto"/>
              <w:left w:val="single" w:sz="4" w:space="0" w:color="auto"/>
              <w:bottom w:val="nil"/>
              <w:right w:val="single" w:sz="4" w:space="0" w:color="auto"/>
            </w:tcBorders>
            <w:shd w:val="clear" w:color="auto" w:fill="auto"/>
            <w:noWrap/>
            <w:vAlign w:val="bottom"/>
            <w:hideMark/>
          </w:tcPr>
          <w:p w14:paraId="462AFB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19 497,9</w:t>
            </w:r>
          </w:p>
        </w:tc>
      </w:tr>
      <w:tr w:rsidR="00761800" w:rsidRPr="00761800" w14:paraId="54517CBF"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27BC15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4.</w:t>
            </w:r>
          </w:p>
        </w:tc>
        <w:tc>
          <w:tcPr>
            <w:tcW w:w="11062" w:type="dxa"/>
            <w:tcBorders>
              <w:top w:val="nil"/>
              <w:left w:val="nil"/>
              <w:bottom w:val="single" w:sz="4" w:space="0" w:color="auto"/>
              <w:right w:val="nil"/>
            </w:tcBorders>
            <w:shd w:val="clear" w:color="auto" w:fill="auto"/>
            <w:vAlign w:val="center"/>
            <w:hideMark/>
          </w:tcPr>
          <w:p w14:paraId="759C0C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9FD2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18 590,5</w:t>
            </w:r>
          </w:p>
        </w:tc>
      </w:tr>
      <w:tr w:rsidR="00761800" w:rsidRPr="00761800" w14:paraId="6844AAAC"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52B9E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bottom"/>
            <w:hideMark/>
          </w:tcPr>
          <w:p w14:paraId="057427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nil"/>
              <w:bottom w:val="single" w:sz="4" w:space="0" w:color="auto"/>
              <w:right w:val="single" w:sz="4" w:space="0" w:color="auto"/>
            </w:tcBorders>
            <w:shd w:val="clear" w:color="auto" w:fill="auto"/>
            <w:noWrap/>
            <w:vAlign w:val="bottom"/>
            <w:hideMark/>
          </w:tcPr>
          <w:p w14:paraId="54269C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77 774,1</w:t>
            </w:r>
          </w:p>
        </w:tc>
      </w:tr>
      <w:tr w:rsidR="00761800" w:rsidRPr="00761800" w14:paraId="5C70AB04" w14:textId="77777777" w:rsidTr="00406B4D">
        <w:trPr>
          <w:trHeight w:val="300"/>
        </w:trPr>
        <w:tc>
          <w:tcPr>
            <w:tcW w:w="1013" w:type="dxa"/>
            <w:tcBorders>
              <w:top w:val="nil"/>
              <w:left w:val="nil"/>
              <w:bottom w:val="nil"/>
              <w:right w:val="nil"/>
            </w:tcBorders>
            <w:shd w:val="clear" w:color="auto" w:fill="auto"/>
            <w:noWrap/>
            <w:vAlign w:val="bottom"/>
            <w:hideMark/>
          </w:tcPr>
          <w:p w14:paraId="2D547282"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BB9BFE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40035F6D" w14:textId="77777777" w:rsidR="00761800" w:rsidRPr="00761800" w:rsidRDefault="00761800" w:rsidP="00761800">
            <w:pPr>
              <w:rPr>
                <w:rFonts w:ascii="Times New Roman" w:hAnsi="Times New Roman"/>
                <w:sz w:val="20"/>
                <w:lang w:eastAsia="bg-BG"/>
              </w:rPr>
            </w:pPr>
          </w:p>
        </w:tc>
      </w:tr>
      <w:tr w:rsidR="00761800" w:rsidRPr="00761800" w14:paraId="4A6263A3" w14:textId="77777777" w:rsidTr="00406B4D">
        <w:trPr>
          <w:trHeight w:val="300"/>
        </w:trPr>
        <w:tc>
          <w:tcPr>
            <w:tcW w:w="14253" w:type="dxa"/>
            <w:gridSpan w:val="3"/>
            <w:tcBorders>
              <w:top w:val="nil"/>
              <w:left w:val="nil"/>
              <w:bottom w:val="nil"/>
              <w:right w:val="nil"/>
            </w:tcBorders>
            <w:shd w:val="clear" w:color="auto" w:fill="auto"/>
            <w:hideMark/>
          </w:tcPr>
          <w:p w14:paraId="695DB1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околната среда и водите, както следва:</w:t>
            </w:r>
          </w:p>
        </w:tc>
      </w:tr>
      <w:tr w:rsidR="00761800" w:rsidRPr="00761800" w14:paraId="1EF925E5"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9533B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5EDC29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6D4F86F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079FF93" w14:textId="77777777" w:rsidTr="00406B4D">
        <w:trPr>
          <w:trHeight w:val="278"/>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572F815B"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54825E9E"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2874B61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C32107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34E69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2403DB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58C8E0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484A9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7AD8D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6822E7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E224A2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27 305,4</w:t>
            </w:r>
          </w:p>
        </w:tc>
      </w:tr>
      <w:tr w:rsidR="00761800" w:rsidRPr="00761800" w14:paraId="133C6E9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07482D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60CCFF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33605F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23 444,6</w:t>
            </w:r>
          </w:p>
        </w:tc>
      </w:tr>
      <w:tr w:rsidR="00761800" w:rsidRPr="00761800" w14:paraId="7DEF0407" w14:textId="77777777" w:rsidTr="00406B4D">
        <w:trPr>
          <w:trHeight w:val="300"/>
        </w:trPr>
        <w:tc>
          <w:tcPr>
            <w:tcW w:w="1013" w:type="dxa"/>
            <w:tcBorders>
              <w:top w:val="nil"/>
              <w:left w:val="nil"/>
              <w:bottom w:val="nil"/>
              <w:right w:val="nil"/>
            </w:tcBorders>
            <w:shd w:val="clear" w:color="auto" w:fill="auto"/>
            <w:vAlign w:val="bottom"/>
            <w:hideMark/>
          </w:tcPr>
          <w:p w14:paraId="106A8BF1"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6287592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7D749E6F" w14:textId="77777777" w:rsidR="00761800" w:rsidRPr="00761800" w:rsidRDefault="00761800" w:rsidP="00761800">
            <w:pPr>
              <w:rPr>
                <w:rFonts w:ascii="Times New Roman" w:hAnsi="Times New Roman"/>
                <w:sz w:val="20"/>
                <w:lang w:eastAsia="bg-BG"/>
              </w:rPr>
            </w:pPr>
          </w:p>
        </w:tc>
      </w:tr>
      <w:tr w:rsidR="00761800" w:rsidRPr="00761800" w14:paraId="5708F860" w14:textId="77777777" w:rsidTr="00406B4D">
        <w:trPr>
          <w:trHeight w:val="300"/>
        </w:trPr>
        <w:tc>
          <w:tcPr>
            <w:tcW w:w="14253" w:type="dxa"/>
            <w:gridSpan w:val="3"/>
            <w:tcBorders>
              <w:top w:val="nil"/>
              <w:left w:val="nil"/>
              <w:bottom w:val="nil"/>
              <w:right w:val="nil"/>
            </w:tcBorders>
            <w:shd w:val="clear" w:color="auto" w:fill="auto"/>
            <w:vAlign w:val="bottom"/>
            <w:hideMark/>
          </w:tcPr>
          <w:p w14:paraId="557A7C8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19.</w:t>
            </w:r>
            <w:r w:rsidRPr="00761800">
              <w:rPr>
                <w:rFonts w:ascii="Times New Roman" w:hAnsi="Times New Roman"/>
                <w:color w:val="000000"/>
                <w:sz w:val="22"/>
                <w:szCs w:val="22"/>
                <w:lang w:eastAsia="bg-BG"/>
              </w:rPr>
              <w:t xml:space="preserve"> (1) Приема бюджета на Министерството на икономиката, инвестициите и индустрията за 2026 г., както следва:</w:t>
            </w:r>
          </w:p>
        </w:tc>
      </w:tr>
      <w:tr w:rsidR="00761800" w:rsidRPr="00761800" w14:paraId="27659E70" w14:textId="77777777" w:rsidTr="00406B4D">
        <w:trPr>
          <w:trHeight w:val="338"/>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E2D5BD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lastRenderedPageBreak/>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D28D5D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22A1772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61DD09E"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07C0529"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0DE9A89"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66DB4CC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6946F2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0D8F67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E75295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FC0128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BA8B90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77A2E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054D0E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82CD9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19 368,0</w:t>
            </w:r>
          </w:p>
        </w:tc>
      </w:tr>
      <w:tr w:rsidR="00761800" w:rsidRPr="00761800" w14:paraId="4BE4909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2CE94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A18B9A8"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19713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19 368,0</w:t>
            </w:r>
          </w:p>
        </w:tc>
      </w:tr>
      <w:tr w:rsidR="00761800" w:rsidRPr="00761800" w14:paraId="2D4B298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A8CBA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23D482C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A8EA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15 919,8</w:t>
            </w:r>
          </w:p>
        </w:tc>
      </w:tr>
      <w:tr w:rsidR="00761800" w:rsidRPr="00761800" w14:paraId="33C6EC2B"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3784D6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7E15229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BDCE1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2 916,4</w:t>
            </w:r>
          </w:p>
        </w:tc>
      </w:tr>
      <w:tr w:rsidR="00761800" w:rsidRPr="00761800" w14:paraId="735440F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15EFB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63EABFD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FCE95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1 361,1</w:t>
            </w:r>
          </w:p>
        </w:tc>
      </w:tr>
      <w:tr w:rsidR="00761800" w:rsidRPr="00761800" w14:paraId="4918EAF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24C34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4099CD3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6281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-829,3</w:t>
            </w:r>
          </w:p>
        </w:tc>
      </w:tr>
      <w:tr w:rsidR="00761800" w:rsidRPr="00761800" w14:paraId="5149FD8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BFAA0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38DA23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8C1D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71 544,5</w:t>
            </w:r>
          </w:p>
        </w:tc>
      </w:tr>
      <w:tr w:rsidR="00761800" w:rsidRPr="00761800" w14:paraId="5795C3A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E8F29F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754A868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716FA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70 020,5</w:t>
            </w:r>
          </w:p>
        </w:tc>
      </w:tr>
      <w:tr w:rsidR="00761800" w:rsidRPr="00761800" w14:paraId="438F53E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803A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D5345B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EA60E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6B7825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C9396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74EF1F5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936C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41 924,7</w:t>
            </w:r>
          </w:p>
        </w:tc>
      </w:tr>
      <w:tr w:rsidR="00761800" w:rsidRPr="00761800" w14:paraId="7E03387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90FEA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72A0E84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1FCE5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19 456,4</w:t>
            </w:r>
          </w:p>
        </w:tc>
      </w:tr>
      <w:tr w:rsidR="00761800" w:rsidRPr="00761800" w14:paraId="3163337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C9A36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232F5D3E"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B18CC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18 359,7</w:t>
            </w:r>
          </w:p>
        </w:tc>
      </w:tr>
      <w:tr w:rsidR="00761800" w:rsidRPr="00761800" w14:paraId="0F190E9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BB2A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w:t>
            </w:r>
          </w:p>
        </w:tc>
        <w:tc>
          <w:tcPr>
            <w:tcW w:w="11062" w:type="dxa"/>
            <w:tcBorders>
              <w:top w:val="nil"/>
              <w:left w:val="nil"/>
              <w:bottom w:val="single" w:sz="4" w:space="0" w:color="auto"/>
              <w:right w:val="nil"/>
            </w:tcBorders>
            <w:shd w:val="clear" w:color="auto" w:fill="auto"/>
            <w:noWrap/>
            <w:vAlign w:val="bottom"/>
            <w:hideMark/>
          </w:tcPr>
          <w:p w14:paraId="384E3CDE"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C81EA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1 096,7</w:t>
            </w:r>
          </w:p>
        </w:tc>
      </w:tr>
      <w:tr w:rsidR="00761800" w:rsidRPr="00761800" w14:paraId="3964E25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F5099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220B8DA"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C6067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2563D9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E4C7F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1.2.2.1.</w:t>
            </w:r>
          </w:p>
        </w:tc>
        <w:tc>
          <w:tcPr>
            <w:tcW w:w="11062" w:type="dxa"/>
            <w:tcBorders>
              <w:top w:val="nil"/>
              <w:left w:val="nil"/>
              <w:bottom w:val="single" w:sz="4" w:space="0" w:color="auto"/>
              <w:right w:val="single" w:sz="4" w:space="0" w:color="auto"/>
            </w:tcBorders>
            <w:shd w:val="clear" w:color="auto" w:fill="auto"/>
            <w:vAlign w:val="center"/>
            <w:hideMark/>
          </w:tcPr>
          <w:p w14:paraId="07B3B05B" w14:textId="77777777" w:rsidR="00761800" w:rsidRPr="00761800" w:rsidRDefault="00761800" w:rsidP="00761800">
            <w:pPr>
              <w:ind w:firstLineChars="500" w:firstLine="1100"/>
              <w:rPr>
                <w:rFonts w:ascii="Times New Roman" w:hAnsi="Times New Roman"/>
                <w:i/>
                <w:iCs/>
                <w:sz w:val="22"/>
                <w:szCs w:val="22"/>
                <w:lang w:eastAsia="bg-BG"/>
              </w:rPr>
            </w:pPr>
            <w:r w:rsidRPr="00761800">
              <w:rPr>
                <w:rFonts w:ascii="Times New Roman" w:hAnsi="Times New Roman"/>
                <w:i/>
                <w:iCs/>
                <w:sz w:val="22"/>
                <w:szCs w:val="22"/>
                <w:lang w:eastAsia="bg-BG"/>
              </w:rPr>
              <w:t>Български институт за стандартизация</w:t>
            </w:r>
          </w:p>
        </w:tc>
        <w:tc>
          <w:tcPr>
            <w:tcW w:w="2178" w:type="dxa"/>
            <w:tcBorders>
              <w:top w:val="nil"/>
              <w:left w:val="nil"/>
              <w:bottom w:val="single" w:sz="4" w:space="0" w:color="auto"/>
              <w:right w:val="single" w:sz="4" w:space="0" w:color="auto"/>
            </w:tcBorders>
            <w:shd w:val="clear" w:color="auto" w:fill="auto"/>
            <w:noWrap/>
            <w:vAlign w:val="bottom"/>
            <w:hideMark/>
          </w:tcPr>
          <w:p w14:paraId="13814C3B" w14:textId="77777777" w:rsidR="00761800" w:rsidRPr="00761800" w:rsidRDefault="00761800" w:rsidP="00761800">
            <w:pPr>
              <w:jc w:val="right"/>
              <w:rPr>
                <w:rFonts w:ascii="Times New Roman" w:hAnsi="Times New Roman"/>
                <w:i/>
                <w:iCs/>
                <w:sz w:val="22"/>
                <w:szCs w:val="22"/>
                <w:lang w:eastAsia="bg-BG"/>
              </w:rPr>
            </w:pPr>
            <w:r w:rsidRPr="00761800">
              <w:rPr>
                <w:rFonts w:ascii="Times New Roman" w:hAnsi="Times New Roman"/>
                <w:i/>
                <w:iCs/>
                <w:sz w:val="22"/>
                <w:szCs w:val="22"/>
                <w:lang w:eastAsia="bg-BG"/>
              </w:rPr>
              <w:t>1 060,9</w:t>
            </w:r>
          </w:p>
        </w:tc>
      </w:tr>
      <w:tr w:rsidR="00761800" w:rsidRPr="00761800" w14:paraId="1450BAB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18683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406173B0"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59FF3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1 524,0</w:t>
            </w:r>
          </w:p>
        </w:tc>
      </w:tr>
      <w:tr w:rsidR="00761800" w:rsidRPr="00761800" w14:paraId="11A131D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818478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567C538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7A9DC5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1 524,0</w:t>
            </w:r>
          </w:p>
        </w:tc>
      </w:tr>
      <w:tr w:rsidR="00761800" w:rsidRPr="00761800" w14:paraId="10EF89F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0233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1F71AA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69C30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52 176,5</w:t>
            </w:r>
          </w:p>
        </w:tc>
      </w:tr>
      <w:tr w:rsidR="00761800" w:rsidRPr="00761800" w14:paraId="7A83E8A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08D1E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0E3764A"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13DCA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61 984,4</w:t>
            </w:r>
          </w:p>
        </w:tc>
      </w:tr>
      <w:tr w:rsidR="00761800" w:rsidRPr="00761800" w14:paraId="1870EDC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1809F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2E7B0120"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FE6E8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-9 712,1</w:t>
            </w:r>
          </w:p>
        </w:tc>
      </w:tr>
      <w:tr w:rsidR="00761800" w:rsidRPr="00761800" w14:paraId="6D4DF0A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F5ECF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33418991"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44745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-9 712,1</w:t>
            </w:r>
          </w:p>
        </w:tc>
      </w:tr>
      <w:tr w:rsidR="00761800" w:rsidRPr="00761800" w14:paraId="5562C20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21580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2.1.1.</w:t>
            </w:r>
          </w:p>
        </w:tc>
        <w:tc>
          <w:tcPr>
            <w:tcW w:w="11062" w:type="dxa"/>
            <w:tcBorders>
              <w:top w:val="nil"/>
              <w:left w:val="nil"/>
              <w:bottom w:val="single" w:sz="4" w:space="0" w:color="auto"/>
              <w:right w:val="single" w:sz="4" w:space="0" w:color="auto"/>
            </w:tcBorders>
            <w:shd w:val="clear" w:color="auto" w:fill="auto"/>
            <w:noWrap/>
            <w:vAlign w:val="bottom"/>
            <w:hideMark/>
          </w:tcPr>
          <w:p w14:paraId="6DE995CB"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 за Държавното предприятие „Управление и стопанисване на язовири“</w:t>
            </w:r>
          </w:p>
        </w:tc>
        <w:tc>
          <w:tcPr>
            <w:tcW w:w="2178" w:type="dxa"/>
            <w:tcBorders>
              <w:top w:val="nil"/>
              <w:left w:val="nil"/>
              <w:bottom w:val="single" w:sz="4" w:space="0" w:color="auto"/>
              <w:right w:val="single" w:sz="4" w:space="0" w:color="auto"/>
            </w:tcBorders>
            <w:shd w:val="clear" w:color="auto" w:fill="auto"/>
            <w:noWrap/>
            <w:vAlign w:val="bottom"/>
            <w:hideMark/>
          </w:tcPr>
          <w:p w14:paraId="352487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-9 712,1</w:t>
            </w:r>
          </w:p>
        </w:tc>
      </w:tr>
      <w:tr w:rsidR="00761800" w:rsidRPr="00761800" w14:paraId="2E5E74E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8BB84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nil"/>
            </w:tcBorders>
            <w:shd w:val="clear" w:color="auto" w:fill="auto"/>
            <w:noWrap/>
            <w:vAlign w:val="bottom"/>
            <w:hideMark/>
          </w:tcPr>
          <w:p w14:paraId="5CE38883"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F8FF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-95,8</w:t>
            </w:r>
          </w:p>
        </w:tc>
      </w:tr>
      <w:tr w:rsidR="00761800" w:rsidRPr="00761800" w14:paraId="1BF89A3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8B7F5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3.1.</w:t>
            </w:r>
          </w:p>
        </w:tc>
        <w:tc>
          <w:tcPr>
            <w:tcW w:w="11062" w:type="dxa"/>
            <w:tcBorders>
              <w:top w:val="nil"/>
              <w:left w:val="nil"/>
              <w:bottom w:val="single" w:sz="4" w:space="0" w:color="auto"/>
              <w:right w:val="nil"/>
            </w:tcBorders>
            <w:shd w:val="clear" w:color="auto" w:fill="auto"/>
            <w:noWrap/>
            <w:vAlign w:val="bottom"/>
            <w:hideMark/>
          </w:tcPr>
          <w:p w14:paraId="44613792"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09DAC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-95,8</w:t>
            </w:r>
          </w:p>
        </w:tc>
      </w:tr>
      <w:tr w:rsidR="00761800" w:rsidRPr="00761800" w14:paraId="6020AFB8"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2B4000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516E58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13CAF6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AC9498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10208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26081F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0A37B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E9B82D7" w14:textId="77777777" w:rsidTr="00406B4D">
        <w:trPr>
          <w:trHeight w:val="300"/>
        </w:trPr>
        <w:tc>
          <w:tcPr>
            <w:tcW w:w="1013" w:type="dxa"/>
            <w:tcBorders>
              <w:top w:val="nil"/>
              <w:left w:val="nil"/>
              <w:bottom w:val="nil"/>
              <w:right w:val="nil"/>
            </w:tcBorders>
            <w:shd w:val="clear" w:color="auto" w:fill="auto"/>
            <w:noWrap/>
            <w:vAlign w:val="bottom"/>
            <w:hideMark/>
          </w:tcPr>
          <w:p w14:paraId="57170C5F"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A427F2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54154240" w14:textId="77777777" w:rsidR="00761800" w:rsidRPr="00761800" w:rsidRDefault="00761800" w:rsidP="00761800">
            <w:pPr>
              <w:rPr>
                <w:rFonts w:ascii="Times New Roman" w:hAnsi="Times New Roman"/>
                <w:sz w:val="20"/>
                <w:lang w:eastAsia="bg-BG"/>
              </w:rPr>
            </w:pPr>
          </w:p>
        </w:tc>
      </w:tr>
      <w:tr w:rsidR="00761800" w:rsidRPr="00761800" w14:paraId="3245BC46" w14:textId="77777777" w:rsidTr="00406B4D">
        <w:trPr>
          <w:trHeight w:val="289"/>
        </w:trPr>
        <w:tc>
          <w:tcPr>
            <w:tcW w:w="14253" w:type="dxa"/>
            <w:gridSpan w:val="3"/>
            <w:tcBorders>
              <w:top w:val="nil"/>
              <w:left w:val="nil"/>
              <w:bottom w:val="single" w:sz="4" w:space="0" w:color="auto"/>
              <w:right w:val="nil"/>
            </w:tcBorders>
            <w:shd w:val="clear" w:color="auto" w:fill="auto"/>
            <w:hideMark/>
          </w:tcPr>
          <w:p w14:paraId="3EF75A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7FA81E73"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549B5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D7AD7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0D25D6A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08F8CFB"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FA52FEA"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2F2C13E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4903598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55712D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E203E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604828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1100C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EF03FA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87A2E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725B81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устойчивото икономическо развитие и конкурентоспособност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B7B29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58 021,3</w:t>
            </w:r>
          </w:p>
        </w:tc>
      </w:tr>
      <w:tr w:rsidR="00761800" w:rsidRPr="00761800" w14:paraId="5C96A1F8"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61C64D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0F9D8F7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ефективното външноикономическо сътрудничество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9621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7 704,9</w:t>
            </w:r>
          </w:p>
        </w:tc>
      </w:tr>
      <w:tr w:rsidR="00761800" w:rsidRPr="00761800" w14:paraId="076B4D7E"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19D082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noWrap/>
            <w:vAlign w:val="bottom"/>
            <w:hideMark/>
          </w:tcPr>
          <w:p w14:paraId="6F36FF4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BEB92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5 818,3</w:t>
            </w:r>
          </w:p>
        </w:tc>
      </w:tr>
      <w:tr w:rsidR="00761800" w:rsidRPr="00761800" w14:paraId="701E13D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A8882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20E32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5BC33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71 544,5</w:t>
            </w:r>
          </w:p>
        </w:tc>
      </w:tr>
      <w:tr w:rsidR="00761800" w:rsidRPr="00761800" w14:paraId="2B381335" w14:textId="77777777" w:rsidTr="00406B4D">
        <w:trPr>
          <w:trHeight w:val="289"/>
        </w:trPr>
        <w:tc>
          <w:tcPr>
            <w:tcW w:w="1013" w:type="dxa"/>
            <w:tcBorders>
              <w:top w:val="nil"/>
              <w:left w:val="nil"/>
              <w:bottom w:val="nil"/>
              <w:right w:val="nil"/>
            </w:tcBorders>
            <w:shd w:val="clear" w:color="auto" w:fill="auto"/>
            <w:noWrap/>
            <w:vAlign w:val="bottom"/>
            <w:hideMark/>
          </w:tcPr>
          <w:p w14:paraId="4CEB797E"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0A0A9B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2E9BD49B" w14:textId="77777777" w:rsidR="00761800" w:rsidRPr="00761800" w:rsidRDefault="00761800" w:rsidP="00761800">
            <w:pPr>
              <w:rPr>
                <w:rFonts w:ascii="Times New Roman" w:hAnsi="Times New Roman"/>
                <w:sz w:val="20"/>
                <w:lang w:eastAsia="bg-BG"/>
              </w:rPr>
            </w:pPr>
          </w:p>
        </w:tc>
      </w:tr>
      <w:tr w:rsidR="00761800" w:rsidRPr="00761800" w14:paraId="049F8014" w14:textId="77777777" w:rsidTr="00406B4D">
        <w:trPr>
          <w:trHeight w:val="549"/>
        </w:trPr>
        <w:tc>
          <w:tcPr>
            <w:tcW w:w="14253" w:type="dxa"/>
            <w:gridSpan w:val="3"/>
            <w:tcBorders>
              <w:top w:val="nil"/>
              <w:left w:val="nil"/>
              <w:bottom w:val="single" w:sz="4" w:space="0" w:color="auto"/>
              <w:right w:val="nil"/>
            </w:tcBorders>
            <w:shd w:val="clear" w:color="auto" w:fill="auto"/>
            <w:hideMark/>
          </w:tcPr>
          <w:p w14:paraId="21458F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икономиката, инвестициите и индустрията, както следва:</w:t>
            </w:r>
          </w:p>
        </w:tc>
      </w:tr>
      <w:tr w:rsidR="00761800" w:rsidRPr="00761800" w14:paraId="79A627B4" w14:textId="77777777" w:rsidTr="00406B4D">
        <w:trPr>
          <w:trHeight w:val="323"/>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01352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61E07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70EE1B9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CAABB85"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64E244A"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2ED32D7C"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7684B89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D7905A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CE8B3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63D516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969088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0E2894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6DA8C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195259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4443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30 160,8</w:t>
            </w:r>
          </w:p>
        </w:tc>
      </w:tr>
      <w:tr w:rsidR="00761800" w:rsidRPr="00761800" w14:paraId="429F24E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DB8EE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6AA203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476F4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29 138,2</w:t>
            </w:r>
          </w:p>
        </w:tc>
      </w:tr>
      <w:tr w:rsidR="00761800" w:rsidRPr="00761800" w14:paraId="4B5554F5" w14:textId="77777777" w:rsidTr="00406B4D">
        <w:trPr>
          <w:trHeight w:val="97"/>
        </w:trPr>
        <w:tc>
          <w:tcPr>
            <w:tcW w:w="1013" w:type="dxa"/>
            <w:tcBorders>
              <w:top w:val="nil"/>
              <w:left w:val="nil"/>
              <w:bottom w:val="nil"/>
              <w:right w:val="nil"/>
            </w:tcBorders>
            <w:shd w:val="clear" w:color="auto" w:fill="auto"/>
            <w:noWrap/>
            <w:vAlign w:val="bottom"/>
            <w:hideMark/>
          </w:tcPr>
          <w:p w14:paraId="6E588976"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59E6D40"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39D213FB" w14:textId="77777777" w:rsidR="00761800" w:rsidRPr="00761800" w:rsidRDefault="00761800" w:rsidP="00761800">
            <w:pPr>
              <w:rPr>
                <w:rFonts w:ascii="Times New Roman" w:hAnsi="Times New Roman"/>
                <w:sz w:val="20"/>
                <w:lang w:eastAsia="bg-BG"/>
              </w:rPr>
            </w:pPr>
          </w:p>
        </w:tc>
      </w:tr>
      <w:tr w:rsidR="00761800" w:rsidRPr="00761800" w14:paraId="2777C0D1" w14:textId="77777777" w:rsidTr="00406B4D">
        <w:trPr>
          <w:trHeight w:val="366"/>
        </w:trPr>
        <w:tc>
          <w:tcPr>
            <w:tcW w:w="14253" w:type="dxa"/>
            <w:gridSpan w:val="3"/>
            <w:tcBorders>
              <w:top w:val="nil"/>
              <w:left w:val="nil"/>
              <w:bottom w:val="nil"/>
              <w:right w:val="nil"/>
            </w:tcBorders>
            <w:shd w:val="clear" w:color="auto" w:fill="auto"/>
            <w:hideMark/>
          </w:tcPr>
          <w:p w14:paraId="23A90D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(4) Утвърждава целеви средства за субсидии и други текущи трансфери за нефинансови предприятия за мерки по Закона за насърчаване на инвестициите в размер на 10 168,8 хил. евро, които са в рамките на разходите по ал. 1 и не могат да бъдат разходвани за други цели.</w:t>
            </w:r>
          </w:p>
        </w:tc>
      </w:tr>
      <w:tr w:rsidR="00761800" w:rsidRPr="00761800" w14:paraId="57DD4424" w14:textId="77777777" w:rsidTr="00406B4D">
        <w:trPr>
          <w:trHeight w:val="300"/>
        </w:trPr>
        <w:tc>
          <w:tcPr>
            <w:tcW w:w="1013" w:type="dxa"/>
            <w:tcBorders>
              <w:top w:val="nil"/>
              <w:left w:val="nil"/>
              <w:bottom w:val="nil"/>
              <w:right w:val="nil"/>
            </w:tcBorders>
            <w:shd w:val="clear" w:color="auto" w:fill="auto"/>
            <w:vAlign w:val="bottom"/>
            <w:hideMark/>
          </w:tcPr>
          <w:p w14:paraId="382CD92F" w14:textId="77777777" w:rsidR="00761800" w:rsidRPr="00761800" w:rsidRDefault="00761800" w:rsidP="00761800">
            <w:pPr>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2B94AFF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022EC8E2" w14:textId="77777777" w:rsidR="00761800" w:rsidRPr="00761800" w:rsidRDefault="00761800" w:rsidP="00761800">
            <w:pPr>
              <w:rPr>
                <w:rFonts w:ascii="Times New Roman" w:hAnsi="Times New Roman"/>
                <w:sz w:val="20"/>
                <w:lang w:eastAsia="bg-BG"/>
              </w:rPr>
            </w:pPr>
          </w:p>
        </w:tc>
      </w:tr>
      <w:tr w:rsidR="00761800" w:rsidRPr="00761800" w14:paraId="3C3D6FAA" w14:textId="77777777" w:rsidTr="00406B4D">
        <w:trPr>
          <w:trHeight w:val="300"/>
        </w:trPr>
        <w:tc>
          <w:tcPr>
            <w:tcW w:w="14253" w:type="dxa"/>
            <w:gridSpan w:val="3"/>
            <w:tcBorders>
              <w:top w:val="nil"/>
              <w:left w:val="nil"/>
              <w:bottom w:val="nil"/>
              <w:right w:val="nil"/>
            </w:tcBorders>
            <w:shd w:val="clear" w:color="auto" w:fill="auto"/>
            <w:vAlign w:val="bottom"/>
            <w:hideMark/>
          </w:tcPr>
          <w:p w14:paraId="5E8C0234"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20.</w:t>
            </w:r>
            <w:r w:rsidRPr="00761800">
              <w:rPr>
                <w:rFonts w:ascii="Times New Roman" w:hAnsi="Times New Roman"/>
                <w:color w:val="000000"/>
                <w:sz w:val="22"/>
                <w:szCs w:val="22"/>
                <w:lang w:eastAsia="bg-BG"/>
              </w:rPr>
              <w:t xml:space="preserve"> (1) Приема бюджета на Министерството на иновациите и дигиталната трансформация за 2026 г., както следва:</w:t>
            </w:r>
          </w:p>
        </w:tc>
      </w:tr>
      <w:tr w:rsidR="00761800" w:rsidRPr="00761800" w14:paraId="166A03C3" w14:textId="77777777" w:rsidTr="00406B4D">
        <w:trPr>
          <w:trHeight w:val="36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BF1A06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FA277F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36E1FB1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E99DE36"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7C1F0CFA"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4E41DB6A"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4F8B507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74DD80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FEE8B5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D638A2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EB6D67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0D4477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065BE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3A47C17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DD649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87F810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AC651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25411B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DC9F9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42 188,7</w:t>
            </w:r>
          </w:p>
        </w:tc>
      </w:tr>
      <w:tr w:rsidR="00761800" w:rsidRPr="00761800" w14:paraId="7EDE35E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E851B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4378BA39"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98CEF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39 878,3</w:t>
            </w:r>
          </w:p>
        </w:tc>
      </w:tr>
      <w:tr w:rsidR="00761800" w:rsidRPr="00761800" w14:paraId="64326EBC"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2DC7166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9B3DA9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3D4C2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EE32D3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CF1E8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0DD3010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2DB37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19 955,5</w:t>
            </w:r>
          </w:p>
        </w:tc>
      </w:tr>
      <w:tr w:rsidR="00761800" w:rsidRPr="00761800" w14:paraId="15BAF7F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C4ACC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1.2.</w:t>
            </w:r>
          </w:p>
        </w:tc>
        <w:tc>
          <w:tcPr>
            <w:tcW w:w="11062" w:type="dxa"/>
            <w:tcBorders>
              <w:top w:val="nil"/>
              <w:left w:val="nil"/>
              <w:bottom w:val="single" w:sz="4" w:space="0" w:color="auto"/>
              <w:right w:val="nil"/>
            </w:tcBorders>
            <w:shd w:val="clear" w:color="auto" w:fill="auto"/>
            <w:noWrap/>
            <w:vAlign w:val="bottom"/>
            <w:hideMark/>
          </w:tcPr>
          <w:p w14:paraId="6C955BA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8EA75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3 992,8</w:t>
            </w:r>
          </w:p>
        </w:tc>
      </w:tr>
      <w:tr w:rsidR="00761800" w:rsidRPr="00761800" w14:paraId="096FDDE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0C783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4112EECB"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E5FBA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3 992,8</w:t>
            </w:r>
          </w:p>
        </w:tc>
      </w:tr>
      <w:tr w:rsidR="00761800" w:rsidRPr="00761800" w14:paraId="1F4F49D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39FE3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47F88146"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8423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2 310,4</w:t>
            </w:r>
          </w:p>
        </w:tc>
      </w:tr>
      <w:tr w:rsidR="00761800" w:rsidRPr="00761800" w14:paraId="3F2836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FD076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3B64AB5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200D74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2 310,4</w:t>
            </w:r>
          </w:p>
        </w:tc>
      </w:tr>
      <w:tr w:rsidR="00761800" w:rsidRPr="00761800" w14:paraId="503D1B6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4D050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46A2C6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DA0E3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44 203,1</w:t>
            </w:r>
          </w:p>
        </w:tc>
      </w:tr>
      <w:tr w:rsidR="00761800" w:rsidRPr="00761800" w14:paraId="34EE22C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350FF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657357CF"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FC7A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37 503,2</w:t>
            </w:r>
          </w:p>
        </w:tc>
      </w:tr>
      <w:tr w:rsidR="00761800" w:rsidRPr="00761800" w14:paraId="531D53E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EB968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19E2AE9C"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285154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7 799,7</w:t>
            </w:r>
          </w:p>
        </w:tc>
      </w:tr>
      <w:tr w:rsidR="00761800" w:rsidRPr="00761800" w14:paraId="65390D7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2813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478DF9EB"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Получени трансфери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2CB98B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7 799,7</w:t>
            </w:r>
          </w:p>
        </w:tc>
      </w:tr>
      <w:tr w:rsidR="00761800" w:rsidRPr="00761800" w14:paraId="70BCB9E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8C63AF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nil"/>
            </w:tcBorders>
            <w:shd w:val="clear" w:color="auto" w:fill="auto"/>
            <w:noWrap/>
            <w:vAlign w:val="bottom"/>
            <w:hideMark/>
          </w:tcPr>
          <w:p w14:paraId="47D0DA11"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24A8A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-1 099,8</w:t>
            </w:r>
          </w:p>
        </w:tc>
      </w:tr>
      <w:tr w:rsidR="00761800" w:rsidRPr="00761800" w14:paraId="32BE0B1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3340F4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3.1.</w:t>
            </w:r>
          </w:p>
        </w:tc>
        <w:tc>
          <w:tcPr>
            <w:tcW w:w="11062" w:type="dxa"/>
            <w:tcBorders>
              <w:top w:val="nil"/>
              <w:left w:val="nil"/>
              <w:bottom w:val="single" w:sz="4" w:space="0" w:color="auto"/>
              <w:right w:val="nil"/>
            </w:tcBorders>
            <w:shd w:val="clear" w:color="auto" w:fill="auto"/>
            <w:noWrap/>
            <w:vAlign w:val="bottom"/>
            <w:hideMark/>
          </w:tcPr>
          <w:p w14:paraId="4F3A3011"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652D4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-1 099,8</w:t>
            </w:r>
          </w:p>
        </w:tc>
      </w:tr>
      <w:tr w:rsidR="00761800" w:rsidRPr="00761800" w14:paraId="49F11B1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FBB55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10D1D6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D2405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2 014,4</w:t>
            </w:r>
          </w:p>
        </w:tc>
      </w:tr>
      <w:tr w:rsidR="00761800" w:rsidRPr="00761800" w14:paraId="72EE397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1A9EC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2EDBD5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2A945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-2 014,4</w:t>
            </w:r>
          </w:p>
        </w:tc>
      </w:tr>
      <w:tr w:rsidR="00761800" w:rsidRPr="00761800" w14:paraId="3BA6EEA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820A7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single" w:sz="4" w:space="0" w:color="auto"/>
            </w:tcBorders>
            <w:shd w:val="clear" w:color="auto" w:fill="auto"/>
            <w:noWrap/>
            <w:hideMark/>
          </w:tcPr>
          <w:p w14:paraId="57C24A52"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Придобиване на дялове, акции и съучастия (нето)</w:t>
            </w:r>
          </w:p>
        </w:tc>
        <w:tc>
          <w:tcPr>
            <w:tcW w:w="2178" w:type="dxa"/>
            <w:tcBorders>
              <w:top w:val="nil"/>
              <w:left w:val="nil"/>
              <w:bottom w:val="single" w:sz="4" w:space="0" w:color="auto"/>
              <w:right w:val="single" w:sz="4" w:space="0" w:color="auto"/>
            </w:tcBorders>
            <w:shd w:val="clear" w:color="auto" w:fill="auto"/>
            <w:noWrap/>
            <w:vAlign w:val="bottom"/>
            <w:hideMark/>
          </w:tcPr>
          <w:p w14:paraId="53A9FE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-2 014,4</w:t>
            </w:r>
          </w:p>
        </w:tc>
      </w:tr>
      <w:tr w:rsidR="00761800" w:rsidRPr="00761800" w14:paraId="36C62462" w14:textId="77777777" w:rsidTr="00406B4D">
        <w:trPr>
          <w:trHeight w:val="300"/>
        </w:trPr>
        <w:tc>
          <w:tcPr>
            <w:tcW w:w="1013" w:type="dxa"/>
            <w:tcBorders>
              <w:top w:val="nil"/>
              <w:left w:val="nil"/>
              <w:bottom w:val="nil"/>
              <w:right w:val="nil"/>
            </w:tcBorders>
            <w:shd w:val="clear" w:color="auto" w:fill="auto"/>
            <w:noWrap/>
            <w:vAlign w:val="bottom"/>
            <w:hideMark/>
          </w:tcPr>
          <w:p w14:paraId="0E1F0505"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7103DB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251BCE4D" w14:textId="77777777" w:rsidR="00761800" w:rsidRPr="00761800" w:rsidRDefault="00761800" w:rsidP="00761800">
            <w:pPr>
              <w:rPr>
                <w:rFonts w:ascii="Times New Roman" w:hAnsi="Times New Roman"/>
                <w:sz w:val="20"/>
                <w:lang w:eastAsia="bg-BG"/>
              </w:rPr>
            </w:pPr>
          </w:p>
        </w:tc>
      </w:tr>
      <w:tr w:rsidR="00761800" w:rsidRPr="00761800" w14:paraId="2FAC3475" w14:textId="77777777" w:rsidTr="00406B4D">
        <w:trPr>
          <w:trHeight w:val="289"/>
        </w:trPr>
        <w:tc>
          <w:tcPr>
            <w:tcW w:w="14253" w:type="dxa"/>
            <w:gridSpan w:val="3"/>
            <w:tcBorders>
              <w:top w:val="nil"/>
              <w:left w:val="nil"/>
              <w:bottom w:val="nil"/>
              <w:right w:val="nil"/>
            </w:tcBorders>
            <w:shd w:val="clear" w:color="auto" w:fill="auto"/>
            <w:hideMark/>
          </w:tcPr>
          <w:p w14:paraId="6A6E97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5C0BE141"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C6542A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3BB95F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single" w:sz="4" w:space="0" w:color="auto"/>
              <w:left w:val="nil"/>
              <w:bottom w:val="nil"/>
              <w:right w:val="single" w:sz="4" w:space="0" w:color="auto"/>
            </w:tcBorders>
            <w:shd w:val="clear" w:color="auto" w:fill="auto"/>
            <w:noWrap/>
            <w:vAlign w:val="bottom"/>
            <w:hideMark/>
          </w:tcPr>
          <w:p w14:paraId="5E757B6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D5A444C"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ECD555A"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650364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3E3E76A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EDA6BE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AFB05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B1B775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BE694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144F415"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4C69D7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vAlign w:val="bottom"/>
            <w:hideMark/>
          </w:tcPr>
          <w:p w14:paraId="136FDE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иновациите, технологичното и икономическото развитие</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5B379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14 255,6</w:t>
            </w:r>
          </w:p>
        </w:tc>
      </w:tr>
      <w:tr w:rsidR="00761800" w:rsidRPr="00761800" w14:paraId="0D27D147"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1D547B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vAlign w:val="bottom"/>
            <w:hideMark/>
          </w:tcPr>
          <w:p w14:paraId="4D19A8F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дигиталната трансформация на публичния сектор</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C72DA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22 252,5</w:t>
            </w:r>
          </w:p>
        </w:tc>
      </w:tr>
      <w:tr w:rsidR="00761800" w:rsidRPr="00761800" w14:paraId="261C404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B9452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nil"/>
            </w:tcBorders>
            <w:shd w:val="clear" w:color="auto" w:fill="auto"/>
            <w:noWrap/>
            <w:vAlign w:val="bottom"/>
            <w:hideMark/>
          </w:tcPr>
          <w:p w14:paraId="143983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D7C56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5 680,6</w:t>
            </w:r>
          </w:p>
        </w:tc>
      </w:tr>
      <w:tr w:rsidR="00761800" w:rsidRPr="00761800" w14:paraId="6624BD8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4DB03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12C487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AE534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42 188,7</w:t>
            </w:r>
          </w:p>
        </w:tc>
      </w:tr>
      <w:tr w:rsidR="00761800" w:rsidRPr="00761800" w14:paraId="061C45CB" w14:textId="77777777" w:rsidTr="00406B4D">
        <w:trPr>
          <w:trHeight w:val="300"/>
        </w:trPr>
        <w:tc>
          <w:tcPr>
            <w:tcW w:w="1013" w:type="dxa"/>
            <w:tcBorders>
              <w:top w:val="nil"/>
              <w:left w:val="nil"/>
              <w:bottom w:val="nil"/>
              <w:right w:val="nil"/>
            </w:tcBorders>
            <w:shd w:val="clear" w:color="auto" w:fill="auto"/>
            <w:noWrap/>
            <w:vAlign w:val="bottom"/>
            <w:hideMark/>
          </w:tcPr>
          <w:p w14:paraId="2A88CAD7"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CDA5898"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3F85ABCA" w14:textId="77777777" w:rsidR="00761800" w:rsidRPr="00761800" w:rsidRDefault="00761800" w:rsidP="00761800">
            <w:pPr>
              <w:rPr>
                <w:rFonts w:ascii="Times New Roman" w:hAnsi="Times New Roman"/>
                <w:sz w:val="20"/>
                <w:lang w:eastAsia="bg-BG"/>
              </w:rPr>
            </w:pPr>
          </w:p>
        </w:tc>
      </w:tr>
      <w:tr w:rsidR="00761800" w:rsidRPr="00761800" w14:paraId="07404397" w14:textId="77777777" w:rsidTr="00406B4D">
        <w:trPr>
          <w:trHeight w:val="542"/>
        </w:trPr>
        <w:tc>
          <w:tcPr>
            <w:tcW w:w="14253" w:type="dxa"/>
            <w:gridSpan w:val="3"/>
            <w:tcBorders>
              <w:top w:val="nil"/>
              <w:left w:val="nil"/>
              <w:bottom w:val="nil"/>
              <w:right w:val="nil"/>
            </w:tcBorders>
            <w:shd w:val="clear" w:color="auto" w:fill="auto"/>
            <w:hideMark/>
          </w:tcPr>
          <w:p w14:paraId="05AE35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иновациите и дигиталната трансформация, както следва:</w:t>
            </w:r>
          </w:p>
        </w:tc>
      </w:tr>
      <w:tr w:rsidR="00761800" w:rsidRPr="00761800" w14:paraId="05F03B6A"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76D9F3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381028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1749D15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56308D6"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6C241850"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FC5A7DA"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1CC53A8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63AA03D"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356D1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4B5102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139ECB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9DB940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2221E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120836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01111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18 186,3</w:t>
            </w:r>
          </w:p>
        </w:tc>
      </w:tr>
      <w:tr w:rsidR="00761800" w:rsidRPr="00761800" w14:paraId="32BABE7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7CAE5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2.</w:t>
            </w:r>
          </w:p>
        </w:tc>
        <w:tc>
          <w:tcPr>
            <w:tcW w:w="11062" w:type="dxa"/>
            <w:tcBorders>
              <w:top w:val="nil"/>
              <w:left w:val="nil"/>
              <w:bottom w:val="single" w:sz="4" w:space="0" w:color="auto"/>
              <w:right w:val="nil"/>
            </w:tcBorders>
            <w:shd w:val="clear" w:color="auto" w:fill="auto"/>
            <w:noWrap/>
            <w:vAlign w:val="bottom"/>
            <w:hideMark/>
          </w:tcPr>
          <w:p w14:paraId="4DC4DD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80F8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21 988,3</w:t>
            </w:r>
          </w:p>
        </w:tc>
      </w:tr>
      <w:tr w:rsidR="00761800" w:rsidRPr="00761800" w14:paraId="0B25F929" w14:textId="77777777" w:rsidTr="00406B4D">
        <w:trPr>
          <w:trHeight w:val="300"/>
        </w:trPr>
        <w:tc>
          <w:tcPr>
            <w:tcW w:w="1013" w:type="dxa"/>
            <w:tcBorders>
              <w:top w:val="nil"/>
              <w:left w:val="nil"/>
              <w:bottom w:val="nil"/>
              <w:right w:val="nil"/>
            </w:tcBorders>
            <w:shd w:val="clear" w:color="auto" w:fill="auto"/>
            <w:noWrap/>
            <w:vAlign w:val="bottom"/>
            <w:hideMark/>
          </w:tcPr>
          <w:p w14:paraId="412A6800"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2E49062"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6583C4E9" w14:textId="77777777" w:rsidR="00761800" w:rsidRPr="00761800" w:rsidRDefault="00761800" w:rsidP="00761800">
            <w:pPr>
              <w:rPr>
                <w:rFonts w:ascii="Times New Roman" w:hAnsi="Times New Roman"/>
                <w:sz w:val="20"/>
                <w:lang w:eastAsia="bg-BG"/>
              </w:rPr>
            </w:pPr>
          </w:p>
        </w:tc>
      </w:tr>
      <w:tr w:rsidR="00761800" w:rsidRPr="00761800" w14:paraId="5015EB40" w14:textId="77777777" w:rsidTr="00406B4D">
        <w:trPr>
          <w:trHeight w:val="295"/>
        </w:trPr>
        <w:tc>
          <w:tcPr>
            <w:tcW w:w="14253" w:type="dxa"/>
            <w:gridSpan w:val="3"/>
            <w:tcBorders>
              <w:top w:val="nil"/>
              <w:left w:val="nil"/>
              <w:bottom w:val="nil"/>
              <w:right w:val="nil"/>
            </w:tcBorders>
            <w:shd w:val="clear" w:color="auto" w:fill="auto"/>
            <w:hideMark/>
          </w:tcPr>
          <w:p w14:paraId="4AD45D8E"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(4) В разходите по ал. 1 са включени и разходите на Министерство на електронното управление до неговото вливане в Министерство на иновациите и дигиталната трансформация и уреждането на свързаните с вливането правоотношения.</w:t>
            </w:r>
          </w:p>
        </w:tc>
      </w:tr>
      <w:tr w:rsidR="00761800" w:rsidRPr="00761800" w14:paraId="5893CDBE" w14:textId="77777777" w:rsidTr="00406B4D">
        <w:trPr>
          <w:trHeight w:val="300"/>
        </w:trPr>
        <w:tc>
          <w:tcPr>
            <w:tcW w:w="1013" w:type="dxa"/>
            <w:tcBorders>
              <w:top w:val="nil"/>
              <w:left w:val="nil"/>
              <w:bottom w:val="nil"/>
              <w:right w:val="nil"/>
            </w:tcBorders>
            <w:shd w:val="clear" w:color="auto" w:fill="auto"/>
            <w:vAlign w:val="bottom"/>
            <w:hideMark/>
          </w:tcPr>
          <w:p w14:paraId="73EEC7D8"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2A75A241"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7DDE69F5" w14:textId="77777777" w:rsidR="00761800" w:rsidRPr="00761800" w:rsidRDefault="00761800" w:rsidP="00761800">
            <w:pPr>
              <w:rPr>
                <w:rFonts w:ascii="Times New Roman" w:hAnsi="Times New Roman"/>
                <w:sz w:val="20"/>
                <w:lang w:eastAsia="bg-BG"/>
              </w:rPr>
            </w:pPr>
          </w:p>
        </w:tc>
      </w:tr>
      <w:tr w:rsidR="00761800" w:rsidRPr="00761800" w14:paraId="3CFA7E55" w14:textId="77777777" w:rsidTr="00406B4D">
        <w:trPr>
          <w:trHeight w:val="300"/>
        </w:trPr>
        <w:tc>
          <w:tcPr>
            <w:tcW w:w="14253" w:type="dxa"/>
            <w:gridSpan w:val="3"/>
            <w:tcBorders>
              <w:top w:val="nil"/>
              <w:left w:val="nil"/>
              <w:bottom w:val="nil"/>
              <w:right w:val="nil"/>
            </w:tcBorders>
            <w:shd w:val="clear" w:color="auto" w:fill="auto"/>
            <w:vAlign w:val="bottom"/>
            <w:hideMark/>
          </w:tcPr>
          <w:p w14:paraId="3948E80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21.</w:t>
            </w:r>
            <w:r w:rsidRPr="00761800">
              <w:rPr>
                <w:rFonts w:ascii="Times New Roman" w:hAnsi="Times New Roman"/>
                <w:color w:val="000000"/>
                <w:sz w:val="22"/>
                <w:szCs w:val="22"/>
                <w:lang w:eastAsia="bg-BG"/>
              </w:rPr>
              <w:t xml:space="preserve"> (1) Приема бюджета на Министерството на енергетиката за 2026 г., както следва:</w:t>
            </w:r>
          </w:p>
        </w:tc>
      </w:tr>
      <w:tr w:rsidR="00761800" w:rsidRPr="00761800" w14:paraId="5EDF416C" w14:textId="77777777" w:rsidTr="00406B4D">
        <w:trPr>
          <w:trHeight w:val="323"/>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0CD4D4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F1AAB2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0D24FBD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7C86A57"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5DDBAE8"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165814A0"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4C1BF66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2E4729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EA469C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47B509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9CF5B0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547DB5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10CCA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72B4C0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B3B19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278 192,0</w:t>
            </w:r>
          </w:p>
        </w:tc>
      </w:tr>
      <w:tr w:rsidR="00761800" w:rsidRPr="00761800" w14:paraId="1088767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B7B14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2184ACE"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8FA97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278 192,0</w:t>
            </w:r>
          </w:p>
        </w:tc>
      </w:tr>
      <w:tr w:rsidR="00761800" w:rsidRPr="00761800" w14:paraId="432A2D7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E35B0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CC9FFA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C617D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1 748,4</w:t>
            </w:r>
          </w:p>
        </w:tc>
      </w:tr>
      <w:tr w:rsidR="00761800" w:rsidRPr="00761800" w14:paraId="1702D55B"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441F2C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7AE92E2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E9BB8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8 294,3</w:t>
            </w:r>
          </w:p>
        </w:tc>
      </w:tr>
      <w:tr w:rsidR="00761800" w:rsidRPr="00761800" w14:paraId="32FE777E"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62BFD4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744382A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CF80C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2 198,6</w:t>
            </w:r>
          </w:p>
        </w:tc>
      </w:tr>
      <w:tr w:rsidR="00761800" w:rsidRPr="00761800" w14:paraId="42A240C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3AE9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5A16ED9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A5E0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265 950,7</w:t>
            </w:r>
          </w:p>
        </w:tc>
      </w:tr>
      <w:tr w:rsidR="00761800" w:rsidRPr="00761800" w14:paraId="118A4BE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59BE7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290F4D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B2CD2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43 267,8</w:t>
            </w:r>
          </w:p>
        </w:tc>
      </w:tr>
      <w:tr w:rsidR="00761800" w:rsidRPr="00761800" w14:paraId="6DDCE15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18E72F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50DC9730"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9A0EE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39 506,1</w:t>
            </w:r>
          </w:p>
        </w:tc>
      </w:tr>
      <w:tr w:rsidR="00761800" w:rsidRPr="00761800" w14:paraId="0207DB4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DBE00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D2061A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E4E04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6E92CC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27352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D28962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91572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7 821,1</w:t>
            </w:r>
          </w:p>
        </w:tc>
      </w:tr>
      <w:tr w:rsidR="00761800" w:rsidRPr="00761800" w14:paraId="57EFF8A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A6792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325CD80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ED90D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27 838,8</w:t>
            </w:r>
          </w:p>
        </w:tc>
      </w:tr>
      <w:tr w:rsidR="00761800" w:rsidRPr="00761800" w14:paraId="7052DEC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C22E9F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5276BDFD"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6366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27 838,8</w:t>
            </w:r>
          </w:p>
        </w:tc>
      </w:tr>
      <w:tr w:rsidR="00761800" w:rsidRPr="00761800" w14:paraId="62E40CE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63A49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7518C994"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2FA2E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3 761,7</w:t>
            </w:r>
          </w:p>
        </w:tc>
      </w:tr>
      <w:tr w:rsidR="00761800" w:rsidRPr="00761800" w14:paraId="7B02E4B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1CEE9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59E4BF4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378B6DD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1 332,0</w:t>
            </w:r>
          </w:p>
        </w:tc>
      </w:tr>
      <w:tr w:rsidR="00761800" w:rsidRPr="00761800" w14:paraId="0B885D8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90E39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w:t>
            </w:r>
          </w:p>
        </w:tc>
        <w:tc>
          <w:tcPr>
            <w:tcW w:w="11062" w:type="dxa"/>
            <w:tcBorders>
              <w:top w:val="nil"/>
              <w:left w:val="nil"/>
              <w:bottom w:val="single" w:sz="4" w:space="0" w:color="auto"/>
              <w:right w:val="single" w:sz="4" w:space="0" w:color="auto"/>
            </w:tcBorders>
            <w:shd w:val="clear" w:color="auto" w:fill="auto"/>
            <w:noWrap/>
            <w:vAlign w:val="bottom"/>
            <w:hideMark/>
          </w:tcPr>
          <w:p w14:paraId="71D2BD2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Капиталови трансфери </w:t>
            </w:r>
          </w:p>
        </w:tc>
        <w:tc>
          <w:tcPr>
            <w:tcW w:w="2178" w:type="dxa"/>
            <w:tcBorders>
              <w:top w:val="nil"/>
              <w:left w:val="nil"/>
              <w:bottom w:val="single" w:sz="4" w:space="0" w:color="auto"/>
              <w:right w:val="single" w:sz="4" w:space="0" w:color="auto"/>
            </w:tcBorders>
            <w:shd w:val="clear" w:color="auto" w:fill="auto"/>
            <w:noWrap/>
            <w:vAlign w:val="bottom"/>
            <w:hideMark/>
          </w:tcPr>
          <w:p w14:paraId="3CAE73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2 429,7</w:t>
            </w:r>
          </w:p>
        </w:tc>
      </w:tr>
      <w:tr w:rsidR="00761800" w:rsidRPr="00761800" w14:paraId="019FFEF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979DB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22E163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BA9F1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-234 924,2</w:t>
            </w:r>
          </w:p>
        </w:tc>
      </w:tr>
      <w:tr w:rsidR="00761800" w:rsidRPr="00761800" w14:paraId="7E36D1C1"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720573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62D7FB8"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89A9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-198 495,1</w:t>
            </w:r>
          </w:p>
        </w:tc>
      </w:tr>
      <w:tr w:rsidR="00761800" w:rsidRPr="00761800" w14:paraId="13DCCFB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819DA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32E687D9"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0F64C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-36 425,7</w:t>
            </w:r>
          </w:p>
        </w:tc>
      </w:tr>
      <w:tr w:rsidR="00761800" w:rsidRPr="00761800" w14:paraId="31CDE8D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919C5A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0CC12CAE"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DBD6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-36 425,7</w:t>
            </w:r>
          </w:p>
        </w:tc>
      </w:tr>
      <w:tr w:rsidR="00761800" w:rsidRPr="00761800" w14:paraId="57DCBFC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699D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2.1.1.</w:t>
            </w:r>
          </w:p>
        </w:tc>
        <w:tc>
          <w:tcPr>
            <w:tcW w:w="11062" w:type="dxa"/>
            <w:tcBorders>
              <w:top w:val="nil"/>
              <w:left w:val="nil"/>
              <w:bottom w:val="single" w:sz="4" w:space="0" w:color="auto"/>
              <w:right w:val="single" w:sz="4" w:space="0" w:color="auto"/>
            </w:tcBorders>
            <w:shd w:val="clear" w:color="auto" w:fill="auto"/>
            <w:noWrap/>
            <w:vAlign w:val="bottom"/>
            <w:hideMark/>
          </w:tcPr>
          <w:p w14:paraId="45D1CF95"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 за Фонд „Сигурност на електроенергийната система“</w:t>
            </w:r>
          </w:p>
        </w:tc>
        <w:tc>
          <w:tcPr>
            <w:tcW w:w="2178" w:type="dxa"/>
            <w:tcBorders>
              <w:top w:val="nil"/>
              <w:left w:val="nil"/>
              <w:bottom w:val="single" w:sz="4" w:space="0" w:color="auto"/>
              <w:right w:val="single" w:sz="4" w:space="0" w:color="auto"/>
            </w:tcBorders>
            <w:shd w:val="clear" w:color="auto" w:fill="auto"/>
            <w:noWrap/>
            <w:vAlign w:val="bottom"/>
            <w:hideMark/>
          </w:tcPr>
          <w:p w14:paraId="1D155E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-36 425,7</w:t>
            </w:r>
          </w:p>
        </w:tc>
      </w:tr>
      <w:tr w:rsidR="00761800" w:rsidRPr="00761800" w14:paraId="198AC080"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4AB5F4F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3.</w:t>
            </w:r>
          </w:p>
        </w:tc>
        <w:tc>
          <w:tcPr>
            <w:tcW w:w="11062" w:type="dxa"/>
            <w:tcBorders>
              <w:top w:val="nil"/>
              <w:left w:val="nil"/>
              <w:bottom w:val="single" w:sz="4" w:space="0" w:color="auto"/>
              <w:right w:val="nil"/>
            </w:tcBorders>
            <w:shd w:val="clear" w:color="auto" w:fill="auto"/>
            <w:noWrap/>
            <w:vAlign w:val="bottom"/>
            <w:hideMark/>
          </w:tcPr>
          <w:p w14:paraId="41842A29"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6522C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w:t>
            </w:r>
          </w:p>
        </w:tc>
      </w:tr>
      <w:tr w:rsidR="00761800" w:rsidRPr="00761800" w14:paraId="582F0AFA"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7B07BBA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3.1.</w:t>
            </w:r>
          </w:p>
        </w:tc>
        <w:tc>
          <w:tcPr>
            <w:tcW w:w="11062" w:type="dxa"/>
            <w:tcBorders>
              <w:top w:val="nil"/>
              <w:left w:val="nil"/>
              <w:bottom w:val="single" w:sz="4" w:space="0" w:color="auto"/>
              <w:right w:val="nil"/>
            </w:tcBorders>
            <w:shd w:val="clear" w:color="auto" w:fill="auto"/>
            <w:noWrap/>
            <w:vAlign w:val="bottom"/>
            <w:hideMark/>
          </w:tcPr>
          <w:p w14:paraId="72B7B921"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D462C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w:t>
            </w:r>
          </w:p>
        </w:tc>
      </w:tr>
      <w:tr w:rsidR="00761800" w:rsidRPr="00761800" w14:paraId="349467D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FC4FB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62E2E0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4C996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365909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C5F7A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35E63F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D2DDC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31905A1" w14:textId="77777777" w:rsidTr="00406B4D">
        <w:trPr>
          <w:trHeight w:val="300"/>
        </w:trPr>
        <w:tc>
          <w:tcPr>
            <w:tcW w:w="1013" w:type="dxa"/>
            <w:tcBorders>
              <w:top w:val="nil"/>
              <w:left w:val="nil"/>
              <w:bottom w:val="nil"/>
              <w:right w:val="nil"/>
            </w:tcBorders>
            <w:shd w:val="clear" w:color="auto" w:fill="auto"/>
            <w:noWrap/>
            <w:vAlign w:val="bottom"/>
            <w:hideMark/>
          </w:tcPr>
          <w:p w14:paraId="2A6867DE"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2656AEC"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07C386DA" w14:textId="77777777" w:rsidR="00761800" w:rsidRPr="00761800" w:rsidRDefault="00761800" w:rsidP="00761800">
            <w:pPr>
              <w:rPr>
                <w:rFonts w:ascii="Times New Roman" w:hAnsi="Times New Roman"/>
                <w:sz w:val="20"/>
                <w:lang w:eastAsia="bg-BG"/>
              </w:rPr>
            </w:pPr>
          </w:p>
        </w:tc>
      </w:tr>
      <w:tr w:rsidR="00761800" w:rsidRPr="00761800" w14:paraId="08C5B690" w14:textId="77777777" w:rsidTr="00406B4D">
        <w:trPr>
          <w:trHeight w:val="289"/>
        </w:trPr>
        <w:tc>
          <w:tcPr>
            <w:tcW w:w="14253" w:type="dxa"/>
            <w:gridSpan w:val="3"/>
            <w:tcBorders>
              <w:top w:val="nil"/>
              <w:left w:val="nil"/>
              <w:bottom w:val="single" w:sz="4" w:space="0" w:color="auto"/>
              <w:right w:val="nil"/>
            </w:tcBorders>
            <w:shd w:val="clear" w:color="auto" w:fill="auto"/>
            <w:hideMark/>
          </w:tcPr>
          <w:p w14:paraId="21F9D7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4508710B"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F9630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586CD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28544C8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98DBEB2"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FE58DF5"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5483DD79"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61D4535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D8C29B7" w14:textId="77777777" w:rsidTr="00406B4D">
        <w:trPr>
          <w:trHeight w:val="612"/>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DD96B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90ABAE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B1C2D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1F2008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291E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5575D1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устойчивото и конкурентоспособно енергийно развитие</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E84D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38 386,4</w:t>
            </w:r>
          </w:p>
        </w:tc>
      </w:tr>
      <w:tr w:rsidR="00761800" w:rsidRPr="00761800" w14:paraId="6AE826A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C0A99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1DB748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B60C8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4 881,4</w:t>
            </w:r>
          </w:p>
        </w:tc>
      </w:tr>
      <w:tr w:rsidR="00761800" w:rsidRPr="00761800" w14:paraId="5AE68E41"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72036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9DA98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20A94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43 267,8</w:t>
            </w:r>
          </w:p>
        </w:tc>
      </w:tr>
      <w:tr w:rsidR="00761800" w:rsidRPr="00761800" w14:paraId="1BAB0895" w14:textId="77777777" w:rsidTr="00406B4D">
        <w:trPr>
          <w:trHeight w:val="300"/>
        </w:trPr>
        <w:tc>
          <w:tcPr>
            <w:tcW w:w="1013" w:type="dxa"/>
            <w:tcBorders>
              <w:top w:val="nil"/>
              <w:left w:val="nil"/>
              <w:bottom w:val="nil"/>
              <w:right w:val="nil"/>
            </w:tcBorders>
            <w:shd w:val="clear" w:color="auto" w:fill="auto"/>
            <w:noWrap/>
            <w:vAlign w:val="bottom"/>
            <w:hideMark/>
          </w:tcPr>
          <w:p w14:paraId="59EC2B21"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43F70D2"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20D80E58" w14:textId="77777777" w:rsidR="00761800" w:rsidRPr="00761800" w:rsidRDefault="00761800" w:rsidP="00761800">
            <w:pPr>
              <w:rPr>
                <w:rFonts w:ascii="Times New Roman" w:hAnsi="Times New Roman"/>
                <w:sz w:val="20"/>
                <w:lang w:eastAsia="bg-BG"/>
              </w:rPr>
            </w:pPr>
          </w:p>
        </w:tc>
      </w:tr>
      <w:tr w:rsidR="00761800" w:rsidRPr="00761800" w14:paraId="22D91F4C"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0B7501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енергетиката, както следва:</w:t>
            </w:r>
          </w:p>
        </w:tc>
      </w:tr>
      <w:tr w:rsidR="00761800" w:rsidRPr="00761800" w14:paraId="58CE8373"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9273C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70C34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280166B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1254EBE"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595AE1E"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5A45787C"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362C00B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9B59AD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F4AA1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D12056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6646C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894646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70197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vAlign w:val="bottom"/>
            <w:hideMark/>
          </w:tcPr>
          <w:p w14:paraId="2327676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9B6E5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35 311,2</w:t>
            </w:r>
          </w:p>
        </w:tc>
      </w:tr>
      <w:tr w:rsidR="00761800" w:rsidRPr="00761800" w14:paraId="1DFB897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FDD64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5B6AC68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4E6E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35 311,2</w:t>
            </w:r>
          </w:p>
        </w:tc>
      </w:tr>
      <w:tr w:rsidR="00761800" w:rsidRPr="00761800" w14:paraId="4880E633" w14:textId="77777777" w:rsidTr="00406B4D">
        <w:trPr>
          <w:trHeight w:val="300"/>
        </w:trPr>
        <w:tc>
          <w:tcPr>
            <w:tcW w:w="1013" w:type="dxa"/>
            <w:tcBorders>
              <w:top w:val="nil"/>
              <w:left w:val="nil"/>
              <w:bottom w:val="nil"/>
              <w:right w:val="nil"/>
            </w:tcBorders>
            <w:shd w:val="clear" w:color="auto" w:fill="auto"/>
            <w:vAlign w:val="bottom"/>
            <w:hideMark/>
          </w:tcPr>
          <w:p w14:paraId="55D4E87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63E7792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421F5EB4" w14:textId="77777777" w:rsidR="00761800" w:rsidRPr="00761800" w:rsidRDefault="00761800" w:rsidP="00761800">
            <w:pPr>
              <w:rPr>
                <w:rFonts w:ascii="Times New Roman" w:hAnsi="Times New Roman"/>
                <w:sz w:val="20"/>
                <w:lang w:eastAsia="bg-BG"/>
              </w:rPr>
            </w:pPr>
          </w:p>
        </w:tc>
      </w:tr>
      <w:tr w:rsidR="00761800" w:rsidRPr="00761800" w14:paraId="2B40BAF9" w14:textId="77777777" w:rsidTr="00406B4D">
        <w:trPr>
          <w:trHeight w:val="300"/>
        </w:trPr>
        <w:tc>
          <w:tcPr>
            <w:tcW w:w="14253" w:type="dxa"/>
            <w:gridSpan w:val="3"/>
            <w:tcBorders>
              <w:top w:val="nil"/>
              <w:left w:val="nil"/>
              <w:bottom w:val="nil"/>
              <w:right w:val="nil"/>
            </w:tcBorders>
            <w:shd w:val="clear" w:color="auto" w:fill="auto"/>
            <w:vAlign w:val="bottom"/>
            <w:hideMark/>
          </w:tcPr>
          <w:p w14:paraId="140BFEF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22.</w:t>
            </w:r>
            <w:r w:rsidRPr="00761800">
              <w:rPr>
                <w:rFonts w:ascii="Times New Roman" w:hAnsi="Times New Roman"/>
                <w:color w:val="000000"/>
                <w:sz w:val="22"/>
                <w:szCs w:val="22"/>
                <w:lang w:eastAsia="bg-BG"/>
              </w:rPr>
              <w:t xml:space="preserve"> (1) Приема бюджета на Министерството на туризма за 2026 г., както следва:</w:t>
            </w:r>
          </w:p>
        </w:tc>
      </w:tr>
      <w:tr w:rsidR="00761800" w:rsidRPr="00761800" w14:paraId="6BFE87B8" w14:textId="77777777" w:rsidTr="00406B4D">
        <w:trPr>
          <w:trHeight w:val="312"/>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D519E3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F30D52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3F6DA27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8394FC1"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1EA98B8B"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95B03F9"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63B4554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B80008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9B55E5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DF1883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603D14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AAB487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8A151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1FC62A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6841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5 314,4</w:t>
            </w:r>
          </w:p>
        </w:tc>
      </w:tr>
      <w:tr w:rsidR="00761800" w:rsidRPr="00761800" w14:paraId="2241729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80791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564375C"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0AC6F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5 314,4</w:t>
            </w:r>
          </w:p>
        </w:tc>
      </w:tr>
      <w:tr w:rsidR="00761800" w:rsidRPr="00761800" w14:paraId="585D2A9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D594A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73B55C7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FA8C3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628,9</w:t>
            </w:r>
          </w:p>
        </w:tc>
      </w:tr>
      <w:tr w:rsidR="00761800" w:rsidRPr="00761800" w14:paraId="284A4B81"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093803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1.2.</w:t>
            </w:r>
          </w:p>
        </w:tc>
        <w:tc>
          <w:tcPr>
            <w:tcW w:w="11062" w:type="dxa"/>
            <w:tcBorders>
              <w:top w:val="nil"/>
              <w:left w:val="nil"/>
              <w:bottom w:val="single" w:sz="4" w:space="0" w:color="auto"/>
              <w:right w:val="nil"/>
            </w:tcBorders>
            <w:shd w:val="clear" w:color="auto" w:fill="auto"/>
            <w:noWrap/>
            <w:vAlign w:val="bottom"/>
            <w:hideMark/>
          </w:tcPr>
          <w:p w14:paraId="44F6AF9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6BBA8D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920,3</w:t>
            </w:r>
          </w:p>
        </w:tc>
      </w:tr>
      <w:tr w:rsidR="00761800" w:rsidRPr="00761800" w14:paraId="6AD99E0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3F5B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2A9A640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FFB68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153,4</w:t>
            </w:r>
          </w:p>
        </w:tc>
      </w:tr>
      <w:tr w:rsidR="00761800" w:rsidRPr="00761800" w14:paraId="4E719B4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9907E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775506B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3EEE2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3 611,8</w:t>
            </w:r>
          </w:p>
        </w:tc>
      </w:tr>
      <w:tr w:rsidR="00761800" w:rsidRPr="00761800" w14:paraId="6B76E20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75E12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6EEA96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89948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14 462,4</w:t>
            </w:r>
          </w:p>
        </w:tc>
      </w:tr>
      <w:tr w:rsidR="00761800" w:rsidRPr="00761800" w14:paraId="2C7BC95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AC9E1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3DD496F2"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AF8B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13 964,8</w:t>
            </w:r>
          </w:p>
        </w:tc>
      </w:tr>
      <w:tr w:rsidR="00761800" w:rsidRPr="00761800" w14:paraId="0737205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3E8EA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97BD18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E2331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1A374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8E12BF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21603B3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3CD2F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3 101,6</w:t>
            </w:r>
          </w:p>
        </w:tc>
      </w:tr>
      <w:tr w:rsidR="00761800" w:rsidRPr="00761800" w14:paraId="24A14BD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6C689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299B262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01299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497,6</w:t>
            </w:r>
          </w:p>
        </w:tc>
      </w:tr>
      <w:tr w:rsidR="00761800" w:rsidRPr="00761800" w14:paraId="713DCB5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AE66E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55278C8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694759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497,6</w:t>
            </w:r>
          </w:p>
        </w:tc>
      </w:tr>
      <w:tr w:rsidR="00761800" w:rsidRPr="00761800" w14:paraId="0DC984D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AAF8D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6BDF8A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9DF7C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9 148,0</w:t>
            </w:r>
          </w:p>
        </w:tc>
      </w:tr>
      <w:tr w:rsidR="00761800" w:rsidRPr="00761800" w14:paraId="01475D2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6FB05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6712AD53"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29034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9 148,0</w:t>
            </w:r>
          </w:p>
        </w:tc>
      </w:tr>
      <w:tr w:rsidR="00761800" w:rsidRPr="00761800" w14:paraId="3DEE521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9CDFE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5EA0EA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E5D57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3AF9D6A"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7ACF65F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01877E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5FA05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83F2735" w14:textId="77777777" w:rsidTr="00406B4D">
        <w:trPr>
          <w:trHeight w:val="300"/>
        </w:trPr>
        <w:tc>
          <w:tcPr>
            <w:tcW w:w="1013" w:type="dxa"/>
            <w:tcBorders>
              <w:top w:val="nil"/>
              <w:left w:val="nil"/>
              <w:bottom w:val="nil"/>
              <w:right w:val="nil"/>
            </w:tcBorders>
            <w:shd w:val="clear" w:color="auto" w:fill="auto"/>
            <w:noWrap/>
            <w:vAlign w:val="bottom"/>
            <w:hideMark/>
          </w:tcPr>
          <w:p w14:paraId="2336B6E3"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512F1F8"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42D95FDB" w14:textId="77777777" w:rsidR="00761800" w:rsidRPr="00761800" w:rsidRDefault="00761800" w:rsidP="00761800">
            <w:pPr>
              <w:rPr>
                <w:rFonts w:ascii="Times New Roman" w:hAnsi="Times New Roman"/>
                <w:sz w:val="20"/>
                <w:lang w:eastAsia="bg-BG"/>
              </w:rPr>
            </w:pPr>
          </w:p>
        </w:tc>
      </w:tr>
      <w:tr w:rsidR="00761800" w:rsidRPr="00761800" w14:paraId="56639374" w14:textId="77777777" w:rsidTr="00406B4D">
        <w:trPr>
          <w:trHeight w:val="289"/>
        </w:trPr>
        <w:tc>
          <w:tcPr>
            <w:tcW w:w="14253" w:type="dxa"/>
            <w:gridSpan w:val="3"/>
            <w:tcBorders>
              <w:top w:val="nil"/>
              <w:left w:val="nil"/>
              <w:bottom w:val="single" w:sz="4" w:space="0" w:color="auto"/>
              <w:right w:val="nil"/>
            </w:tcBorders>
            <w:shd w:val="clear" w:color="auto" w:fill="auto"/>
            <w:hideMark/>
          </w:tcPr>
          <w:p w14:paraId="19CFDD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2AE76188"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1CC02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03768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4EE7BA6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82872D3" w14:textId="77777777" w:rsidTr="00406B4D">
        <w:trPr>
          <w:trHeight w:val="289"/>
        </w:trPr>
        <w:tc>
          <w:tcPr>
            <w:tcW w:w="1013" w:type="dxa"/>
            <w:vMerge/>
            <w:tcBorders>
              <w:top w:val="nil"/>
              <w:left w:val="single" w:sz="4" w:space="0" w:color="auto"/>
              <w:bottom w:val="single" w:sz="4" w:space="0" w:color="000000"/>
              <w:right w:val="single" w:sz="4" w:space="0" w:color="auto"/>
            </w:tcBorders>
            <w:vAlign w:val="center"/>
            <w:hideMark/>
          </w:tcPr>
          <w:p w14:paraId="09955CE6"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4219A9C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6D927F3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7C13E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2C9C18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112065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8A67E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B1F238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B94CA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263169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устойчивото развитие на туризма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09910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11 940,0</w:t>
            </w:r>
          </w:p>
        </w:tc>
      </w:tr>
      <w:tr w:rsidR="00761800" w:rsidRPr="00761800" w14:paraId="419F95E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4A32A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5291AC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9886B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2 522,4</w:t>
            </w:r>
          </w:p>
        </w:tc>
      </w:tr>
      <w:tr w:rsidR="00761800" w:rsidRPr="00761800" w14:paraId="7B2DB9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2462F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98732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2AE13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14 462,4</w:t>
            </w:r>
          </w:p>
        </w:tc>
      </w:tr>
      <w:tr w:rsidR="00761800" w:rsidRPr="00761800" w14:paraId="1846FB58" w14:textId="77777777" w:rsidTr="00406B4D">
        <w:trPr>
          <w:trHeight w:val="300"/>
        </w:trPr>
        <w:tc>
          <w:tcPr>
            <w:tcW w:w="1013" w:type="dxa"/>
            <w:tcBorders>
              <w:top w:val="nil"/>
              <w:left w:val="nil"/>
              <w:bottom w:val="nil"/>
              <w:right w:val="nil"/>
            </w:tcBorders>
            <w:shd w:val="clear" w:color="auto" w:fill="auto"/>
            <w:noWrap/>
            <w:vAlign w:val="bottom"/>
            <w:hideMark/>
          </w:tcPr>
          <w:p w14:paraId="242FC52C"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7ABE78C"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78DED965" w14:textId="77777777" w:rsidR="00761800" w:rsidRPr="00761800" w:rsidRDefault="00761800" w:rsidP="00761800">
            <w:pPr>
              <w:rPr>
                <w:rFonts w:ascii="Times New Roman" w:hAnsi="Times New Roman"/>
                <w:sz w:val="20"/>
                <w:lang w:eastAsia="bg-BG"/>
              </w:rPr>
            </w:pPr>
          </w:p>
        </w:tc>
      </w:tr>
      <w:tr w:rsidR="00761800" w:rsidRPr="00761800" w14:paraId="08162785" w14:textId="77777777" w:rsidTr="00406B4D">
        <w:trPr>
          <w:trHeight w:val="660"/>
        </w:trPr>
        <w:tc>
          <w:tcPr>
            <w:tcW w:w="14253" w:type="dxa"/>
            <w:gridSpan w:val="3"/>
            <w:tcBorders>
              <w:top w:val="nil"/>
              <w:left w:val="nil"/>
              <w:bottom w:val="single" w:sz="4" w:space="0" w:color="auto"/>
              <w:right w:val="nil"/>
            </w:tcBorders>
            <w:shd w:val="clear" w:color="auto" w:fill="auto"/>
            <w:hideMark/>
          </w:tcPr>
          <w:p w14:paraId="762517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туризма, както следва:</w:t>
            </w:r>
          </w:p>
        </w:tc>
      </w:tr>
      <w:tr w:rsidR="00761800" w:rsidRPr="00761800" w14:paraId="6045179E"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F6CE4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54D6D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bottom"/>
            <w:hideMark/>
          </w:tcPr>
          <w:p w14:paraId="20C27D1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411B2185" w14:textId="77777777" w:rsidTr="00406B4D">
        <w:trPr>
          <w:trHeight w:val="289"/>
        </w:trPr>
        <w:tc>
          <w:tcPr>
            <w:tcW w:w="1013" w:type="dxa"/>
            <w:vMerge/>
            <w:tcBorders>
              <w:top w:val="nil"/>
              <w:left w:val="single" w:sz="4" w:space="0" w:color="auto"/>
              <w:bottom w:val="single" w:sz="4" w:space="0" w:color="000000"/>
              <w:right w:val="single" w:sz="4" w:space="0" w:color="auto"/>
            </w:tcBorders>
            <w:vAlign w:val="center"/>
            <w:hideMark/>
          </w:tcPr>
          <w:p w14:paraId="55A800CF"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2933DB12"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4567FB2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402280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8E1CC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95DD54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FCCEF3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5EED69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1C6C2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5118E66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34CD7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11 603,1</w:t>
            </w:r>
          </w:p>
        </w:tc>
      </w:tr>
      <w:tr w:rsidR="00761800" w:rsidRPr="00761800" w14:paraId="01226D5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6AC17F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7320D5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D98FC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11 315,1</w:t>
            </w:r>
          </w:p>
        </w:tc>
      </w:tr>
      <w:tr w:rsidR="00761800" w:rsidRPr="00761800" w14:paraId="44035BE5" w14:textId="77777777" w:rsidTr="00406B4D">
        <w:trPr>
          <w:trHeight w:val="300"/>
        </w:trPr>
        <w:tc>
          <w:tcPr>
            <w:tcW w:w="1013" w:type="dxa"/>
            <w:tcBorders>
              <w:top w:val="nil"/>
              <w:left w:val="nil"/>
              <w:bottom w:val="nil"/>
              <w:right w:val="nil"/>
            </w:tcBorders>
            <w:shd w:val="clear" w:color="auto" w:fill="auto"/>
            <w:vAlign w:val="bottom"/>
            <w:hideMark/>
          </w:tcPr>
          <w:p w14:paraId="20CA4D92"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0C0EAA2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29A1ECBA" w14:textId="77777777" w:rsidR="00761800" w:rsidRPr="00761800" w:rsidRDefault="00761800" w:rsidP="00761800">
            <w:pPr>
              <w:rPr>
                <w:rFonts w:ascii="Times New Roman" w:hAnsi="Times New Roman"/>
                <w:sz w:val="20"/>
                <w:lang w:eastAsia="bg-BG"/>
              </w:rPr>
            </w:pPr>
          </w:p>
        </w:tc>
      </w:tr>
      <w:tr w:rsidR="00761800" w:rsidRPr="00761800" w14:paraId="43E96982" w14:textId="77777777" w:rsidTr="00406B4D">
        <w:trPr>
          <w:trHeight w:val="300"/>
        </w:trPr>
        <w:tc>
          <w:tcPr>
            <w:tcW w:w="14253" w:type="dxa"/>
            <w:gridSpan w:val="3"/>
            <w:tcBorders>
              <w:top w:val="nil"/>
              <w:left w:val="nil"/>
              <w:bottom w:val="nil"/>
              <w:right w:val="nil"/>
            </w:tcBorders>
            <w:shd w:val="clear" w:color="auto" w:fill="auto"/>
            <w:vAlign w:val="bottom"/>
            <w:hideMark/>
          </w:tcPr>
          <w:p w14:paraId="4FE94ADA"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23.</w:t>
            </w:r>
            <w:r w:rsidRPr="00761800">
              <w:rPr>
                <w:rFonts w:ascii="Times New Roman" w:hAnsi="Times New Roman"/>
                <w:color w:val="000000"/>
                <w:sz w:val="22"/>
                <w:szCs w:val="22"/>
                <w:lang w:eastAsia="bg-BG"/>
              </w:rPr>
              <w:t xml:space="preserve"> (1) Приема бюджета на Министерството на регионалното развитие и благоустройството за 2026 г., както следва:</w:t>
            </w:r>
          </w:p>
        </w:tc>
      </w:tr>
      <w:tr w:rsidR="00761800" w:rsidRPr="00761800" w14:paraId="12B78EF7" w14:textId="77777777" w:rsidTr="00406B4D">
        <w:trPr>
          <w:trHeight w:val="383"/>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C8171A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CF2BE5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bottom"/>
            <w:hideMark/>
          </w:tcPr>
          <w:p w14:paraId="477C9D9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0AB4E3A"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6F46808"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0947CDA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bottom"/>
            <w:hideMark/>
          </w:tcPr>
          <w:p w14:paraId="22A8615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F39B03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6E4D81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441EB9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FF759B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D43DD0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32A66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6CAC31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4F670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722 062,3</w:t>
            </w:r>
          </w:p>
        </w:tc>
      </w:tr>
      <w:tr w:rsidR="00761800" w:rsidRPr="00761800" w14:paraId="2588DD5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F83A1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7D76F50"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ED612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722 062,3</w:t>
            </w:r>
          </w:p>
        </w:tc>
      </w:tr>
      <w:tr w:rsidR="00761800" w:rsidRPr="00761800" w14:paraId="4FE0608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E9FB2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F99B51D"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6C5DD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719 138,2</w:t>
            </w:r>
          </w:p>
        </w:tc>
      </w:tr>
      <w:tr w:rsidR="00761800" w:rsidRPr="00761800" w14:paraId="4A5FC561"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6DE436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670C627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12B04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833,4</w:t>
            </w:r>
          </w:p>
        </w:tc>
      </w:tr>
      <w:tr w:rsidR="00761800" w:rsidRPr="00761800" w14:paraId="43A5406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723F4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195D34A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7BAC8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802,7</w:t>
            </w:r>
          </w:p>
        </w:tc>
      </w:tr>
      <w:tr w:rsidR="00761800" w:rsidRPr="00761800" w14:paraId="6C54B8F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5A44D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7B48215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9339E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1 288,0</w:t>
            </w:r>
          </w:p>
        </w:tc>
      </w:tr>
      <w:tr w:rsidR="00761800" w:rsidRPr="00761800" w14:paraId="4E5A240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948D07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497265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4AA24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1 058 603,6</w:t>
            </w:r>
          </w:p>
        </w:tc>
      </w:tr>
      <w:tr w:rsidR="00761800" w:rsidRPr="00761800" w14:paraId="7117000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324EE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6AE8C75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F3360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643 941,3</w:t>
            </w:r>
          </w:p>
        </w:tc>
      </w:tr>
      <w:tr w:rsidR="00761800" w:rsidRPr="00761800" w14:paraId="665916B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A690A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ABED14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56F35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F1C63B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2C9F4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8A3803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379B4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72 695,6</w:t>
            </w:r>
          </w:p>
        </w:tc>
      </w:tr>
      <w:tr w:rsidR="00761800" w:rsidRPr="00761800" w14:paraId="6F4AA6E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295C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70C4490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5328C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414,1</w:t>
            </w:r>
          </w:p>
        </w:tc>
      </w:tr>
      <w:tr w:rsidR="00761800" w:rsidRPr="00761800" w14:paraId="770B0C5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DF2BE2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04756896"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739FF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414,1</w:t>
            </w:r>
          </w:p>
        </w:tc>
      </w:tr>
      <w:tr w:rsidR="00761800" w:rsidRPr="00761800" w14:paraId="4FF4DC9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E54C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60BC9332"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D67BE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414 662,3</w:t>
            </w:r>
          </w:p>
        </w:tc>
      </w:tr>
      <w:tr w:rsidR="00761800" w:rsidRPr="00761800" w14:paraId="158F620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BF4A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68ABFC2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28F68D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397 223,4</w:t>
            </w:r>
          </w:p>
        </w:tc>
      </w:tr>
      <w:tr w:rsidR="00761800" w:rsidRPr="00761800" w14:paraId="43AC9A7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8B17D7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w:t>
            </w:r>
          </w:p>
        </w:tc>
        <w:tc>
          <w:tcPr>
            <w:tcW w:w="11062" w:type="dxa"/>
            <w:tcBorders>
              <w:top w:val="nil"/>
              <w:left w:val="nil"/>
              <w:bottom w:val="single" w:sz="4" w:space="0" w:color="auto"/>
              <w:right w:val="single" w:sz="4" w:space="0" w:color="auto"/>
            </w:tcBorders>
            <w:shd w:val="clear" w:color="000000" w:fill="FFFFFF"/>
            <w:noWrap/>
            <w:vAlign w:val="bottom"/>
            <w:hideMark/>
          </w:tcPr>
          <w:p w14:paraId="0C280C6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Капиталови трансфери </w:t>
            </w:r>
          </w:p>
        </w:tc>
        <w:tc>
          <w:tcPr>
            <w:tcW w:w="2178" w:type="dxa"/>
            <w:tcBorders>
              <w:top w:val="nil"/>
              <w:left w:val="nil"/>
              <w:bottom w:val="single" w:sz="4" w:space="0" w:color="auto"/>
              <w:right w:val="single" w:sz="4" w:space="0" w:color="auto"/>
            </w:tcBorders>
            <w:shd w:val="clear" w:color="auto" w:fill="auto"/>
            <w:noWrap/>
            <w:vAlign w:val="bottom"/>
            <w:hideMark/>
          </w:tcPr>
          <w:p w14:paraId="7770F6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17 438,9</w:t>
            </w:r>
          </w:p>
        </w:tc>
      </w:tr>
      <w:tr w:rsidR="00761800" w:rsidRPr="00761800" w14:paraId="56795A2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FAE69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710B616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CA58F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336 541,3</w:t>
            </w:r>
          </w:p>
        </w:tc>
      </w:tr>
      <w:tr w:rsidR="00761800" w:rsidRPr="00761800" w14:paraId="130A3A9E"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088501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71A0422A"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C1740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355 039,6</w:t>
            </w:r>
          </w:p>
        </w:tc>
      </w:tr>
      <w:tr w:rsidR="00761800" w:rsidRPr="00761800" w14:paraId="7BCF917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A7769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2222FCB3"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hideMark/>
          </w:tcPr>
          <w:p w14:paraId="334511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-18 498,3</w:t>
            </w:r>
          </w:p>
        </w:tc>
      </w:tr>
      <w:tr w:rsidR="00761800" w:rsidRPr="00761800" w14:paraId="4453D1DE"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650B6BE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02382EDB"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406A2D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-18 498,3</w:t>
            </w:r>
          </w:p>
        </w:tc>
      </w:tr>
      <w:tr w:rsidR="00761800" w:rsidRPr="00761800" w14:paraId="0ECB0CE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EA71D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4C16ED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6A479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0231B97"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1EBA85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74AD11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E8ADB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091A18A" w14:textId="77777777" w:rsidTr="00406B4D">
        <w:trPr>
          <w:trHeight w:val="300"/>
        </w:trPr>
        <w:tc>
          <w:tcPr>
            <w:tcW w:w="1013" w:type="dxa"/>
            <w:tcBorders>
              <w:top w:val="nil"/>
              <w:left w:val="nil"/>
              <w:bottom w:val="nil"/>
              <w:right w:val="nil"/>
            </w:tcBorders>
            <w:shd w:val="clear" w:color="auto" w:fill="auto"/>
            <w:noWrap/>
            <w:vAlign w:val="bottom"/>
            <w:hideMark/>
          </w:tcPr>
          <w:p w14:paraId="7DE62E31"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28712CD"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12E905D6" w14:textId="77777777" w:rsidR="00761800" w:rsidRPr="00761800" w:rsidRDefault="00761800" w:rsidP="00761800">
            <w:pPr>
              <w:rPr>
                <w:rFonts w:ascii="Times New Roman" w:hAnsi="Times New Roman"/>
                <w:sz w:val="20"/>
                <w:lang w:eastAsia="bg-BG"/>
              </w:rPr>
            </w:pPr>
          </w:p>
        </w:tc>
      </w:tr>
      <w:tr w:rsidR="00761800" w:rsidRPr="00761800" w14:paraId="0ECDC4A2" w14:textId="77777777" w:rsidTr="00406B4D">
        <w:trPr>
          <w:trHeight w:val="300"/>
        </w:trPr>
        <w:tc>
          <w:tcPr>
            <w:tcW w:w="14253" w:type="dxa"/>
            <w:gridSpan w:val="3"/>
            <w:tcBorders>
              <w:top w:val="nil"/>
              <w:left w:val="nil"/>
              <w:bottom w:val="single" w:sz="4" w:space="0" w:color="auto"/>
              <w:right w:val="nil"/>
            </w:tcBorders>
            <w:shd w:val="clear" w:color="auto" w:fill="auto"/>
            <w:hideMark/>
          </w:tcPr>
          <w:p w14:paraId="3DEED77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2B0FC751"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FD35C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03B16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17B8E40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310C5AF"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75E36CF"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1469688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2ADB1DB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1B4B3E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57CA5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9DBE6C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3072E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C92CE41"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5C66704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single" w:sz="4" w:space="0" w:color="auto"/>
            </w:tcBorders>
            <w:shd w:val="clear" w:color="auto" w:fill="auto"/>
            <w:vAlign w:val="bottom"/>
            <w:hideMark/>
          </w:tcPr>
          <w:p w14:paraId="60EEE3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Политика за интегрирано развитие на регионите за постигане на растеж и подобряване качеството на жизнената среда </w:t>
            </w:r>
          </w:p>
        </w:tc>
        <w:tc>
          <w:tcPr>
            <w:tcW w:w="2178" w:type="dxa"/>
            <w:tcBorders>
              <w:top w:val="nil"/>
              <w:left w:val="nil"/>
              <w:bottom w:val="single" w:sz="4" w:space="0" w:color="auto"/>
              <w:right w:val="single" w:sz="4" w:space="0" w:color="auto"/>
            </w:tcBorders>
            <w:shd w:val="clear" w:color="auto" w:fill="auto"/>
            <w:noWrap/>
            <w:vAlign w:val="bottom"/>
            <w:hideMark/>
          </w:tcPr>
          <w:p w14:paraId="478B78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21 080,1</w:t>
            </w:r>
          </w:p>
        </w:tc>
      </w:tr>
      <w:tr w:rsidR="00761800" w:rsidRPr="00761800" w14:paraId="6BA51329"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36FF7A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single" w:sz="4" w:space="0" w:color="auto"/>
            </w:tcBorders>
            <w:shd w:val="clear" w:color="auto" w:fill="auto"/>
            <w:vAlign w:val="bottom"/>
            <w:hideMark/>
          </w:tcPr>
          <w:p w14:paraId="021955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за подобряване на инвестиционния процес, поддържане, модернизация и изграждане на техническата инфраструктура</w:t>
            </w:r>
          </w:p>
        </w:tc>
        <w:tc>
          <w:tcPr>
            <w:tcW w:w="2178" w:type="dxa"/>
            <w:tcBorders>
              <w:top w:val="nil"/>
              <w:left w:val="nil"/>
              <w:bottom w:val="single" w:sz="4" w:space="0" w:color="auto"/>
              <w:right w:val="single" w:sz="4" w:space="0" w:color="auto"/>
            </w:tcBorders>
            <w:shd w:val="clear" w:color="auto" w:fill="auto"/>
            <w:noWrap/>
            <w:vAlign w:val="bottom"/>
            <w:hideMark/>
          </w:tcPr>
          <w:p w14:paraId="20F82B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1 017 660,8</w:t>
            </w:r>
          </w:p>
        </w:tc>
      </w:tr>
      <w:tr w:rsidR="00761800" w:rsidRPr="00761800" w14:paraId="5C6B754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6DD04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single" w:sz="4" w:space="0" w:color="auto"/>
            </w:tcBorders>
            <w:shd w:val="clear" w:color="auto" w:fill="auto"/>
            <w:vAlign w:val="bottom"/>
            <w:hideMark/>
          </w:tcPr>
          <w:p w14:paraId="5800BA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„Ефективна администрация и координация“</w:t>
            </w:r>
          </w:p>
        </w:tc>
        <w:tc>
          <w:tcPr>
            <w:tcW w:w="2178" w:type="dxa"/>
            <w:tcBorders>
              <w:top w:val="nil"/>
              <w:left w:val="nil"/>
              <w:bottom w:val="single" w:sz="4" w:space="0" w:color="auto"/>
              <w:right w:val="single" w:sz="4" w:space="0" w:color="auto"/>
            </w:tcBorders>
            <w:shd w:val="clear" w:color="auto" w:fill="auto"/>
            <w:noWrap/>
            <w:vAlign w:val="bottom"/>
            <w:hideMark/>
          </w:tcPr>
          <w:p w14:paraId="2EED30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19 862,7</w:t>
            </w:r>
          </w:p>
        </w:tc>
      </w:tr>
      <w:tr w:rsidR="00761800" w:rsidRPr="00761800" w14:paraId="3123BC7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17FBEA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CC2B31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5C39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1 058 603,6</w:t>
            </w:r>
          </w:p>
        </w:tc>
      </w:tr>
      <w:tr w:rsidR="00761800" w:rsidRPr="00761800" w14:paraId="0ADF509D" w14:textId="77777777" w:rsidTr="00406B4D">
        <w:trPr>
          <w:trHeight w:val="300"/>
        </w:trPr>
        <w:tc>
          <w:tcPr>
            <w:tcW w:w="1013" w:type="dxa"/>
            <w:tcBorders>
              <w:top w:val="nil"/>
              <w:left w:val="nil"/>
              <w:bottom w:val="nil"/>
              <w:right w:val="nil"/>
            </w:tcBorders>
            <w:shd w:val="clear" w:color="auto" w:fill="auto"/>
            <w:noWrap/>
            <w:vAlign w:val="bottom"/>
            <w:hideMark/>
          </w:tcPr>
          <w:p w14:paraId="430195B1"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ED88231"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430751F1" w14:textId="77777777" w:rsidR="00761800" w:rsidRPr="00761800" w:rsidRDefault="00761800" w:rsidP="00761800">
            <w:pPr>
              <w:rPr>
                <w:rFonts w:ascii="Times New Roman" w:hAnsi="Times New Roman"/>
                <w:sz w:val="20"/>
                <w:lang w:eastAsia="bg-BG"/>
              </w:rPr>
            </w:pPr>
          </w:p>
        </w:tc>
      </w:tr>
      <w:tr w:rsidR="00761800" w:rsidRPr="00761800" w14:paraId="6E570040" w14:textId="77777777" w:rsidTr="00406B4D">
        <w:trPr>
          <w:trHeight w:val="889"/>
        </w:trPr>
        <w:tc>
          <w:tcPr>
            <w:tcW w:w="14253" w:type="dxa"/>
            <w:gridSpan w:val="3"/>
            <w:tcBorders>
              <w:top w:val="nil"/>
              <w:left w:val="nil"/>
              <w:bottom w:val="single" w:sz="4" w:space="0" w:color="auto"/>
              <w:right w:val="nil"/>
            </w:tcBorders>
            <w:shd w:val="clear" w:color="auto" w:fill="auto"/>
            <w:hideMark/>
          </w:tcPr>
          <w:p w14:paraId="342444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регионалното развитие и благоустройството, както следва:</w:t>
            </w:r>
          </w:p>
        </w:tc>
      </w:tr>
      <w:tr w:rsidR="00761800" w:rsidRPr="00761800" w14:paraId="27C2ED3C"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B19C0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BB66E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center"/>
            <w:hideMark/>
          </w:tcPr>
          <w:p w14:paraId="7268564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C46EA70" w14:textId="77777777" w:rsidTr="00406B4D">
        <w:trPr>
          <w:trHeight w:val="383"/>
        </w:trPr>
        <w:tc>
          <w:tcPr>
            <w:tcW w:w="1013" w:type="dxa"/>
            <w:vMerge/>
            <w:tcBorders>
              <w:top w:val="nil"/>
              <w:left w:val="single" w:sz="4" w:space="0" w:color="auto"/>
              <w:bottom w:val="single" w:sz="4" w:space="0" w:color="000000"/>
              <w:right w:val="single" w:sz="4" w:space="0" w:color="auto"/>
            </w:tcBorders>
            <w:vAlign w:val="center"/>
            <w:hideMark/>
          </w:tcPr>
          <w:p w14:paraId="7C13F1FB"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24372C90"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73B545E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90800C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79C7D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989E3F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FB4EB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B3DD53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3137A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4D3D82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BC979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3 178 486,1</w:t>
            </w:r>
          </w:p>
        </w:tc>
      </w:tr>
      <w:tr w:rsidR="00761800" w:rsidRPr="00761800" w14:paraId="5DA788C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E2932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6D791B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A2BCE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984 719,4</w:t>
            </w:r>
          </w:p>
        </w:tc>
      </w:tr>
      <w:tr w:rsidR="00761800" w:rsidRPr="00761800" w14:paraId="3D954E62" w14:textId="77777777" w:rsidTr="00406B4D">
        <w:trPr>
          <w:trHeight w:val="300"/>
        </w:trPr>
        <w:tc>
          <w:tcPr>
            <w:tcW w:w="1013" w:type="dxa"/>
            <w:tcBorders>
              <w:top w:val="nil"/>
              <w:left w:val="nil"/>
              <w:bottom w:val="nil"/>
              <w:right w:val="nil"/>
            </w:tcBorders>
            <w:shd w:val="clear" w:color="auto" w:fill="auto"/>
            <w:vAlign w:val="bottom"/>
            <w:hideMark/>
          </w:tcPr>
          <w:p w14:paraId="7F36D26B"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75333F70"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4A15B388" w14:textId="77777777" w:rsidR="00761800" w:rsidRPr="00761800" w:rsidRDefault="00761800" w:rsidP="00761800">
            <w:pPr>
              <w:rPr>
                <w:rFonts w:ascii="Times New Roman" w:hAnsi="Times New Roman"/>
                <w:sz w:val="20"/>
                <w:lang w:eastAsia="bg-BG"/>
              </w:rPr>
            </w:pPr>
          </w:p>
        </w:tc>
      </w:tr>
      <w:tr w:rsidR="00761800" w:rsidRPr="00761800" w14:paraId="527E15A0" w14:textId="77777777" w:rsidTr="00406B4D">
        <w:trPr>
          <w:trHeight w:val="300"/>
        </w:trPr>
        <w:tc>
          <w:tcPr>
            <w:tcW w:w="14253" w:type="dxa"/>
            <w:gridSpan w:val="3"/>
            <w:tcBorders>
              <w:top w:val="nil"/>
              <w:left w:val="nil"/>
              <w:bottom w:val="nil"/>
              <w:right w:val="nil"/>
            </w:tcBorders>
            <w:shd w:val="clear" w:color="auto" w:fill="auto"/>
            <w:vAlign w:val="bottom"/>
            <w:hideMark/>
          </w:tcPr>
          <w:p w14:paraId="23ECE79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24.</w:t>
            </w:r>
            <w:r w:rsidRPr="00761800">
              <w:rPr>
                <w:rFonts w:ascii="Times New Roman" w:hAnsi="Times New Roman"/>
                <w:color w:val="000000"/>
                <w:sz w:val="22"/>
                <w:szCs w:val="22"/>
                <w:lang w:eastAsia="bg-BG"/>
              </w:rPr>
              <w:t xml:space="preserve"> (1) Приема бюджета на Министерството на земеделието и храните за 2026 г., както следва:</w:t>
            </w:r>
          </w:p>
        </w:tc>
      </w:tr>
      <w:tr w:rsidR="00761800" w:rsidRPr="00761800" w14:paraId="7716496B" w14:textId="77777777" w:rsidTr="00406B4D">
        <w:trPr>
          <w:trHeight w:val="398"/>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107FA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5FF06E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53B8E42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6306A74"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D0B7B1E"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2C7F0172"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1F673A3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8E64CE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A70B94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180000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68CF6D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1432C5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62025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0A3C87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F1B9C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132 839,9</w:t>
            </w:r>
          </w:p>
        </w:tc>
      </w:tr>
      <w:tr w:rsidR="00761800" w:rsidRPr="00761800" w14:paraId="0AE2C28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909A0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4154FD55"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48770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132 839,9</w:t>
            </w:r>
          </w:p>
        </w:tc>
      </w:tr>
      <w:tr w:rsidR="00761800" w:rsidRPr="00761800" w14:paraId="2F78031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84E39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2BF7DFB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F4D31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66 891,3</w:t>
            </w:r>
          </w:p>
        </w:tc>
      </w:tr>
      <w:tr w:rsidR="00761800" w:rsidRPr="00761800" w14:paraId="4BA2AF15"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2A1BF8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0E11857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13A7B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58 279,2</w:t>
            </w:r>
          </w:p>
        </w:tc>
      </w:tr>
      <w:tr w:rsidR="00761800" w:rsidRPr="00761800" w14:paraId="58A5F37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B2390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5E779A1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D600B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1 022,6</w:t>
            </w:r>
          </w:p>
        </w:tc>
      </w:tr>
      <w:tr w:rsidR="00761800" w:rsidRPr="00761800" w14:paraId="2EB55CF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17AA8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09A0EE2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DDD52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6 646,8</w:t>
            </w:r>
          </w:p>
        </w:tc>
      </w:tr>
      <w:tr w:rsidR="00761800" w:rsidRPr="00761800" w14:paraId="295A49F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EBB62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II.</w:t>
            </w:r>
          </w:p>
        </w:tc>
        <w:tc>
          <w:tcPr>
            <w:tcW w:w="11062" w:type="dxa"/>
            <w:tcBorders>
              <w:top w:val="nil"/>
              <w:left w:val="nil"/>
              <w:bottom w:val="single" w:sz="4" w:space="0" w:color="auto"/>
              <w:right w:val="nil"/>
            </w:tcBorders>
            <w:shd w:val="clear" w:color="auto" w:fill="auto"/>
            <w:noWrap/>
            <w:vAlign w:val="bottom"/>
            <w:hideMark/>
          </w:tcPr>
          <w:p w14:paraId="75BE46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A573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200 331,6</w:t>
            </w:r>
          </w:p>
        </w:tc>
      </w:tr>
      <w:tr w:rsidR="00761800" w:rsidRPr="00761800" w14:paraId="5BAC72B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7D34A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4FE05000"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B69FA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198 623,6</w:t>
            </w:r>
          </w:p>
        </w:tc>
      </w:tr>
      <w:tr w:rsidR="00761800" w:rsidRPr="00761800" w14:paraId="7F4072F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1B9A4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9D6A0A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в т.ч.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9DEB1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FF944C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686BF6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5A6A88D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410B4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136 225,3</w:t>
            </w:r>
          </w:p>
        </w:tc>
      </w:tr>
      <w:tr w:rsidR="00761800" w:rsidRPr="00761800" w14:paraId="6106416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8D17D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07D53CE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A8E52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14 980,9</w:t>
            </w:r>
          </w:p>
        </w:tc>
      </w:tr>
      <w:tr w:rsidR="00761800" w:rsidRPr="00761800" w14:paraId="042D29F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8084A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011C76BE"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0418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14 980,9</w:t>
            </w:r>
          </w:p>
        </w:tc>
      </w:tr>
      <w:tr w:rsidR="00761800" w:rsidRPr="00761800" w14:paraId="631E7C0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3B0B0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3C6BD23B"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F6CFC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1 708,0</w:t>
            </w:r>
          </w:p>
        </w:tc>
      </w:tr>
      <w:tr w:rsidR="00761800" w:rsidRPr="00761800" w14:paraId="43C02B5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389231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5F13D73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173412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1 708,0</w:t>
            </w:r>
          </w:p>
        </w:tc>
      </w:tr>
      <w:tr w:rsidR="00761800" w:rsidRPr="00761800" w14:paraId="7FC55D7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E4A74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496632E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0BC38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57 265,9</w:t>
            </w:r>
          </w:p>
        </w:tc>
      </w:tr>
      <w:tr w:rsidR="00761800" w:rsidRPr="00761800" w14:paraId="10B3040A"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519F5C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69B7CB5C"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B016C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118 612,1</w:t>
            </w:r>
          </w:p>
        </w:tc>
      </w:tr>
      <w:tr w:rsidR="00761800" w:rsidRPr="00761800" w14:paraId="6DDD750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EAEA9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4DA10B18"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6336C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-43 231,6</w:t>
            </w:r>
          </w:p>
        </w:tc>
      </w:tr>
      <w:tr w:rsidR="00761800" w:rsidRPr="00761800" w14:paraId="6E9C1D78"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63DF66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0C62CE37"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58DDE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-43 231,6</w:t>
            </w:r>
          </w:p>
        </w:tc>
      </w:tr>
      <w:tr w:rsidR="00761800" w:rsidRPr="00761800" w14:paraId="7942A47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62385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2.1.1.</w:t>
            </w:r>
          </w:p>
        </w:tc>
        <w:tc>
          <w:tcPr>
            <w:tcW w:w="11062" w:type="dxa"/>
            <w:tcBorders>
              <w:top w:val="nil"/>
              <w:left w:val="nil"/>
              <w:bottom w:val="single" w:sz="4" w:space="0" w:color="auto"/>
              <w:right w:val="single" w:sz="4" w:space="0" w:color="auto"/>
            </w:tcBorders>
            <w:shd w:val="clear" w:color="auto" w:fill="auto"/>
            <w:noWrap/>
            <w:vAlign w:val="bottom"/>
            <w:hideMark/>
          </w:tcPr>
          <w:p w14:paraId="4BB8B722"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 за Селскостопанската академия</w:t>
            </w:r>
          </w:p>
        </w:tc>
        <w:tc>
          <w:tcPr>
            <w:tcW w:w="2178" w:type="dxa"/>
            <w:tcBorders>
              <w:top w:val="nil"/>
              <w:left w:val="nil"/>
              <w:bottom w:val="single" w:sz="4" w:space="0" w:color="auto"/>
              <w:right w:val="single" w:sz="4" w:space="0" w:color="auto"/>
            </w:tcBorders>
            <w:shd w:val="clear" w:color="auto" w:fill="auto"/>
            <w:noWrap/>
            <w:vAlign w:val="bottom"/>
            <w:hideMark/>
          </w:tcPr>
          <w:p w14:paraId="08567E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-43 231,6</w:t>
            </w:r>
          </w:p>
        </w:tc>
      </w:tr>
      <w:tr w:rsidR="00761800" w:rsidRPr="00761800" w14:paraId="40D0138E"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0CAC6B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nil"/>
            </w:tcBorders>
            <w:shd w:val="clear" w:color="auto" w:fill="auto"/>
            <w:noWrap/>
            <w:vAlign w:val="bottom"/>
            <w:hideMark/>
          </w:tcPr>
          <w:p w14:paraId="4DB754AC"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hideMark/>
          </w:tcPr>
          <w:p w14:paraId="0D38382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-18 114,6</w:t>
            </w:r>
          </w:p>
        </w:tc>
      </w:tr>
      <w:tr w:rsidR="00761800" w:rsidRPr="00761800" w14:paraId="0A47CC0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98AF6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3.1.</w:t>
            </w:r>
          </w:p>
        </w:tc>
        <w:tc>
          <w:tcPr>
            <w:tcW w:w="11062" w:type="dxa"/>
            <w:tcBorders>
              <w:top w:val="nil"/>
              <w:left w:val="nil"/>
              <w:bottom w:val="single" w:sz="4" w:space="0" w:color="auto"/>
              <w:right w:val="nil"/>
            </w:tcBorders>
            <w:shd w:val="clear" w:color="auto" w:fill="auto"/>
            <w:noWrap/>
            <w:vAlign w:val="bottom"/>
            <w:hideMark/>
          </w:tcPr>
          <w:p w14:paraId="330ECEF5"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5A264C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-18 114,6</w:t>
            </w:r>
          </w:p>
        </w:tc>
      </w:tr>
      <w:tr w:rsidR="00761800" w:rsidRPr="00761800" w14:paraId="5F73E30E"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7F6BED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6A7AC5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30485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-10 225,8</w:t>
            </w:r>
          </w:p>
        </w:tc>
      </w:tr>
      <w:tr w:rsidR="00761800" w:rsidRPr="00761800" w14:paraId="72445E9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BDA86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0962E0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15057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10 225,8</w:t>
            </w:r>
          </w:p>
        </w:tc>
      </w:tr>
      <w:tr w:rsidR="00761800" w:rsidRPr="00761800" w14:paraId="10DECB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ED6C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0669F86D"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Предоставени кредити (нето)</w:t>
            </w:r>
          </w:p>
        </w:tc>
        <w:tc>
          <w:tcPr>
            <w:tcW w:w="2178" w:type="dxa"/>
            <w:tcBorders>
              <w:top w:val="nil"/>
              <w:left w:val="single" w:sz="4" w:space="0" w:color="auto"/>
              <w:bottom w:val="single" w:sz="4" w:space="0" w:color="auto"/>
              <w:right w:val="single" w:sz="4" w:space="0" w:color="auto"/>
            </w:tcBorders>
            <w:shd w:val="clear" w:color="auto" w:fill="auto"/>
            <w:noWrap/>
            <w:hideMark/>
          </w:tcPr>
          <w:p w14:paraId="2A6C1E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10 225,8</w:t>
            </w:r>
          </w:p>
        </w:tc>
      </w:tr>
      <w:tr w:rsidR="00761800" w:rsidRPr="00761800" w14:paraId="047BE7B0"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E3EE5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5DF36247" w14:textId="77777777" w:rsidR="00761800" w:rsidRPr="00761800" w:rsidRDefault="00761800" w:rsidP="00761800">
            <w:pPr>
              <w:ind w:firstLineChars="200" w:firstLine="440"/>
              <w:rPr>
                <w:rFonts w:ascii="Times New Roman" w:hAnsi="Times New Roman"/>
                <w:i/>
                <w:iCs/>
                <w:sz w:val="22"/>
                <w:szCs w:val="22"/>
                <w:lang w:eastAsia="bg-BG"/>
              </w:rPr>
            </w:pPr>
            <w:r w:rsidRPr="00761800">
              <w:rPr>
                <w:rFonts w:ascii="Times New Roman" w:hAnsi="Times New Roman"/>
                <w:i/>
                <w:iCs/>
                <w:sz w:val="22"/>
                <w:szCs w:val="22"/>
                <w:lang w:eastAsia="bg-BG"/>
              </w:rPr>
              <w:t>Предоставени средства по лихвени заеми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5D0E31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-12 782,3</w:t>
            </w:r>
          </w:p>
        </w:tc>
      </w:tr>
      <w:tr w:rsidR="00761800" w:rsidRPr="00761800" w14:paraId="6E49674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2073EE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1A7E7681" w14:textId="77777777" w:rsidR="00761800" w:rsidRPr="00761800" w:rsidRDefault="00761800" w:rsidP="00761800">
            <w:pPr>
              <w:ind w:firstLineChars="200" w:firstLine="440"/>
              <w:rPr>
                <w:rFonts w:ascii="Times New Roman" w:hAnsi="Times New Roman"/>
                <w:i/>
                <w:iCs/>
                <w:sz w:val="22"/>
                <w:szCs w:val="22"/>
                <w:lang w:eastAsia="bg-BG"/>
              </w:rPr>
            </w:pPr>
            <w:r w:rsidRPr="00761800">
              <w:rPr>
                <w:rFonts w:ascii="Times New Roman" w:hAnsi="Times New Roman"/>
                <w:i/>
                <w:iCs/>
                <w:sz w:val="22"/>
                <w:szCs w:val="22"/>
                <w:lang w:eastAsia="bg-BG"/>
              </w:rPr>
              <w:t>Възстановени главници по предоставени лихвени заеми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0094FA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23 008,1</w:t>
            </w:r>
          </w:p>
        </w:tc>
      </w:tr>
      <w:tr w:rsidR="00761800" w:rsidRPr="00761800" w14:paraId="1DE9871B" w14:textId="77777777" w:rsidTr="00406B4D">
        <w:trPr>
          <w:trHeight w:val="300"/>
        </w:trPr>
        <w:tc>
          <w:tcPr>
            <w:tcW w:w="1013" w:type="dxa"/>
            <w:tcBorders>
              <w:top w:val="nil"/>
              <w:left w:val="nil"/>
              <w:bottom w:val="nil"/>
              <w:right w:val="nil"/>
            </w:tcBorders>
            <w:shd w:val="clear" w:color="auto" w:fill="auto"/>
            <w:noWrap/>
            <w:vAlign w:val="bottom"/>
            <w:hideMark/>
          </w:tcPr>
          <w:p w14:paraId="110B6B6E"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7E25242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71E94ADA" w14:textId="77777777" w:rsidR="00761800" w:rsidRPr="00761800" w:rsidRDefault="00761800" w:rsidP="00761800">
            <w:pPr>
              <w:rPr>
                <w:rFonts w:ascii="Times New Roman" w:hAnsi="Times New Roman"/>
                <w:sz w:val="20"/>
                <w:lang w:eastAsia="bg-BG"/>
              </w:rPr>
            </w:pPr>
          </w:p>
        </w:tc>
      </w:tr>
      <w:tr w:rsidR="00761800" w:rsidRPr="00761800" w14:paraId="0D9B0105" w14:textId="77777777" w:rsidTr="00406B4D">
        <w:trPr>
          <w:trHeight w:val="289"/>
        </w:trPr>
        <w:tc>
          <w:tcPr>
            <w:tcW w:w="14253" w:type="dxa"/>
            <w:gridSpan w:val="3"/>
            <w:tcBorders>
              <w:top w:val="nil"/>
              <w:left w:val="nil"/>
              <w:bottom w:val="single" w:sz="4" w:space="0" w:color="auto"/>
              <w:right w:val="nil"/>
            </w:tcBorders>
            <w:shd w:val="clear" w:color="auto" w:fill="auto"/>
            <w:hideMark/>
          </w:tcPr>
          <w:p w14:paraId="22F0DE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7E19ED23"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82C77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2A6E2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58D1A7A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67F1D85"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43AB4363"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1C45078E"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1F3F9D3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3ED93E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59C6F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D74289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4526C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206699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C500F9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3673B5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земеделието и селските райони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135D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158 038,7</w:t>
            </w:r>
          </w:p>
        </w:tc>
      </w:tr>
      <w:tr w:rsidR="00761800" w:rsidRPr="00761800" w14:paraId="6127BB2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B0DBD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39320D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рибарството и аквакултурите</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040CD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5 193,5</w:t>
            </w:r>
          </w:p>
        </w:tc>
      </w:tr>
      <w:tr w:rsidR="00761800" w:rsidRPr="00761800" w14:paraId="29D4664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C44D0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noWrap/>
            <w:vAlign w:val="bottom"/>
            <w:hideMark/>
          </w:tcPr>
          <w:p w14:paraId="07040F6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съхраняването и увеличаването на горите и дивеча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1CE7E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24 255,2</w:t>
            </w:r>
          </w:p>
        </w:tc>
      </w:tr>
      <w:tr w:rsidR="00761800" w:rsidRPr="00761800" w14:paraId="61490CF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46372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4.</w:t>
            </w:r>
          </w:p>
        </w:tc>
        <w:tc>
          <w:tcPr>
            <w:tcW w:w="11062" w:type="dxa"/>
            <w:tcBorders>
              <w:top w:val="nil"/>
              <w:left w:val="nil"/>
              <w:bottom w:val="single" w:sz="4" w:space="0" w:color="auto"/>
              <w:right w:val="nil"/>
            </w:tcBorders>
            <w:shd w:val="clear" w:color="auto" w:fill="auto"/>
            <w:noWrap/>
            <w:vAlign w:val="bottom"/>
            <w:hideMark/>
          </w:tcPr>
          <w:p w14:paraId="062C7C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3BAD3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12 844,2</w:t>
            </w:r>
          </w:p>
        </w:tc>
      </w:tr>
      <w:tr w:rsidR="00761800" w:rsidRPr="00761800" w14:paraId="7288383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A83FB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w:t>
            </w:r>
          </w:p>
        </w:tc>
        <w:tc>
          <w:tcPr>
            <w:tcW w:w="11062" w:type="dxa"/>
            <w:tcBorders>
              <w:top w:val="nil"/>
              <w:left w:val="nil"/>
              <w:bottom w:val="single" w:sz="4" w:space="0" w:color="auto"/>
              <w:right w:val="nil"/>
            </w:tcBorders>
            <w:shd w:val="clear" w:color="auto" w:fill="auto"/>
            <w:noWrap/>
            <w:vAlign w:val="bottom"/>
            <w:hideMark/>
          </w:tcPr>
          <w:p w14:paraId="445399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62207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200 331,6</w:t>
            </w:r>
          </w:p>
        </w:tc>
      </w:tr>
      <w:tr w:rsidR="00761800" w:rsidRPr="00761800" w14:paraId="61396322" w14:textId="77777777" w:rsidTr="00406B4D">
        <w:trPr>
          <w:trHeight w:val="56"/>
        </w:trPr>
        <w:tc>
          <w:tcPr>
            <w:tcW w:w="1013" w:type="dxa"/>
            <w:tcBorders>
              <w:top w:val="nil"/>
              <w:left w:val="nil"/>
              <w:bottom w:val="nil"/>
              <w:right w:val="nil"/>
            </w:tcBorders>
            <w:shd w:val="clear" w:color="auto" w:fill="auto"/>
            <w:noWrap/>
            <w:vAlign w:val="bottom"/>
            <w:hideMark/>
          </w:tcPr>
          <w:p w14:paraId="6EE14BD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427DB1D"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180DB730" w14:textId="77777777" w:rsidR="00761800" w:rsidRPr="00761800" w:rsidRDefault="00761800" w:rsidP="00761800">
            <w:pPr>
              <w:rPr>
                <w:rFonts w:ascii="Times New Roman" w:hAnsi="Times New Roman"/>
                <w:sz w:val="20"/>
                <w:lang w:eastAsia="bg-BG"/>
              </w:rPr>
            </w:pPr>
          </w:p>
        </w:tc>
      </w:tr>
      <w:tr w:rsidR="00761800" w:rsidRPr="00761800" w14:paraId="2F1A66E6"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719D00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земеделието и храните, както следва:</w:t>
            </w:r>
          </w:p>
        </w:tc>
      </w:tr>
      <w:tr w:rsidR="00761800" w:rsidRPr="00761800" w14:paraId="4169CCBD"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EA63E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06EF9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center"/>
            <w:hideMark/>
          </w:tcPr>
          <w:p w14:paraId="4622D59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1C6B315"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2E04D4C"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42021FE5"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668E726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4135349" w14:textId="77777777" w:rsidTr="00406B4D">
        <w:trPr>
          <w:trHeight w:val="216"/>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ED0D6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CCDCD8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E523DA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DC55E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46ECC6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79A507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B2B0E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74 464,0</w:t>
            </w:r>
          </w:p>
        </w:tc>
      </w:tr>
      <w:tr w:rsidR="00761800" w:rsidRPr="00761800" w14:paraId="20555AD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C49D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3CEA1E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C994E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64 464,0</w:t>
            </w:r>
          </w:p>
        </w:tc>
      </w:tr>
      <w:tr w:rsidR="00761800" w:rsidRPr="00761800" w14:paraId="66EB406F" w14:textId="77777777" w:rsidTr="00406B4D">
        <w:trPr>
          <w:trHeight w:val="300"/>
        </w:trPr>
        <w:tc>
          <w:tcPr>
            <w:tcW w:w="1013" w:type="dxa"/>
            <w:tcBorders>
              <w:top w:val="nil"/>
              <w:left w:val="nil"/>
              <w:bottom w:val="nil"/>
              <w:right w:val="nil"/>
            </w:tcBorders>
            <w:shd w:val="clear" w:color="auto" w:fill="auto"/>
            <w:noWrap/>
            <w:vAlign w:val="bottom"/>
            <w:hideMark/>
          </w:tcPr>
          <w:p w14:paraId="058BA508"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946E817"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10429F70" w14:textId="77777777" w:rsidR="00761800" w:rsidRPr="00761800" w:rsidRDefault="00761800" w:rsidP="00761800">
            <w:pPr>
              <w:rPr>
                <w:rFonts w:ascii="Times New Roman" w:hAnsi="Times New Roman"/>
                <w:sz w:val="20"/>
                <w:lang w:eastAsia="bg-BG"/>
              </w:rPr>
            </w:pPr>
          </w:p>
        </w:tc>
      </w:tr>
      <w:tr w:rsidR="00761800" w:rsidRPr="00761800" w14:paraId="172E2EFF" w14:textId="77777777" w:rsidTr="00406B4D">
        <w:trPr>
          <w:trHeight w:val="385"/>
        </w:trPr>
        <w:tc>
          <w:tcPr>
            <w:tcW w:w="14253" w:type="dxa"/>
            <w:gridSpan w:val="3"/>
            <w:tcBorders>
              <w:top w:val="nil"/>
              <w:left w:val="nil"/>
              <w:bottom w:val="nil"/>
              <w:right w:val="nil"/>
            </w:tcBorders>
            <w:shd w:val="clear" w:color="auto" w:fill="auto"/>
            <w:hideMark/>
          </w:tcPr>
          <w:p w14:paraId="6A13DDBB"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(4) Утвърждава средства в размер на 14 980,9 хил. евро за извършване на обществена услуга за защита от вредното въздействие на водите, възложена на „Напоителни системи“ - ЕАД, които са в рамките на текущите разходи по ал. 1 и не могат да бъдат пренасочвани за други цели.</w:t>
            </w:r>
          </w:p>
        </w:tc>
      </w:tr>
      <w:tr w:rsidR="00761800" w:rsidRPr="00761800" w14:paraId="27BB1343" w14:textId="77777777" w:rsidTr="00406B4D">
        <w:trPr>
          <w:trHeight w:val="308"/>
        </w:trPr>
        <w:tc>
          <w:tcPr>
            <w:tcW w:w="14253" w:type="dxa"/>
            <w:gridSpan w:val="3"/>
            <w:tcBorders>
              <w:top w:val="nil"/>
              <w:left w:val="nil"/>
              <w:bottom w:val="nil"/>
              <w:right w:val="nil"/>
            </w:tcBorders>
            <w:shd w:val="clear" w:color="auto" w:fill="auto"/>
            <w:hideMark/>
          </w:tcPr>
          <w:p w14:paraId="61CD9ADE"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(5) Утвърждава средства в размер на 1 937,0 хил. евро за обезпечаване изпълнението на дейността на Изпълнителна агенция „Сертификационен одит на средствата от европейските земеделски фондове“, които са в рамките на разходите по ал. 1 и не могат да бъдат пренасочвани за други цели.</w:t>
            </w:r>
          </w:p>
        </w:tc>
      </w:tr>
      <w:tr w:rsidR="00761800" w:rsidRPr="00761800" w14:paraId="4F0E3067" w14:textId="77777777" w:rsidTr="00406B4D">
        <w:trPr>
          <w:trHeight w:val="300"/>
        </w:trPr>
        <w:tc>
          <w:tcPr>
            <w:tcW w:w="1013" w:type="dxa"/>
            <w:tcBorders>
              <w:top w:val="nil"/>
              <w:left w:val="nil"/>
              <w:bottom w:val="nil"/>
              <w:right w:val="nil"/>
            </w:tcBorders>
            <w:shd w:val="clear" w:color="auto" w:fill="auto"/>
            <w:vAlign w:val="bottom"/>
            <w:hideMark/>
          </w:tcPr>
          <w:p w14:paraId="4EDEB84C"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515115F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2EC4CD8C" w14:textId="77777777" w:rsidR="00761800" w:rsidRPr="00761800" w:rsidRDefault="00761800" w:rsidP="00761800">
            <w:pPr>
              <w:rPr>
                <w:rFonts w:ascii="Times New Roman" w:hAnsi="Times New Roman"/>
                <w:sz w:val="20"/>
                <w:lang w:eastAsia="bg-BG"/>
              </w:rPr>
            </w:pPr>
          </w:p>
        </w:tc>
      </w:tr>
      <w:tr w:rsidR="00761800" w:rsidRPr="00761800" w14:paraId="016DFA2C" w14:textId="77777777" w:rsidTr="00406B4D">
        <w:trPr>
          <w:trHeight w:val="300"/>
        </w:trPr>
        <w:tc>
          <w:tcPr>
            <w:tcW w:w="14253" w:type="dxa"/>
            <w:gridSpan w:val="3"/>
            <w:tcBorders>
              <w:top w:val="nil"/>
              <w:left w:val="nil"/>
              <w:bottom w:val="nil"/>
              <w:right w:val="nil"/>
            </w:tcBorders>
            <w:shd w:val="clear" w:color="auto" w:fill="auto"/>
            <w:vAlign w:val="bottom"/>
            <w:hideMark/>
          </w:tcPr>
          <w:p w14:paraId="6E63B04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25.</w:t>
            </w:r>
            <w:r w:rsidRPr="00761800">
              <w:rPr>
                <w:rFonts w:ascii="Times New Roman" w:hAnsi="Times New Roman"/>
                <w:color w:val="000000"/>
                <w:sz w:val="22"/>
                <w:szCs w:val="22"/>
                <w:lang w:eastAsia="bg-BG"/>
              </w:rPr>
              <w:t xml:space="preserve"> (1) Приема бюджета на Министерството на транспорта и съобщенията за 2026 г., както следва:</w:t>
            </w:r>
          </w:p>
        </w:tc>
      </w:tr>
      <w:tr w:rsidR="00761800" w:rsidRPr="00761800" w14:paraId="10FADED3" w14:textId="77777777" w:rsidTr="00406B4D">
        <w:trPr>
          <w:trHeight w:val="372"/>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32318F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481914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19B006A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8C0D14C"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3430F0F"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EA5741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6C634E5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16C001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82A0FE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0B1BD3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DB55AE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152070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74B6AF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635330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97BE6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73 400,6</w:t>
            </w:r>
          </w:p>
        </w:tc>
      </w:tr>
      <w:tr w:rsidR="00761800" w:rsidRPr="00761800" w14:paraId="15EEA67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2E5BA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7229969B"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083A8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73 400,6</w:t>
            </w:r>
          </w:p>
        </w:tc>
      </w:tr>
      <w:tr w:rsidR="00761800" w:rsidRPr="00761800" w14:paraId="2198CF3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7625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728BCD7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8564B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14 730,1</w:t>
            </w:r>
          </w:p>
        </w:tc>
      </w:tr>
      <w:tr w:rsidR="00761800" w:rsidRPr="00761800" w14:paraId="5F4688D2"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7E5369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60FD3D6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E2A13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412,6</w:t>
            </w:r>
          </w:p>
        </w:tc>
      </w:tr>
      <w:tr w:rsidR="00761800" w:rsidRPr="00761800" w14:paraId="78534EC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FFBC9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695F3BC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585C7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4 074,5</w:t>
            </w:r>
          </w:p>
        </w:tc>
      </w:tr>
      <w:tr w:rsidR="00761800" w:rsidRPr="00761800" w14:paraId="640C239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F02CC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1.4.</w:t>
            </w:r>
          </w:p>
        </w:tc>
        <w:tc>
          <w:tcPr>
            <w:tcW w:w="11062" w:type="dxa"/>
            <w:tcBorders>
              <w:top w:val="nil"/>
              <w:left w:val="nil"/>
              <w:bottom w:val="single" w:sz="4" w:space="0" w:color="auto"/>
              <w:right w:val="nil"/>
            </w:tcBorders>
            <w:shd w:val="clear" w:color="auto" w:fill="auto"/>
            <w:noWrap/>
            <w:vAlign w:val="bottom"/>
            <w:hideMark/>
          </w:tcPr>
          <w:p w14:paraId="1969C6E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A0104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54 183,4</w:t>
            </w:r>
          </w:p>
        </w:tc>
      </w:tr>
      <w:tr w:rsidR="00761800" w:rsidRPr="00761800" w14:paraId="7B2B64B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0BF82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0E0F65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FABC1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571 711,9</w:t>
            </w:r>
          </w:p>
        </w:tc>
      </w:tr>
      <w:tr w:rsidR="00761800" w:rsidRPr="00761800" w14:paraId="620E3FF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AC41E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60E3E8A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26043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389 767,1</w:t>
            </w:r>
          </w:p>
        </w:tc>
      </w:tr>
      <w:tr w:rsidR="00761800" w:rsidRPr="00761800" w14:paraId="19117E2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7B9AC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92D7AB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C88E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CB52BC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F22851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7A5805F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DEA9D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39 128,8</w:t>
            </w:r>
          </w:p>
        </w:tc>
      </w:tr>
      <w:tr w:rsidR="00761800" w:rsidRPr="00761800" w14:paraId="679A4A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D5D24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594A0BE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8B6CB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335 157,4</w:t>
            </w:r>
          </w:p>
        </w:tc>
      </w:tr>
      <w:tr w:rsidR="00761800" w:rsidRPr="00761800" w14:paraId="391E9BF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52661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1.2.1.</w:t>
            </w:r>
          </w:p>
        </w:tc>
        <w:tc>
          <w:tcPr>
            <w:tcW w:w="11062" w:type="dxa"/>
            <w:tcBorders>
              <w:top w:val="nil"/>
              <w:left w:val="nil"/>
              <w:bottom w:val="single" w:sz="4" w:space="0" w:color="auto"/>
              <w:right w:val="nil"/>
            </w:tcBorders>
            <w:shd w:val="clear" w:color="auto" w:fill="auto"/>
            <w:noWrap/>
            <w:vAlign w:val="bottom"/>
            <w:hideMark/>
          </w:tcPr>
          <w:p w14:paraId="4C7E5CDA"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6BCEE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335 157,4</w:t>
            </w:r>
          </w:p>
        </w:tc>
      </w:tr>
      <w:tr w:rsidR="00761800" w:rsidRPr="00761800" w14:paraId="54059C3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6519F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1.2.1.1.</w:t>
            </w:r>
          </w:p>
        </w:tc>
        <w:tc>
          <w:tcPr>
            <w:tcW w:w="11062" w:type="dxa"/>
            <w:tcBorders>
              <w:top w:val="nil"/>
              <w:left w:val="nil"/>
              <w:bottom w:val="single" w:sz="4" w:space="0" w:color="auto"/>
              <w:right w:val="nil"/>
            </w:tcBorders>
            <w:shd w:val="clear" w:color="auto" w:fill="auto"/>
            <w:noWrap/>
            <w:vAlign w:val="bottom"/>
            <w:hideMark/>
          </w:tcPr>
          <w:p w14:paraId="645A427D"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    - за „БДЖ – Пътнически превози“ ЕООД</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5B5A1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110 692,4</w:t>
            </w:r>
          </w:p>
        </w:tc>
      </w:tr>
      <w:tr w:rsidR="00761800" w:rsidRPr="00761800" w14:paraId="1654AB4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6479D6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1.2.1.2.</w:t>
            </w:r>
          </w:p>
        </w:tc>
        <w:tc>
          <w:tcPr>
            <w:tcW w:w="11062" w:type="dxa"/>
            <w:tcBorders>
              <w:top w:val="nil"/>
              <w:left w:val="nil"/>
              <w:bottom w:val="single" w:sz="4" w:space="0" w:color="auto"/>
              <w:right w:val="nil"/>
            </w:tcBorders>
            <w:shd w:val="clear" w:color="auto" w:fill="auto"/>
            <w:noWrap/>
            <w:vAlign w:val="bottom"/>
            <w:hideMark/>
          </w:tcPr>
          <w:p w14:paraId="346EA96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    - за Национална компания „Железопътна инфраструктура“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6589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171 563,8</w:t>
            </w:r>
          </w:p>
        </w:tc>
      </w:tr>
      <w:tr w:rsidR="00761800" w:rsidRPr="00761800" w14:paraId="79CA2A22"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493B96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1.2.1.3.</w:t>
            </w:r>
          </w:p>
        </w:tc>
        <w:tc>
          <w:tcPr>
            <w:tcW w:w="11062" w:type="dxa"/>
            <w:tcBorders>
              <w:top w:val="nil"/>
              <w:left w:val="nil"/>
              <w:bottom w:val="single" w:sz="4" w:space="0" w:color="auto"/>
              <w:right w:val="nil"/>
            </w:tcBorders>
            <w:shd w:val="clear" w:color="auto" w:fill="auto"/>
            <w:noWrap/>
            <w:vAlign w:val="bottom"/>
            <w:hideMark/>
          </w:tcPr>
          <w:p w14:paraId="0E090F2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    - за „Български пощи“ ЕАД</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0C9637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48 520,2</w:t>
            </w:r>
          </w:p>
        </w:tc>
      </w:tr>
      <w:tr w:rsidR="00761800" w:rsidRPr="00761800" w14:paraId="676B0AE4"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5BBF60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1.2.1.4.</w:t>
            </w:r>
          </w:p>
        </w:tc>
        <w:tc>
          <w:tcPr>
            <w:tcW w:w="11062" w:type="dxa"/>
            <w:tcBorders>
              <w:top w:val="nil"/>
              <w:left w:val="nil"/>
              <w:bottom w:val="single" w:sz="4" w:space="0" w:color="auto"/>
              <w:right w:val="nil"/>
            </w:tcBorders>
            <w:shd w:val="clear" w:color="auto" w:fill="auto"/>
            <w:noWrap/>
            <w:vAlign w:val="bottom"/>
            <w:hideMark/>
          </w:tcPr>
          <w:p w14:paraId="57ED80B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    - за „България Хели Мед Сървиз“ ЕАД</w:t>
            </w:r>
          </w:p>
        </w:tc>
        <w:tc>
          <w:tcPr>
            <w:tcW w:w="2178" w:type="dxa"/>
            <w:tcBorders>
              <w:top w:val="nil"/>
              <w:left w:val="single" w:sz="4" w:space="0" w:color="auto"/>
              <w:bottom w:val="single" w:sz="4" w:space="0" w:color="auto"/>
              <w:right w:val="single" w:sz="4" w:space="0" w:color="auto"/>
            </w:tcBorders>
            <w:shd w:val="clear" w:color="000000" w:fill="FFFFFF"/>
            <w:noWrap/>
            <w:vAlign w:val="bottom"/>
            <w:hideMark/>
          </w:tcPr>
          <w:p w14:paraId="4D7047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4 381,0</w:t>
            </w:r>
          </w:p>
        </w:tc>
      </w:tr>
      <w:tr w:rsidR="00761800" w:rsidRPr="00761800" w14:paraId="78AE90E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08DAB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25E9582A"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3E80F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181 944,8</w:t>
            </w:r>
          </w:p>
        </w:tc>
      </w:tr>
      <w:tr w:rsidR="00761800" w:rsidRPr="00761800" w14:paraId="4DA74CAD"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5BF9D01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19B040F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19B847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819,9</w:t>
            </w:r>
          </w:p>
        </w:tc>
      </w:tr>
      <w:tr w:rsidR="00761800" w:rsidRPr="00761800" w14:paraId="6F07E93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635747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w:t>
            </w:r>
          </w:p>
        </w:tc>
        <w:tc>
          <w:tcPr>
            <w:tcW w:w="11062" w:type="dxa"/>
            <w:tcBorders>
              <w:top w:val="nil"/>
              <w:left w:val="nil"/>
              <w:bottom w:val="single" w:sz="4" w:space="0" w:color="auto"/>
              <w:right w:val="single" w:sz="4" w:space="0" w:color="auto"/>
            </w:tcBorders>
            <w:shd w:val="clear" w:color="auto" w:fill="auto"/>
            <w:noWrap/>
            <w:vAlign w:val="bottom"/>
            <w:hideMark/>
          </w:tcPr>
          <w:p w14:paraId="6BC10CF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Капиталови трансфери </w:t>
            </w:r>
          </w:p>
        </w:tc>
        <w:tc>
          <w:tcPr>
            <w:tcW w:w="2178" w:type="dxa"/>
            <w:tcBorders>
              <w:top w:val="nil"/>
              <w:left w:val="nil"/>
              <w:bottom w:val="single" w:sz="4" w:space="0" w:color="auto"/>
              <w:right w:val="single" w:sz="4" w:space="0" w:color="auto"/>
            </w:tcBorders>
            <w:shd w:val="clear" w:color="auto" w:fill="auto"/>
            <w:noWrap/>
            <w:vAlign w:val="bottom"/>
            <w:hideMark/>
          </w:tcPr>
          <w:p w14:paraId="681B01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181 124,9</w:t>
            </w:r>
          </w:p>
        </w:tc>
      </w:tr>
      <w:tr w:rsidR="00761800" w:rsidRPr="00761800" w14:paraId="65172F2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D8BD2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2.2.1.</w:t>
            </w:r>
          </w:p>
        </w:tc>
        <w:tc>
          <w:tcPr>
            <w:tcW w:w="11062" w:type="dxa"/>
            <w:tcBorders>
              <w:top w:val="nil"/>
              <w:left w:val="nil"/>
              <w:bottom w:val="single" w:sz="4" w:space="0" w:color="auto"/>
              <w:right w:val="nil"/>
            </w:tcBorders>
            <w:shd w:val="clear" w:color="auto" w:fill="auto"/>
            <w:noWrap/>
            <w:vAlign w:val="bottom"/>
            <w:hideMark/>
          </w:tcPr>
          <w:p w14:paraId="181A56B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    - за Национална компания „Железопътна инфраструктура“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57CF0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123 322,5</w:t>
            </w:r>
          </w:p>
        </w:tc>
      </w:tr>
      <w:tr w:rsidR="00761800" w:rsidRPr="00761800" w14:paraId="03BCFAE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7839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2.2.2.</w:t>
            </w:r>
          </w:p>
        </w:tc>
        <w:tc>
          <w:tcPr>
            <w:tcW w:w="11062" w:type="dxa"/>
            <w:tcBorders>
              <w:top w:val="nil"/>
              <w:left w:val="nil"/>
              <w:bottom w:val="single" w:sz="4" w:space="0" w:color="auto"/>
              <w:right w:val="nil"/>
            </w:tcBorders>
            <w:shd w:val="clear" w:color="auto" w:fill="auto"/>
            <w:noWrap/>
            <w:vAlign w:val="bottom"/>
            <w:hideMark/>
          </w:tcPr>
          <w:p w14:paraId="303F805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    - за „БДЖ – Пътнически превози“ ЕООД</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F2B1B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41 650,7</w:t>
            </w:r>
          </w:p>
        </w:tc>
      </w:tr>
      <w:tr w:rsidR="00761800" w:rsidRPr="00761800" w14:paraId="659088D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3F1A2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2.2.3.</w:t>
            </w:r>
          </w:p>
        </w:tc>
        <w:tc>
          <w:tcPr>
            <w:tcW w:w="11062" w:type="dxa"/>
            <w:tcBorders>
              <w:top w:val="nil"/>
              <w:left w:val="nil"/>
              <w:bottom w:val="single" w:sz="4" w:space="0" w:color="auto"/>
              <w:right w:val="nil"/>
            </w:tcBorders>
            <w:shd w:val="clear" w:color="auto" w:fill="auto"/>
            <w:noWrap/>
            <w:vAlign w:val="bottom"/>
            <w:hideMark/>
          </w:tcPr>
          <w:p w14:paraId="6802E92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    - за Държавно предприятие „Пристанищна инфраструктура“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2B785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16 151,7</w:t>
            </w:r>
          </w:p>
        </w:tc>
      </w:tr>
      <w:tr w:rsidR="00761800" w:rsidRPr="00761800" w14:paraId="6B38AC7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4DE09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0518AC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EB044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498 311,3</w:t>
            </w:r>
          </w:p>
        </w:tc>
      </w:tr>
      <w:tr w:rsidR="00761800" w:rsidRPr="00761800" w14:paraId="58792980"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783C31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84611F1"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32B20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500 957,0</w:t>
            </w:r>
          </w:p>
        </w:tc>
      </w:tr>
      <w:tr w:rsidR="00761800" w:rsidRPr="00761800" w14:paraId="63D2ED0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B39F5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3994E5CB"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04074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7 927,5</w:t>
            </w:r>
          </w:p>
        </w:tc>
      </w:tr>
      <w:tr w:rsidR="00761800" w:rsidRPr="00761800" w14:paraId="074A25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DDB4D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5127D811"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Получени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098F7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7 927,5</w:t>
            </w:r>
          </w:p>
        </w:tc>
      </w:tr>
      <w:tr w:rsidR="00761800" w:rsidRPr="00761800" w14:paraId="2D46C7BE" w14:textId="77777777" w:rsidTr="00406B4D">
        <w:trPr>
          <w:trHeight w:val="315"/>
        </w:trPr>
        <w:tc>
          <w:tcPr>
            <w:tcW w:w="1013" w:type="dxa"/>
            <w:tcBorders>
              <w:top w:val="nil"/>
              <w:left w:val="single" w:sz="4" w:space="0" w:color="auto"/>
              <w:bottom w:val="single" w:sz="4" w:space="0" w:color="auto"/>
              <w:right w:val="single" w:sz="4" w:space="0" w:color="auto"/>
            </w:tcBorders>
            <w:shd w:val="clear" w:color="auto" w:fill="auto"/>
            <w:noWrap/>
            <w:hideMark/>
          </w:tcPr>
          <w:p w14:paraId="429DF9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2.1.1.</w:t>
            </w:r>
          </w:p>
        </w:tc>
        <w:tc>
          <w:tcPr>
            <w:tcW w:w="11062" w:type="dxa"/>
            <w:tcBorders>
              <w:top w:val="nil"/>
              <w:left w:val="nil"/>
              <w:bottom w:val="single" w:sz="4" w:space="0" w:color="auto"/>
              <w:right w:val="single" w:sz="4" w:space="0" w:color="auto"/>
            </w:tcBorders>
            <w:shd w:val="clear" w:color="auto" w:fill="auto"/>
            <w:noWrap/>
            <w:vAlign w:val="bottom"/>
            <w:hideMark/>
          </w:tcPr>
          <w:p w14:paraId="417960E7" w14:textId="77777777" w:rsidR="00761800" w:rsidRPr="00761800" w:rsidRDefault="00761800" w:rsidP="00761800">
            <w:pPr>
              <w:ind w:firstLineChars="400" w:firstLine="880"/>
              <w:rPr>
                <w:rFonts w:ascii="Times New Roman" w:hAnsi="Times New Roman"/>
                <w:sz w:val="22"/>
                <w:szCs w:val="22"/>
                <w:lang w:eastAsia="bg-BG"/>
              </w:rPr>
            </w:pPr>
            <w:r w:rsidRPr="00761800">
              <w:rPr>
                <w:rFonts w:ascii="Times New Roman" w:hAnsi="Times New Roman"/>
                <w:sz w:val="22"/>
                <w:szCs w:val="22"/>
                <w:lang w:eastAsia="bg-BG"/>
              </w:rPr>
              <w:t xml:space="preserve">- от Държавното обществено осигуряване </w:t>
            </w:r>
          </w:p>
        </w:tc>
        <w:tc>
          <w:tcPr>
            <w:tcW w:w="2178" w:type="dxa"/>
            <w:tcBorders>
              <w:top w:val="nil"/>
              <w:left w:val="nil"/>
              <w:bottom w:val="single" w:sz="4" w:space="0" w:color="auto"/>
              <w:right w:val="single" w:sz="4" w:space="0" w:color="auto"/>
            </w:tcBorders>
            <w:shd w:val="clear" w:color="auto" w:fill="auto"/>
            <w:noWrap/>
            <w:vAlign w:val="bottom"/>
            <w:hideMark/>
          </w:tcPr>
          <w:p w14:paraId="688765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127,8</w:t>
            </w:r>
          </w:p>
        </w:tc>
      </w:tr>
      <w:tr w:rsidR="00761800" w:rsidRPr="00761800" w14:paraId="1F43F9AD"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0F698C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nil"/>
            </w:tcBorders>
            <w:shd w:val="clear" w:color="auto" w:fill="auto"/>
            <w:noWrap/>
            <w:vAlign w:val="bottom"/>
            <w:hideMark/>
          </w:tcPr>
          <w:p w14:paraId="5F3C3717"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hideMark/>
          </w:tcPr>
          <w:p w14:paraId="241A47D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-10 573,2</w:t>
            </w:r>
          </w:p>
        </w:tc>
      </w:tr>
      <w:tr w:rsidR="00761800" w:rsidRPr="00761800" w14:paraId="378CF07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DCE16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3.1.</w:t>
            </w:r>
          </w:p>
        </w:tc>
        <w:tc>
          <w:tcPr>
            <w:tcW w:w="11062" w:type="dxa"/>
            <w:tcBorders>
              <w:top w:val="nil"/>
              <w:left w:val="nil"/>
              <w:bottom w:val="single" w:sz="4" w:space="0" w:color="auto"/>
              <w:right w:val="nil"/>
            </w:tcBorders>
            <w:shd w:val="clear" w:color="auto" w:fill="auto"/>
            <w:noWrap/>
            <w:vAlign w:val="bottom"/>
            <w:hideMark/>
          </w:tcPr>
          <w:p w14:paraId="36348167"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17551E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-10 573,2</w:t>
            </w:r>
          </w:p>
        </w:tc>
      </w:tr>
      <w:tr w:rsidR="00761800" w:rsidRPr="00761800" w14:paraId="4298F85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4F15D8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2A9D86D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849CF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F0B7B8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17D157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36ADAF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02B0F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F4F35C6" w14:textId="77777777" w:rsidTr="00406B4D">
        <w:trPr>
          <w:trHeight w:val="300"/>
        </w:trPr>
        <w:tc>
          <w:tcPr>
            <w:tcW w:w="1013" w:type="dxa"/>
            <w:tcBorders>
              <w:top w:val="nil"/>
              <w:left w:val="nil"/>
              <w:bottom w:val="nil"/>
              <w:right w:val="nil"/>
            </w:tcBorders>
            <w:shd w:val="clear" w:color="auto" w:fill="auto"/>
            <w:noWrap/>
            <w:vAlign w:val="bottom"/>
            <w:hideMark/>
          </w:tcPr>
          <w:p w14:paraId="068DD9E3"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AEC7AA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2D2A6AC8" w14:textId="77777777" w:rsidR="00761800" w:rsidRPr="00761800" w:rsidRDefault="00761800" w:rsidP="00761800">
            <w:pPr>
              <w:ind w:firstLineChars="200" w:firstLine="400"/>
              <w:rPr>
                <w:rFonts w:ascii="Times New Roman" w:hAnsi="Times New Roman"/>
                <w:sz w:val="20"/>
                <w:lang w:eastAsia="bg-BG"/>
              </w:rPr>
            </w:pPr>
          </w:p>
        </w:tc>
      </w:tr>
      <w:tr w:rsidR="00761800" w:rsidRPr="00761800" w14:paraId="157B106B" w14:textId="77777777" w:rsidTr="00406B4D">
        <w:trPr>
          <w:trHeight w:val="300"/>
        </w:trPr>
        <w:tc>
          <w:tcPr>
            <w:tcW w:w="14253" w:type="dxa"/>
            <w:gridSpan w:val="3"/>
            <w:tcBorders>
              <w:top w:val="nil"/>
              <w:left w:val="nil"/>
              <w:bottom w:val="nil"/>
              <w:right w:val="nil"/>
            </w:tcBorders>
            <w:shd w:val="clear" w:color="auto" w:fill="auto"/>
            <w:hideMark/>
          </w:tcPr>
          <w:p w14:paraId="2CCED2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59F8B952"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D31A6F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4DE761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single" w:sz="4" w:space="0" w:color="auto"/>
              <w:left w:val="nil"/>
              <w:bottom w:val="nil"/>
              <w:right w:val="single" w:sz="4" w:space="0" w:color="auto"/>
            </w:tcBorders>
            <w:shd w:val="clear" w:color="auto" w:fill="auto"/>
            <w:noWrap/>
            <w:vAlign w:val="bottom"/>
            <w:hideMark/>
          </w:tcPr>
          <w:p w14:paraId="45654AF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D8CF368"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5EA5A5A"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7A99072F"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5BB583C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F6BAA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362CAA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00440E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3AC38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7A9F35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0860C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01A95A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транспорта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8FCDC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504 508,7</w:t>
            </w:r>
          </w:p>
        </w:tc>
      </w:tr>
      <w:tr w:rsidR="00761800" w:rsidRPr="00761800" w14:paraId="74D2B4E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DE871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695228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съобщенията и цифровата свързаност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FEC3C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49 475,2</w:t>
            </w:r>
          </w:p>
        </w:tc>
      </w:tr>
      <w:tr w:rsidR="00761800" w:rsidRPr="00761800" w14:paraId="4B8CFAA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2722A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noWrap/>
            <w:vAlign w:val="bottom"/>
            <w:hideMark/>
          </w:tcPr>
          <w:p w14:paraId="00D7452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„Административно обслужване, медицинска и психологическа експертиза“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D84D2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17 728,0</w:t>
            </w:r>
          </w:p>
        </w:tc>
      </w:tr>
      <w:tr w:rsidR="00761800" w:rsidRPr="00761800" w14:paraId="0121FE8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A77CE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13140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990BFF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571 711,9</w:t>
            </w:r>
          </w:p>
        </w:tc>
      </w:tr>
      <w:tr w:rsidR="00761800" w:rsidRPr="00761800" w14:paraId="1D22A87C" w14:textId="77777777" w:rsidTr="00406B4D">
        <w:trPr>
          <w:trHeight w:val="56"/>
        </w:trPr>
        <w:tc>
          <w:tcPr>
            <w:tcW w:w="1013" w:type="dxa"/>
            <w:tcBorders>
              <w:top w:val="nil"/>
              <w:left w:val="nil"/>
              <w:bottom w:val="nil"/>
              <w:right w:val="nil"/>
            </w:tcBorders>
            <w:shd w:val="clear" w:color="auto" w:fill="auto"/>
            <w:noWrap/>
            <w:vAlign w:val="bottom"/>
            <w:hideMark/>
          </w:tcPr>
          <w:p w14:paraId="102DCAE0"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47CC9A57"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F49CBF8" w14:textId="77777777" w:rsidR="00761800" w:rsidRPr="00761800" w:rsidRDefault="00761800" w:rsidP="00761800">
            <w:pPr>
              <w:rPr>
                <w:rFonts w:ascii="Times New Roman" w:hAnsi="Times New Roman"/>
                <w:sz w:val="20"/>
                <w:lang w:eastAsia="bg-BG"/>
              </w:rPr>
            </w:pPr>
          </w:p>
        </w:tc>
      </w:tr>
      <w:tr w:rsidR="00761800" w:rsidRPr="00761800" w14:paraId="7FBAA3A3" w14:textId="77777777" w:rsidTr="00406B4D">
        <w:trPr>
          <w:trHeight w:val="840"/>
        </w:trPr>
        <w:tc>
          <w:tcPr>
            <w:tcW w:w="14253" w:type="dxa"/>
            <w:gridSpan w:val="3"/>
            <w:tcBorders>
              <w:top w:val="nil"/>
              <w:left w:val="nil"/>
              <w:bottom w:val="nil"/>
              <w:right w:val="nil"/>
            </w:tcBorders>
            <w:shd w:val="clear" w:color="auto" w:fill="auto"/>
            <w:hideMark/>
          </w:tcPr>
          <w:p w14:paraId="55A66A2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транспорта и съобщенията, както следва:</w:t>
            </w:r>
          </w:p>
          <w:p w14:paraId="6C430A1F" w14:textId="77777777" w:rsidR="00761800" w:rsidRPr="00761800" w:rsidRDefault="00761800" w:rsidP="00761800">
            <w:pPr>
              <w:rPr>
                <w:rFonts w:ascii="Times New Roman" w:hAnsi="Times New Roman"/>
                <w:sz w:val="22"/>
                <w:szCs w:val="22"/>
                <w:lang w:eastAsia="bg-BG"/>
              </w:rPr>
            </w:pPr>
          </w:p>
          <w:p w14:paraId="62E82AB1" w14:textId="77777777" w:rsidR="00761800" w:rsidRPr="00761800" w:rsidRDefault="00761800" w:rsidP="00761800">
            <w:pPr>
              <w:rPr>
                <w:rFonts w:ascii="Times New Roman" w:hAnsi="Times New Roman"/>
                <w:sz w:val="22"/>
                <w:szCs w:val="22"/>
                <w:lang w:eastAsia="bg-BG"/>
              </w:rPr>
            </w:pPr>
          </w:p>
        </w:tc>
      </w:tr>
      <w:tr w:rsidR="00761800" w:rsidRPr="00761800" w14:paraId="168CD141"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6248E2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36EB51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39268A1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3289154"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3445ADE"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05ECF9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304E9EA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672F29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65C33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A34B75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369A1D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23D490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2D1BF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03AF95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205C4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541 927,9</w:t>
            </w:r>
          </w:p>
        </w:tc>
      </w:tr>
      <w:tr w:rsidR="00761800" w:rsidRPr="00761800" w14:paraId="35ED75E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4279C9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2EB002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15571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531 927,9</w:t>
            </w:r>
          </w:p>
        </w:tc>
      </w:tr>
      <w:tr w:rsidR="00761800" w:rsidRPr="00761800" w14:paraId="3C38FA3B" w14:textId="77777777" w:rsidTr="00406B4D">
        <w:trPr>
          <w:trHeight w:val="300"/>
        </w:trPr>
        <w:tc>
          <w:tcPr>
            <w:tcW w:w="1013" w:type="dxa"/>
            <w:tcBorders>
              <w:top w:val="nil"/>
              <w:left w:val="nil"/>
              <w:bottom w:val="nil"/>
              <w:right w:val="nil"/>
            </w:tcBorders>
            <w:shd w:val="clear" w:color="auto" w:fill="auto"/>
            <w:noWrap/>
            <w:vAlign w:val="bottom"/>
            <w:hideMark/>
          </w:tcPr>
          <w:p w14:paraId="71D1232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7F3EF2F2"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2CFB3550" w14:textId="77777777" w:rsidR="00761800" w:rsidRPr="00761800" w:rsidRDefault="00761800" w:rsidP="00761800">
            <w:pPr>
              <w:rPr>
                <w:rFonts w:ascii="Times New Roman" w:hAnsi="Times New Roman"/>
                <w:sz w:val="20"/>
                <w:lang w:eastAsia="bg-BG"/>
              </w:rPr>
            </w:pPr>
          </w:p>
        </w:tc>
      </w:tr>
      <w:tr w:rsidR="00761800" w:rsidRPr="00761800" w14:paraId="08BB0F8C" w14:textId="77777777" w:rsidTr="00406B4D">
        <w:trPr>
          <w:trHeight w:val="1154"/>
        </w:trPr>
        <w:tc>
          <w:tcPr>
            <w:tcW w:w="14253" w:type="dxa"/>
            <w:gridSpan w:val="3"/>
            <w:tcBorders>
              <w:top w:val="nil"/>
              <w:left w:val="nil"/>
              <w:bottom w:val="nil"/>
              <w:right w:val="nil"/>
            </w:tcBorders>
            <w:shd w:val="clear" w:color="auto" w:fill="auto"/>
            <w:hideMark/>
          </w:tcPr>
          <w:p w14:paraId="70E47DCD"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(4) Утвърждава целеви средства за Националния борд за разследване на произшествия във въздушния, водния и железопътния транспорт общо в размер на 469,2 хил. евро, от тях за персонал 317,5 хил. евро и за издръжка 151,7 хил. евро, които са в рамките на разходите по ал. 1 и не могат да бъдат разходвани за други цели. Средствата се разпределят по отделните видове транспорт, както следва:</w:t>
            </w:r>
            <w:r w:rsidRPr="00761800">
              <w:rPr>
                <w:rFonts w:ascii="Times New Roman" w:hAnsi="Times New Roman"/>
                <w:sz w:val="22"/>
                <w:szCs w:val="22"/>
                <w:lang w:eastAsia="bg-BG"/>
              </w:rPr>
              <w:br/>
              <w:t xml:space="preserve">   1. въздушен транспорт – общо в размер на 223,7 хил. евро, от тях за персонал 141,9 хил. евро и за издръжка 81,8 хил. евро;</w:t>
            </w:r>
            <w:r w:rsidRPr="00761800">
              <w:rPr>
                <w:rFonts w:ascii="Times New Roman" w:hAnsi="Times New Roman"/>
                <w:sz w:val="22"/>
                <w:szCs w:val="22"/>
                <w:lang w:eastAsia="bg-BG"/>
              </w:rPr>
              <w:br/>
              <w:t xml:space="preserve">   2. воден транспорт – общо в размер на 119,9 хил. евро, от тях за персонал 87,8 хил. евро и за издръжка 32,1 хил. евро;</w:t>
            </w:r>
            <w:r w:rsidRPr="00761800">
              <w:rPr>
                <w:rFonts w:ascii="Times New Roman" w:hAnsi="Times New Roman"/>
                <w:sz w:val="22"/>
                <w:szCs w:val="22"/>
                <w:lang w:eastAsia="bg-BG"/>
              </w:rPr>
              <w:br/>
              <w:t xml:space="preserve">   3. железопътен транспорт – общо в размер на 125,6 хил. евро, от тях за персонал 87,8 хил. евро и за издръжка 37,8 хил. евро.</w:t>
            </w:r>
          </w:p>
        </w:tc>
      </w:tr>
      <w:tr w:rsidR="00761800" w:rsidRPr="00761800" w14:paraId="0F0820D8" w14:textId="77777777" w:rsidTr="00406B4D">
        <w:trPr>
          <w:trHeight w:val="300"/>
        </w:trPr>
        <w:tc>
          <w:tcPr>
            <w:tcW w:w="1013" w:type="dxa"/>
            <w:tcBorders>
              <w:top w:val="nil"/>
              <w:left w:val="nil"/>
              <w:bottom w:val="nil"/>
              <w:right w:val="nil"/>
            </w:tcBorders>
            <w:shd w:val="clear" w:color="auto" w:fill="auto"/>
            <w:vAlign w:val="bottom"/>
            <w:hideMark/>
          </w:tcPr>
          <w:p w14:paraId="0B501AE5"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1B247D0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61DDA4CC" w14:textId="77777777" w:rsidR="00761800" w:rsidRPr="00761800" w:rsidRDefault="00761800" w:rsidP="00761800">
            <w:pPr>
              <w:rPr>
                <w:rFonts w:ascii="Times New Roman" w:hAnsi="Times New Roman"/>
                <w:sz w:val="20"/>
                <w:lang w:eastAsia="bg-BG"/>
              </w:rPr>
            </w:pPr>
          </w:p>
        </w:tc>
      </w:tr>
      <w:tr w:rsidR="00761800" w:rsidRPr="00761800" w14:paraId="5B1F7FAB" w14:textId="77777777" w:rsidTr="00406B4D">
        <w:trPr>
          <w:trHeight w:val="300"/>
        </w:trPr>
        <w:tc>
          <w:tcPr>
            <w:tcW w:w="14253" w:type="dxa"/>
            <w:gridSpan w:val="3"/>
            <w:tcBorders>
              <w:top w:val="nil"/>
              <w:left w:val="nil"/>
              <w:bottom w:val="nil"/>
              <w:right w:val="nil"/>
            </w:tcBorders>
            <w:shd w:val="clear" w:color="auto" w:fill="auto"/>
            <w:vAlign w:val="bottom"/>
            <w:hideMark/>
          </w:tcPr>
          <w:p w14:paraId="45E0C62D"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26.</w:t>
            </w:r>
            <w:r w:rsidRPr="00761800">
              <w:rPr>
                <w:rFonts w:ascii="Times New Roman" w:hAnsi="Times New Roman"/>
                <w:color w:val="000000"/>
                <w:sz w:val="22"/>
                <w:szCs w:val="22"/>
                <w:lang w:eastAsia="bg-BG"/>
              </w:rPr>
              <w:t xml:space="preserve"> (1) Приема бюджета на Министерството на младежта и спорта за 2026 г., както следва:</w:t>
            </w:r>
          </w:p>
        </w:tc>
      </w:tr>
      <w:tr w:rsidR="00761800" w:rsidRPr="00761800" w14:paraId="5164FAC8"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2719C5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885C1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794118E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5349034"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9F5B295"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51D0D57F"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539B3B0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EDCDA5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C8CDCC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2FDA4F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AF65A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DEDCE5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9B222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11DA38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BA5AD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22 854,7</w:t>
            </w:r>
          </w:p>
        </w:tc>
      </w:tr>
      <w:tr w:rsidR="00761800" w:rsidRPr="00761800" w14:paraId="4DC8BDD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71236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0CA43DB"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A99EA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22 854,7</w:t>
            </w:r>
          </w:p>
        </w:tc>
      </w:tr>
      <w:tr w:rsidR="00761800" w:rsidRPr="00761800" w14:paraId="5FFFF92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92833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0655571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2FBC6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22 953,4</w:t>
            </w:r>
          </w:p>
        </w:tc>
      </w:tr>
      <w:tr w:rsidR="00761800" w:rsidRPr="00761800" w14:paraId="5E9DD10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A07731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0AD70C3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6FCE3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-98,7</w:t>
            </w:r>
          </w:p>
        </w:tc>
      </w:tr>
      <w:tr w:rsidR="00761800" w:rsidRPr="00761800" w14:paraId="2C41DFF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695C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50143B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335A6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89 706,6</w:t>
            </w:r>
          </w:p>
        </w:tc>
      </w:tr>
      <w:tr w:rsidR="00761800" w:rsidRPr="00761800" w14:paraId="39F7FD5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63A8B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3F0E6B55"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73867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85 344,0</w:t>
            </w:r>
          </w:p>
        </w:tc>
      </w:tr>
      <w:tr w:rsidR="00761800" w:rsidRPr="00761800" w14:paraId="54A3F9A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9BDB6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E0DA2E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C2EA6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F6F3F9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1ACCA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CEA9D6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FA59C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16 800,8</w:t>
            </w:r>
          </w:p>
        </w:tc>
      </w:tr>
      <w:tr w:rsidR="00761800" w:rsidRPr="00761800" w14:paraId="666ABB6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9E85C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1.1.1.</w:t>
            </w:r>
          </w:p>
        </w:tc>
        <w:tc>
          <w:tcPr>
            <w:tcW w:w="11062" w:type="dxa"/>
            <w:tcBorders>
              <w:top w:val="nil"/>
              <w:left w:val="nil"/>
              <w:bottom w:val="single" w:sz="4" w:space="0" w:color="auto"/>
              <w:right w:val="nil"/>
            </w:tcBorders>
            <w:shd w:val="clear" w:color="auto" w:fill="auto"/>
            <w:noWrap/>
            <w:vAlign w:val="bottom"/>
            <w:hideMark/>
          </w:tcPr>
          <w:p w14:paraId="022F8FB5"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      в т.ч.  Персонал без делегирани бюджети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5A8C3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5 246,7</w:t>
            </w:r>
          </w:p>
        </w:tc>
      </w:tr>
      <w:tr w:rsidR="00761800" w:rsidRPr="00761800" w14:paraId="129E5BF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A330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1.2.</w:t>
            </w:r>
          </w:p>
        </w:tc>
        <w:tc>
          <w:tcPr>
            <w:tcW w:w="11062" w:type="dxa"/>
            <w:tcBorders>
              <w:top w:val="nil"/>
              <w:left w:val="nil"/>
              <w:bottom w:val="single" w:sz="4" w:space="0" w:color="auto"/>
              <w:right w:val="nil"/>
            </w:tcBorders>
            <w:shd w:val="clear" w:color="auto" w:fill="auto"/>
            <w:noWrap/>
            <w:vAlign w:val="bottom"/>
            <w:hideMark/>
          </w:tcPr>
          <w:p w14:paraId="3A94545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751B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56 588,9</w:t>
            </w:r>
          </w:p>
        </w:tc>
      </w:tr>
      <w:tr w:rsidR="00761800" w:rsidRPr="00761800" w14:paraId="0F7A2B3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03AD5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4C11970F"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9DD07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92,0</w:t>
            </w:r>
          </w:p>
        </w:tc>
      </w:tr>
      <w:tr w:rsidR="00761800" w:rsidRPr="00761800" w14:paraId="1DABE36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CD7B4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1.2.2.</w:t>
            </w:r>
          </w:p>
        </w:tc>
        <w:tc>
          <w:tcPr>
            <w:tcW w:w="11062" w:type="dxa"/>
            <w:tcBorders>
              <w:top w:val="nil"/>
              <w:left w:val="nil"/>
              <w:bottom w:val="single" w:sz="4" w:space="0" w:color="auto"/>
              <w:right w:val="nil"/>
            </w:tcBorders>
            <w:shd w:val="clear" w:color="auto" w:fill="auto"/>
            <w:noWrap/>
            <w:vAlign w:val="bottom"/>
            <w:hideMark/>
          </w:tcPr>
          <w:p w14:paraId="5A3EA55C"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юридически лица с нестопанска цел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5A92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56 496,9</w:t>
            </w:r>
          </w:p>
        </w:tc>
      </w:tr>
      <w:tr w:rsidR="00761800" w:rsidRPr="00761800" w14:paraId="143F9F7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63EAB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0D3F53A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Текущи трансфери, обезщетения и помощи за домакинствата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1786E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8 316,9</w:t>
            </w:r>
          </w:p>
        </w:tc>
      </w:tr>
      <w:tr w:rsidR="00761800" w:rsidRPr="00761800" w14:paraId="6A2EBD0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D56E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020773E8"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2F633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4 362,6</w:t>
            </w:r>
          </w:p>
        </w:tc>
      </w:tr>
      <w:tr w:rsidR="00761800" w:rsidRPr="00761800" w14:paraId="38C4DCB8"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1E16C0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69D99FF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5CDA2B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4 362,6</w:t>
            </w:r>
          </w:p>
        </w:tc>
      </w:tr>
      <w:tr w:rsidR="00761800" w:rsidRPr="00761800" w14:paraId="56FB580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35450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049911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F4A0DA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66 851,9</w:t>
            </w:r>
          </w:p>
        </w:tc>
      </w:tr>
      <w:tr w:rsidR="00761800" w:rsidRPr="00761800" w14:paraId="7642F39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36DB9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365ADA5"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EC352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65 503,0</w:t>
            </w:r>
          </w:p>
        </w:tc>
      </w:tr>
      <w:tr w:rsidR="00761800" w:rsidRPr="00761800" w14:paraId="3691864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187D8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537CF49D"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BC102B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1 400,9</w:t>
            </w:r>
          </w:p>
        </w:tc>
      </w:tr>
      <w:tr w:rsidR="00761800" w:rsidRPr="00761800" w14:paraId="2805BBF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7D88E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19D7471C"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Получени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2CFC6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3 650,6</w:t>
            </w:r>
          </w:p>
        </w:tc>
      </w:tr>
      <w:tr w:rsidR="00761800" w:rsidRPr="00761800" w14:paraId="09A6FCE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08691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2.2.</w:t>
            </w:r>
          </w:p>
        </w:tc>
        <w:tc>
          <w:tcPr>
            <w:tcW w:w="11062" w:type="dxa"/>
            <w:tcBorders>
              <w:top w:val="nil"/>
              <w:left w:val="nil"/>
              <w:bottom w:val="single" w:sz="4" w:space="0" w:color="auto"/>
              <w:right w:val="nil"/>
            </w:tcBorders>
            <w:shd w:val="clear" w:color="auto" w:fill="auto"/>
            <w:noWrap/>
            <w:vAlign w:val="bottom"/>
            <w:hideMark/>
          </w:tcPr>
          <w:p w14:paraId="00B37A76"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06DA6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-2 249,7</w:t>
            </w:r>
          </w:p>
        </w:tc>
      </w:tr>
      <w:tr w:rsidR="00761800" w:rsidRPr="00761800" w14:paraId="60DF0B42" w14:textId="77777777" w:rsidTr="00406B4D">
        <w:trPr>
          <w:trHeight w:val="289"/>
        </w:trPr>
        <w:tc>
          <w:tcPr>
            <w:tcW w:w="1013" w:type="dxa"/>
            <w:tcBorders>
              <w:top w:val="nil"/>
              <w:left w:val="single" w:sz="4" w:space="0" w:color="auto"/>
              <w:bottom w:val="single" w:sz="4" w:space="0" w:color="auto"/>
              <w:right w:val="single" w:sz="4" w:space="0" w:color="auto"/>
            </w:tcBorders>
            <w:shd w:val="clear" w:color="auto" w:fill="auto"/>
            <w:noWrap/>
            <w:hideMark/>
          </w:tcPr>
          <w:p w14:paraId="6641B5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w:t>
            </w:r>
          </w:p>
        </w:tc>
        <w:tc>
          <w:tcPr>
            <w:tcW w:w="11062" w:type="dxa"/>
            <w:tcBorders>
              <w:top w:val="nil"/>
              <w:left w:val="nil"/>
              <w:bottom w:val="single" w:sz="4" w:space="0" w:color="auto"/>
              <w:right w:val="nil"/>
            </w:tcBorders>
            <w:shd w:val="clear" w:color="auto" w:fill="auto"/>
            <w:noWrap/>
            <w:vAlign w:val="bottom"/>
            <w:hideMark/>
          </w:tcPr>
          <w:p w14:paraId="01CF41FB"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hideMark/>
          </w:tcPr>
          <w:p w14:paraId="0722E6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-52,0</w:t>
            </w:r>
          </w:p>
        </w:tc>
      </w:tr>
      <w:tr w:rsidR="00761800" w:rsidRPr="00761800" w14:paraId="3319AA8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BFD1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3.1.</w:t>
            </w:r>
          </w:p>
        </w:tc>
        <w:tc>
          <w:tcPr>
            <w:tcW w:w="11062" w:type="dxa"/>
            <w:tcBorders>
              <w:top w:val="nil"/>
              <w:left w:val="nil"/>
              <w:bottom w:val="single" w:sz="4" w:space="0" w:color="auto"/>
              <w:right w:val="nil"/>
            </w:tcBorders>
            <w:shd w:val="clear" w:color="auto" w:fill="auto"/>
            <w:noWrap/>
            <w:vAlign w:val="bottom"/>
            <w:hideMark/>
          </w:tcPr>
          <w:p w14:paraId="44DD0F81"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6FA8A0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-52,0</w:t>
            </w:r>
          </w:p>
        </w:tc>
      </w:tr>
      <w:tr w:rsidR="00761800" w:rsidRPr="00761800" w14:paraId="534CF15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AAF8B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3B81F0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2E62C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2312BD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9D47B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778121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002F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5FD0F52" w14:textId="77777777" w:rsidTr="00406B4D">
        <w:trPr>
          <w:trHeight w:val="300"/>
        </w:trPr>
        <w:tc>
          <w:tcPr>
            <w:tcW w:w="1013" w:type="dxa"/>
            <w:tcBorders>
              <w:top w:val="nil"/>
              <w:left w:val="nil"/>
              <w:bottom w:val="nil"/>
              <w:right w:val="nil"/>
            </w:tcBorders>
            <w:shd w:val="clear" w:color="auto" w:fill="auto"/>
            <w:noWrap/>
            <w:vAlign w:val="bottom"/>
            <w:hideMark/>
          </w:tcPr>
          <w:p w14:paraId="036C32A6"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8DFC5B8"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6BB1259E" w14:textId="77777777" w:rsidR="00761800" w:rsidRPr="00761800" w:rsidRDefault="00761800" w:rsidP="00761800">
            <w:pPr>
              <w:rPr>
                <w:rFonts w:ascii="Times New Roman" w:hAnsi="Times New Roman"/>
                <w:sz w:val="20"/>
                <w:lang w:eastAsia="bg-BG"/>
              </w:rPr>
            </w:pPr>
          </w:p>
        </w:tc>
      </w:tr>
      <w:tr w:rsidR="00761800" w:rsidRPr="00761800" w14:paraId="5FF5C3F6" w14:textId="77777777" w:rsidTr="00406B4D">
        <w:trPr>
          <w:trHeight w:val="300"/>
        </w:trPr>
        <w:tc>
          <w:tcPr>
            <w:tcW w:w="14253" w:type="dxa"/>
            <w:gridSpan w:val="3"/>
            <w:tcBorders>
              <w:top w:val="nil"/>
              <w:left w:val="nil"/>
              <w:bottom w:val="nil"/>
              <w:right w:val="nil"/>
            </w:tcBorders>
            <w:shd w:val="clear" w:color="auto" w:fill="auto"/>
            <w:hideMark/>
          </w:tcPr>
          <w:p w14:paraId="5841661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3C4748AF"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26BA52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6AAF15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single" w:sz="4" w:space="0" w:color="auto"/>
              <w:left w:val="nil"/>
              <w:bottom w:val="nil"/>
              <w:right w:val="single" w:sz="4" w:space="0" w:color="auto"/>
            </w:tcBorders>
            <w:shd w:val="clear" w:color="auto" w:fill="auto"/>
            <w:noWrap/>
            <w:vAlign w:val="bottom"/>
            <w:hideMark/>
          </w:tcPr>
          <w:p w14:paraId="06F9E80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DE1E54C" w14:textId="77777777" w:rsidTr="00406B4D">
        <w:trPr>
          <w:trHeight w:val="289"/>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15BC29E2"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E9F8170"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7835AAA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54FDAA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E2679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51CEFC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280B8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36F427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3849FA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vAlign w:val="bottom"/>
            <w:hideMark/>
          </w:tcPr>
          <w:p w14:paraId="41EE7A4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спорта за учащи и спорта в свободното време</w:t>
            </w:r>
          </w:p>
        </w:tc>
        <w:tc>
          <w:tcPr>
            <w:tcW w:w="2178" w:type="dxa"/>
            <w:tcBorders>
              <w:top w:val="nil"/>
              <w:left w:val="single" w:sz="4" w:space="0" w:color="auto"/>
              <w:bottom w:val="nil"/>
              <w:right w:val="single" w:sz="4" w:space="0" w:color="auto"/>
            </w:tcBorders>
            <w:shd w:val="clear" w:color="auto" w:fill="auto"/>
            <w:noWrap/>
            <w:vAlign w:val="bottom"/>
            <w:hideMark/>
          </w:tcPr>
          <w:p w14:paraId="74D4D1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18 770,9</w:t>
            </w:r>
          </w:p>
        </w:tc>
      </w:tr>
      <w:tr w:rsidR="00761800" w:rsidRPr="00761800" w14:paraId="7226DD4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E554C2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vAlign w:val="bottom"/>
            <w:hideMark/>
          </w:tcPr>
          <w:p w14:paraId="295789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спорта за високи постижения</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45AD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58 442,0</w:t>
            </w:r>
          </w:p>
        </w:tc>
      </w:tr>
      <w:tr w:rsidR="00761800" w:rsidRPr="00761800" w14:paraId="7C48F0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80336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vAlign w:val="bottom"/>
            <w:hideMark/>
          </w:tcPr>
          <w:p w14:paraId="0E533F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привеждането на спортните обекти и съоръжения във вид, отговарящ на съвременните международни стандарти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AAFA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5 639,0</w:t>
            </w:r>
          </w:p>
        </w:tc>
      </w:tr>
      <w:tr w:rsidR="00761800" w:rsidRPr="00761800" w14:paraId="4B7CC46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55003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4.</w:t>
            </w:r>
          </w:p>
        </w:tc>
        <w:tc>
          <w:tcPr>
            <w:tcW w:w="11062" w:type="dxa"/>
            <w:tcBorders>
              <w:top w:val="nil"/>
              <w:left w:val="nil"/>
              <w:bottom w:val="single" w:sz="4" w:space="0" w:color="auto"/>
              <w:right w:val="nil"/>
            </w:tcBorders>
            <w:shd w:val="clear" w:color="auto" w:fill="auto"/>
            <w:vAlign w:val="bottom"/>
            <w:hideMark/>
          </w:tcPr>
          <w:p w14:paraId="39B456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усвояването и прилагането на добри международни практики за спорта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66067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373,3</w:t>
            </w:r>
          </w:p>
        </w:tc>
      </w:tr>
      <w:tr w:rsidR="00761800" w:rsidRPr="00761800" w14:paraId="51DE444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C8866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5.</w:t>
            </w:r>
          </w:p>
        </w:tc>
        <w:tc>
          <w:tcPr>
            <w:tcW w:w="11062" w:type="dxa"/>
            <w:tcBorders>
              <w:top w:val="nil"/>
              <w:left w:val="nil"/>
              <w:bottom w:val="single" w:sz="4" w:space="0" w:color="auto"/>
              <w:right w:val="nil"/>
            </w:tcBorders>
            <w:shd w:val="clear" w:color="auto" w:fill="auto"/>
            <w:vAlign w:val="bottom"/>
            <w:hideMark/>
          </w:tcPr>
          <w:p w14:paraId="67C5EC9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младите хора</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F119D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4 288,8</w:t>
            </w:r>
          </w:p>
        </w:tc>
      </w:tr>
      <w:tr w:rsidR="00761800" w:rsidRPr="00761800" w14:paraId="7913E3B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6EEAD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6.</w:t>
            </w:r>
          </w:p>
        </w:tc>
        <w:tc>
          <w:tcPr>
            <w:tcW w:w="11062" w:type="dxa"/>
            <w:tcBorders>
              <w:top w:val="nil"/>
              <w:left w:val="nil"/>
              <w:bottom w:val="single" w:sz="4" w:space="0" w:color="auto"/>
              <w:right w:val="nil"/>
            </w:tcBorders>
            <w:shd w:val="clear" w:color="auto" w:fill="auto"/>
            <w:vAlign w:val="bottom"/>
            <w:hideMark/>
          </w:tcPr>
          <w:p w14:paraId="1D8DEF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1F83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2 192,6</w:t>
            </w:r>
          </w:p>
        </w:tc>
      </w:tr>
      <w:tr w:rsidR="00761800" w:rsidRPr="00761800" w14:paraId="1841834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B1504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055EF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BE341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89 706,6</w:t>
            </w:r>
          </w:p>
        </w:tc>
      </w:tr>
      <w:tr w:rsidR="00761800" w:rsidRPr="00761800" w14:paraId="7F427C7A" w14:textId="77777777" w:rsidTr="00406B4D">
        <w:trPr>
          <w:trHeight w:val="300"/>
        </w:trPr>
        <w:tc>
          <w:tcPr>
            <w:tcW w:w="1013" w:type="dxa"/>
            <w:tcBorders>
              <w:top w:val="nil"/>
              <w:left w:val="nil"/>
              <w:bottom w:val="nil"/>
              <w:right w:val="nil"/>
            </w:tcBorders>
            <w:shd w:val="clear" w:color="auto" w:fill="auto"/>
            <w:noWrap/>
            <w:vAlign w:val="bottom"/>
            <w:hideMark/>
          </w:tcPr>
          <w:p w14:paraId="24561250"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509408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1EFD8776" w14:textId="77777777" w:rsidR="00761800" w:rsidRPr="00761800" w:rsidRDefault="00761800" w:rsidP="00761800">
            <w:pPr>
              <w:rPr>
                <w:rFonts w:ascii="Times New Roman" w:hAnsi="Times New Roman"/>
                <w:sz w:val="20"/>
                <w:lang w:eastAsia="bg-BG"/>
              </w:rPr>
            </w:pPr>
          </w:p>
        </w:tc>
      </w:tr>
      <w:tr w:rsidR="00761800" w:rsidRPr="00761800" w14:paraId="1BEDECE2" w14:textId="77777777" w:rsidTr="00406B4D">
        <w:trPr>
          <w:trHeight w:val="612"/>
        </w:trPr>
        <w:tc>
          <w:tcPr>
            <w:tcW w:w="14253" w:type="dxa"/>
            <w:gridSpan w:val="3"/>
            <w:tcBorders>
              <w:top w:val="nil"/>
              <w:left w:val="nil"/>
              <w:bottom w:val="nil"/>
              <w:right w:val="nil"/>
            </w:tcBorders>
            <w:shd w:val="clear" w:color="auto" w:fill="auto"/>
            <w:hideMark/>
          </w:tcPr>
          <w:p w14:paraId="34AE408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Министерството на младежта и спорта, както следва:</w:t>
            </w:r>
          </w:p>
        </w:tc>
      </w:tr>
      <w:tr w:rsidR="00761800" w:rsidRPr="00761800" w14:paraId="1F3ED50B"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A5674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77EC1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40A89A9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F70E72B"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87FC017"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7F91BED"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5AB150A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20D799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96153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5C00D0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BFD9A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C2BC4A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9FD755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3B8C21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9EAB4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66 498,1</w:t>
            </w:r>
          </w:p>
        </w:tc>
      </w:tr>
      <w:tr w:rsidR="00761800" w:rsidRPr="00761800" w14:paraId="4FB37CE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62361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1654E6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216CC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66 433,1</w:t>
            </w:r>
          </w:p>
        </w:tc>
      </w:tr>
      <w:tr w:rsidR="00761800" w:rsidRPr="00761800" w14:paraId="6AB28D15" w14:textId="77777777" w:rsidTr="00406B4D">
        <w:trPr>
          <w:trHeight w:val="300"/>
        </w:trPr>
        <w:tc>
          <w:tcPr>
            <w:tcW w:w="1013" w:type="dxa"/>
            <w:tcBorders>
              <w:top w:val="nil"/>
              <w:left w:val="nil"/>
              <w:bottom w:val="nil"/>
              <w:right w:val="nil"/>
            </w:tcBorders>
            <w:shd w:val="clear" w:color="auto" w:fill="auto"/>
            <w:vAlign w:val="bottom"/>
            <w:hideMark/>
          </w:tcPr>
          <w:p w14:paraId="33CC28D3"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3A46FE3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50947753" w14:textId="77777777" w:rsidR="00761800" w:rsidRPr="00761800" w:rsidRDefault="00761800" w:rsidP="00761800">
            <w:pPr>
              <w:rPr>
                <w:rFonts w:ascii="Times New Roman" w:hAnsi="Times New Roman"/>
                <w:sz w:val="20"/>
                <w:lang w:eastAsia="bg-BG"/>
              </w:rPr>
            </w:pPr>
          </w:p>
        </w:tc>
      </w:tr>
      <w:tr w:rsidR="00761800" w:rsidRPr="00761800" w14:paraId="1D652A7F" w14:textId="77777777" w:rsidTr="00406B4D">
        <w:trPr>
          <w:trHeight w:val="80"/>
        </w:trPr>
        <w:tc>
          <w:tcPr>
            <w:tcW w:w="14253" w:type="dxa"/>
            <w:gridSpan w:val="3"/>
            <w:tcBorders>
              <w:top w:val="nil"/>
              <w:left w:val="nil"/>
              <w:bottom w:val="nil"/>
              <w:right w:val="nil"/>
            </w:tcBorders>
            <w:shd w:val="clear" w:color="auto" w:fill="auto"/>
            <w:vAlign w:val="bottom"/>
            <w:hideMark/>
          </w:tcPr>
          <w:p w14:paraId="5EDB47FA"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27.</w:t>
            </w:r>
            <w:r w:rsidRPr="00761800">
              <w:rPr>
                <w:rFonts w:ascii="Times New Roman" w:hAnsi="Times New Roman"/>
                <w:color w:val="000000"/>
                <w:sz w:val="22"/>
                <w:szCs w:val="22"/>
                <w:lang w:eastAsia="bg-BG"/>
              </w:rPr>
              <w:t xml:space="preserve"> (1) Приема бюджета на Държавната агенция „Национална сигурност“ за 2026 г., както следва:</w:t>
            </w:r>
          </w:p>
        </w:tc>
      </w:tr>
      <w:tr w:rsidR="00761800" w:rsidRPr="00761800" w14:paraId="100775BC"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D1C1A7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2FEFE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2C13D60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6927DD5"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93C6BF1"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E05AA5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6A64580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4228BE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CF2141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DF8B92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hideMark/>
          </w:tcPr>
          <w:p w14:paraId="59E3D30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5B281D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C5EF6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3228A8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CD515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102,3</w:t>
            </w:r>
          </w:p>
        </w:tc>
      </w:tr>
      <w:tr w:rsidR="00761800" w:rsidRPr="00761800" w14:paraId="7A73E17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C2BCE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1792644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61CD0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102,3</w:t>
            </w:r>
          </w:p>
        </w:tc>
      </w:tr>
      <w:tr w:rsidR="00761800" w:rsidRPr="00761800" w14:paraId="07AEC62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A9EBC6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6AF5BA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05C80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w:t>
            </w:r>
          </w:p>
        </w:tc>
      </w:tr>
      <w:tr w:rsidR="00761800" w:rsidRPr="00761800" w14:paraId="2E12D4B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6F54E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1BDD70A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938AB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94,6</w:t>
            </w:r>
          </w:p>
        </w:tc>
      </w:tr>
      <w:tr w:rsidR="00761800" w:rsidRPr="00761800" w14:paraId="5A3CD12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37676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12A14B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0DD70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142 580,1</w:t>
            </w:r>
          </w:p>
        </w:tc>
      </w:tr>
      <w:tr w:rsidR="00761800" w:rsidRPr="00761800" w14:paraId="4B4F4AD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A314C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003E16CA"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8FCF4F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137 760,0</w:t>
            </w:r>
          </w:p>
        </w:tc>
      </w:tr>
      <w:tr w:rsidR="00761800" w:rsidRPr="00761800" w14:paraId="619DAD1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BF682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B01FFF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6C6BF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938C60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90666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0595703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0FDF1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133 600,0</w:t>
            </w:r>
          </w:p>
        </w:tc>
      </w:tr>
      <w:tr w:rsidR="00761800" w:rsidRPr="00761800" w14:paraId="72A743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212F6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3C931002"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0D9E8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4 820,1</w:t>
            </w:r>
          </w:p>
        </w:tc>
      </w:tr>
      <w:tr w:rsidR="00761800" w:rsidRPr="00761800" w14:paraId="608D6B4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5D2F2F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58BE8D2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213A9C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4 820,1</w:t>
            </w:r>
          </w:p>
        </w:tc>
      </w:tr>
      <w:tr w:rsidR="00761800" w:rsidRPr="00761800" w14:paraId="4F709D6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C599E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0527F2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8924B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142 477,8</w:t>
            </w:r>
          </w:p>
        </w:tc>
      </w:tr>
      <w:tr w:rsidR="00761800" w:rsidRPr="00761800" w14:paraId="24CCDDF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E5349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4C25EF8E"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663FC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142 477,8</w:t>
            </w:r>
          </w:p>
        </w:tc>
      </w:tr>
      <w:tr w:rsidR="00761800" w:rsidRPr="00761800" w14:paraId="7FA0354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26B8A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52A16E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61D5D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AEBAB0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028C6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775F706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68EA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60A1E0C" w14:textId="77777777" w:rsidTr="00406B4D">
        <w:trPr>
          <w:trHeight w:val="300"/>
        </w:trPr>
        <w:tc>
          <w:tcPr>
            <w:tcW w:w="1013" w:type="dxa"/>
            <w:tcBorders>
              <w:top w:val="nil"/>
              <w:left w:val="nil"/>
              <w:bottom w:val="nil"/>
              <w:right w:val="nil"/>
            </w:tcBorders>
            <w:shd w:val="clear" w:color="auto" w:fill="auto"/>
            <w:noWrap/>
            <w:vAlign w:val="bottom"/>
            <w:hideMark/>
          </w:tcPr>
          <w:p w14:paraId="0E0C91EC"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346B991"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1B49B74F" w14:textId="77777777" w:rsidR="00761800" w:rsidRPr="00761800" w:rsidRDefault="00761800" w:rsidP="00761800">
            <w:pPr>
              <w:rPr>
                <w:rFonts w:ascii="Times New Roman" w:hAnsi="Times New Roman"/>
                <w:sz w:val="20"/>
                <w:lang w:eastAsia="bg-BG"/>
              </w:rPr>
            </w:pPr>
          </w:p>
        </w:tc>
      </w:tr>
      <w:tr w:rsidR="00761800" w:rsidRPr="00761800" w14:paraId="2A692A0F" w14:textId="77777777" w:rsidTr="00406B4D">
        <w:trPr>
          <w:trHeight w:val="80"/>
        </w:trPr>
        <w:tc>
          <w:tcPr>
            <w:tcW w:w="14253" w:type="dxa"/>
            <w:gridSpan w:val="3"/>
            <w:tcBorders>
              <w:top w:val="nil"/>
              <w:left w:val="nil"/>
              <w:bottom w:val="nil"/>
              <w:right w:val="nil"/>
            </w:tcBorders>
            <w:shd w:val="clear" w:color="auto" w:fill="auto"/>
            <w:hideMark/>
          </w:tcPr>
          <w:p w14:paraId="7D2FB6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12DA4BF0" w14:textId="77777777" w:rsidTr="00406B4D">
        <w:trPr>
          <w:trHeight w:val="16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F7F409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FDEA59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single" w:sz="4" w:space="0" w:color="auto"/>
              <w:left w:val="nil"/>
              <w:bottom w:val="nil"/>
              <w:right w:val="single" w:sz="4" w:space="0" w:color="auto"/>
            </w:tcBorders>
            <w:shd w:val="clear" w:color="auto" w:fill="auto"/>
            <w:noWrap/>
            <w:vAlign w:val="center"/>
            <w:hideMark/>
          </w:tcPr>
          <w:p w14:paraId="4B839AE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062DF38"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5B9FFC9E"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23AB2FB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79522BA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7F4041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C1A50E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89F1E9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B654AD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86FEB6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4E1A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3A6373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защитата на националната сигурност</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59E9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142 580,1</w:t>
            </w:r>
          </w:p>
        </w:tc>
      </w:tr>
      <w:tr w:rsidR="00761800" w:rsidRPr="00761800" w14:paraId="19AD1AC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8A6EB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6A429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2DE6A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142 580,1</w:t>
            </w:r>
          </w:p>
        </w:tc>
      </w:tr>
      <w:tr w:rsidR="00761800" w:rsidRPr="00761800" w14:paraId="427540D8" w14:textId="77777777" w:rsidTr="00406B4D">
        <w:trPr>
          <w:trHeight w:val="300"/>
        </w:trPr>
        <w:tc>
          <w:tcPr>
            <w:tcW w:w="1013" w:type="dxa"/>
            <w:tcBorders>
              <w:top w:val="nil"/>
              <w:left w:val="nil"/>
              <w:bottom w:val="nil"/>
              <w:right w:val="nil"/>
            </w:tcBorders>
            <w:shd w:val="clear" w:color="auto" w:fill="auto"/>
            <w:noWrap/>
            <w:vAlign w:val="bottom"/>
            <w:hideMark/>
          </w:tcPr>
          <w:p w14:paraId="20E8DC92"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062A130"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2CE613E" w14:textId="77777777" w:rsidR="00761800" w:rsidRPr="00761800" w:rsidRDefault="00761800" w:rsidP="00761800">
            <w:pPr>
              <w:rPr>
                <w:rFonts w:ascii="Times New Roman" w:hAnsi="Times New Roman"/>
                <w:sz w:val="20"/>
                <w:lang w:eastAsia="bg-BG"/>
              </w:rPr>
            </w:pPr>
          </w:p>
        </w:tc>
      </w:tr>
      <w:tr w:rsidR="00761800" w:rsidRPr="00761800" w14:paraId="2EE33A5A" w14:textId="77777777" w:rsidTr="00406B4D">
        <w:trPr>
          <w:trHeight w:val="519"/>
        </w:trPr>
        <w:tc>
          <w:tcPr>
            <w:tcW w:w="14253" w:type="dxa"/>
            <w:gridSpan w:val="3"/>
            <w:tcBorders>
              <w:top w:val="nil"/>
              <w:left w:val="nil"/>
              <w:bottom w:val="nil"/>
              <w:right w:val="nil"/>
            </w:tcBorders>
            <w:shd w:val="clear" w:color="auto" w:fill="auto"/>
            <w:hideMark/>
          </w:tcPr>
          <w:p w14:paraId="274576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Държавната агенция „Национална сигурност“, както следва:</w:t>
            </w:r>
          </w:p>
        </w:tc>
      </w:tr>
      <w:tr w:rsidR="00761800" w:rsidRPr="00761800" w14:paraId="036A9D94"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E424AB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03914E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18E424F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6C63040" w14:textId="77777777" w:rsidTr="00406B4D">
        <w:trPr>
          <w:trHeight w:val="278"/>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C2BF0B0"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2CBD531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7628D02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1B03E4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C35D7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88D921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A2AA95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142534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15246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7C71BB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2389F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7 813,6</w:t>
            </w:r>
          </w:p>
        </w:tc>
      </w:tr>
      <w:tr w:rsidR="00761800" w:rsidRPr="00761800" w14:paraId="06140FF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880F2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75D9807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4218C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8 698,7</w:t>
            </w:r>
          </w:p>
        </w:tc>
      </w:tr>
      <w:tr w:rsidR="00761800" w:rsidRPr="00761800" w14:paraId="50955AC9" w14:textId="77777777" w:rsidTr="00406B4D">
        <w:trPr>
          <w:trHeight w:val="70"/>
        </w:trPr>
        <w:tc>
          <w:tcPr>
            <w:tcW w:w="1013" w:type="dxa"/>
            <w:tcBorders>
              <w:top w:val="nil"/>
              <w:left w:val="nil"/>
              <w:bottom w:val="nil"/>
              <w:right w:val="nil"/>
            </w:tcBorders>
            <w:shd w:val="clear" w:color="auto" w:fill="auto"/>
            <w:vAlign w:val="bottom"/>
            <w:hideMark/>
          </w:tcPr>
          <w:p w14:paraId="4AB5CB60"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3B480EB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566A8C4D" w14:textId="77777777" w:rsidR="00761800" w:rsidRPr="00761800" w:rsidRDefault="00761800" w:rsidP="00761800">
            <w:pPr>
              <w:rPr>
                <w:rFonts w:ascii="Times New Roman" w:hAnsi="Times New Roman"/>
                <w:sz w:val="20"/>
                <w:lang w:eastAsia="bg-BG"/>
              </w:rPr>
            </w:pPr>
          </w:p>
        </w:tc>
      </w:tr>
      <w:tr w:rsidR="00761800" w:rsidRPr="00761800" w14:paraId="0A551FD4" w14:textId="77777777" w:rsidTr="00406B4D">
        <w:trPr>
          <w:trHeight w:val="324"/>
        </w:trPr>
        <w:tc>
          <w:tcPr>
            <w:tcW w:w="14253" w:type="dxa"/>
            <w:gridSpan w:val="3"/>
            <w:tcBorders>
              <w:top w:val="nil"/>
              <w:left w:val="nil"/>
              <w:bottom w:val="nil"/>
              <w:right w:val="nil"/>
            </w:tcBorders>
            <w:shd w:val="clear" w:color="auto" w:fill="auto"/>
            <w:vAlign w:val="bottom"/>
            <w:hideMark/>
          </w:tcPr>
          <w:p w14:paraId="0CC8B1AE"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28.</w:t>
            </w:r>
            <w:r w:rsidRPr="00761800">
              <w:rPr>
                <w:rFonts w:ascii="Times New Roman" w:hAnsi="Times New Roman"/>
                <w:color w:val="000000"/>
                <w:sz w:val="22"/>
                <w:szCs w:val="22"/>
                <w:lang w:eastAsia="bg-BG"/>
              </w:rPr>
              <w:t xml:space="preserve"> (1) Приема бюджета на 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за 2026 г., както следва:</w:t>
            </w:r>
          </w:p>
        </w:tc>
      </w:tr>
      <w:tr w:rsidR="00761800" w:rsidRPr="00761800" w14:paraId="4A805B08"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EB2C3A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B08F45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1192DEF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1885445"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9312FAD"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2EFEDDA9"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028A5FC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5C20F3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61596C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54684F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hideMark/>
          </w:tcPr>
          <w:p w14:paraId="2D670F4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1122F8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0CE13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5CD8D9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61B51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A6C07D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1B554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748367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01681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2 849,7</w:t>
            </w:r>
          </w:p>
        </w:tc>
      </w:tr>
      <w:tr w:rsidR="00761800" w:rsidRPr="00761800" w14:paraId="32FEACC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D74E5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58A17DA8"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65E84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2 808,8</w:t>
            </w:r>
          </w:p>
        </w:tc>
      </w:tr>
      <w:tr w:rsidR="00761800" w:rsidRPr="00761800" w14:paraId="61639A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F36B4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0B539B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7382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C1A8AB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3BA2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BD62D5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29653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2 318,5</w:t>
            </w:r>
          </w:p>
        </w:tc>
      </w:tr>
      <w:tr w:rsidR="00761800" w:rsidRPr="00761800" w14:paraId="1964355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1493A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714D5017"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E0679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40,9</w:t>
            </w:r>
          </w:p>
        </w:tc>
      </w:tr>
      <w:tr w:rsidR="00761800" w:rsidRPr="00761800" w14:paraId="4048BAE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45E99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2C430A3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22EB84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40,9</w:t>
            </w:r>
          </w:p>
        </w:tc>
      </w:tr>
      <w:tr w:rsidR="00761800" w:rsidRPr="00761800" w14:paraId="58C561F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13764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05172C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51459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2 849,7</w:t>
            </w:r>
          </w:p>
        </w:tc>
      </w:tr>
      <w:tr w:rsidR="00761800" w:rsidRPr="00761800" w14:paraId="359DDA3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4B1FF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814F54F"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hideMark/>
          </w:tcPr>
          <w:p w14:paraId="271397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2 849,7</w:t>
            </w:r>
          </w:p>
        </w:tc>
      </w:tr>
      <w:tr w:rsidR="00761800" w:rsidRPr="00761800" w14:paraId="728EED9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3C8A4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435F8C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38F7B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8C64D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3E08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16D93B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6DA88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5970F57" w14:textId="77777777" w:rsidTr="00406B4D">
        <w:trPr>
          <w:trHeight w:val="116"/>
        </w:trPr>
        <w:tc>
          <w:tcPr>
            <w:tcW w:w="1013" w:type="dxa"/>
            <w:tcBorders>
              <w:top w:val="nil"/>
              <w:left w:val="nil"/>
              <w:bottom w:val="nil"/>
              <w:right w:val="nil"/>
            </w:tcBorders>
            <w:shd w:val="clear" w:color="auto" w:fill="auto"/>
            <w:noWrap/>
            <w:vAlign w:val="bottom"/>
            <w:hideMark/>
          </w:tcPr>
          <w:p w14:paraId="5AA51B94"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B1FDAE1"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601CA29B" w14:textId="77777777" w:rsidR="00761800" w:rsidRPr="00761800" w:rsidRDefault="00761800" w:rsidP="00761800">
            <w:pPr>
              <w:rPr>
                <w:rFonts w:ascii="Times New Roman" w:hAnsi="Times New Roman"/>
                <w:sz w:val="20"/>
                <w:lang w:eastAsia="bg-BG"/>
              </w:rPr>
            </w:pPr>
          </w:p>
        </w:tc>
      </w:tr>
      <w:tr w:rsidR="00761800" w:rsidRPr="00761800" w14:paraId="275AD446"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4F34602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(2) Утвърждава разпределение на разходите по ал. 1 по функционални области, както следва:</w:t>
            </w:r>
          </w:p>
        </w:tc>
      </w:tr>
      <w:tr w:rsidR="00761800" w:rsidRPr="00761800" w14:paraId="17B5AE62" w14:textId="77777777" w:rsidTr="00406B4D">
        <w:trPr>
          <w:trHeight w:val="7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28E5C2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A72B63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6DC41DB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2041025"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FEFAD76"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18DE42C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21B403D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77CA32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0EC28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ED6731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09653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F39958A" w14:textId="77777777" w:rsidTr="00406B4D">
        <w:trPr>
          <w:trHeight w:val="225"/>
        </w:trPr>
        <w:tc>
          <w:tcPr>
            <w:tcW w:w="1013" w:type="dxa"/>
            <w:tcBorders>
              <w:top w:val="nil"/>
              <w:left w:val="single" w:sz="4" w:space="0" w:color="auto"/>
              <w:bottom w:val="single" w:sz="4" w:space="0" w:color="auto"/>
              <w:right w:val="single" w:sz="4" w:space="0" w:color="auto"/>
            </w:tcBorders>
            <w:shd w:val="clear" w:color="auto" w:fill="auto"/>
            <w:noWrap/>
            <w:hideMark/>
          </w:tcPr>
          <w:p w14:paraId="438B13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496534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„Архив на Държавна сигурност и разузнавателните служби на Българската народна армия“</w:t>
            </w:r>
          </w:p>
        </w:tc>
        <w:tc>
          <w:tcPr>
            <w:tcW w:w="2178" w:type="dxa"/>
            <w:tcBorders>
              <w:top w:val="nil"/>
              <w:left w:val="single" w:sz="4" w:space="0" w:color="auto"/>
              <w:bottom w:val="nil"/>
              <w:right w:val="single" w:sz="4" w:space="0" w:color="auto"/>
            </w:tcBorders>
            <w:shd w:val="clear" w:color="auto" w:fill="auto"/>
            <w:noWrap/>
            <w:vAlign w:val="bottom"/>
            <w:hideMark/>
          </w:tcPr>
          <w:p w14:paraId="4AA5A1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2 849,7</w:t>
            </w:r>
          </w:p>
        </w:tc>
      </w:tr>
      <w:tr w:rsidR="00761800" w:rsidRPr="00761800" w14:paraId="7D767BE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F2AA17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181B71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8B0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2 849,7</w:t>
            </w:r>
          </w:p>
        </w:tc>
      </w:tr>
      <w:tr w:rsidR="00761800" w:rsidRPr="00761800" w14:paraId="33A0E4C8" w14:textId="77777777" w:rsidTr="00406B4D">
        <w:trPr>
          <w:trHeight w:val="70"/>
        </w:trPr>
        <w:tc>
          <w:tcPr>
            <w:tcW w:w="1013" w:type="dxa"/>
            <w:tcBorders>
              <w:top w:val="nil"/>
              <w:left w:val="nil"/>
              <w:bottom w:val="nil"/>
              <w:right w:val="nil"/>
            </w:tcBorders>
            <w:shd w:val="clear" w:color="auto" w:fill="auto"/>
            <w:noWrap/>
            <w:vAlign w:val="bottom"/>
            <w:hideMark/>
          </w:tcPr>
          <w:p w14:paraId="457D2404"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CDB7D1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3B5B2B82" w14:textId="77777777" w:rsidR="00761800" w:rsidRPr="00761800" w:rsidRDefault="00761800" w:rsidP="00761800">
            <w:pPr>
              <w:rPr>
                <w:rFonts w:ascii="Times New Roman" w:hAnsi="Times New Roman"/>
                <w:sz w:val="20"/>
                <w:lang w:eastAsia="bg-BG"/>
              </w:rPr>
            </w:pPr>
          </w:p>
        </w:tc>
      </w:tr>
      <w:tr w:rsidR="00761800" w:rsidRPr="00761800" w14:paraId="6C325E91" w14:textId="77777777" w:rsidTr="00406B4D">
        <w:trPr>
          <w:trHeight w:val="584"/>
        </w:trPr>
        <w:tc>
          <w:tcPr>
            <w:tcW w:w="14253" w:type="dxa"/>
            <w:gridSpan w:val="3"/>
            <w:tcBorders>
              <w:top w:val="nil"/>
              <w:left w:val="nil"/>
              <w:bottom w:val="nil"/>
              <w:right w:val="nil"/>
            </w:tcBorders>
            <w:shd w:val="clear" w:color="auto" w:fill="auto"/>
            <w:hideMark/>
          </w:tcPr>
          <w:p w14:paraId="3E759C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както следва:</w:t>
            </w:r>
          </w:p>
          <w:p w14:paraId="40F75987" w14:textId="77777777" w:rsidR="00761800" w:rsidRPr="00761800" w:rsidRDefault="00761800" w:rsidP="00761800">
            <w:pPr>
              <w:rPr>
                <w:rFonts w:ascii="Times New Roman" w:hAnsi="Times New Roman"/>
                <w:sz w:val="22"/>
                <w:szCs w:val="22"/>
                <w:lang w:eastAsia="bg-BG"/>
              </w:rPr>
            </w:pPr>
          </w:p>
        </w:tc>
      </w:tr>
      <w:tr w:rsidR="00761800" w:rsidRPr="00761800" w14:paraId="20BE0F61"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362C84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FAB13E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41276E4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4CF1403D"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660CC90"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A947F5D"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6DE6DE7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6777017" w14:textId="77777777" w:rsidTr="00406B4D">
        <w:trPr>
          <w:trHeight w:val="312"/>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E3A49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D18844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97467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FA96D3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F13FDE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5D00F8D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957FD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487,7</w:t>
            </w:r>
          </w:p>
        </w:tc>
      </w:tr>
      <w:tr w:rsidR="00761800" w:rsidRPr="00761800" w14:paraId="6AD2B4A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1D0AB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6D3D2A2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E868C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487,7</w:t>
            </w:r>
          </w:p>
        </w:tc>
      </w:tr>
      <w:tr w:rsidR="00761800" w:rsidRPr="00761800" w14:paraId="27060527" w14:textId="77777777" w:rsidTr="00406B4D">
        <w:trPr>
          <w:trHeight w:val="163"/>
        </w:trPr>
        <w:tc>
          <w:tcPr>
            <w:tcW w:w="1013" w:type="dxa"/>
            <w:tcBorders>
              <w:top w:val="nil"/>
              <w:left w:val="nil"/>
              <w:bottom w:val="nil"/>
              <w:right w:val="nil"/>
            </w:tcBorders>
            <w:shd w:val="clear" w:color="auto" w:fill="auto"/>
            <w:vAlign w:val="bottom"/>
            <w:hideMark/>
          </w:tcPr>
          <w:p w14:paraId="306A7EFB"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0096421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1F73580F" w14:textId="77777777" w:rsidR="00761800" w:rsidRPr="00761800" w:rsidRDefault="00761800" w:rsidP="00761800">
            <w:pPr>
              <w:rPr>
                <w:rFonts w:ascii="Times New Roman" w:hAnsi="Times New Roman"/>
                <w:sz w:val="20"/>
                <w:lang w:eastAsia="bg-BG"/>
              </w:rPr>
            </w:pPr>
          </w:p>
        </w:tc>
      </w:tr>
      <w:tr w:rsidR="00761800" w:rsidRPr="00761800" w14:paraId="05BBFBD7" w14:textId="77777777" w:rsidTr="00406B4D">
        <w:trPr>
          <w:trHeight w:val="300"/>
        </w:trPr>
        <w:tc>
          <w:tcPr>
            <w:tcW w:w="14253" w:type="dxa"/>
            <w:gridSpan w:val="3"/>
            <w:tcBorders>
              <w:top w:val="nil"/>
              <w:left w:val="nil"/>
              <w:bottom w:val="nil"/>
              <w:right w:val="nil"/>
            </w:tcBorders>
            <w:shd w:val="clear" w:color="auto" w:fill="auto"/>
            <w:vAlign w:val="bottom"/>
            <w:hideMark/>
          </w:tcPr>
          <w:p w14:paraId="2D007602"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29</w:t>
            </w:r>
            <w:r w:rsidRPr="00761800">
              <w:rPr>
                <w:rFonts w:ascii="Times New Roman" w:hAnsi="Times New Roman"/>
                <w:color w:val="000000"/>
                <w:sz w:val="22"/>
                <w:szCs w:val="22"/>
                <w:lang w:eastAsia="bg-BG"/>
              </w:rPr>
              <w:t>. (1) Приема бюджета на Комисията за защита от дискриминация за 2026 г., както следва:</w:t>
            </w:r>
          </w:p>
        </w:tc>
      </w:tr>
      <w:tr w:rsidR="00761800" w:rsidRPr="00761800" w14:paraId="63185D96"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7B91F6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3F6FF7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25B31AD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523333A"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8CB38A5"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748D85F"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70A1AAD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106C72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270F22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206202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0C402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547251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C13F8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052FD56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719D68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811768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56805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22AEC1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55063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2 349,7</w:t>
            </w:r>
          </w:p>
        </w:tc>
      </w:tr>
      <w:tr w:rsidR="00761800" w:rsidRPr="00761800" w14:paraId="27372F2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FC14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119F9A22"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2E8C7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2 304,7</w:t>
            </w:r>
          </w:p>
        </w:tc>
      </w:tr>
      <w:tr w:rsidR="00761800" w:rsidRPr="00761800" w14:paraId="7774D64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B180E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4EAAAB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9A344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1C18B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84DE5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3F72A20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BBECC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1 775,1</w:t>
            </w:r>
          </w:p>
        </w:tc>
      </w:tr>
      <w:tr w:rsidR="00761800" w:rsidRPr="00761800" w14:paraId="40C1274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92233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00293EFA"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9619C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45,0</w:t>
            </w:r>
          </w:p>
        </w:tc>
      </w:tr>
      <w:tr w:rsidR="00761800" w:rsidRPr="00761800" w14:paraId="421965E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D0D59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14368EE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0C15F9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45,0</w:t>
            </w:r>
          </w:p>
        </w:tc>
      </w:tr>
      <w:tr w:rsidR="00761800" w:rsidRPr="00761800" w14:paraId="30B529F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3671D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05F29E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7C6CD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2 349,7</w:t>
            </w:r>
          </w:p>
        </w:tc>
      </w:tr>
      <w:tr w:rsidR="00761800" w:rsidRPr="00761800" w14:paraId="4619717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118A6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19BB432D"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00CCC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2 349,7</w:t>
            </w:r>
          </w:p>
        </w:tc>
      </w:tr>
      <w:tr w:rsidR="00761800" w:rsidRPr="00761800" w14:paraId="1C42AE6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922ED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IV.</w:t>
            </w:r>
          </w:p>
        </w:tc>
        <w:tc>
          <w:tcPr>
            <w:tcW w:w="11062" w:type="dxa"/>
            <w:tcBorders>
              <w:top w:val="nil"/>
              <w:left w:val="nil"/>
              <w:bottom w:val="single" w:sz="4" w:space="0" w:color="auto"/>
              <w:right w:val="nil"/>
            </w:tcBorders>
            <w:shd w:val="clear" w:color="auto" w:fill="auto"/>
            <w:noWrap/>
            <w:vAlign w:val="bottom"/>
            <w:hideMark/>
          </w:tcPr>
          <w:p w14:paraId="2C079A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ABDBE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26C00E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28DD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4BB490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1DAC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C0E712C" w14:textId="77777777" w:rsidTr="00406B4D">
        <w:trPr>
          <w:trHeight w:val="70"/>
        </w:trPr>
        <w:tc>
          <w:tcPr>
            <w:tcW w:w="1013" w:type="dxa"/>
            <w:tcBorders>
              <w:top w:val="nil"/>
              <w:left w:val="nil"/>
              <w:bottom w:val="nil"/>
              <w:right w:val="nil"/>
            </w:tcBorders>
            <w:shd w:val="clear" w:color="auto" w:fill="auto"/>
            <w:noWrap/>
            <w:vAlign w:val="bottom"/>
            <w:hideMark/>
          </w:tcPr>
          <w:p w14:paraId="746B5FB4"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64368A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7313075D" w14:textId="77777777" w:rsidR="00761800" w:rsidRPr="00761800" w:rsidRDefault="00761800" w:rsidP="00761800">
            <w:pPr>
              <w:rPr>
                <w:rFonts w:ascii="Times New Roman" w:hAnsi="Times New Roman"/>
                <w:sz w:val="20"/>
                <w:lang w:eastAsia="bg-BG"/>
              </w:rPr>
            </w:pPr>
          </w:p>
        </w:tc>
      </w:tr>
      <w:tr w:rsidR="00761800" w:rsidRPr="00761800" w14:paraId="73BAB6D7" w14:textId="77777777" w:rsidTr="00406B4D">
        <w:trPr>
          <w:trHeight w:val="80"/>
        </w:trPr>
        <w:tc>
          <w:tcPr>
            <w:tcW w:w="14253" w:type="dxa"/>
            <w:gridSpan w:val="3"/>
            <w:tcBorders>
              <w:top w:val="nil"/>
              <w:left w:val="nil"/>
              <w:bottom w:val="nil"/>
              <w:right w:val="nil"/>
            </w:tcBorders>
            <w:shd w:val="clear" w:color="auto" w:fill="auto"/>
            <w:noWrap/>
            <w:vAlign w:val="bottom"/>
            <w:hideMark/>
          </w:tcPr>
          <w:p w14:paraId="11187E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4143B09C" w14:textId="77777777" w:rsidTr="00406B4D">
        <w:trPr>
          <w:trHeight w:val="16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D053FF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D744CF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61BA405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A5817F6"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5CDB2A6F"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5EF7D56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64C23AD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B7C4A1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09BE1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71E416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BEDEF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94632E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A338C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66B162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„Противодействие и защита на гражданите от дискриминация“</w:t>
            </w:r>
          </w:p>
        </w:tc>
        <w:tc>
          <w:tcPr>
            <w:tcW w:w="2178" w:type="dxa"/>
            <w:tcBorders>
              <w:top w:val="nil"/>
              <w:left w:val="single" w:sz="4" w:space="0" w:color="auto"/>
              <w:bottom w:val="nil"/>
              <w:right w:val="single" w:sz="4" w:space="0" w:color="auto"/>
            </w:tcBorders>
            <w:shd w:val="clear" w:color="auto" w:fill="auto"/>
            <w:noWrap/>
            <w:vAlign w:val="bottom"/>
            <w:hideMark/>
          </w:tcPr>
          <w:p w14:paraId="3E1791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2 349,7</w:t>
            </w:r>
          </w:p>
        </w:tc>
      </w:tr>
      <w:tr w:rsidR="00761800" w:rsidRPr="00761800" w14:paraId="23CA345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51A85E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590CB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C9EE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2 349,7</w:t>
            </w:r>
          </w:p>
        </w:tc>
      </w:tr>
      <w:tr w:rsidR="00761800" w:rsidRPr="00761800" w14:paraId="132C979C" w14:textId="77777777" w:rsidTr="00406B4D">
        <w:trPr>
          <w:trHeight w:val="300"/>
        </w:trPr>
        <w:tc>
          <w:tcPr>
            <w:tcW w:w="1013" w:type="dxa"/>
            <w:tcBorders>
              <w:top w:val="nil"/>
              <w:left w:val="nil"/>
              <w:bottom w:val="nil"/>
              <w:right w:val="nil"/>
            </w:tcBorders>
            <w:shd w:val="clear" w:color="auto" w:fill="auto"/>
            <w:noWrap/>
            <w:vAlign w:val="bottom"/>
            <w:hideMark/>
          </w:tcPr>
          <w:p w14:paraId="1F45A254"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4D712C02"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9B22B1C" w14:textId="77777777" w:rsidR="00761800" w:rsidRPr="00761800" w:rsidRDefault="00761800" w:rsidP="00761800">
            <w:pPr>
              <w:rPr>
                <w:rFonts w:ascii="Times New Roman" w:hAnsi="Times New Roman"/>
                <w:sz w:val="20"/>
                <w:lang w:eastAsia="bg-BG"/>
              </w:rPr>
            </w:pPr>
          </w:p>
        </w:tc>
      </w:tr>
      <w:tr w:rsidR="00761800" w:rsidRPr="00761800" w14:paraId="7327E78B" w14:textId="77777777" w:rsidTr="00406B4D">
        <w:trPr>
          <w:trHeight w:val="612"/>
        </w:trPr>
        <w:tc>
          <w:tcPr>
            <w:tcW w:w="14253" w:type="dxa"/>
            <w:gridSpan w:val="3"/>
            <w:tcBorders>
              <w:top w:val="nil"/>
              <w:left w:val="nil"/>
              <w:bottom w:val="nil"/>
              <w:right w:val="nil"/>
            </w:tcBorders>
            <w:shd w:val="clear" w:color="auto" w:fill="auto"/>
            <w:hideMark/>
          </w:tcPr>
          <w:p w14:paraId="30C0E5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Комисията за защита от дискриминация, както следва:</w:t>
            </w:r>
          </w:p>
        </w:tc>
      </w:tr>
      <w:tr w:rsidR="00761800" w:rsidRPr="00761800" w14:paraId="7AF92D6C"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CEAC62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5C03CA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2AE3A9E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DBFCF69"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4507EC5"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5F1C333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57E4C0A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9E94BF9" w14:textId="77777777" w:rsidTr="00406B4D">
        <w:trPr>
          <w:trHeight w:val="7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284DB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DF67C7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4130D1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1E652A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61460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76CAE9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1645A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576,4</w:t>
            </w:r>
          </w:p>
        </w:tc>
      </w:tr>
      <w:tr w:rsidR="00761800" w:rsidRPr="00761800" w14:paraId="1BA1C0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BFD22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192D59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BC04E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567,5</w:t>
            </w:r>
          </w:p>
        </w:tc>
      </w:tr>
      <w:tr w:rsidR="00761800" w:rsidRPr="00761800" w14:paraId="43C54C88" w14:textId="77777777" w:rsidTr="00406B4D">
        <w:trPr>
          <w:trHeight w:val="300"/>
        </w:trPr>
        <w:tc>
          <w:tcPr>
            <w:tcW w:w="1013" w:type="dxa"/>
            <w:tcBorders>
              <w:top w:val="nil"/>
              <w:left w:val="nil"/>
              <w:bottom w:val="nil"/>
              <w:right w:val="nil"/>
            </w:tcBorders>
            <w:shd w:val="clear" w:color="auto" w:fill="auto"/>
            <w:vAlign w:val="bottom"/>
            <w:hideMark/>
          </w:tcPr>
          <w:p w14:paraId="27733FA8"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0B5DD7AB"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2A27611D" w14:textId="77777777" w:rsidR="00761800" w:rsidRPr="00761800" w:rsidRDefault="00761800" w:rsidP="00761800">
            <w:pPr>
              <w:rPr>
                <w:rFonts w:ascii="Times New Roman" w:hAnsi="Times New Roman"/>
                <w:sz w:val="20"/>
                <w:lang w:eastAsia="bg-BG"/>
              </w:rPr>
            </w:pPr>
          </w:p>
        </w:tc>
      </w:tr>
      <w:tr w:rsidR="00761800" w:rsidRPr="00761800" w14:paraId="79CC8816" w14:textId="77777777" w:rsidTr="00406B4D">
        <w:trPr>
          <w:trHeight w:val="300"/>
        </w:trPr>
        <w:tc>
          <w:tcPr>
            <w:tcW w:w="14253" w:type="dxa"/>
            <w:gridSpan w:val="3"/>
            <w:tcBorders>
              <w:top w:val="nil"/>
              <w:left w:val="nil"/>
              <w:bottom w:val="nil"/>
              <w:right w:val="nil"/>
            </w:tcBorders>
            <w:shd w:val="clear" w:color="auto" w:fill="auto"/>
            <w:vAlign w:val="bottom"/>
            <w:hideMark/>
          </w:tcPr>
          <w:p w14:paraId="0315E3B0"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30.</w:t>
            </w:r>
            <w:r w:rsidRPr="00761800">
              <w:rPr>
                <w:rFonts w:ascii="Times New Roman" w:hAnsi="Times New Roman"/>
                <w:color w:val="000000"/>
                <w:sz w:val="22"/>
                <w:szCs w:val="22"/>
                <w:lang w:eastAsia="bg-BG"/>
              </w:rPr>
              <w:t xml:space="preserve"> (1) Приема бюджета на Комисията за защита на личните данни за 2026 г., както следва:</w:t>
            </w:r>
          </w:p>
        </w:tc>
      </w:tr>
      <w:tr w:rsidR="00761800" w:rsidRPr="00761800" w14:paraId="3F38DD3B"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68DBA3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62CC07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2DE181A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7F3DCC6"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38C054B"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2DB3AE18"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612A89C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9A79A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169771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60A7B0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B1FAFC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28B431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DEC2E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28C982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5A97F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357,9</w:t>
            </w:r>
          </w:p>
        </w:tc>
      </w:tr>
      <w:tr w:rsidR="00761800" w:rsidRPr="00761800" w14:paraId="6A7AE15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39A44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0548FA0"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16A3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357,9</w:t>
            </w:r>
          </w:p>
        </w:tc>
      </w:tr>
      <w:tr w:rsidR="00761800" w:rsidRPr="00761800" w14:paraId="031A5B7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723FE2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0ADB054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F6725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357,9</w:t>
            </w:r>
          </w:p>
        </w:tc>
      </w:tr>
      <w:tr w:rsidR="00761800" w:rsidRPr="00761800" w14:paraId="3A6C03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5349C6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6E602A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A4B6B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3 346,0</w:t>
            </w:r>
          </w:p>
        </w:tc>
      </w:tr>
      <w:tr w:rsidR="00761800" w:rsidRPr="00761800" w14:paraId="1912DD9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CDFAD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0C130B18"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19D42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3 346,0</w:t>
            </w:r>
          </w:p>
        </w:tc>
      </w:tr>
      <w:tr w:rsidR="00761800" w:rsidRPr="00761800" w14:paraId="7FA57EF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3CB59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B390C7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69FE8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59D17C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B046E8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410C55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26FC9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2 979,5</w:t>
            </w:r>
          </w:p>
        </w:tc>
      </w:tr>
      <w:tr w:rsidR="00761800" w:rsidRPr="00761800" w14:paraId="3E8628F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6A645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2.     </w:t>
            </w:r>
          </w:p>
        </w:tc>
        <w:tc>
          <w:tcPr>
            <w:tcW w:w="11062" w:type="dxa"/>
            <w:tcBorders>
              <w:top w:val="nil"/>
              <w:left w:val="nil"/>
              <w:bottom w:val="single" w:sz="4" w:space="0" w:color="auto"/>
              <w:right w:val="nil"/>
            </w:tcBorders>
            <w:shd w:val="clear" w:color="auto" w:fill="auto"/>
            <w:noWrap/>
            <w:vAlign w:val="bottom"/>
            <w:hideMark/>
          </w:tcPr>
          <w:p w14:paraId="03D268C8"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A0A77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F02A1F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BDEF7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73C2482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7F579B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A2D75C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30D056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25953D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728A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2 988,1</w:t>
            </w:r>
          </w:p>
        </w:tc>
      </w:tr>
      <w:tr w:rsidR="00761800" w:rsidRPr="00761800" w14:paraId="0B67E84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D0B97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70BFE549"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CCC0E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2 988,1</w:t>
            </w:r>
          </w:p>
        </w:tc>
      </w:tr>
      <w:tr w:rsidR="00761800" w:rsidRPr="00761800" w14:paraId="569C8A0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C4713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3DBD83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6743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43ADAF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E683F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105CE9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8855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E2FFB3C" w14:textId="77777777" w:rsidTr="00406B4D">
        <w:trPr>
          <w:trHeight w:val="70"/>
        </w:trPr>
        <w:tc>
          <w:tcPr>
            <w:tcW w:w="1013" w:type="dxa"/>
            <w:tcBorders>
              <w:top w:val="nil"/>
              <w:left w:val="nil"/>
              <w:bottom w:val="nil"/>
              <w:right w:val="nil"/>
            </w:tcBorders>
            <w:shd w:val="clear" w:color="auto" w:fill="auto"/>
            <w:noWrap/>
            <w:vAlign w:val="bottom"/>
            <w:hideMark/>
          </w:tcPr>
          <w:p w14:paraId="00EE9BA9"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5CD64DC7"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2472ABA7" w14:textId="77777777" w:rsidR="00761800" w:rsidRPr="00761800" w:rsidRDefault="00761800" w:rsidP="00761800">
            <w:pPr>
              <w:rPr>
                <w:rFonts w:ascii="Times New Roman" w:hAnsi="Times New Roman"/>
                <w:sz w:val="20"/>
                <w:lang w:eastAsia="bg-BG"/>
              </w:rPr>
            </w:pPr>
          </w:p>
        </w:tc>
      </w:tr>
      <w:tr w:rsidR="00761800" w:rsidRPr="00761800" w14:paraId="5777902D"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71C617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4D07D323"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0E2ED9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CC141C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5D0612B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69CABCE"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03BC074"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4F52FAB5"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3D68C00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6F91AE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377EC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AA7B66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0DFEE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48EA02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D898C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40E1AA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„Защита на личните данни на физическите лица”</w:t>
            </w:r>
          </w:p>
        </w:tc>
        <w:tc>
          <w:tcPr>
            <w:tcW w:w="2178" w:type="dxa"/>
            <w:tcBorders>
              <w:top w:val="nil"/>
              <w:left w:val="single" w:sz="4" w:space="0" w:color="auto"/>
              <w:bottom w:val="nil"/>
              <w:right w:val="single" w:sz="4" w:space="0" w:color="auto"/>
            </w:tcBorders>
            <w:shd w:val="clear" w:color="auto" w:fill="auto"/>
            <w:noWrap/>
            <w:vAlign w:val="bottom"/>
            <w:hideMark/>
          </w:tcPr>
          <w:p w14:paraId="2C44C0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3 346,0</w:t>
            </w:r>
          </w:p>
        </w:tc>
      </w:tr>
      <w:tr w:rsidR="00761800" w:rsidRPr="00761800" w14:paraId="0836EBF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EA2A5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0A2B5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2CBC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3 346,0</w:t>
            </w:r>
          </w:p>
        </w:tc>
      </w:tr>
      <w:tr w:rsidR="00761800" w:rsidRPr="00761800" w14:paraId="725CBBB5" w14:textId="77777777" w:rsidTr="00406B4D">
        <w:trPr>
          <w:trHeight w:val="300"/>
        </w:trPr>
        <w:tc>
          <w:tcPr>
            <w:tcW w:w="1013" w:type="dxa"/>
            <w:tcBorders>
              <w:top w:val="nil"/>
              <w:left w:val="nil"/>
              <w:bottom w:val="nil"/>
              <w:right w:val="nil"/>
            </w:tcBorders>
            <w:shd w:val="clear" w:color="auto" w:fill="auto"/>
            <w:noWrap/>
            <w:vAlign w:val="bottom"/>
            <w:hideMark/>
          </w:tcPr>
          <w:p w14:paraId="3E07CAEF"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4C0108FE"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5EC2CDC4" w14:textId="77777777" w:rsidR="00761800" w:rsidRPr="00761800" w:rsidRDefault="00761800" w:rsidP="00761800">
            <w:pPr>
              <w:rPr>
                <w:rFonts w:ascii="Times New Roman" w:hAnsi="Times New Roman"/>
                <w:sz w:val="20"/>
                <w:lang w:eastAsia="bg-BG"/>
              </w:rPr>
            </w:pPr>
          </w:p>
        </w:tc>
      </w:tr>
      <w:tr w:rsidR="00761800" w:rsidRPr="00761800" w14:paraId="2EBED27B" w14:textId="77777777" w:rsidTr="00406B4D">
        <w:trPr>
          <w:trHeight w:val="612"/>
        </w:trPr>
        <w:tc>
          <w:tcPr>
            <w:tcW w:w="14253" w:type="dxa"/>
            <w:gridSpan w:val="3"/>
            <w:tcBorders>
              <w:top w:val="nil"/>
              <w:left w:val="nil"/>
              <w:bottom w:val="nil"/>
              <w:right w:val="nil"/>
            </w:tcBorders>
            <w:shd w:val="clear" w:color="auto" w:fill="auto"/>
            <w:hideMark/>
          </w:tcPr>
          <w:p w14:paraId="6A99F0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Комисията за защита на личните данни, както следва:</w:t>
            </w:r>
          </w:p>
        </w:tc>
      </w:tr>
      <w:tr w:rsidR="00761800" w:rsidRPr="00761800" w14:paraId="7756069C" w14:textId="77777777" w:rsidTr="00406B4D">
        <w:trPr>
          <w:trHeight w:val="349"/>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99D97D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DD7072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1D3AE45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AFA55B9"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A48934C"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0D479192"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0DA8420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8C1608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0B756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487D49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9F3CB0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62799A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DA1EF4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5865E3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D80A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428,8</w:t>
            </w:r>
          </w:p>
        </w:tc>
      </w:tr>
      <w:tr w:rsidR="00761800" w:rsidRPr="00761800" w14:paraId="6D5976F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83EBC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69CE13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1D116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358,8</w:t>
            </w:r>
          </w:p>
        </w:tc>
      </w:tr>
      <w:tr w:rsidR="00761800" w:rsidRPr="00761800" w14:paraId="2E865A38" w14:textId="77777777" w:rsidTr="00406B4D">
        <w:trPr>
          <w:trHeight w:val="300"/>
        </w:trPr>
        <w:tc>
          <w:tcPr>
            <w:tcW w:w="1013" w:type="dxa"/>
            <w:tcBorders>
              <w:top w:val="nil"/>
              <w:left w:val="nil"/>
              <w:bottom w:val="nil"/>
              <w:right w:val="nil"/>
            </w:tcBorders>
            <w:shd w:val="clear" w:color="auto" w:fill="auto"/>
            <w:vAlign w:val="bottom"/>
            <w:hideMark/>
          </w:tcPr>
          <w:p w14:paraId="1C3566E7"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47B973ED"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30A113EE" w14:textId="77777777" w:rsidR="00761800" w:rsidRPr="00761800" w:rsidRDefault="00761800" w:rsidP="00761800">
            <w:pPr>
              <w:rPr>
                <w:rFonts w:ascii="Times New Roman" w:hAnsi="Times New Roman"/>
                <w:sz w:val="20"/>
                <w:lang w:eastAsia="bg-BG"/>
              </w:rPr>
            </w:pPr>
          </w:p>
        </w:tc>
      </w:tr>
      <w:tr w:rsidR="00761800" w:rsidRPr="00761800" w14:paraId="73535642" w14:textId="77777777" w:rsidTr="00406B4D">
        <w:trPr>
          <w:trHeight w:val="300"/>
        </w:trPr>
        <w:tc>
          <w:tcPr>
            <w:tcW w:w="14253" w:type="dxa"/>
            <w:gridSpan w:val="3"/>
            <w:tcBorders>
              <w:top w:val="nil"/>
              <w:left w:val="nil"/>
              <w:bottom w:val="nil"/>
              <w:right w:val="nil"/>
            </w:tcBorders>
            <w:shd w:val="clear" w:color="auto" w:fill="auto"/>
            <w:vAlign w:val="bottom"/>
            <w:hideMark/>
          </w:tcPr>
          <w:p w14:paraId="733FD821"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31.</w:t>
            </w:r>
            <w:r w:rsidRPr="00761800">
              <w:rPr>
                <w:rFonts w:ascii="Times New Roman" w:hAnsi="Times New Roman"/>
                <w:color w:val="000000"/>
                <w:sz w:val="22"/>
                <w:szCs w:val="22"/>
                <w:lang w:eastAsia="bg-BG"/>
              </w:rPr>
              <w:t xml:space="preserve"> (1) Приема бюджета на Комисията за отнемане на незаконно придобитото имущество за 2026 г., както следва:</w:t>
            </w:r>
          </w:p>
        </w:tc>
      </w:tr>
      <w:tr w:rsidR="00761800" w:rsidRPr="00761800" w14:paraId="5C3AA9A4"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F210DF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220F36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15258A6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6C08C19"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518AE2D3"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582CA838"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443E57F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02B635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3CB62D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C9C929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hideMark/>
          </w:tcPr>
          <w:p w14:paraId="4DAFE68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780A21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B8EF7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46B787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9CA0D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20,5</w:t>
            </w:r>
          </w:p>
        </w:tc>
      </w:tr>
      <w:tr w:rsidR="00761800" w:rsidRPr="00761800" w14:paraId="0BED305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CD6B7F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45CBC14"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A7FE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20,5</w:t>
            </w:r>
          </w:p>
        </w:tc>
      </w:tr>
      <w:tr w:rsidR="00761800" w:rsidRPr="00761800" w14:paraId="184D1BA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56313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64F895E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F9C3F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20,5</w:t>
            </w:r>
          </w:p>
        </w:tc>
      </w:tr>
      <w:tr w:rsidR="00761800" w:rsidRPr="00761800" w14:paraId="3DA3ECE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129894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II.</w:t>
            </w:r>
          </w:p>
        </w:tc>
        <w:tc>
          <w:tcPr>
            <w:tcW w:w="11062" w:type="dxa"/>
            <w:tcBorders>
              <w:top w:val="nil"/>
              <w:left w:val="nil"/>
              <w:bottom w:val="single" w:sz="4" w:space="0" w:color="auto"/>
              <w:right w:val="nil"/>
            </w:tcBorders>
            <w:shd w:val="clear" w:color="auto" w:fill="auto"/>
            <w:noWrap/>
            <w:vAlign w:val="bottom"/>
            <w:hideMark/>
          </w:tcPr>
          <w:p w14:paraId="1183BB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5C6FB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7 865,8</w:t>
            </w:r>
          </w:p>
        </w:tc>
      </w:tr>
      <w:tr w:rsidR="00761800" w:rsidRPr="00761800" w14:paraId="2424140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4C32B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5E7392C3"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2D22D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7 821,8</w:t>
            </w:r>
          </w:p>
        </w:tc>
      </w:tr>
      <w:tr w:rsidR="00761800" w:rsidRPr="00761800" w14:paraId="5448923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721C5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593983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A4356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831A38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1E97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53ADDB8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FCBCA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6 746,1</w:t>
            </w:r>
          </w:p>
        </w:tc>
      </w:tr>
      <w:tr w:rsidR="00761800" w:rsidRPr="00761800" w14:paraId="1E908C9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35B2A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5B78E874"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87A80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44,0</w:t>
            </w:r>
          </w:p>
        </w:tc>
      </w:tr>
      <w:tr w:rsidR="00761800" w:rsidRPr="00761800" w14:paraId="2A88E13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A6DF9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580E9CF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43A84C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44,0</w:t>
            </w:r>
          </w:p>
        </w:tc>
      </w:tr>
      <w:tr w:rsidR="00761800" w:rsidRPr="00761800" w14:paraId="12B1458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035D3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0C0855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6D7DF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7 845,3</w:t>
            </w:r>
          </w:p>
        </w:tc>
      </w:tr>
      <w:tr w:rsidR="00761800" w:rsidRPr="00761800" w14:paraId="15426D0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5C499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2405321"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8C1FE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7 845,3</w:t>
            </w:r>
          </w:p>
        </w:tc>
      </w:tr>
      <w:tr w:rsidR="00761800" w:rsidRPr="00761800" w14:paraId="440D2D0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05D98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11B838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5EB9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99D2E7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886166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5B1731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C3CD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02A3FD3" w14:textId="77777777" w:rsidTr="00406B4D">
        <w:trPr>
          <w:trHeight w:val="300"/>
        </w:trPr>
        <w:tc>
          <w:tcPr>
            <w:tcW w:w="1013" w:type="dxa"/>
            <w:tcBorders>
              <w:top w:val="nil"/>
              <w:left w:val="nil"/>
              <w:bottom w:val="nil"/>
              <w:right w:val="nil"/>
            </w:tcBorders>
            <w:shd w:val="clear" w:color="auto" w:fill="auto"/>
            <w:noWrap/>
            <w:vAlign w:val="bottom"/>
            <w:hideMark/>
          </w:tcPr>
          <w:p w14:paraId="0E0BF8B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7C51B036"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64E2141B" w14:textId="77777777" w:rsidR="00761800" w:rsidRPr="00761800" w:rsidRDefault="00761800" w:rsidP="00761800">
            <w:pPr>
              <w:rPr>
                <w:rFonts w:ascii="Times New Roman" w:hAnsi="Times New Roman"/>
                <w:sz w:val="20"/>
                <w:lang w:eastAsia="bg-BG"/>
              </w:rPr>
            </w:pPr>
          </w:p>
        </w:tc>
      </w:tr>
      <w:tr w:rsidR="00761800" w:rsidRPr="00761800" w14:paraId="39F33DD9"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7FDF70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00507762"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39877F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B3DFE5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245231E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489D6FE8"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A009AA2"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7438FCE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494A75F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14743F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ADB00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EBF88A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A082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2BCEC98" w14:textId="77777777" w:rsidTr="00406B4D">
        <w:trPr>
          <w:trHeight w:val="187"/>
        </w:trPr>
        <w:tc>
          <w:tcPr>
            <w:tcW w:w="1013" w:type="dxa"/>
            <w:tcBorders>
              <w:top w:val="nil"/>
              <w:left w:val="single" w:sz="4" w:space="0" w:color="auto"/>
              <w:bottom w:val="single" w:sz="4" w:space="0" w:color="auto"/>
              <w:right w:val="single" w:sz="4" w:space="0" w:color="auto"/>
            </w:tcBorders>
            <w:shd w:val="clear" w:color="auto" w:fill="auto"/>
            <w:noWrap/>
            <w:hideMark/>
          </w:tcPr>
          <w:p w14:paraId="760824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317B17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„Предотвратяване на възможностите за незаконно придобиване на имущество“</w:t>
            </w:r>
          </w:p>
        </w:tc>
        <w:tc>
          <w:tcPr>
            <w:tcW w:w="2178" w:type="dxa"/>
            <w:tcBorders>
              <w:top w:val="nil"/>
              <w:left w:val="single" w:sz="4" w:space="0" w:color="auto"/>
              <w:bottom w:val="nil"/>
              <w:right w:val="single" w:sz="4" w:space="0" w:color="auto"/>
            </w:tcBorders>
            <w:shd w:val="clear" w:color="auto" w:fill="auto"/>
            <w:noWrap/>
            <w:vAlign w:val="bottom"/>
            <w:hideMark/>
          </w:tcPr>
          <w:p w14:paraId="5A5324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7 865,8</w:t>
            </w:r>
          </w:p>
        </w:tc>
      </w:tr>
      <w:tr w:rsidR="00761800" w:rsidRPr="00761800" w14:paraId="068612A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4CD62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63B51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ABD1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7 865,8</w:t>
            </w:r>
          </w:p>
        </w:tc>
      </w:tr>
      <w:tr w:rsidR="00761800" w:rsidRPr="00761800" w14:paraId="5D2A5F68" w14:textId="77777777" w:rsidTr="00406B4D">
        <w:trPr>
          <w:trHeight w:val="300"/>
        </w:trPr>
        <w:tc>
          <w:tcPr>
            <w:tcW w:w="1013" w:type="dxa"/>
            <w:tcBorders>
              <w:top w:val="nil"/>
              <w:left w:val="nil"/>
              <w:bottom w:val="nil"/>
              <w:right w:val="nil"/>
            </w:tcBorders>
            <w:shd w:val="clear" w:color="auto" w:fill="auto"/>
            <w:noWrap/>
            <w:vAlign w:val="bottom"/>
            <w:hideMark/>
          </w:tcPr>
          <w:p w14:paraId="60878609"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4A2DE587"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5DCB5936" w14:textId="77777777" w:rsidR="00761800" w:rsidRPr="00761800" w:rsidRDefault="00761800" w:rsidP="00761800">
            <w:pPr>
              <w:rPr>
                <w:rFonts w:ascii="Times New Roman" w:hAnsi="Times New Roman"/>
                <w:sz w:val="20"/>
                <w:lang w:eastAsia="bg-BG"/>
              </w:rPr>
            </w:pPr>
          </w:p>
        </w:tc>
      </w:tr>
      <w:tr w:rsidR="00761800" w:rsidRPr="00761800" w14:paraId="7DECFD53" w14:textId="77777777" w:rsidTr="00406B4D">
        <w:trPr>
          <w:trHeight w:val="449"/>
        </w:trPr>
        <w:tc>
          <w:tcPr>
            <w:tcW w:w="14253" w:type="dxa"/>
            <w:gridSpan w:val="3"/>
            <w:tcBorders>
              <w:top w:val="nil"/>
              <w:left w:val="nil"/>
              <w:bottom w:val="nil"/>
              <w:right w:val="nil"/>
            </w:tcBorders>
            <w:shd w:val="clear" w:color="auto" w:fill="auto"/>
            <w:hideMark/>
          </w:tcPr>
          <w:p w14:paraId="3D9AFD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Комисията за отнемане на незаконно придобитото имущество, както следва:</w:t>
            </w:r>
          </w:p>
        </w:tc>
      </w:tr>
      <w:tr w:rsidR="00761800" w:rsidRPr="00761800" w14:paraId="7D4056FE" w14:textId="77777777" w:rsidTr="00406B4D">
        <w:trPr>
          <w:trHeight w:val="349"/>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7BF576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2890D2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6ECB030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6C5811F"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8564FAD"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123B6E00"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0CF7BAC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E4BD27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1F73C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4D539D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318178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60495A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D6D8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363F97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0A145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2 164,0</w:t>
            </w:r>
          </w:p>
        </w:tc>
      </w:tr>
      <w:tr w:rsidR="00761800" w:rsidRPr="00761800" w14:paraId="0B6E223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8EEDB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7E7AB0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3DCDF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1 047,6</w:t>
            </w:r>
          </w:p>
        </w:tc>
      </w:tr>
      <w:tr w:rsidR="00761800" w:rsidRPr="00761800" w14:paraId="60E87C05" w14:textId="77777777" w:rsidTr="00406B4D">
        <w:trPr>
          <w:trHeight w:val="300"/>
        </w:trPr>
        <w:tc>
          <w:tcPr>
            <w:tcW w:w="1013" w:type="dxa"/>
            <w:tcBorders>
              <w:top w:val="nil"/>
              <w:left w:val="nil"/>
              <w:bottom w:val="nil"/>
              <w:right w:val="nil"/>
            </w:tcBorders>
            <w:shd w:val="clear" w:color="auto" w:fill="auto"/>
            <w:vAlign w:val="bottom"/>
            <w:hideMark/>
          </w:tcPr>
          <w:p w14:paraId="1B23BB7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44DBF7D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45BF8F47" w14:textId="77777777" w:rsidR="00761800" w:rsidRPr="00761800" w:rsidRDefault="00761800" w:rsidP="00761800">
            <w:pPr>
              <w:rPr>
                <w:rFonts w:ascii="Times New Roman" w:hAnsi="Times New Roman"/>
                <w:sz w:val="20"/>
                <w:lang w:eastAsia="bg-BG"/>
              </w:rPr>
            </w:pPr>
          </w:p>
        </w:tc>
      </w:tr>
      <w:tr w:rsidR="00761800" w:rsidRPr="00761800" w14:paraId="34297573" w14:textId="77777777" w:rsidTr="00406B4D">
        <w:trPr>
          <w:trHeight w:val="300"/>
        </w:trPr>
        <w:tc>
          <w:tcPr>
            <w:tcW w:w="14253" w:type="dxa"/>
            <w:gridSpan w:val="3"/>
            <w:tcBorders>
              <w:top w:val="nil"/>
              <w:left w:val="nil"/>
              <w:bottom w:val="nil"/>
              <w:right w:val="nil"/>
            </w:tcBorders>
            <w:shd w:val="clear" w:color="auto" w:fill="auto"/>
            <w:vAlign w:val="bottom"/>
            <w:hideMark/>
          </w:tcPr>
          <w:p w14:paraId="51EAB4DD"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32.</w:t>
            </w:r>
            <w:r w:rsidRPr="00761800">
              <w:rPr>
                <w:rFonts w:ascii="Times New Roman" w:hAnsi="Times New Roman"/>
                <w:color w:val="000000"/>
                <w:sz w:val="22"/>
                <w:szCs w:val="22"/>
                <w:lang w:eastAsia="bg-BG"/>
              </w:rPr>
              <w:t xml:space="preserve"> (1) Приема бюджета на Националната служба за охрана за 2026 г., както следва:</w:t>
            </w:r>
          </w:p>
        </w:tc>
      </w:tr>
      <w:tr w:rsidR="00761800" w:rsidRPr="00761800" w14:paraId="2E85BF8B"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58B9D9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829510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7416ECC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6DC6C6B"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5C121515"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CBF9B7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1DBB55E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4D4E99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138205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lastRenderedPageBreak/>
              <w:t> </w:t>
            </w:r>
          </w:p>
        </w:tc>
        <w:tc>
          <w:tcPr>
            <w:tcW w:w="11062" w:type="dxa"/>
            <w:tcBorders>
              <w:top w:val="nil"/>
              <w:left w:val="nil"/>
              <w:bottom w:val="single" w:sz="4" w:space="0" w:color="auto"/>
              <w:right w:val="nil"/>
            </w:tcBorders>
            <w:shd w:val="clear" w:color="auto" w:fill="auto"/>
            <w:noWrap/>
            <w:vAlign w:val="bottom"/>
            <w:hideMark/>
          </w:tcPr>
          <w:p w14:paraId="213E3AF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B68215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FF6590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7131D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43618B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253F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180,0</w:t>
            </w:r>
          </w:p>
        </w:tc>
      </w:tr>
      <w:tr w:rsidR="00761800" w:rsidRPr="00761800" w14:paraId="72EFA65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8C313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EC37BE3"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C74AB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180,0</w:t>
            </w:r>
          </w:p>
        </w:tc>
      </w:tr>
      <w:tr w:rsidR="00761800" w:rsidRPr="00761800" w14:paraId="70A34D0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ECE6E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007670A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ACC74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180,0</w:t>
            </w:r>
          </w:p>
        </w:tc>
      </w:tr>
      <w:tr w:rsidR="00761800" w:rsidRPr="00761800" w14:paraId="01C8BEF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CE29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570ADF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1CAA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48 891,0</w:t>
            </w:r>
          </w:p>
        </w:tc>
      </w:tr>
      <w:tr w:rsidR="00761800" w:rsidRPr="00761800" w14:paraId="3D78E92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D52E3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3FE88A1A"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06DD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48 032,7</w:t>
            </w:r>
          </w:p>
        </w:tc>
      </w:tr>
      <w:tr w:rsidR="00761800" w:rsidRPr="00761800" w14:paraId="56E102D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2946C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3014EF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43F2E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FA4773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136C0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7C71C92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43E93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45 079,5</w:t>
            </w:r>
          </w:p>
        </w:tc>
      </w:tr>
      <w:tr w:rsidR="00761800" w:rsidRPr="00761800" w14:paraId="55E3DE3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7F29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0061C1B5"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150DA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858,3</w:t>
            </w:r>
          </w:p>
        </w:tc>
      </w:tr>
      <w:tr w:rsidR="00761800" w:rsidRPr="00761800" w14:paraId="5766D46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1D111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6CAB01B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776E23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858,3</w:t>
            </w:r>
          </w:p>
        </w:tc>
      </w:tr>
      <w:tr w:rsidR="00761800" w:rsidRPr="00761800" w14:paraId="5EB36E7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EEF88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665848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D789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48 711,0</w:t>
            </w:r>
          </w:p>
        </w:tc>
      </w:tr>
      <w:tr w:rsidR="00761800" w:rsidRPr="00761800" w14:paraId="27E7DCF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4A23B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7EDDF101"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73AE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48 711,0</w:t>
            </w:r>
          </w:p>
        </w:tc>
      </w:tr>
      <w:tr w:rsidR="00761800" w:rsidRPr="00761800" w14:paraId="1DF72E8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515DA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327340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A774DF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809E51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EC118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40E46B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5EF4A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C1ABCE6" w14:textId="77777777" w:rsidTr="00406B4D">
        <w:trPr>
          <w:trHeight w:val="300"/>
        </w:trPr>
        <w:tc>
          <w:tcPr>
            <w:tcW w:w="1013" w:type="dxa"/>
            <w:tcBorders>
              <w:top w:val="nil"/>
              <w:left w:val="nil"/>
              <w:bottom w:val="nil"/>
              <w:right w:val="nil"/>
            </w:tcBorders>
            <w:shd w:val="clear" w:color="auto" w:fill="auto"/>
            <w:noWrap/>
            <w:vAlign w:val="bottom"/>
            <w:hideMark/>
          </w:tcPr>
          <w:p w14:paraId="4EA6A654"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A47D1D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6049D91B" w14:textId="77777777" w:rsidR="00761800" w:rsidRPr="00761800" w:rsidRDefault="00761800" w:rsidP="00761800">
            <w:pPr>
              <w:rPr>
                <w:rFonts w:ascii="Times New Roman" w:hAnsi="Times New Roman"/>
                <w:sz w:val="20"/>
                <w:lang w:eastAsia="bg-BG"/>
              </w:rPr>
            </w:pPr>
          </w:p>
        </w:tc>
      </w:tr>
      <w:tr w:rsidR="00761800" w:rsidRPr="00761800" w14:paraId="7647F6FF"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78CD80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p w14:paraId="7EB80FED" w14:textId="77777777" w:rsidR="00761800" w:rsidRPr="00761800" w:rsidRDefault="00761800" w:rsidP="00761800">
            <w:pPr>
              <w:rPr>
                <w:rFonts w:ascii="Times New Roman" w:hAnsi="Times New Roman"/>
                <w:sz w:val="22"/>
                <w:szCs w:val="22"/>
                <w:lang w:eastAsia="bg-BG"/>
              </w:rPr>
            </w:pPr>
          </w:p>
        </w:tc>
      </w:tr>
      <w:tr w:rsidR="00761800" w:rsidRPr="00761800" w14:paraId="44C48C2E"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1DB973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045C9B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3058410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B6C19E3"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3428F3C"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B7DD86C"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55E4891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E9B0D5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D29ED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C95F27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82F91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14FF55D"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6D5AE98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53BD47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„Осигуряване безопасността на охраняваните лица и обекти и предоставяне на специализиран транспорт“</w:t>
            </w:r>
          </w:p>
        </w:tc>
        <w:tc>
          <w:tcPr>
            <w:tcW w:w="2178" w:type="dxa"/>
            <w:tcBorders>
              <w:top w:val="nil"/>
              <w:left w:val="single" w:sz="4" w:space="0" w:color="auto"/>
              <w:bottom w:val="nil"/>
              <w:right w:val="single" w:sz="4" w:space="0" w:color="auto"/>
            </w:tcBorders>
            <w:shd w:val="clear" w:color="auto" w:fill="auto"/>
            <w:noWrap/>
            <w:vAlign w:val="bottom"/>
            <w:hideMark/>
          </w:tcPr>
          <w:p w14:paraId="1F7CC9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48 891,0</w:t>
            </w:r>
          </w:p>
        </w:tc>
      </w:tr>
      <w:tr w:rsidR="00761800" w:rsidRPr="00761800" w14:paraId="754EAA3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384BC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63C06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CD2D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48 891,0</w:t>
            </w:r>
          </w:p>
        </w:tc>
      </w:tr>
      <w:tr w:rsidR="00761800" w:rsidRPr="00761800" w14:paraId="07003F09" w14:textId="77777777" w:rsidTr="00406B4D">
        <w:trPr>
          <w:trHeight w:val="300"/>
        </w:trPr>
        <w:tc>
          <w:tcPr>
            <w:tcW w:w="1013" w:type="dxa"/>
            <w:tcBorders>
              <w:top w:val="nil"/>
              <w:left w:val="nil"/>
              <w:bottom w:val="nil"/>
              <w:right w:val="nil"/>
            </w:tcBorders>
            <w:shd w:val="clear" w:color="auto" w:fill="auto"/>
            <w:noWrap/>
            <w:vAlign w:val="bottom"/>
            <w:hideMark/>
          </w:tcPr>
          <w:p w14:paraId="65E44336"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0F362FC"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14291466" w14:textId="77777777" w:rsidR="00761800" w:rsidRPr="00761800" w:rsidRDefault="00761800" w:rsidP="00761800">
            <w:pPr>
              <w:rPr>
                <w:rFonts w:ascii="Times New Roman" w:hAnsi="Times New Roman"/>
                <w:sz w:val="20"/>
                <w:lang w:eastAsia="bg-BG"/>
              </w:rPr>
            </w:pPr>
          </w:p>
        </w:tc>
      </w:tr>
      <w:tr w:rsidR="00761800" w:rsidRPr="00761800" w14:paraId="365C95FE" w14:textId="77777777" w:rsidTr="00406B4D">
        <w:trPr>
          <w:trHeight w:val="612"/>
        </w:trPr>
        <w:tc>
          <w:tcPr>
            <w:tcW w:w="14253" w:type="dxa"/>
            <w:gridSpan w:val="3"/>
            <w:tcBorders>
              <w:top w:val="nil"/>
              <w:left w:val="nil"/>
              <w:bottom w:val="nil"/>
              <w:right w:val="nil"/>
            </w:tcBorders>
            <w:shd w:val="clear" w:color="auto" w:fill="auto"/>
            <w:hideMark/>
          </w:tcPr>
          <w:p w14:paraId="2F7F01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Националната служба за охрана, както следва:</w:t>
            </w:r>
          </w:p>
        </w:tc>
      </w:tr>
      <w:tr w:rsidR="00761800" w:rsidRPr="00761800" w14:paraId="0A7EBBA2" w14:textId="77777777" w:rsidTr="00406B4D">
        <w:trPr>
          <w:trHeight w:val="372"/>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8F2F86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C30F97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3DDE0BF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47CA164"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AF0FDB5"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4A41EA0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5DBB461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4A5422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C486C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17CBE6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9A11B6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A55F1D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2E745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1.</w:t>
            </w:r>
          </w:p>
        </w:tc>
        <w:tc>
          <w:tcPr>
            <w:tcW w:w="11062" w:type="dxa"/>
            <w:tcBorders>
              <w:top w:val="nil"/>
              <w:left w:val="nil"/>
              <w:bottom w:val="single" w:sz="4" w:space="0" w:color="auto"/>
              <w:right w:val="nil"/>
            </w:tcBorders>
            <w:shd w:val="clear" w:color="auto" w:fill="auto"/>
            <w:noWrap/>
            <w:vAlign w:val="bottom"/>
            <w:hideMark/>
          </w:tcPr>
          <w:p w14:paraId="5D5C8B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26366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3 552,8</w:t>
            </w:r>
          </w:p>
        </w:tc>
      </w:tr>
      <w:tr w:rsidR="00761800" w:rsidRPr="00761800" w14:paraId="0468E8D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E2BFA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08419D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83500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3 552,8</w:t>
            </w:r>
          </w:p>
        </w:tc>
      </w:tr>
      <w:tr w:rsidR="00761800" w:rsidRPr="00761800" w14:paraId="68B7C922" w14:textId="77777777" w:rsidTr="00406B4D">
        <w:trPr>
          <w:trHeight w:val="300"/>
        </w:trPr>
        <w:tc>
          <w:tcPr>
            <w:tcW w:w="1013" w:type="dxa"/>
            <w:tcBorders>
              <w:top w:val="nil"/>
              <w:left w:val="nil"/>
              <w:bottom w:val="nil"/>
              <w:right w:val="nil"/>
            </w:tcBorders>
            <w:shd w:val="clear" w:color="auto" w:fill="auto"/>
            <w:vAlign w:val="bottom"/>
            <w:hideMark/>
          </w:tcPr>
          <w:p w14:paraId="47B82ADC"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7F5115B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64BAAE26" w14:textId="77777777" w:rsidR="00761800" w:rsidRPr="00761800" w:rsidRDefault="00761800" w:rsidP="00761800">
            <w:pPr>
              <w:rPr>
                <w:rFonts w:ascii="Times New Roman" w:hAnsi="Times New Roman"/>
                <w:sz w:val="20"/>
                <w:lang w:eastAsia="bg-BG"/>
              </w:rPr>
            </w:pPr>
          </w:p>
        </w:tc>
      </w:tr>
      <w:tr w:rsidR="00761800" w:rsidRPr="00761800" w14:paraId="7EAEC57D" w14:textId="77777777" w:rsidTr="00406B4D">
        <w:trPr>
          <w:trHeight w:val="300"/>
        </w:trPr>
        <w:tc>
          <w:tcPr>
            <w:tcW w:w="14253" w:type="dxa"/>
            <w:gridSpan w:val="3"/>
            <w:tcBorders>
              <w:top w:val="nil"/>
              <w:left w:val="nil"/>
              <w:bottom w:val="nil"/>
              <w:right w:val="nil"/>
            </w:tcBorders>
            <w:shd w:val="clear" w:color="auto" w:fill="auto"/>
            <w:vAlign w:val="bottom"/>
            <w:hideMark/>
          </w:tcPr>
          <w:p w14:paraId="6DAC1BAE"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33.</w:t>
            </w:r>
            <w:r w:rsidRPr="00761800">
              <w:rPr>
                <w:rFonts w:ascii="Times New Roman" w:hAnsi="Times New Roman"/>
                <w:color w:val="000000"/>
                <w:sz w:val="22"/>
                <w:szCs w:val="22"/>
                <w:lang w:eastAsia="bg-BG"/>
              </w:rPr>
              <w:t xml:space="preserve"> (1) Приема бюджета на Държавната агенция „Разузнаване“ за 2026 г., както следва:</w:t>
            </w:r>
          </w:p>
        </w:tc>
      </w:tr>
      <w:tr w:rsidR="00761800" w:rsidRPr="00761800" w14:paraId="4F81CAE6"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DB402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39CA4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7B10D32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4348D87B"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151AEE6"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75AF831F"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694626B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A745FA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CA5CCE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FB1F10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877E40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40CC6B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D8735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672EB89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66D8E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0ABE23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93005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7249B0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06D1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35 889,5</w:t>
            </w:r>
          </w:p>
        </w:tc>
      </w:tr>
      <w:tr w:rsidR="00761800" w:rsidRPr="00761800" w14:paraId="3873C1D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D1247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113B9284"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57083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35 647,5</w:t>
            </w:r>
          </w:p>
        </w:tc>
      </w:tr>
      <w:tr w:rsidR="00761800" w:rsidRPr="00761800" w14:paraId="054BBB2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BE12EF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18D3F1AF"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5EB77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242,0</w:t>
            </w:r>
          </w:p>
        </w:tc>
      </w:tr>
      <w:tr w:rsidR="00761800" w:rsidRPr="00761800" w14:paraId="610BD3A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58AC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75D02E5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4E8F0D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242,0</w:t>
            </w:r>
          </w:p>
        </w:tc>
      </w:tr>
      <w:tr w:rsidR="00761800" w:rsidRPr="00761800" w14:paraId="3E5CC62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DC37D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6FB409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8CDE8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35 889,5</w:t>
            </w:r>
          </w:p>
        </w:tc>
      </w:tr>
      <w:tr w:rsidR="00761800" w:rsidRPr="00761800" w14:paraId="35A6924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82B59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21F1DCE"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EC70F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35 889,5</w:t>
            </w:r>
          </w:p>
        </w:tc>
      </w:tr>
      <w:tr w:rsidR="00761800" w:rsidRPr="00761800" w14:paraId="511F9E3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247611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1763EC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F6A03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ADF2AF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04A0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5D9EB0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BDAFB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FB3FC52" w14:textId="77777777" w:rsidTr="00406B4D">
        <w:trPr>
          <w:trHeight w:val="300"/>
        </w:trPr>
        <w:tc>
          <w:tcPr>
            <w:tcW w:w="1013" w:type="dxa"/>
            <w:tcBorders>
              <w:top w:val="nil"/>
              <w:left w:val="nil"/>
              <w:bottom w:val="nil"/>
              <w:right w:val="nil"/>
            </w:tcBorders>
            <w:shd w:val="clear" w:color="auto" w:fill="auto"/>
            <w:noWrap/>
            <w:vAlign w:val="bottom"/>
            <w:hideMark/>
          </w:tcPr>
          <w:p w14:paraId="2E7F6958"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8F9303B"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3ABC2A6A" w14:textId="77777777" w:rsidR="00761800" w:rsidRPr="00761800" w:rsidRDefault="00761800" w:rsidP="00761800">
            <w:pPr>
              <w:rPr>
                <w:rFonts w:ascii="Times New Roman" w:hAnsi="Times New Roman"/>
                <w:sz w:val="20"/>
                <w:lang w:eastAsia="bg-BG"/>
              </w:rPr>
            </w:pPr>
          </w:p>
        </w:tc>
      </w:tr>
      <w:tr w:rsidR="00761800" w:rsidRPr="00761800" w14:paraId="3CE8CAB5" w14:textId="77777777" w:rsidTr="00406B4D">
        <w:trPr>
          <w:trHeight w:val="300"/>
        </w:trPr>
        <w:tc>
          <w:tcPr>
            <w:tcW w:w="14253" w:type="dxa"/>
            <w:gridSpan w:val="3"/>
            <w:tcBorders>
              <w:top w:val="nil"/>
              <w:left w:val="nil"/>
              <w:bottom w:val="nil"/>
              <w:right w:val="nil"/>
            </w:tcBorders>
            <w:shd w:val="clear" w:color="auto" w:fill="auto"/>
            <w:hideMark/>
          </w:tcPr>
          <w:p w14:paraId="16E3D1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581BEAC4"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9B545D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460D6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single" w:sz="4" w:space="0" w:color="auto"/>
              <w:left w:val="nil"/>
              <w:bottom w:val="nil"/>
              <w:right w:val="single" w:sz="4" w:space="0" w:color="auto"/>
            </w:tcBorders>
            <w:shd w:val="clear" w:color="auto" w:fill="auto"/>
            <w:noWrap/>
            <w:vAlign w:val="bottom"/>
            <w:hideMark/>
          </w:tcPr>
          <w:p w14:paraId="7C7CBAE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FEB5594"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20A44EF"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1F035599"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5DF7A11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7DB150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23EFC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56531E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38B09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9827141" w14:textId="77777777" w:rsidTr="00406B4D">
        <w:trPr>
          <w:trHeight w:val="612"/>
        </w:trPr>
        <w:tc>
          <w:tcPr>
            <w:tcW w:w="1013" w:type="dxa"/>
            <w:tcBorders>
              <w:top w:val="nil"/>
              <w:left w:val="single" w:sz="4" w:space="0" w:color="auto"/>
              <w:bottom w:val="single" w:sz="4" w:space="0" w:color="auto"/>
              <w:right w:val="single" w:sz="4" w:space="0" w:color="auto"/>
            </w:tcBorders>
            <w:shd w:val="clear" w:color="auto" w:fill="auto"/>
            <w:noWrap/>
            <w:hideMark/>
          </w:tcPr>
          <w:p w14:paraId="0AC374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074BF39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CD49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35 889,5</w:t>
            </w:r>
          </w:p>
        </w:tc>
      </w:tr>
      <w:tr w:rsidR="00761800" w:rsidRPr="00761800" w14:paraId="302B0B7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C3FB9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3C5231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CDFC8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35 889,5</w:t>
            </w:r>
          </w:p>
        </w:tc>
      </w:tr>
      <w:tr w:rsidR="00761800" w:rsidRPr="00761800" w14:paraId="52520CD3" w14:textId="77777777" w:rsidTr="00406B4D">
        <w:trPr>
          <w:trHeight w:val="300"/>
        </w:trPr>
        <w:tc>
          <w:tcPr>
            <w:tcW w:w="1013" w:type="dxa"/>
            <w:tcBorders>
              <w:top w:val="nil"/>
              <w:left w:val="nil"/>
              <w:bottom w:val="nil"/>
              <w:right w:val="nil"/>
            </w:tcBorders>
            <w:shd w:val="clear" w:color="auto" w:fill="auto"/>
            <w:noWrap/>
            <w:vAlign w:val="bottom"/>
            <w:hideMark/>
          </w:tcPr>
          <w:p w14:paraId="7E632A31"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D569DD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3EF18397" w14:textId="77777777" w:rsidR="00761800" w:rsidRPr="00761800" w:rsidRDefault="00761800" w:rsidP="00761800">
            <w:pPr>
              <w:rPr>
                <w:rFonts w:ascii="Times New Roman" w:hAnsi="Times New Roman"/>
                <w:sz w:val="20"/>
                <w:lang w:eastAsia="bg-BG"/>
              </w:rPr>
            </w:pPr>
          </w:p>
        </w:tc>
      </w:tr>
      <w:tr w:rsidR="00761800" w:rsidRPr="00761800" w14:paraId="3D41F8BD" w14:textId="77777777" w:rsidTr="00406B4D">
        <w:trPr>
          <w:trHeight w:val="612"/>
        </w:trPr>
        <w:tc>
          <w:tcPr>
            <w:tcW w:w="14253" w:type="dxa"/>
            <w:gridSpan w:val="3"/>
            <w:tcBorders>
              <w:top w:val="nil"/>
              <w:left w:val="nil"/>
              <w:bottom w:val="nil"/>
              <w:right w:val="nil"/>
            </w:tcBorders>
            <w:shd w:val="clear" w:color="auto" w:fill="auto"/>
            <w:hideMark/>
          </w:tcPr>
          <w:p w14:paraId="30C2D3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Държавната агенция „Разузнаване“, както следва:</w:t>
            </w:r>
          </w:p>
        </w:tc>
      </w:tr>
      <w:tr w:rsidR="00761800" w:rsidRPr="00761800" w14:paraId="2D6C98AA"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6F046E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ADCB00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2F5A11E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95FC0D0"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A2986E1"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628266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2D560DE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61149C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974D5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w:t>
            </w:r>
          </w:p>
        </w:tc>
        <w:tc>
          <w:tcPr>
            <w:tcW w:w="11062" w:type="dxa"/>
            <w:tcBorders>
              <w:top w:val="nil"/>
              <w:left w:val="nil"/>
              <w:bottom w:val="single" w:sz="4" w:space="0" w:color="auto"/>
              <w:right w:val="nil"/>
            </w:tcBorders>
            <w:shd w:val="clear" w:color="auto" w:fill="auto"/>
            <w:noWrap/>
            <w:vAlign w:val="bottom"/>
            <w:hideMark/>
          </w:tcPr>
          <w:p w14:paraId="222A168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3AFB07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FFA087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0491A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2F8604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364E0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8 213,0</w:t>
            </w:r>
          </w:p>
        </w:tc>
      </w:tr>
      <w:tr w:rsidR="00761800" w:rsidRPr="00761800" w14:paraId="0BA378D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62405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2EE601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8CA15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8 380,0</w:t>
            </w:r>
          </w:p>
        </w:tc>
      </w:tr>
      <w:tr w:rsidR="00761800" w:rsidRPr="00761800" w14:paraId="7A6D67EB" w14:textId="77777777" w:rsidTr="00406B4D">
        <w:trPr>
          <w:trHeight w:val="300"/>
        </w:trPr>
        <w:tc>
          <w:tcPr>
            <w:tcW w:w="1013" w:type="dxa"/>
            <w:tcBorders>
              <w:top w:val="nil"/>
              <w:left w:val="nil"/>
              <w:bottom w:val="nil"/>
              <w:right w:val="nil"/>
            </w:tcBorders>
            <w:shd w:val="clear" w:color="auto" w:fill="auto"/>
            <w:vAlign w:val="bottom"/>
            <w:hideMark/>
          </w:tcPr>
          <w:p w14:paraId="195EBB73"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6249F63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4A780BE7" w14:textId="77777777" w:rsidR="00761800" w:rsidRPr="00761800" w:rsidRDefault="00761800" w:rsidP="00761800">
            <w:pPr>
              <w:rPr>
                <w:rFonts w:ascii="Times New Roman" w:hAnsi="Times New Roman"/>
                <w:sz w:val="20"/>
                <w:lang w:eastAsia="bg-BG"/>
              </w:rPr>
            </w:pPr>
          </w:p>
        </w:tc>
      </w:tr>
      <w:tr w:rsidR="00761800" w:rsidRPr="00761800" w14:paraId="60BC1ED7" w14:textId="77777777" w:rsidTr="00406B4D">
        <w:trPr>
          <w:trHeight w:val="300"/>
        </w:trPr>
        <w:tc>
          <w:tcPr>
            <w:tcW w:w="14253" w:type="dxa"/>
            <w:gridSpan w:val="3"/>
            <w:tcBorders>
              <w:top w:val="nil"/>
              <w:left w:val="nil"/>
              <w:bottom w:val="nil"/>
              <w:right w:val="nil"/>
            </w:tcBorders>
            <w:shd w:val="clear" w:color="auto" w:fill="auto"/>
            <w:vAlign w:val="bottom"/>
            <w:hideMark/>
          </w:tcPr>
          <w:p w14:paraId="52389BC1"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34.</w:t>
            </w:r>
            <w:r w:rsidRPr="00761800">
              <w:rPr>
                <w:rFonts w:ascii="Times New Roman" w:hAnsi="Times New Roman"/>
                <w:color w:val="000000"/>
                <w:sz w:val="22"/>
                <w:szCs w:val="22"/>
                <w:lang w:eastAsia="bg-BG"/>
              </w:rPr>
              <w:t xml:space="preserve"> (1) Приема бюджета на Националния статистически институт за 2026 г., както следва:</w:t>
            </w:r>
          </w:p>
        </w:tc>
      </w:tr>
      <w:tr w:rsidR="00761800" w:rsidRPr="00761800" w14:paraId="29BEA29C"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BF8153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753BE0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12AD9F2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ABC4F31"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11710A8C"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8AE687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15EA5B4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AE6726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536DE9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50563B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ACFA47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A96A7D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5BECF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2432E5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F9D8F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485,7</w:t>
            </w:r>
          </w:p>
        </w:tc>
      </w:tr>
      <w:tr w:rsidR="00761800" w:rsidRPr="00761800" w14:paraId="4B2E50A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0B2DA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86F54FC"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21C1A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485,7</w:t>
            </w:r>
          </w:p>
        </w:tc>
      </w:tr>
      <w:tr w:rsidR="00761800" w:rsidRPr="00761800" w14:paraId="410F435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AD962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0AF17A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82C28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485,7</w:t>
            </w:r>
          </w:p>
        </w:tc>
      </w:tr>
      <w:tr w:rsidR="00761800" w:rsidRPr="00761800" w14:paraId="27552D4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197EC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3C5AA5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C92D0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23 427,2</w:t>
            </w:r>
          </w:p>
        </w:tc>
      </w:tr>
      <w:tr w:rsidR="00761800" w:rsidRPr="00761800" w14:paraId="12A71CD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9B66C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36630E2B"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1234F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21 317,4</w:t>
            </w:r>
          </w:p>
        </w:tc>
      </w:tr>
      <w:tr w:rsidR="00761800" w:rsidRPr="00761800" w14:paraId="7A3897E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00A16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E2081D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21C2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5541A2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827C7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59191EC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3BE44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18 646,9</w:t>
            </w:r>
          </w:p>
        </w:tc>
      </w:tr>
      <w:tr w:rsidR="00761800" w:rsidRPr="00761800" w14:paraId="66F9308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67B72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68F5C3FE"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76CE0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2 109,8</w:t>
            </w:r>
          </w:p>
        </w:tc>
      </w:tr>
      <w:tr w:rsidR="00761800" w:rsidRPr="00761800" w14:paraId="4A8AA1B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0C68D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5C2B2EE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7FB47F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2 109,8</w:t>
            </w:r>
          </w:p>
        </w:tc>
      </w:tr>
      <w:tr w:rsidR="00761800" w:rsidRPr="00761800" w14:paraId="24C90CC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6BC1C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17F5BB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91E26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22 941,5</w:t>
            </w:r>
          </w:p>
        </w:tc>
      </w:tr>
      <w:tr w:rsidR="00761800" w:rsidRPr="00761800" w14:paraId="5AEA6FF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FFCC3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EEE8E31"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D1C7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23 339,9</w:t>
            </w:r>
          </w:p>
        </w:tc>
      </w:tr>
      <w:tr w:rsidR="00761800" w:rsidRPr="00761800" w14:paraId="64787D6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ED7346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w:t>
            </w:r>
          </w:p>
        </w:tc>
        <w:tc>
          <w:tcPr>
            <w:tcW w:w="11062" w:type="dxa"/>
            <w:tcBorders>
              <w:top w:val="nil"/>
              <w:left w:val="nil"/>
              <w:bottom w:val="single" w:sz="4" w:space="0" w:color="auto"/>
              <w:right w:val="nil"/>
            </w:tcBorders>
            <w:shd w:val="clear" w:color="auto" w:fill="auto"/>
            <w:noWrap/>
            <w:vAlign w:val="bottom"/>
            <w:hideMark/>
          </w:tcPr>
          <w:p w14:paraId="5102E235"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Трансфери между бюджети и сметки за средствата от Европейския съюз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6ACF6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-398,4</w:t>
            </w:r>
          </w:p>
        </w:tc>
      </w:tr>
      <w:tr w:rsidR="00761800" w:rsidRPr="00761800" w14:paraId="2544AEA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6F1B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nil"/>
            </w:tcBorders>
            <w:shd w:val="clear" w:color="auto" w:fill="auto"/>
            <w:noWrap/>
            <w:vAlign w:val="bottom"/>
            <w:hideMark/>
          </w:tcPr>
          <w:p w14:paraId="2A7EE3DB"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0F800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-398,4</w:t>
            </w:r>
          </w:p>
        </w:tc>
      </w:tr>
      <w:tr w:rsidR="00761800" w:rsidRPr="00761800" w14:paraId="70B59F6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6ED8D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726B3C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70688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B1D9DB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2B1DE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7CC0464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75461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E9DABB6" w14:textId="77777777" w:rsidTr="00406B4D">
        <w:trPr>
          <w:trHeight w:val="300"/>
        </w:trPr>
        <w:tc>
          <w:tcPr>
            <w:tcW w:w="1013" w:type="dxa"/>
            <w:tcBorders>
              <w:top w:val="nil"/>
              <w:left w:val="nil"/>
              <w:bottom w:val="nil"/>
              <w:right w:val="nil"/>
            </w:tcBorders>
            <w:shd w:val="clear" w:color="auto" w:fill="auto"/>
            <w:noWrap/>
            <w:vAlign w:val="bottom"/>
            <w:hideMark/>
          </w:tcPr>
          <w:p w14:paraId="3A38B17A"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BFD651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331D1AE6" w14:textId="77777777" w:rsidR="00761800" w:rsidRPr="00761800" w:rsidRDefault="00761800" w:rsidP="00761800">
            <w:pPr>
              <w:rPr>
                <w:rFonts w:ascii="Times New Roman" w:hAnsi="Times New Roman"/>
                <w:sz w:val="20"/>
                <w:lang w:eastAsia="bg-BG"/>
              </w:rPr>
            </w:pPr>
          </w:p>
        </w:tc>
      </w:tr>
      <w:tr w:rsidR="00761800" w:rsidRPr="00761800" w14:paraId="5B64D2E0"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01D174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158BA77A"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5FAB43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DE1895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105E87C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A03AB56"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9A4A00E"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2B9CFD6C"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40B2E4E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268051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9D0D8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BFCAA4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1D844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4C6DCB0"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2B9701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1.</w:t>
            </w:r>
          </w:p>
        </w:tc>
        <w:tc>
          <w:tcPr>
            <w:tcW w:w="11062" w:type="dxa"/>
            <w:tcBorders>
              <w:top w:val="nil"/>
              <w:left w:val="nil"/>
              <w:bottom w:val="single" w:sz="4" w:space="0" w:color="auto"/>
              <w:right w:val="nil"/>
            </w:tcBorders>
            <w:shd w:val="clear" w:color="auto" w:fill="auto"/>
            <w:hideMark/>
          </w:tcPr>
          <w:p w14:paraId="5B10C3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„Безпристрастна, обективна, навременна и точна информация за състоянието на Република България“</w:t>
            </w:r>
          </w:p>
        </w:tc>
        <w:tc>
          <w:tcPr>
            <w:tcW w:w="2178" w:type="dxa"/>
            <w:tcBorders>
              <w:top w:val="nil"/>
              <w:left w:val="single" w:sz="4" w:space="0" w:color="auto"/>
              <w:bottom w:val="nil"/>
              <w:right w:val="single" w:sz="4" w:space="0" w:color="auto"/>
            </w:tcBorders>
            <w:shd w:val="clear" w:color="auto" w:fill="auto"/>
            <w:noWrap/>
            <w:vAlign w:val="bottom"/>
            <w:hideMark/>
          </w:tcPr>
          <w:p w14:paraId="2D1EE1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23 427,2</w:t>
            </w:r>
          </w:p>
        </w:tc>
      </w:tr>
      <w:tr w:rsidR="00761800" w:rsidRPr="00761800" w14:paraId="213B941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C0D1B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DDCA71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0238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23 427,2</w:t>
            </w:r>
          </w:p>
        </w:tc>
      </w:tr>
      <w:tr w:rsidR="00761800" w:rsidRPr="00761800" w14:paraId="3B9A1E7F" w14:textId="77777777" w:rsidTr="00406B4D">
        <w:trPr>
          <w:trHeight w:val="300"/>
        </w:trPr>
        <w:tc>
          <w:tcPr>
            <w:tcW w:w="1013" w:type="dxa"/>
            <w:tcBorders>
              <w:top w:val="nil"/>
              <w:left w:val="nil"/>
              <w:bottom w:val="nil"/>
              <w:right w:val="nil"/>
            </w:tcBorders>
            <w:shd w:val="clear" w:color="auto" w:fill="auto"/>
            <w:noWrap/>
            <w:vAlign w:val="bottom"/>
            <w:hideMark/>
          </w:tcPr>
          <w:p w14:paraId="05AD6F82"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99B7B5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CD7530F" w14:textId="77777777" w:rsidR="00761800" w:rsidRPr="00761800" w:rsidRDefault="00761800" w:rsidP="00761800">
            <w:pPr>
              <w:rPr>
                <w:rFonts w:ascii="Times New Roman" w:hAnsi="Times New Roman"/>
                <w:sz w:val="20"/>
                <w:lang w:eastAsia="bg-BG"/>
              </w:rPr>
            </w:pPr>
          </w:p>
        </w:tc>
      </w:tr>
      <w:tr w:rsidR="00761800" w:rsidRPr="00761800" w14:paraId="26911C4A" w14:textId="77777777" w:rsidTr="00406B4D">
        <w:trPr>
          <w:trHeight w:val="612"/>
        </w:trPr>
        <w:tc>
          <w:tcPr>
            <w:tcW w:w="14253" w:type="dxa"/>
            <w:gridSpan w:val="3"/>
            <w:tcBorders>
              <w:top w:val="nil"/>
              <w:left w:val="nil"/>
              <w:bottom w:val="nil"/>
              <w:right w:val="nil"/>
            </w:tcBorders>
            <w:shd w:val="clear" w:color="auto" w:fill="auto"/>
            <w:hideMark/>
          </w:tcPr>
          <w:p w14:paraId="2290C2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Националния статистически институт, както следва:</w:t>
            </w:r>
          </w:p>
        </w:tc>
      </w:tr>
      <w:tr w:rsidR="00761800" w:rsidRPr="00761800" w14:paraId="5B02E9D0"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7F7019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0525B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4283F2B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C68197E"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19D0A529"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745CCC2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27106E6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F7B8B1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0A6D9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BFF78C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2CA21B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5F78F5F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194806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090F06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06861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4 668,6</w:t>
            </w:r>
          </w:p>
        </w:tc>
      </w:tr>
      <w:tr w:rsidR="00761800" w:rsidRPr="00761800" w14:paraId="2A38382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E80F6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747ADF7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8DC65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4 668,6</w:t>
            </w:r>
          </w:p>
        </w:tc>
      </w:tr>
      <w:tr w:rsidR="00761800" w:rsidRPr="00761800" w14:paraId="564898AE" w14:textId="77777777" w:rsidTr="00406B4D">
        <w:trPr>
          <w:trHeight w:val="300"/>
        </w:trPr>
        <w:tc>
          <w:tcPr>
            <w:tcW w:w="1013" w:type="dxa"/>
            <w:tcBorders>
              <w:top w:val="nil"/>
              <w:left w:val="nil"/>
              <w:bottom w:val="nil"/>
              <w:right w:val="nil"/>
            </w:tcBorders>
            <w:shd w:val="clear" w:color="auto" w:fill="auto"/>
            <w:vAlign w:val="bottom"/>
            <w:hideMark/>
          </w:tcPr>
          <w:p w14:paraId="49CF6CB0"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3589761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7583A472" w14:textId="77777777" w:rsidR="00761800" w:rsidRPr="00761800" w:rsidRDefault="00761800" w:rsidP="00761800">
            <w:pPr>
              <w:rPr>
                <w:rFonts w:ascii="Times New Roman" w:hAnsi="Times New Roman"/>
                <w:sz w:val="20"/>
                <w:lang w:eastAsia="bg-BG"/>
              </w:rPr>
            </w:pPr>
          </w:p>
        </w:tc>
      </w:tr>
      <w:tr w:rsidR="00761800" w:rsidRPr="00761800" w14:paraId="02D6C483" w14:textId="77777777" w:rsidTr="00406B4D">
        <w:trPr>
          <w:trHeight w:val="300"/>
        </w:trPr>
        <w:tc>
          <w:tcPr>
            <w:tcW w:w="14253" w:type="dxa"/>
            <w:gridSpan w:val="3"/>
            <w:tcBorders>
              <w:top w:val="nil"/>
              <w:left w:val="nil"/>
              <w:bottom w:val="nil"/>
              <w:right w:val="nil"/>
            </w:tcBorders>
            <w:shd w:val="clear" w:color="auto" w:fill="auto"/>
            <w:vAlign w:val="bottom"/>
            <w:hideMark/>
          </w:tcPr>
          <w:p w14:paraId="3A164160"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35.</w:t>
            </w:r>
            <w:r w:rsidRPr="00761800">
              <w:rPr>
                <w:rFonts w:ascii="Times New Roman" w:hAnsi="Times New Roman"/>
                <w:color w:val="000000"/>
                <w:sz w:val="22"/>
                <w:szCs w:val="22"/>
                <w:lang w:eastAsia="bg-BG"/>
              </w:rPr>
              <w:t xml:space="preserve"> (1) Приема бюджета на Комисията за защита на конкуренцията за 2026 г., както следва:</w:t>
            </w:r>
          </w:p>
        </w:tc>
      </w:tr>
      <w:tr w:rsidR="00761800" w:rsidRPr="00761800" w14:paraId="4D58B4F5"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43D97C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9F3898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1EEEE1C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0E232E0"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5F230C25"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5E95CBEB"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33BCE67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1F4D1F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0C6BEC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392890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79FA11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15E40D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828CB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401F38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8D07D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3 681,3</w:t>
            </w:r>
          </w:p>
        </w:tc>
      </w:tr>
      <w:tr w:rsidR="00761800" w:rsidRPr="00761800" w14:paraId="7F8F02A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7EA8C1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C0D1E3A"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E4D89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3 681,3</w:t>
            </w:r>
          </w:p>
        </w:tc>
      </w:tr>
      <w:tr w:rsidR="00761800" w:rsidRPr="00761800" w14:paraId="103D2AA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C66699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6FEE598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5ED00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2 147,4</w:t>
            </w:r>
          </w:p>
        </w:tc>
      </w:tr>
      <w:tr w:rsidR="00761800" w:rsidRPr="00761800" w14:paraId="61896E6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59920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2E8783E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DC4D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1 533,9</w:t>
            </w:r>
          </w:p>
        </w:tc>
      </w:tr>
      <w:tr w:rsidR="00761800" w:rsidRPr="00761800" w14:paraId="558AAB8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5DEC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5E380E4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78933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4 725,7</w:t>
            </w:r>
          </w:p>
        </w:tc>
      </w:tr>
      <w:tr w:rsidR="00761800" w:rsidRPr="00761800" w14:paraId="41C5545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E3C3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13D93E79"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3E51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4 641,8</w:t>
            </w:r>
          </w:p>
        </w:tc>
      </w:tr>
      <w:tr w:rsidR="00761800" w:rsidRPr="00761800" w14:paraId="2127194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A40DCA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55EC19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F35E1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5D899E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40291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21906AD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5EA4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4 019,3</w:t>
            </w:r>
          </w:p>
        </w:tc>
      </w:tr>
      <w:tr w:rsidR="00761800" w:rsidRPr="00761800" w14:paraId="164E5B1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19565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4B5CE749"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621B5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83,9</w:t>
            </w:r>
          </w:p>
        </w:tc>
      </w:tr>
      <w:tr w:rsidR="00761800" w:rsidRPr="00761800" w14:paraId="6F7A828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7082D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6FBC280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20581D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83,9</w:t>
            </w:r>
          </w:p>
        </w:tc>
      </w:tr>
      <w:tr w:rsidR="00761800" w:rsidRPr="00761800" w14:paraId="3E42918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9ED5F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326F43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178B1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1 044,4</w:t>
            </w:r>
          </w:p>
        </w:tc>
      </w:tr>
      <w:tr w:rsidR="00761800" w:rsidRPr="00761800" w14:paraId="2E87B14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AD6AD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8B7F6F3"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4899E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1 044,4</w:t>
            </w:r>
          </w:p>
        </w:tc>
      </w:tr>
      <w:tr w:rsidR="00761800" w:rsidRPr="00761800" w14:paraId="3D737BA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6A97A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4EBE8B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EFFFC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751650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25B35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V.</w:t>
            </w:r>
          </w:p>
        </w:tc>
        <w:tc>
          <w:tcPr>
            <w:tcW w:w="11062" w:type="dxa"/>
            <w:tcBorders>
              <w:top w:val="nil"/>
              <w:left w:val="nil"/>
              <w:bottom w:val="single" w:sz="4" w:space="0" w:color="auto"/>
              <w:right w:val="nil"/>
            </w:tcBorders>
            <w:shd w:val="clear" w:color="auto" w:fill="auto"/>
            <w:noWrap/>
            <w:vAlign w:val="bottom"/>
            <w:hideMark/>
          </w:tcPr>
          <w:p w14:paraId="50185B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17F2F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A02C9A8" w14:textId="77777777" w:rsidTr="00406B4D">
        <w:trPr>
          <w:trHeight w:val="300"/>
        </w:trPr>
        <w:tc>
          <w:tcPr>
            <w:tcW w:w="1013" w:type="dxa"/>
            <w:tcBorders>
              <w:top w:val="nil"/>
              <w:left w:val="nil"/>
              <w:bottom w:val="nil"/>
              <w:right w:val="nil"/>
            </w:tcBorders>
            <w:shd w:val="clear" w:color="auto" w:fill="auto"/>
            <w:noWrap/>
            <w:vAlign w:val="bottom"/>
            <w:hideMark/>
          </w:tcPr>
          <w:p w14:paraId="289CDD90"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4EC9D01"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244FF1FA" w14:textId="77777777" w:rsidR="00761800" w:rsidRPr="00761800" w:rsidRDefault="00761800" w:rsidP="00761800">
            <w:pPr>
              <w:rPr>
                <w:rFonts w:ascii="Times New Roman" w:hAnsi="Times New Roman"/>
                <w:sz w:val="20"/>
                <w:lang w:eastAsia="bg-BG"/>
              </w:rPr>
            </w:pPr>
          </w:p>
        </w:tc>
      </w:tr>
      <w:tr w:rsidR="00761800" w:rsidRPr="00761800" w14:paraId="1A60EAC3"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47FEF0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105C9483"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31AF1C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BB9A52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6C017E7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F9A6BEB"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ABA28F3"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2C1D76E"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4172790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36BAE7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22AF6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54B0DE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616BA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5F9FD12"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65122D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055EFE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„Защита на конкуренцията и контрол на законосъобразността при процедурите по възлагане на обществени поръчки и предоставяне на концесии“</w:t>
            </w:r>
          </w:p>
        </w:tc>
        <w:tc>
          <w:tcPr>
            <w:tcW w:w="2178" w:type="dxa"/>
            <w:tcBorders>
              <w:top w:val="nil"/>
              <w:left w:val="single" w:sz="4" w:space="0" w:color="auto"/>
              <w:bottom w:val="nil"/>
              <w:right w:val="single" w:sz="4" w:space="0" w:color="auto"/>
            </w:tcBorders>
            <w:shd w:val="clear" w:color="auto" w:fill="auto"/>
            <w:noWrap/>
            <w:vAlign w:val="bottom"/>
            <w:hideMark/>
          </w:tcPr>
          <w:p w14:paraId="28606B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4 725,7</w:t>
            </w:r>
          </w:p>
        </w:tc>
      </w:tr>
      <w:tr w:rsidR="00761800" w:rsidRPr="00761800" w14:paraId="0636211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26E64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015F8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F9AB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4 725,7</w:t>
            </w:r>
          </w:p>
        </w:tc>
      </w:tr>
      <w:tr w:rsidR="00761800" w:rsidRPr="00761800" w14:paraId="1F016E97" w14:textId="77777777" w:rsidTr="00406B4D">
        <w:trPr>
          <w:trHeight w:val="300"/>
        </w:trPr>
        <w:tc>
          <w:tcPr>
            <w:tcW w:w="1013" w:type="dxa"/>
            <w:tcBorders>
              <w:top w:val="nil"/>
              <w:left w:val="nil"/>
              <w:bottom w:val="nil"/>
              <w:right w:val="nil"/>
            </w:tcBorders>
            <w:shd w:val="clear" w:color="auto" w:fill="auto"/>
            <w:noWrap/>
            <w:vAlign w:val="bottom"/>
            <w:hideMark/>
          </w:tcPr>
          <w:p w14:paraId="659FB73B"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B4550C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6D382C1E" w14:textId="77777777" w:rsidR="00761800" w:rsidRPr="00761800" w:rsidRDefault="00761800" w:rsidP="00761800">
            <w:pPr>
              <w:rPr>
                <w:rFonts w:ascii="Times New Roman" w:hAnsi="Times New Roman"/>
                <w:sz w:val="20"/>
                <w:lang w:eastAsia="bg-BG"/>
              </w:rPr>
            </w:pPr>
          </w:p>
        </w:tc>
      </w:tr>
      <w:tr w:rsidR="00761800" w:rsidRPr="00761800" w14:paraId="3057528C" w14:textId="77777777" w:rsidTr="00406B4D">
        <w:trPr>
          <w:trHeight w:val="459"/>
        </w:trPr>
        <w:tc>
          <w:tcPr>
            <w:tcW w:w="14253" w:type="dxa"/>
            <w:gridSpan w:val="3"/>
            <w:tcBorders>
              <w:top w:val="nil"/>
              <w:left w:val="nil"/>
              <w:bottom w:val="single" w:sz="4" w:space="0" w:color="auto"/>
              <w:right w:val="nil"/>
            </w:tcBorders>
            <w:shd w:val="clear" w:color="auto" w:fill="auto"/>
            <w:hideMark/>
          </w:tcPr>
          <w:p w14:paraId="14FC5B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Комисията за защита на конкуренцията, както следва:</w:t>
            </w:r>
          </w:p>
        </w:tc>
      </w:tr>
      <w:tr w:rsidR="00761800" w:rsidRPr="00761800" w14:paraId="48F5D3FD"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06A14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64C64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center"/>
            <w:hideMark/>
          </w:tcPr>
          <w:p w14:paraId="33185EB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709667A"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9D27E62"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3B47378A"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362A7CF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92F290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EAD20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2B6423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5181D7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66745B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14516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5271B8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FD26B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1 150,0</w:t>
            </w:r>
          </w:p>
        </w:tc>
      </w:tr>
      <w:tr w:rsidR="00761800" w:rsidRPr="00761800" w14:paraId="4F141BE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2E959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7D256C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B3C8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693,4</w:t>
            </w:r>
          </w:p>
        </w:tc>
      </w:tr>
      <w:tr w:rsidR="00761800" w:rsidRPr="00761800" w14:paraId="7601ABC7" w14:textId="77777777" w:rsidTr="00406B4D">
        <w:trPr>
          <w:trHeight w:val="56"/>
        </w:trPr>
        <w:tc>
          <w:tcPr>
            <w:tcW w:w="1013" w:type="dxa"/>
            <w:tcBorders>
              <w:top w:val="nil"/>
              <w:left w:val="nil"/>
              <w:bottom w:val="nil"/>
              <w:right w:val="nil"/>
            </w:tcBorders>
            <w:shd w:val="clear" w:color="auto" w:fill="auto"/>
            <w:noWrap/>
            <w:vAlign w:val="bottom"/>
            <w:hideMark/>
          </w:tcPr>
          <w:p w14:paraId="517E47ED"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749A29FC"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59498F0C" w14:textId="77777777" w:rsidR="00761800" w:rsidRPr="00761800" w:rsidRDefault="00761800" w:rsidP="00761800">
            <w:pPr>
              <w:rPr>
                <w:rFonts w:ascii="Times New Roman" w:hAnsi="Times New Roman"/>
                <w:sz w:val="20"/>
                <w:lang w:eastAsia="bg-BG"/>
              </w:rPr>
            </w:pPr>
          </w:p>
        </w:tc>
      </w:tr>
      <w:tr w:rsidR="00761800" w:rsidRPr="00761800" w14:paraId="4B7411F3" w14:textId="77777777" w:rsidTr="00406B4D">
        <w:trPr>
          <w:trHeight w:val="792"/>
        </w:trPr>
        <w:tc>
          <w:tcPr>
            <w:tcW w:w="14253" w:type="dxa"/>
            <w:gridSpan w:val="3"/>
            <w:tcBorders>
              <w:top w:val="nil"/>
              <w:left w:val="nil"/>
              <w:bottom w:val="nil"/>
              <w:right w:val="nil"/>
            </w:tcBorders>
            <w:shd w:val="clear" w:color="auto" w:fill="auto"/>
            <w:hideMark/>
          </w:tcPr>
          <w:p w14:paraId="3927EB21"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t>(4) В разходите по ал. 1 са включени средства за персонал за увеличаване на щатната численост на Комисията за защита на конкуренцията с до 15 щатни бройки за обезпечаване на изпълнението на функциите, възложени със Закона за защита на конкуренцията. Разпоредбите на § 16, ал. 1 и 2 от Преходните и заключителните разпоредби към Закона за изменение и допълнение на Закона за администрацията не се прилагат при увеличението на числеността на персонала на Комисията за защита на конкуренцията.</w:t>
            </w:r>
          </w:p>
        </w:tc>
      </w:tr>
      <w:tr w:rsidR="00761800" w:rsidRPr="00761800" w14:paraId="034F4346" w14:textId="77777777" w:rsidTr="00406B4D">
        <w:trPr>
          <w:trHeight w:val="300"/>
        </w:trPr>
        <w:tc>
          <w:tcPr>
            <w:tcW w:w="1013" w:type="dxa"/>
            <w:tcBorders>
              <w:top w:val="nil"/>
              <w:left w:val="nil"/>
              <w:bottom w:val="nil"/>
              <w:right w:val="nil"/>
            </w:tcBorders>
            <w:shd w:val="clear" w:color="auto" w:fill="auto"/>
            <w:vAlign w:val="bottom"/>
            <w:hideMark/>
          </w:tcPr>
          <w:p w14:paraId="3EE183A0"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6C835DA0"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06ABAE6D" w14:textId="77777777" w:rsidR="00761800" w:rsidRPr="00761800" w:rsidRDefault="00761800" w:rsidP="00761800">
            <w:pPr>
              <w:rPr>
                <w:rFonts w:ascii="Times New Roman" w:hAnsi="Times New Roman"/>
                <w:sz w:val="20"/>
                <w:lang w:eastAsia="bg-BG"/>
              </w:rPr>
            </w:pPr>
          </w:p>
        </w:tc>
      </w:tr>
      <w:tr w:rsidR="00761800" w:rsidRPr="00761800" w14:paraId="7E3243AB" w14:textId="77777777" w:rsidTr="00406B4D">
        <w:trPr>
          <w:trHeight w:val="300"/>
        </w:trPr>
        <w:tc>
          <w:tcPr>
            <w:tcW w:w="14253" w:type="dxa"/>
            <w:gridSpan w:val="3"/>
            <w:tcBorders>
              <w:top w:val="nil"/>
              <w:left w:val="nil"/>
              <w:bottom w:val="nil"/>
              <w:right w:val="nil"/>
            </w:tcBorders>
            <w:shd w:val="clear" w:color="auto" w:fill="auto"/>
            <w:vAlign w:val="bottom"/>
            <w:hideMark/>
          </w:tcPr>
          <w:p w14:paraId="12D48656"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36.</w:t>
            </w:r>
            <w:r w:rsidRPr="00761800">
              <w:rPr>
                <w:rFonts w:ascii="Times New Roman" w:hAnsi="Times New Roman"/>
                <w:color w:val="000000"/>
                <w:sz w:val="22"/>
                <w:szCs w:val="22"/>
                <w:lang w:eastAsia="bg-BG"/>
              </w:rPr>
              <w:t xml:space="preserve"> (1) Приема бюджета на Комисията за регулиране на съобщенията за 2026 г., както следва:</w:t>
            </w:r>
          </w:p>
        </w:tc>
      </w:tr>
      <w:tr w:rsidR="00761800" w:rsidRPr="00761800" w14:paraId="1A0341E5"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95AF15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0E9073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66C7CCA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B67CA86"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A03A125"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4849CFB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52B1D5E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6327AF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7D134B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FE05FF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DCE80D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F4FF2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9A470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047B15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0FFC5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27 999,7</w:t>
            </w:r>
          </w:p>
        </w:tc>
      </w:tr>
      <w:tr w:rsidR="00761800" w:rsidRPr="00761800" w14:paraId="368D8D1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927C0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5166F0E"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8AF42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27 999,7</w:t>
            </w:r>
          </w:p>
        </w:tc>
      </w:tr>
      <w:tr w:rsidR="00761800" w:rsidRPr="00761800" w14:paraId="677FCEF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F6B28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7CF6674A"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3E5872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27 974,2</w:t>
            </w:r>
          </w:p>
        </w:tc>
      </w:tr>
      <w:tr w:rsidR="00761800" w:rsidRPr="00761800" w14:paraId="171C286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D32EE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1.2.</w:t>
            </w:r>
          </w:p>
        </w:tc>
        <w:tc>
          <w:tcPr>
            <w:tcW w:w="11062" w:type="dxa"/>
            <w:tcBorders>
              <w:top w:val="nil"/>
              <w:left w:val="nil"/>
              <w:bottom w:val="single" w:sz="4" w:space="0" w:color="auto"/>
              <w:right w:val="nil"/>
            </w:tcBorders>
            <w:shd w:val="clear" w:color="auto" w:fill="auto"/>
            <w:noWrap/>
            <w:vAlign w:val="bottom"/>
            <w:hideMark/>
          </w:tcPr>
          <w:p w14:paraId="15F7ADB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9CFE1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w:t>
            </w:r>
          </w:p>
        </w:tc>
      </w:tr>
      <w:tr w:rsidR="00761800" w:rsidRPr="00761800" w14:paraId="569D1F8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E45E9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4B27522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E86DB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12 400,3</w:t>
            </w:r>
          </w:p>
        </w:tc>
      </w:tr>
      <w:tr w:rsidR="00761800" w:rsidRPr="00761800" w14:paraId="7B2D265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4CFF8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1986D51D"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4AA7A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9 278,5</w:t>
            </w:r>
          </w:p>
        </w:tc>
      </w:tr>
      <w:tr w:rsidR="00761800" w:rsidRPr="00761800" w14:paraId="1F1536A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E2539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519698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AF188A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64DB9B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BDD99F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F68DD5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50044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7 177,6</w:t>
            </w:r>
          </w:p>
        </w:tc>
      </w:tr>
      <w:tr w:rsidR="00761800" w:rsidRPr="00761800" w14:paraId="34BEDE7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ED9F9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2B416ACA"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AA8B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3 121,8</w:t>
            </w:r>
          </w:p>
        </w:tc>
      </w:tr>
      <w:tr w:rsidR="00761800" w:rsidRPr="00761800" w14:paraId="27D210A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96A81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25E3FF8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36CE6A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3 121,8</w:t>
            </w:r>
          </w:p>
        </w:tc>
      </w:tr>
      <w:tr w:rsidR="00761800" w:rsidRPr="00761800" w14:paraId="11F1A91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0D4AA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399D21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C0DA1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-15 599,4</w:t>
            </w:r>
          </w:p>
        </w:tc>
      </w:tr>
      <w:tr w:rsidR="00761800" w:rsidRPr="00761800" w14:paraId="56D17DD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EEFBD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4E43E188"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с други бюджетни организации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D3008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-15 599,4</w:t>
            </w:r>
          </w:p>
        </w:tc>
      </w:tr>
      <w:tr w:rsidR="00761800" w:rsidRPr="00761800" w14:paraId="1F93109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DD5CD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E28D9D8" w14:textId="77777777" w:rsidR="00761800" w:rsidRPr="00761800" w:rsidRDefault="00761800" w:rsidP="00761800">
            <w:pPr>
              <w:rPr>
                <w:rFonts w:ascii="Times New Roman" w:hAnsi="Times New Roman"/>
                <w:i/>
                <w:iCs/>
                <w:sz w:val="22"/>
                <w:szCs w:val="22"/>
                <w:lang w:eastAsia="bg-BG"/>
              </w:rPr>
            </w:pPr>
            <w:r w:rsidRPr="00761800">
              <w:rPr>
                <w:rFonts w:ascii="Times New Roman" w:hAnsi="Times New Roman"/>
                <w:i/>
                <w:iCs/>
                <w:sz w:val="22"/>
                <w:szCs w:val="22"/>
                <w:lang w:eastAsia="bg-BG"/>
              </w:rPr>
              <w:t xml:space="preserve">        Предоставени трансфери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3A17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-15 599,4</w:t>
            </w:r>
          </w:p>
        </w:tc>
      </w:tr>
      <w:tr w:rsidR="00761800" w:rsidRPr="00761800" w14:paraId="638044F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EF18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5A92F0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22153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CA0920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AE319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054475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E6B7C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16DDB3F" w14:textId="77777777" w:rsidTr="00406B4D">
        <w:trPr>
          <w:trHeight w:val="300"/>
        </w:trPr>
        <w:tc>
          <w:tcPr>
            <w:tcW w:w="1013" w:type="dxa"/>
            <w:tcBorders>
              <w:top w:val="nil"/>
              <w:left w:val="nil"/>
              <w:bottom w:val="nil"/>
              <w:right w:val="nil"/>
            </w:tcBorders>
            <w:shd w:val="clear" w:color="auto" w:fill="auto"/>
            <w:noWrap/>
            <w:vAlign w:val="bottom"/>
            <w:hideMark/>
          </w:tcPr>
          <w:p w14:paraId="670FF009"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9787816"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4DA3D6A2" w14:textId="77777777" w:rsidR="00761800" w:rsidRPr="00761800" w:rsidRDefault="00761800" w:rsidP="00761800">
            <w:pPr>
              <w:rPr>
                <w:rFonts w:ascii="Times New Roman" w:hAnsi="Times New Roman"/>
                <w:sz w:val="20"/>
                <w:lang w:eastAsia="bg-BG"/>
              </w:rPr>
            </w:pPr>
          </w:p>
        </w:tc>
      </w:tr>
      <w:tr w:rsidR="00761800" w:rsidRPr="00761800" w14:paraId="7CE90BDF"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0E80C3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3144E435"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37973B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559A16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4A90D4E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81D2677"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AF39EDE"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2F228DC8"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5BA5F10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0D59B9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159532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AD9158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1AD12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7A845B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BF611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31FDDD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„Електронни съобщения и пощенски услуги“</w:t>
            </w:r>
          </w:p>
        </w:tc>
        <w:tc>
          <w:tcPr>
            <w:tcW w:w="2178" w:type="dxa"/>
            <w:tcBorders>
              <w:top w:val="nil"/>
              <w:left w:val="single" w:sz="4" w:space="0" w:color="auto"/>
              <w:bottom w:val="nil"/>
              <w:right w:val="single" w:sz="4" w:space="0" w:color="auto"/>
            </w:tcBorders>
            <w:shd w:val="clear" w:color="auto" w:fill="auto"/>
            <w:noWrap/>
            <w:vAlign w:val="bottom"/>
            <w:hideMark/>
          </w:tcPr>
          <w:p w14:paraId="733948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12 400,3</w:t>
            </w:r>
          </w:p>
        </w:tc>
      </w:tr>
      <w:tr w:rsidR="00761800" w:rsidRPr="00761800" w14:paraId="35DA19C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D883D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EB7A8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D0DD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12 400,3</w:t>
            </w:r>
          </w:p>
        </w:tc>
      </w:tr>
      <w:tr w:rsidR="00761800" w:rsidRPr="00761800" w14:paraId="686B2CC0" w14:textId="77777777" w:rsidTr="00406B4D">
        <w:trPr>
          <w:trHeight w:val="70"/>
        </w:trPr>
        <w:tc>
          <w:tcPr>
            <w:tcW w:w="1013" w:type="dxa"/>
            <w:tcBorders>
              <w:top w:val="nil"/>
              <w:left w:val="nil"/>
              <w:bottom w:val="nil"/>
              <w:right w:val="nil"/>
            </w:tcBorders>
            <w:shd w:val="clear" w:color="auto" w:fill="auto"/>
            <w:noWrap/>
            <w:vAlign w:val="bottom"/>
            <w:hideMark/>
          </w:tcPr>
          <w:p w14:paraId="0B1CB1E1"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6E0C77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58524D45" w14:textId="77777777" w:rsidR="00761800" w:rsidRPr="00761800" w:rsidRDefault="00761800" w:rsidP="00761800">
            <w:pPr>
              <w:rPr>
                <w:rFonts w:ascii="Times New Roman" w:hAnsi="Times New Roman"/>
                <w:sz w:val="20"/>
                <w:lang w:eastAsia="bg-BG"/>
              </w:rPr>
            </w:pPr>
          </w:p>
        </w:tc>
      </w:tr>
      <w:tr w:rsidR="00761800" w:rsidRPr="00761800" w14:paraId="1A7473E1" w14:textId="77777777" w:rsidTr="00406B4D">
        <w:trPr>
          <w:trHeight w:val="612"/>
        </w:trPr>
        <w:tc>
          <w:tcPr>
            <w:tcW w:w="14253" w:type="dxa"/>
            <w:gridSpan w:val="3"/>
            <w:tcBorders>
              <w:top w:val="nil"/>
              <w:left w:val="nil"/>
              <w:bottom w:val="nil"/>
              <w:right w:val="nil"/>
            </w:tcBorders>
            <w:shd w:val="clear" w:color="auto" w:fill="auto"/>
            <w:hideMark/>
          </w:tcPr>
          <w:p w14:paraId="72A0B6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Комисията за регулиране на съобщенията, както следва:</w:t>
            </w:r>
          </w:p>
        </w:tc>
      </w:tr>
      <w:tr w:rsidR="00761800" w:rsidRPr="00761800" w14:paraId="5E3F8170"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08E34E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A90B4F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4C7C791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5EE4DC2"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5558419"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7CB987D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749C943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2187FB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229CE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8D9CDE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6BE002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17C7EFB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0E8FF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45923D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65A0D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8 853,6</w:t>
            </w:r>
          </w:p>
        </w:tc>
      </w:tr>
      <w:tr w:rsidR="00761800" w:rsidRPr="00761800" w14:paraId="1AFDD51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C44DA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288462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9CF26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5 186,9</w:t>
            </w:r>
          </w:p>
        </w:tc>
      </w:tr>
      <w:tr w:rsidR="00761800" w:rsidRPr="00761800" w14:paraId="1BB672F6" w14:textId="77777777" w:rsidTr="00406B4D">
        <w:trPr>
          <w:trHeight w:val="300"/>
        </w:trPr>
        <w:tc>
          <w:tcPr>
            <w:tcW w:w="1013" w:type="dxa"/>
            <w:tcBorders>
              <w:top w:val="nil"/>
              <w:left w:val="nil"/>
              <w:bottom w:val="nil"/>
              <w:right w:val="nil"/>
            </w:tcBorders>
            <w:shd w:val="clear" w:color="auto" w:fill="auto"/>
            <w:vAlign w:val="bottom"/>
            <w:hideMark/>
          </w:tcPr>
          <w:p w14:paraId="16E45096"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4FF448A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69953245" w14:textId="77777777" w:rsidR="00761800" w:rsidRPr="00761800" w:rsidRDefault="00761800" w:rsidP="00761800">
            <w:pPr>
              <w:rPr>
                <w:rFonts w:ascii="Times New Roman" w:hAnsi="Times New Roman"/>
                <w:sz w:val="20"/>
                <w:lang w:eastAsia="bg-BG"/>
              </w:rPr>
            </w:pPr>
          </w:p>
        </w:tc>
      </w:tr>
      <w:tr w:rsidR="00761800" w:rsidRPr="00761800" w14:paraId="5A81FBEF" w14:textId="77777777" w:rsidTr="00406B4D">
        <w:trPr>
          <w:trHeight w:val="94"/>
        </w:trPr>
        <w:tc>
          <w:tcPr>
            <w:tcW w:w="14253" w:type="dxa"/>
            <w:gridSpan w:val="3"/>
            <w:tcBorders>
              <w:top w:val="nil"/>
              <w:left w:val="nil"/>
              <w:bottom w:val="nil"/>
              <w:right w:val="nil"/>
            </w:tcBorders>
            <w:shd w:val="clear" w:color="auto" w:fill="auto"/>
            <w:vAlign w:val="bottom"/>
            <w:hideMark/>
          </w:tcPr>
          <w:p w14:paraId="4164FE71"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37.</w:t>
            </w:r>
            <w:r w:rsidRPr="00761800">
              <w:rPr>
                <w:rFonts w:ascii="Times New Roman" w:hAnsi="Times New Roman"/>
                <w:color w:val="000000"/>
                <w:sz w:val="22"/>
                <w:szCs w:val="22"/>
                <w:lang w:eastAsia="bg-BG"/>
              </w:rPr>
              <w:t xml:space="preserve"> (1) Приема бюджета на Съвета за електронни медии за 2026 г., както следва:</w:t>
            </w:r>
          </w:p>
        </w:tc>
      </w:tr>
      <w:tr w:rsidR="00761800" w:rsidRPr="00761800" w14:paraId="7A0B5A8E"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7AAD33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lastRenderedPageBreak/>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F75EB8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69DA62C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F09121E"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09DEEA0"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5D83F79"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3407EC8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C04DBB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A08C90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E154AB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1DF3BC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C25492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16EE6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468B05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E4E47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613,6</w:t>
            </w:r>
          </w:p>
        </w:tc>
      </w:tr>
      <w:tr w:rsidR="00761800" w:rsidRPr="00761800" w14:paraId="4CA4C8A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D745A8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3C19C2D"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59127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613,6</w:t>
            </w:r>
          </w:p>
        </w:tc>
      </w:tr>
      <w:tr w:rsidR="00761800" w:rsidRPr="00761800" w14:paraId="0A8D3C4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8B21A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3AD12E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1BA13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613,6</w:t>
            </w:r>
          </w:p>
        </w:tc>
      </w:tr>
      <w:tr w:rsidR="00761800" w:rsidRPr="00761800" w14:paraId="660E863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4E35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3E74BF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E9C3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1 980,1</w:t>
            </w:r>
          </w:p>
        </w:tc>
      </w:tr>
      <w:tr w:rsidR="00761800" w:rsidRPr="00761800" w14:paraId="56EAE1F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64080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039018AF"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A0FB0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1 904,9</w:t>
            </w:r>
          </w:p>
        </w:tc>
      </w:tr>
      <w:tr w:rsidR="00761800" w:rsidRPr="00761800" w14:paraId="52CE820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BECC8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5DB9B4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4E07A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ADA735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75E4D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57D70CF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0182F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1 520,2</w:t>
            </w:r>
          </w:p>
        </w:tc>
      </w:tr>
      <w:tr w:rsidR="00761800" w:rsidRPr="00761800" w14:paraId="30D3099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9877B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3D89FAE5"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16AFF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75,2</w:t>
            </w:r>
          </w:p>
        </w:tc>
      </w:tr>
      <w:tr w:rsidR="00761800" w:rsidRPr="00761800" w14:paraId="3A587FC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B22F2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76CB02E9"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653B98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75,2</w:t>
            </w:r>
          </w:p>
        </w:tc>
      </w:tr>
      <w:tr w:rsidR="00761800" w:rsidRPr="00761800" w14:paraId="2C41C87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2B3A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455F047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3B8A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1 366,5</w:t>
            </w:r>
          </w:p>
        </w:tc>
      </w:tr>
      <w:tr w:rsidR="00761800" w:rsidRPr="00761800" w14:paraId="772B951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2B504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589F32D"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842D6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1 366,5</w:t>
            </w:r>
          </w:p>
        </w:tc>
      </w:tr>
      <w:tr w:rsidR="00761800" w:rsidRPr="00761800" w14:paraId="11BBED3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E043E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63D4C0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3DA1DF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527F81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187124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65D5A8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0AE2E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2D27880" w14:textId="77777777" w:rsidTr="00406B4D">
        <w:trPr>
          <w:trHeight w:val="300"/>
        </w:trPr>
        <w:tc>
          <w:tcPr>
            <w:tcW w:w="1013" w:type="dxa"/>
            <w:tcBorders>
              <w:top w:val="nil"/>
              <w:left w:val="nil"/>
              <w:bottom w:val="nil"/>
              <w:right w:val="nil"/>
            </w:tcBorders>
            <w:shd w:val="clear" w:color="auto" w:fill="auto"/>
            <w:noWrap/>
            <w:vAlign w:val="bottom"/>
            <w:hideMark/>
          </w:tcPr>
          <w:p w14:paraId="296468E3"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C18959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262FCCD9" w14:textId="77777777" w:rsidR="00761800" w:rsidRPr="00761800" w:rsidRDefault="00761800" w:rsidP="00761800">
            <w:pPr>
              <w:rPr>
                <w:rFonts w:ascii="Times New Roman" w:hAnsi="Times New Roman"/>
                <w:sz w:val="20"/>
                <w:lang w:eastAsia="bg-BG"/>
              </w:rPr>
            </w:pPr>
          </w:p>
        </w:tc>
      </w:tr>
      <w:tr w:rsidR="00761800" w:rsidRPr="00761800" w14:paraId="6601DB17"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2F658D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6014BE4E"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03EEB1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8CD436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35A0421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49845005"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16D58E88"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19C9A2DE"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6779DF9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91A07C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3FE9C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9BFBAB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6B293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D91FDA2" w14:textId="77777777" w:rsidTr="00406B4D">
        <w:trPr>
          <w:trHeight w:val="70"/>
        </w:trPr>
        <w:tc>
          <w:tcPr>
            <w:tcW w:w="1013" w:type="dxa"/>
            <w:tcBorders>
              <w:top w:val="nil"/>
              <w:left w:val="single" w:sz="4" w:space="0" w:color="auto"/>
              <w:bottom w:val="single" w:sz="4" w:space="0" w:color="auto"/>
              <w:right w:val="single" w:sz="4" w:space="0" w:color="auto"/>
            </w:tcBorders>
            <w:shd w:val="clear" w:color="auto" w:fill="auto"/>
            <w:noWrap/>
            <w:hideMark/>
          </w:tcPr>
          <w:p w14:paraId="76A9A9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65CBE04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„Регулиране на медийните услуги и на услуги на платформи за споделяне на видеоклипове"</w:t>
            </w:r>
          </w:p>
        </w:tc>
        <w:tc>
          <w:tcPr>
            <w:tcW w:w="2178" w:type="dxa"/>
            <w:tcBorders>
              <w:top w:val="nil"/>
              <w:left w:val="single" w:sz="4" w:space="0" w:color="auto"/>
              <w:bottom w:val="nil"/>
              <w:right w:val="single" w:sz="4" w:space="0" w:color="auto"/>
            </w:tcBorders>
            <w:shd w:val="clear" w:color="auto" w:fill="auto"/>
            <w:noWrap/>
            <w:vAlign w:val="bottom"/>
            <w:hideMark/>
          </w:tcPr>
          <w:p w14:paraId="59675E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1 980,1</w:t>
            </w:r>
          </w:p>
        </w:tc>
      </w:tr>
      <w:tr w:rsidR="00761800" w:rsidRPr="00761800" w14:paraId="45C8B31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4BC29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183E6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376F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1 980,1</w:t>
            </w:r>
          </w:p>
        </w:tc>
      </w:tr>
      <w:tr w:rsidR="00761800" w:rsidRPr="00761800" w14:paraId="66A70BEE" w14:textId="77777777" w:rsidTr="00406B4D">
        <w:trPr>
          <w:trHeight w:val="300"/>
        </w:trPr>
        <w:tc>
          <w:tcPr>
            <w:tcW w:w="1013" w:type="dxa"/>
            <w:tcBorders>
              <w:top w:val="nil"/>
              <w:left w:val="nil"/>
              <w:bottom w:val="nil"/>
              <w:right w:val="nil"/>
            </w:tcBorders>
            <w:shd w:val="clear" w:color="auto" w:fill="auto"/>
            <w:noWrap/>
            <w:vAlign w:val="bottom"/>
            <w:hideMark/>
          </w:tcPr>
          <w:p w14:paraId="3F8C1662"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7C4385F0"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45764E4F" w14:textId="77777777" w:rsidR="00761800" w:rsidRPr="00761800" w:rsidRDefault="00761800" w:rsidP="00761800">
            <w:pPr>
              <w:rPr>
                <w:rFonts w:ascii="Times New Roman" w:hAnsi="Times New Roman"/>
                <w:sz w:val="20"/>
                <w:lang w:eastAsia="bg-BG"/>
              </w:rPr>
            </w:pPr>
          </w:p>
        </w:tc>
      </w:tr>
      <w:tr w:rsidR="00761800" w:rsidRPr="00761800" w14:paraId="5590595A" w14:textId="77777777" w:rsidTr="00406B4D">
        <w:trPr>
          <w:trHeight w:val="612"/>
        </w:trPr>
        <w:tc>
          <w:tcPr>
            <w:tcW w:w="14253" w:type="dxa"/>
            <w:gridSpan w:val="3"/>
            <w:tcBorders>
              <w:top w:val="nil"/>
              <w:left w:val="nil"/>
              <w:bottom w:val="nil"/>
              <w:right w:val="nil"/>
            </w:tcBorders>
            <w:shd w:val="clear" w:color="auto" w:fill="auto"/>
            <w:hideMark/>
          </w:tcPr>
          <w:p w14:paraId="3181A4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Съвета за електронни медии, както следва:</w:t>
            </w:r>
          </w:p>
        </w:tc>
      </w:tr>
      <w:tr w:rsidR="00761800" w:rsidRPr="00761800" w14:paraId="62FAD6D7" w14:textId="77777777" w:rsidTr="00406B4D">
        <w:trPr>
          <w:trHeight w:val="338"/>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DC0BAE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5CEBDE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67592C0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0BAFFE2"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C10EF30"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40B4F2A8"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78CDF84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A51E76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0F742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8B40BE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E39612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296198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26E4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1.</w:t>
            </w:r>
          </w:p>
        </w:tc>
        <w:tc>
          <w:tcPr>
            <w:tcW w:w="11062" w:type="dxa"/>
            <w:tcBorders>
              <w:top w:val="nil"/>
              <w:left w:val="nil"/>
              <w:bottom w:val="single" w:sz="4" w:space="0" w:color="auto"/>
              <w:right w:val="nil"/>
            </w:tcBorders>
            <w:shd w:val="clear" w:color="auto" w:fill="auto"/>
            <w:noWrap/>
            <w:vAlign w:val="bottom"/>
            <w:hideMark/>
          </w:tcPr>
          <w:p w14:paraId="461FE2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05406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456,8</w:t>
            </w:r>
          </w:p>
        </w:tc>
      </w:tr>
      <w:tr w:rsidR="00761800" w:rsidRPr="00761800" w14:paraId="4540787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35F14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41AA3F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B519E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456,8</w:t>
            </w:r>
          </w:p>
        </w:tc>
      </w:tr>
      <w:tr w:rsidR="00761800" w:rsidRPr="00761800" w14:paraId="0C7D4FF4" w14:textId="77777777" w:rsidTr="00406B4D">
        <w:trPr>
          <w:trHeight w:val="300"/>
        </w:trPr>
        <w:tc>
          <w:tcPr>
            <w:tcW w:w="1013" w:type="dxa"/>
            <w:tcBorders>
              <w:top w:val="nil"/>
              <w:left w:val="nil"/>
              <w:bottom w:val="nil"/>
              <w:right w:val="nil"/>
            </w:tcBorders>
            <w:shd w:val="clear" w:color="auto" w:fill="auto"/>
            <w:vAlign w:val="bottom"/>
            <w:hideMark/>
          </w:tcPr>
          <w:p w14:paraId="555B04A3"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1FCDC80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347F2363" w14:textId="77777777" w:rsidR="00761800" w:rsidRPr="00761800" w:rsidRDefault="00761800" w:rsidP="00761800">
            <w:pPr>
              <w:rPr>
                <w:rFonts w:ascii="Times New Roman" w:hAnsi="Times New Roman"/>
                <w:sz w:val="20"/>
                <w:lang w:eastAsia="bg-BG"/>
              </w:rPr>
            </w:pPr>
          </w:p>
        </w:tc>
      </w:tr>
      <w:tr w:rsidR="00761800" w:rsidRPr="00761800" w14:paraId="10FE31F8" w14:textId="77777777" w:rsidTr="00406B4D">
        <w:trPr>
          <w:trHeight w:val="300"/>
        </w:trPr>
        <w:tc>
          <w:tcPr>
            <w:tcW w:w="14253" w:type="dxa"/>
            <w:gridSpan w:val="3"/>
            <w:tcBorders>
              <w:top w:val="nil"/>
              <w:left w:val="nil"/>
              <w:bottom w:val="nil"/>
              <w:right w:val="nil"/>
            </w:tcBorders>
            <w:shd w:val="clear" w:color="auto" w:fill="auto"/>
            <w:vAlign w:val="bottom"/>
            <w:hideMark/>
          </w:tcPr>
          <w:p w14:paraId="3E7105F4"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38.</w:t>
            </w:r>
            <w:r w:rsidRPr="00761800">
              <w:rPr>
                <w:rFonts w:ascii="Times New Roman" w:hAnsi="Times New Roman"/>
                <w:color w:val="000000"/>
                <w:sz w:val="22"/>
                <w:szCs w:val="22"/>
                <w:lang w:eastAsia="bg-BG"/>
              </w:rPr>
              <w:t xml:space="preserve"> (1) Приема бюджета на Комисията за енергийно и водно регулиране за 2026 г., както следва:</w:t>
            </w:r>
          </w:p>
        </w:tc>
      </w:tr>
      <w:tr w:rsidR="00761800" w:rsidRPr="00761800" w14:paraId="34E69A42"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2CF9FC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231875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7121B34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2F98B05"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DB8A122"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7F0A4FF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49A9D26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8788AF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A56EAE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37D65B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B4359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94A330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37901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043778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F1E52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11 230,0</w:t>
            </w:r>
          </w:p>
        </w:tc>
      </w:tr>
      <w:tr w:rsidR="00761800" w:rsidRPr="00761800" w14:paraId="3BBFC9B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E94F9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434686F"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99748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11 230,0</w:t>
            </w:r>
          </w:p>
        </w:tc>
      </w:tr>
      <w:tr w:rsidR="00761800" w:rsidRPr="00761800" w14:paraId="5FF82B0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7A93D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2B7AB8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B3BCB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11 123,7</w:t>
            </w:r>
          </w:p>
        </w:tc>
      </w:tr>
      <w:tr w:rsidR="00761800" w:rsidRPr="00761800" w14:paraId="32F5A1A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E9887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4C9C145B"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AC5D7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w:t>
            </w:r>
          </w:p>
        </w:tc>
      </w:tr>
      <w:tr w:rsidR="00761800" w:rsidRPr="00761800" w14:paraId="6CA86B4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44762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11878E2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864C3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102,3</w:t>
            </w:r>
          </w:p>
        </w:tc>
      </w:tr>
      <w:tr w:rsidR="00761800" w:rsidRPr="00761800" w14:paraId="2298E85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4296DF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146CAC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82EB3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8 550,9</w:t>
            </w:r>
          </w:p>
        </w:tc>
      </w:tr>
      <w:tr w:rsidR="00761800" w:rsidRPr="00761800" w14:paraId="534AAC7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F166F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7AB6F10B"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4A2A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8 489,9</w:t>
            </w:r>
          </w:p>
        </w:tc>
      </w:tr>
      <w:tr w:rsidR="00761800" w:rsidRPr="00761800" w14:paraId="60D8C9D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2C7C1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4553FA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577D2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C7FEEB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7C475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6E54FFD"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63A7A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6 666,4</w:t>
            </w:r>
          </w:p>
        </w:tc>
      </w:tr>
      <w:tr w:rsidR="00761800" w:rsidRPr="00761800" w14:paraId="0A3CFCC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2F50B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0DD7D7F9"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C8520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61,0</w:t>
            </w:r>
          </w:p>
        </w:tc>
      </w:tr>
      <w:tr w:rsidR="00761800" w:rsidRPr="00761800" w14:paraId="7008DFA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0BA718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6BA21EF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458A91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61,0</w:t>
            </w:r>
          </w:p>
        </w:tc>
      </w:tr>
      <w:tr w:rsidR="00761800" w:rsidRPr="00761800" w14:paraId="3F9E5C7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F791CF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045980D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8B129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-2 679,1</w:t>
            </w:r>
          </w:p>
        </w:tc>
      </w:tr>
      <w:tr w:rsidR="00761800" w:rsidRPr="00761800" w14:paraId="2D7CDD9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94D3E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635D1034"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44386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-2 679,1</w:t>
            </w:r>
          </w:p>
        </w:tc>
      </w:tr>
      <w:tr w:rsidR="00761800" w:rsidRPr="00761800" w14:paraId="484EFC6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A4E39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15FA4A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E0105F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2D7AA4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93682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5B332B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52837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E0EDE7D" w14:textId="77777777" w:rsidTr="00406B4D">
        <w:trPr>
          <w:trHeight w:val="300"/>
        </w:trPr>
        <w:tc>
          <w:tcPr>
            <w:tcW w:w="1013" w:type="dxa"/>
            <w:tcBorders>
              <w:top w:val="nil"/>
              <w:left w:val="nil"/>
              <w:bottom w:val="nil"/>
              <w:right w:val="nil"/>
            </w:tcBorders>
            <w:shd w:val="clear" w:color="auto" w:fill="auto"/>
            <w:noWrap/>
            <w:vAlign w:val="bottom"/>
            <w:hideMark/>
          </w:tcPr>
          <w:p w14:paraId="26AC55F6"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C6A94FD"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5FE2777D" w14:textId="77777777" w:rsidR="00761800" w:rsidRPr="00761800" w:rsidRDefault="00761800" w:rsidP="00761800">
            <w:pPr>
              <w:rPr>
                <w:rFonts w:ascii="Times New Roman" w:hAnsi="Times New Roman"/>
                <w:sz w:val="20"/>
                <w:lang w:eastAsia="bg-BG"/>
              </w:rPr>
            </w:pPr>
          </w:p>
        </w:tc>
      </w:tr>
      <w:tr w:rsidR="00761800" w:rsidRPr="00761800" w14:paraId="4737E65A"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6B7A20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226C4C0C"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68CD37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98CAE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37ADD25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98F312C"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FAE316A"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48AA8D2B"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51F6866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EB873B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55E6C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27C274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FAAC8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11C96F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53BABF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6D41DC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„Държавна регулация в енергетиката и ВиК сектора“</w:t>
            </w:r>
          </w:p>
        </w:tc>
        <w:tc>
          <w:tcPr>
            <w:tcW w:w="2178" w:type="dxa"/>
            <w:tcBorders>
              <w:top w:val="nil"/>
              <w:left w:val="single" w:sz="4" w:space="0" w:color="auto"/>
              <w:bottom w:val="nil"/>
              <w:right w:val="single" w:sz="4" w:space="0" w:color="auto"/>
            </w:tcBorders>
            <w:shd w:val="clear" w:color="auto" w:fill="auto"/>
            <w:noWrap/>
            <w:vAlign w:val="bottom"/>
            <w:hideMark/>
          </w:tcPr>
          <w:p w14:paraId="12B33C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8 550,9</w:t>
            </w:r>
          </w:p>
        </w:tc>
      </w:tr>
      <w:tr w:rsidR="00761800" w:rsidRPr="00761800" w14:paraId="59689AF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0D8180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D1FD6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6A98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8 550,9</w:t>
            </w:r>
          </w:p>
        </w:tc>
      </w:tr>
      <w:tr w:rsidR="00761800" w:rsidRPr="00761800" w14:paraId="31E41F5A" w14:textId="77777777" w:rsidTr="00406B4D">
        <w:trPr>
          <w:trHeight w:val="345"/>
        </w:trPr>
        <w:tc>
          <w:tcPr>
            <w:tcW w:w="1013" w:type="dxa"/>
            <w:tcBorders>
              <w:top w:val="nil"/>
              <w:left w:val="nil"/>
              <w:bottom w:val="nil"/>
              <w:right w:val="nil"/>
            </w:tcBorders>
            <w:shd w:val="clear" w:color="auto" w:fill="auto"/>
            <w:noWrap/>
            <w:vAlign w:val="bottom"/>
            <w:hideMark/>
          </w:tcPr>
          <w:p w14:paraId="1D0E18B4"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40D6677D"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7C4D05CA" w14:textId="77777777" w:rsidR="00761800" w:rsidRPr="00761800" w:rsidRDefault="00761800" w:rsidP="00761800">
            <w:pPr>
              <w:rPr>
                <w:rFonts w:ascii="Times New Roman" w:hAnsi="Times New Roman"/>
                <w:sz w:val="20"/>
                <w:lang w:eastAsia="bg-BG"/>
              </w:rPr>
            </w:pPr>
          </w:p>
        </w:tc>
      </w:tr>
      <w:tr w:rsidR="00761800" w:rsidRPr="00761800" w14:paraId="14AF6BDC" w14:textId="77777777" w:rsidTr="00406B4D">
        <w:trPr>
          <w:trHeight w:val="870"/>
        </w:trPr>
        <w:tc>
          <w:tcPr>
            <w:tcW w:w="14253" w:type="dxa"/>
            <w:gridSpan w:val="3"/>
            <w:tcBorders>
              <w:top w:val="nil"/>
              <w:left w:val="nil"/>
              <w:bottom w:val="nil"/>
              <w:right w:val="nil"/>
            </w:tcBorders>
            <w:shd w:val="clear" w:color="auto" w:fill="auto"/>
            <w:hideMark/>
          </w:tcPr>
          <w:p w14:paraId="17939B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Комисията за енергийно и водно регулиране, както следва:</w:t>
            </w:r>
          </w:p>
        </w:tc>
      </w:tr>
      <w:tr w:rsidR="00761800" w:rsidRPr="00761800" w14:paraId="61DCEEF7"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8C9844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5E3875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14CB99E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2289E14"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73C859B6"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8268F1B"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2A4CDF8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12E7A1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B4543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B2DF97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DC95E2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17EC9F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F0E1ED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6BC111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8D07E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1 868,5</w:t>
            </w:r>
          </w:p>
        </w:tc>
      </w:tr>
      <w:tr w:rsidR="00761800" w:rsidRPr="00761800" w14:paraId="067D1B9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81644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293F3E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A4364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1 868,5</w:t>
            </w:r>
          </w:p>
        </w:tc>
      </w:tr>
      <w:tr w:rsidR="00761800" w:rsidRPr="00761800" w14:paraId="6F867D38" w14:textId="77777777" w:rsidTr="00406B4D">
        <w:trPr>
          <w:trHeight w:val="300"/>
        </w:trPr>
        <w:tc>
          <w:tcPr>
            <w:tcW w:w="1013" w:type="dxa"/>
            <w:tcBorders>
              <w:top w:val="nil"/>
              <w:left w:val="nil"/>
              <w:bottom w:val="nil"/>
              <w:right w:val="nil"/>
            </w:tcBorders>
            <w:shd w:val="clear" w:color="auto" w:fill="auto"/>
            <w:vAlign w:val="bottom"/>
            <w:hideMark/>
          </w:tcPr>
          <w:p w14:paraId="0898B48C"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65530AE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3DD6ABB8" w14:textId="77777777" w:rsidR="00761800" w:rsidRPr="00761800" w:rsidRDefault="00761800" w:rsidP="00761800">
            <w:pPr>
              <w:rPr>
                <w:rFonts w:ascii="Times New Roman" w:hAnsi="Times New Roman"/>
                <w:sz w:val="20"/>
                <w:lang w:eastAsia="bg-BG"/>
              </w:rPr>
            </w:pPr>
          </w:p>
        </w:tc>
      </w:tr>
      <w:tr w:rsidR="00761800" w:rsidRPr="00761800" w14:paraId="3B139774" w14:textId="77777777" w:rsidTr="00406B4D">
        <w:trPr>
          <w:trHeight w:val="300"/>
        </w:trPr>
        <w:tc>
          <w:tcPr>
            <w:tcW w:w="14253" w:type="dxa"/>
            <w:gridSpan w:val="3"/>
            <w:tcBorders>
              <w:top w:val="nil"/>
              <w:left w:val="nil"/>
              <w:bottom w:val="nil"/>
              <w:right w:val="nil"/>
            </w:tcBorders>
            <w:shd w:val="clear" w:color="auto" w:fill="auto"/>
            <w:vAlign w:val="bottom"/>
            <w:hideMark/>
          </w:tcPr>
          <w:p w14:paraId="157EC33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39.</w:t>
            </w:r>
            <w:r w:rsidRPr="00761800">
              <w:rPr>
                <w:rFonts w:ascii="Times New Roman" w:hAnsi="Times New Roman"/>
                <w:color w:val="000000"/>
                <w:sz w:val="22"/>
                <w:szCs w:val="22"/>
                <w:lang w:eastAsia="bg-BG"/>
              </w:rPr>
              <w:t xml:space="preserve"> (1) Приема бюджета на Агенцията за ядрено регулиране за 2026 г., както следва:</w:t>
            </w:r>
          </w:p>
        </w:tc>
      </w:tr>
      <w:tr w:rsidR="00761800" w:rsidRPr="00761800" w14:paraId="235EB5D8"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9A616C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3C3CD3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39A5A95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33FF9881"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372D246"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6F980BF"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0CCD1DD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8E9F4D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F8A51F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8769CE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6D809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46C4D7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261F4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72E724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87A3C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8 001,8</w:t>
            </w:r>
          </w:p>
        </w:tc>
      </w:tr>
      <w:tr w:rsidR="00761800" w:rsidRPr="00761800" w14:paraId="0D990E3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9E435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42EB31B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3DE2E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8 001,8</w:t>
            </w:r>
          </w:p>
        </w:tc>
      </w:tr>
      <w:tr w:rsidR="00761800" w:rsidRPr="00761800" w14:paraId="6275523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C288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907FFBD"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2EABD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8 001,8</w:t>
            </w:r>
          </w:p>
        </w:tc>
      </w:tr>
      <w:tr w:rsidR="00761800" w:rsidRPr="00761800" w14:paraId="0A4154F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9DFB2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25D418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4BA4D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7 233,7</w:t>
            </w:r>
          </w:p>
        </w:tc>
      </w:tr>
      <w:tr w:rsidR="00761800" w:rsidRPr="00761800" w14:paraId="5269F41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76526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4E89955C"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F33D4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7 192,9</w:t>
            </w:r>
          </w:p>
        </w:tc>
      </w:tr>
      <w:tr w:rsidR="00761800" w:rsidRPr="00761800" w14:paraId="733C4ED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C574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32114B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2436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2CBC1D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BA8C42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479DB5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1E17E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4 751,7</w:t>
            </w:r>
          </w:p>
        </w:tc>
      </w:tr>
      <w:tr w:rsidR="00761800" w:rsidRPr="00761800" w14:paraId="0089CB6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DD836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5AB8BE22"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C6317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40,8</w:t>
            </w:r>
          </w:p>
        </w:tc>
      </w:tr>
      <w:tr w:rsidR="00761800" w:rsidRPr="00761800" w14:paraId="0E3EC17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14D7E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5500515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083C59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40,8</w:t>
            </w:r>
          </w:p>
        </w:tc>
      </w:tr>
      <w:tr w:rsidR="00761800" w:rsidRPr="00761800" w14:paraId="37AB780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8911E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1259F1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8B22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-768,1</w:t>
            </w:r>
          </w:p>
        </w:tc>
      </w:tr>
      <w:tr w:rsidR="00761800" w:rsidRPr="00761800" w14:paraId="7673E0E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827C6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8E8E549"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9B100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-768,1</w:t>
            </w:r>
          </w:p>
        </w:tc>
      </w:tr>
      <w:tr w:rsidR="00761800" w:rsidRPr="00761800" w14:paraId="27B0C78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68832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420042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0F44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EB1665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3E39F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0E5F25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32E34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F37E12B" w14:textId="77777777" w:rsidTr="00406B4D">
        <w:trPr>
          <w:trHeight w:val="300"/>
        </w:trPr>
        <w:tc>
          <w:tcPr>
            <w:tcW w:w="1013" w:type="dxa"/>
            <w:tcBorders>
              <w:top w:val="nil"/>
              <w:left w:val="nil"/>
              <w:bottom w:val="nil"/>
              <w:right w:val="nil"/>
            </w:tcBorders>
            <w:shd w:val="clear" w:color="auto" w:fill="auto"/>
            <w:noWrap/>
            <w:vAlign w:val="bottom"/>
            <w:hideMark/>
          </w:tcPr>
          <w:p w14:paraId="06B06716"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86F690C"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251DB1BA" w14:textId="77777777" w:rsidR="00761800" w:rsidRPr="00761800" w:rsidRDefault="00761800" w:rsidP="00761800">
            <w:pPr>
              <w:ind w:firstLineChars="200" w:firstLine="400"/>
              <w:rPr>
                <w:rFonts w:ascii="Times New Roman" w:hAnsi="Times New Roman"/>
                <w:sz w:val="20"/>
                <w:lang w:eastAsia="bg-BG"/>
              </w:rPr>
            </w:pPr>
          </w:p>
        </w:tc>
      </w:tr>
      <w:tr w:rsidR="00761800" w:rsidRPr="00761800" w14:paraId="543086BB"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1DC61C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3165C341"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4AD8EB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lastRenderedPageBreak/>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4A14E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42116BE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0FA5F63"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80066E3"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277D6E0"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3A7B22F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4DFCFA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02A2F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D5F00D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B041F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6A0A4DB" w14:textId="77777777" w:rsidTr="00406B4D">
        <w:trPr>
          <w:trHeight w:val="318"/>
        </w:trPr>
        <w:tc>
          <w:tcPr>
            <w:tcW w:w="1013" w:type="dxa"/>
            <w:tcBorders>
              <w:top w:val="nil"/>
              <w:left w:val="single" w:sz="4" w:space="0" w:color="auto"/>
              <w:bottom w:val="single" w:sz="4" w:space="0" w:color="auto"/>
              <w:right w:val="single" w:sz="4" w:space="0" w:color="auto"/>
            </w:tcBorders>
            <w:shd w:val="clear" w:color="auto" w:fill="auto"/>
            <w:noWrap/>
            <w:hideMark/>
          </w:tcPr>
          <w:p w14:paraId="492F71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3C2D77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„Регулация на ядрената безопасност и радиационната защита на Република България“</w:t>
            </w:r>
          </w:p>
        </w:tc>
        <w:tc>
          <w:tcPr>
            <w:tcW w:w="2178" w:type="dxa"/>
            <w:tcBorders>
              <w:top w:val="nil"/>
              <w:left w:val="single" w:sz="4" w:space="0" w:color="auto"/>
              <w:bottom w:val="nil"/>
              <w:right w:val="single" w:sz="4" w:space="0" w:color="auto"/>
            </w:tcBorders>
            <w:shd w:val="clear" w:color="auto" w:fill="auto"/>
            <w:noWrap/>
            <w:vAlign w:val="bottom"/>
            <w:hideMark/>
          </w:tcPr>
          <w:p w14:paraId="374C56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7 233,7</w:t>
            </w:r>
          </w:p>
        </w:tc>
      </w:tr>
      <w:tr w:rsidR="00761800" w:rsidRPr="00761800" w14:paraId="5B2944E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BE12C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86CFE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427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7 233,7</w:t>
            </w:r>
          </w:p>
        </w:tc>
      </w:tr>
      <w:tr w:rsidR="00761800" w:rsidRPr="00761800" w14:paraId="2A5D9B62" w14:textId="77777777" w:rsidTr="00406B4D">
        <w:trPr>
          <w:trHeight w:val="300"/>
        </w:trPr>
        <w:tc>
          <w:tcPr>
            <w:tcW w:w="1013" w:type="dxa"/>
            <w:tcBorders>
              <w:top w:val="nil"/>
              <w:left w:val="nil"/>
              <w:bottom w:val="nil"/>
              <w:right w:val="nil"/>
            </w:tcBorders>
            <w:shd w:val="clear" w:color="auto" w:fill="auto"/>
            <w:noWrap/>
            <w:vAlign w:val="bottom"/>
            <w:hideMark/>
          </w:tcPr>
          <w:p w14:paraId="594493E0"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6E9E94B"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46A7B1D2" w14:textId="77777777" w:rsidR="00761800" w:rsidRPr="00761800" w:rsidRDefault="00761800" w:rsidP="00761800">
            <w:pPr>
              <w:rPr>
                <w:rFonts w:ascii="Times New Roman" w:hAnsi="Times New Roman"/>
                <w:sz w:val="20"/>
                <w:lang w:eastAsia="bg-BG"/>
              </w:rPr>
            </w:pPr>
          </w:p>
        </w:tc>
      </w:tr>
      <w:tr w:rsidR="00761800" w:rsidRPr="00761800" w14:paraId="0CB02C41" w14:textId="77777777" w:rsidTr="00406B4D">
        <w:trPr>
          <w:trHeight w:val="524"/>
        </w:trPr>
        <w:tc>
          <w:tcPr>
            <w:tcW w:w="14253" w:type="dxa"/>
            <w:gridSpan w:val="3"/>
            <w:tcBorders>
              <w:top w:val="nil"/>
              <w:left w:val="nil"/>
              <w:bottom w:val="nil"/>
              <w:right w:val="nil"/>
            </w:tcBorders>
            <w:shd w:val="clear" w:color="auto" w:fill="auto"/>
            <w:hideMark/>
          </w:tcPr>
          <w:p w14:paraId="641ECD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Агенцията за ядрено регулиране, както следва:</w:t>
            </w:r>
          </w:p>
        </w:tc>
      </w:tr>
      <w:tr w:rsidR="00761800" w:rsidRPr="00761800" w14:paraId="4E59DABF" w14:textId="77777777" w:rsidTr="00406B4D">
        <w:trPr>
          <w:trHeight w:val="323"/>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D9E751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2FF6F3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3C59713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5A68012"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6829A3F5"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2083CE4A"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7B8DB00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A8DE9D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F8BD4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25D97A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B8F7BD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FF79D9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15028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2B3D28C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4529A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3 224,8</w:t>
            </w:r>
          </w:p>
        </w:tc>
      </w:tr>
      <w:tr w:rsidR="00761800" w:rsidRPr="00761800" w14:paraId="6DB7ACD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966C8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272424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A60F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2 478,2</w:t>
            </w:r>
          </w:p>
        </w:tc>
      </w:tr>
      <w:tr w:rsidR="00761800" w:rsidRPr="00761800" w14:paraId="5F8FDBA0" w14:textId="77777777" w:rsidTr="00406B4D">
        <w:trPr>
          <w:trHeight w:val="300"/>
        </w:trPr>
        <w:tc>
          <w:tcPr>
            <w:tcW w:w="1013" w:type="dxa"/>
            <w:tcBorders>
              <w:top w:val="nil"/>
              <w:left w:val="nil"/>
              <w:bottom w:val="nil"/>
              <w:right w:val="nil"/>
            </w:tcBorders>
            <w:shd w:val="clear" w:color="auto" w:fill="auto"/>
            <w:vAlign w:val="bottom"/>
            <w:hideMark/>
          </w:tcPr>
          <w:p w14:paraId="3A6F923F"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654A4D61"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6E8781EA" w14:textId="77777777" w:rsidR="00761800" w:rsidRPr="00761800" w:rsidRDefault="00761800" w:rsidP="00761800">
            <w:pPr>
              <w:rPr>
                <w:rFonts w:ascii="Times New Roman" w:hAnsi="Times New Roman"/>
                <w:sz w:val="20"/>
                <w:lang w:eastAsia="bg-BG"/>
              </w:rPr>
            </w:pPr>
          </w:p>
        </w:tc>
      </w:tr>
      <w:tr w:rsidR="00761800" w:rsidRPr="00761800" w14:paraId="14CABE43" w14:textId="77777777" w:rsidTr="00406B4D">
        <w:trPr>
          <w:trHeight w:val="300"/>
        </w:trPr>
        <w:tc>
          <w:tcPr>
            <w:tcW w:w="14253" w:type="dxa"/>
            <w:gridSpan w:val="3"/>
            <w:tcBorders>
              <w:top w:val="nil"/>
              <w:left w:val="nil"/>
              <w:bottom w:val="nil"/>
              <w:right w:val="nil"/>
            </w:tcBorders>
            <w:shd w:val="clear" w:color="auto" w:fill="auto"/>
            <w:vAlign w:val="bottom"/>
            <w:hideMark/>
          </w:tcPr>
          <w:p w14:paraId="2CE97F70"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40.</w:t>
            </w:r>
            <w:r w:rsidRPr="00761800">
              <w:rPr>
                <w:rFonts w:ascii="Times New Roman" w:hAnsi="Times New Roman"/>
                <w:color w:val="000000"/>
                <w:sz w:val="22"/>
                <w:szCs w:val="22"/>
                <w:lang w:eastAsia="bg-BG"/>
              </w:rPr>
              <w:t xml:space="preserve"> (1) Приема бюджета на Държавната комисия по сигурността на информацията за 2026 г., както следва:</w:t>
            </w:r>
          </w:p>
        </w:tc>
      </w:tr>
      <w:tr w:rsidR="00761800" w:rsidRPr="00761800" w14:paraId="48C7481F"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0F1CA4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6E92F7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0ACF2B9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1F6D3EF"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0269D10"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04643373"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131684F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77864D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52D757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C00BA9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303E51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920379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0C182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5AC654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5AAEB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0E5F49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401A3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3DF1EF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58E58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10 714,2</w:t>
            </w:r>
          </w:p>
        </w:tc>
      </w:tr>
      <w:tr w:rsidR="00761800" w:rsidRPr="00761800" w14:paraId="73F981D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0E48F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6B651B59"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0D705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10 554,2</w:t>
            </w:r>
          </w:p>
        </w:tc>
      </w:tr>
      <w:tr w:rsidR="00761800" w:rsidRPr="00761800" w14:paraId="686E200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F801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64F528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1E10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5248B3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3CFA3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2FCCDC7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131F8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9 577,1</w:t>
            </w:r>
          </w:p>
        </w:tc>
      </w:tr>
      <w:tr w:rsidR="00761800" w:rsidRPr="00761800" w14:paraId="3281C81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5FD12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08C40BF7"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40BC4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160,0</w:t>
            </w:r>
          </w:p>
        </w:tc>
      </w:tr>
      <w:tr w:rsidR="00761800" w:rsidRPr="00761800" w14:paraId="2FBABE1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7E628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13AC5992"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55F4E9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160,0</w:t>
            </w:r>
          </w:p>
        </w:tc>
      </w:tr>
      <w:tr w:rsidR="00761800" w:rsidRPr="00761800" w14:paraId="29E61FD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A1C01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0F622B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43E6C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10 714,2</w:t>
            </w:r>
          </w:p>
        </w:tc>
      </w:tr>
      <w:tr w:rsidR="00761800" w:rsidRPr="00761800" w14:paraId="3075EC0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C6016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D55C4EE"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E7097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10 714,2</w:t>
            </w:r>
          </w:p>
        </w:tc>
      </w:tr>
      <w:tr w:rsidR="00761800" w:rsidRPr="00761800" w14:paraId="263B2D1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6ECC2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33DB64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2B2F3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EBDC76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73D546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16DCA3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96FBD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8D96CD2" w14:textId="77777777" w:rsidTr="00406B4D">
        <w:trPr>
          <w:trHeight w:val="300"/>
        </w:trPr>
        <w:tc>
          <w:tcPr>
            <w:tcW w:w="1013" w:type="dxa"/>
            <w:tcBorders>
              <w:top w:val="nil"/>
              <w:left w:val="nil"/>
              <w:bottom w:val="nil"/>
              <w:right w:val="nil"/>
            </w:tcBorders>
            <w:shd w:val="clear" w:color="auto" w:fill="auto"/>
            <w:noWrap/>
            <w:vAlign w:val="bottom"/>
            <w:hideMark/>
          </w:tcPr>
          <w:p w14:paraId="119890FE"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4FF256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6B4BDFE6" w14:textId="77777777" w:rsidR="00761800" w:rsidRPr="00761800" w:rsidRDefault="00761800" w:rsidP="00761800">
            <w:pPr>
              <w:rPr>
                <w:rFonts w:ascii="Times New Roman" w:hAnsi="Times New Roman"/>
                <w:sz w:val="20"/>
                <w:lang w:eastAsia="bg-BG"/>
              </w:rPr>
            </w:pPr>
          </w:p>
        </w:tc>
      </w:tr>
      <w:tr w:rsidR="00761800" w:rsidRPr="00761800" w14:paraId="69CF1966"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28308E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46EA4B5E"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90E559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5F56AA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73094D6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719EBBD"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55A39C7"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11675EF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45B2CAC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96DC9F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8759B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2D6E3D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EF251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5B112C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3EA5CA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40F05A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„Защита на класифицираната информация“</w:t>
            </w:r>
          </w:p>
        </w:tc>
        <w:tc>
          <w:tcPr>
            <w:tcW w:w="2178" w:type="dxa"/>
            <w:tcBorders>
              <w:top w:val="nil"/>
              <w:left w:val="single" w:sz="4" w:space="0" w:color="auto"/>
              <w:bottom w:val="nil"/>
              <w:right w:val="single" w:sz="4" w:space="0" w:color="auto"/>
            </w:tcBorders>
            <w:shd w:val="clear" w:color="auto" w:fill="auto"/>
            <w:noWrap/>
            <w:vAlign w:val="bottom"/>
            <w:hideMark/>
          </w:tcPr>
          <w:p w14:paraId="5FBB0B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10 714,2</w:t>
            </w:r>
          </w:p>
        </w:tc>
      </w:tr>
      <w:tr w:rsidR="00761800" w:rsidRPr="00761800" w14:paraId="16CA2D4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52979F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339AC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A584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10 714,2</w:t>
            </w:r>
          </w:p>
        </w:tc>
      </w:tr>
      <w:tr w:rsidR="00761800" w:rsidRPr="00761800" w14:paraId="6E9BA905" w14:textId="77777777" w:rsidTr="00406B4D">
        <w:trPr>
          <w:trHeight w:val="300"/>
        </w:trPr>
        <w:tc>
          <w:tcPr>
            <w:tcW w:w="1013" w:type="dxa"/>
            <w:tcBorders>
              <w:top w:val="nil"/>
              <w:left w:val="nil"/>
              <w:bottom w:val="nil"/>
              <w:right w:val="nil"/>
            </w:tcBorders>
            <w:shd w:val="clear" w:color="auto" w:fill="auto"/>
            <w:noWrap/>
            <w:vAlign w:val="bottom"/>
            <w:hideMark/>
          </w:tcPr>
          <w:p w14:paraId="653776A6"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BCF9C31"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6A7CE22" w14:textId="77777777" w:rsidR="00761800" w:rsidRPr="00761800" w:rsidRDefault="00761800" w:rsidP="00761800">
            <w:pPr>
              <w:rPr>
                <w:rFonts w:ascii="Times New Roman" w:hAnsi="Times New Roman"/>
                <w:sz w:val="20"/>
                <w:lang w:eastAsia="bg-BG"/>
              </w:rPr>
            </w:pPr>
          </w:p>
        </w:tc>
      </w:tr>
      <w:tr w:rsidR="00761800" w:rsidRPr="00761800" w14:paraId="5013D5FB" w14:textId="77777777" w:rsidTr="00406B4D">
        <w:trPr>
          <w:trHeight w:val="382"/>
        </w:trPr>
        <w:tc>
          <w:tcPr>
            <w:tcW w:w="14253" w:type="dxa"/>
            <w:gridSpan w:val="3"/>
            <w:tcBorders>
              <w:top w:val="nil"/>
              <w:left w:val="nil"/>
              <w:bottom w:val="nil"/>
              <w:right w:val="nil"/>
            </w:tcBorders>
            <w:shd w:val="clear" w:color="auto" w:fill="auto"/>
            <w:hideMark/>
          </w:tcPr>
          <w:p w14:paraId="64B007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Държавната комисия по сигурността на информацията, както следва:</w:t>
            </w:r>
          </w:p>
        </w:tc>
      </w:tr>
      <w:tr w:rsidR="00761800" w:rsidRPr="00761800" w14:paraId="24AFD384"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404D7F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8DD4FF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0D522DB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AF012F9"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8523E3B"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562A17A7"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27DA40A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A9160A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714CA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3A5934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20FFE0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980304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636E3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52AF77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8857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1 518,9</w:t>
            </w:r>
          </w:p>
        </w:tc>
      </w:tr>
      <w:tr w:rsidR="00761800" w:rsidRPr="00761800" w14:paraId="1A26ECF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5C8706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358DE9A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0488B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1 019,0</w:t>
            </w:r>
          </w:p>
        </w:tc>
      </w:tr>
      <w:tr w:rsidR="00761800" w:rsidRPr="00761800" w14:paraId="646EEF30" w14:textId="77777777" w:rsidTr="00406B4D">
        <w:trPr>
          <w:trHeight w:val="300"/>
        </w:trPr>
        <w:tc>
          <w:tcPr>
            <w:tcW w:w="1013" w:type="dxa"/>
            <w:tcBorders>
              <w:top w:val="nil"/>
              <w:left w:val="nil"/>
              <w:bottom w:val="nil"/>
              <w:right w:val="nil"/>
            </w:tcBorders>
            <w:shd w:val="clear" w:color="auto" w:fill="auto"/>
            <w:vAlign w:val="bottom"/>
            <w:hideMark/>
          </w:tcPr>
          <w:p w14:paraId="625CB45D"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19803352"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663D9AF7" w14:textId="77777777" w:rsidR="00761800" w:rsidRPr="00761800" w:rsidRDefault="00761800" w:rsidP="00761800">
            <w:pPr>
              <w:rPr>
                <w:rFonts w:ascii="Times New Roman" w:hAnsi="Times New Roman"/>
                <w:sz w:val="20"/>
                <w:lang w:eastAsia="bg-BG"/>
              </w:rPr>
            </w:pPr>
          </w:p>
        </w:tc>
      </w:tr>
      <w:tr w:rsidR="00761800" w:rsidRPr="00761800" w14:paraId="0014DE5F" w14:textId="77777777" w:rsidTr="00406B4D">
        <w:trPr>
          <w:trHeight w:val="300"/>
        </w:trPr>
        <w:tc>
          <w:tcPr>
            <w:tcW w:w="14253" w:type="dxa"/>
            <w:gridSpan w:val="3"/>
            <w:tcBorders>
              <w:top w:val="nil"/>
              <w:left w:val="nil"/>
              <w:bottom w:val="nil"/>
              <w:right w:val="nil"/>
            </w:tcBorders>
            <w:shd w:val="clear" w:color="auto" w:fill="auto"/>
            <w:vAlign w:val="bottom"/>
            <w:hideMark/>
          </w:tcPr>
          <w:p w14:paraId="0EDAEF24"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41.</w:t>
            </w:r>
            <w:r w:rsidRPr="00761800">
              <w:rPr>
                <w:rFonts w:ascii="Times New Roman" w:hAnsi="Times New Roman"/>
                <w:color w:val="000000"/>
                <w:sz w:val="22"/>
                <w:szCs w:val="22"/>
                <w:lang w:eastAsia="bg-BG"/>
              </w:rPr>
              <w:t xml:space="preserve"> (1) Приема бюджета на Държавната агенция „Държавен резерв и военновременни запаси“ за 2026 г., както следва:</w:t>
            </w:r>
          </w:p>
        </w:tc>
      </w:tr>
      <w:tr w:rsidR="00761800" w:rsidRPr="00761800" w14:paraId="1865D726"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A38F0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CB2889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382FAF5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1264D6E"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15FB9809"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700452D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70EA8CB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16574C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575714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58724B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C98EA6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6A0600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C3D6D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2B8B85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27ED4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1 049,2</w:t>
            </w:r>
          </w:p>
        </w:tc>
      </w:tr>
      <w:tr w:rsidR="00761800" w:rsidRPr="00761800" w14:paraId="073A206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18FE3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80ED744"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C64EF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1 049,2</w:t>
            </w:r>
          </w:p>
        </w:tc>
      </w:tr>
      <w:tr w:rsidR="00761800" w:rsidRPr="00761800" w14:paraId="0F879AC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BFAFF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7275A7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BC63F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21,5</w:t>
            </w:r>
          </w:p>
        </w:tc>
      </w:tr>
      <w:tr w:rsidR="00761800" w:rsidRPr="00761800" w14:paraId="65C6BD7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048FC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6B11C6B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4016D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158,5</w:t>
            </w:r>
          </w:p>
        </w:tc>
      </w:tr>
      <w:tr w:rsidR="00761800" w:rsidRPr="00761800" w14:paraId="2B13A9A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45EDE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1677EEE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2142D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869,2</w:t>
            </w:r>
          </w:p>
        </w:tc>
      </w:tr>
      <w:tr w:rsidR="00761800" w:rsidRPr="00761800" w14:paraId="3A30992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C5FFF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79D1F71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0086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78 232,2</w:t>
            </w:r>
          </w:p>
        </w:tc>
      </w:tr>
      <w:tr w:rsidR="00761800" w:rsidRPr="00761800" w14:paraId="09EBF1F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57013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6798E305"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F4A21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25 327,8</w:t>
            </w:r>
          </w:p>
        </w:tc>
      </w:tr>
      <w:tr w:rsidR="00761800" w:rsidRPr="00761800" w14:paraId="0C06C5C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BAF7C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6485BE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FA43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50547F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ADDCAF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29BF581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CA445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8 658,1</w:t>
            </w:r>
          </w:p>
        </w:tc>
      </w:tr>
      <w:tr w:rsidR="00761800" w:rsidRPr="00761800" w14:paraId="3D83C63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6A79A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2.     </w:t>
            </w:r>
          </w:p>
        </w:tc>
        <w:tc>
          <w:tcPr>
            <w:tcW w:w="11062" w:type="dxa"/>
            <w:tcBorders>
              <w:top w:val="nil"/>
              <w:left w:val="nil"/>
              <w:bottom w:val="single" w:sz="4" w:space="0" w:color="auto"/>
              <w:right w:val="nil"/>
            </w:tcBorders>
            <w:shd w:val="clear" w:color="auto" w:fill="auto"/>
            <w:noWrap/>
            <w:vAlign w:val="bottom"/>
            <w:hideMark/>
          </w:tcPr>
          <w:p w14:paraId="06EDD87A"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D9663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5 413,7</w:t>
            </w:r>
          </w:p>
        </w:tc>
      </w:tr>
      <w:tr w:rsidR="00761800" w:rsidRPr="00761800" w14:paraId="6140311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35763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4A8C335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7F9A65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5 413,7</w:t>
            </w:r>
          </w:p>
        </w:tc>
      </w:tr>
      <w:tr w:rsidR="00761800" w:rsidRPr="00761800" w14:paraId="2839C41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6A8A52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3.     </w:t>
            </w:r>
          </w:p>
        </w:tc>
        <w:tc>
          <w:tcPr>
            <w:tcW w:w="11062" w:type="dxa"/>
            <w:tcBorders>
              <w:top w:val="nil"/>
              <w:left w:val="nil"/>
              <w:bottom w:val="single" w:sz="4" w:space="0" w:color="auto"/>
              <w:right w:val="nil"/>
            </w:tcBorders>
            <w:shd w:val="clear" w:color="auto" w:fill="auto"/>
            <w:noWrap/>
            <w:vAlign w:val="bottom"/>
            <w:hideMark/>
          </w:tcPr>
          <w:p w14:paraId="3ED4F341"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Прираст на държавния резерв (нето)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A84EB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47 490,7</w:t>
            </w:r>
          </w:p>
        </w:tc>
      </w:tr>
      <w:tr w:rsidR="00761800" w:rsidRPr="00761800" w14:paraId="57AEFEA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B2457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4C40D5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E5BED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77 183,0</w:t>
            </w:r>
          </w:p>
        </w:tc>
      </w:tr>
      <w:tr w:rsidR="00761800" w:rsidRPr="00761800" w14:paraId="7DEC635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F6D1B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47CB73BE"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242D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77 183,0</w:t>
            </w:r>
          </w:p>
        </w:tc>
      </w:tr>
      <w:tr w:rsidR="00761800" w:rsidRPr="00761800" w14:paraId="5021700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AB8F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00BED9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4B2F3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D75285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DD40C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3AF383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B00EC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15BF375" w14:textId="77777777" w:rsidTr="00406B4D">
        <w:trPr>
          <w:trHeight w:val="300"/>
        </w:trPr>
        <w:tc>
          <w:tcPr>
            <w:tcW w:w="1013" w:type="dxa"/>
            <w:tcBorders>
              <w:top w:val="nil"/>
              <w:left w:val="nil"/>
              <w:bottom w:val="nil"/>
              <w:right w:val="nil"/>
            </w:tcBorders>
            <w:shd w:val="clear" w:color="auto" w:fill="auto"/>
            <w:noWrap/>
            <w:vAlign w:val="bottom"/>
            <w:hideMark/>
          </w:tcPr>
          <w:p w14:paraId="7298CB65"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ABFDA5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5D278D13" w14:textId="77777777" w:rsidR="00761800" w:rsidRPr="00761800" w:rsidRDefault="00761800" w:rsidP="00761800">
            <w:pPr>
              <w:rPr>
                <w:rFonts w:ascii="Times New Roman" w:hAnsi="Times New Roman"/>
                <w:sz w:val="20"/>
                <w:lang w:eastAsia="bg-BG"/>
              </w:rPr>
            </w:pPr>
          </w:p>
        </w:tc>
      </w:tr>
      <w:tr w:rsidR="00761800" w:rsidRPr="00761800" w14:paraId="0B2285CC" w14:textId="77777777" w:rsidTr="00406B4D">
        <w:trPr>
          <w:trHeight w:val="300"/>
        </w:trPr>
        <w:tc>
          <w:tcPr>
            <w:tcW w:w="14253" w:type="dxa"/>
            <w:gridSpan w:val="3"/>
            <w:tcBorders>
              <w:top w:val="nil"/>
              <w:left w:val="nil"/>
              <w:bottom w:val="nil"/>
              <w:right w:val="nil"/>
            </w:tcBorders>
            <w:shd w:val="clear" w:color="auto" w:fill="auto"/>
            <w:hideMark/>
          </w:tcPr>
          <w:p w14:paraId="4F97BC6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3466BDB6"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6738B3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9AFDDD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single" w:sz="4" w:space="0" w:color="auto"/>
              <w:left w:val="nil"/>
              <w:bottom w:val="nil"/>
              <w:right w:val="single" w:sz="4" w:space="0" w:color="auto"/>
            </w:tcBorders>
            <w:shd w:val="clear" w:color="auto" w:fill="auto"/>
            <w:noWrap/>
            <w:vAlign w:val="bottom"/>
            <w:hideMark/>
          </w:tcPr>
          <w:p w14:paraId="4ADDA74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C95257A"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6488B912"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C30CC17"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2712856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451E82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0CB77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8AEED8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DBE7A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AD54C4D"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3544D4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vAlign w:val="bottom"/>
            <w:hideMark/>
          </w:tcPr>
          <w:p w14:paraId="2C9057A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държавните резерви, военновременните запаси и задължителните запаси от нефт и нефтопродукти (общо), в т.ч.:</w:t>
            </w:r>
          </w:p>
        </w:tc>
        <w:tc>
          <w:tcPr>
            <w:tcW w:w="2178" w:type="dxa"/>
            <w:tcBorders>
              <w:top w:val="nil"/>
              <w:left w:val="single" w:sz="4" w:space="0" w:color="auto"/>
              <w:bottom w:val="nil"/>
              <w:right w:val="single" w:sz="4" w:space="0" w:color="auto"/>
            </w:tcBorders>
            <w:shd w:val="clear" w:color="auto" w:fill="auto"/>
            <w:noWrap/>
            <w:vAlign w:val="bottom"/>
            <w:hideMark/>
          </w:tcPr>
          <w:p w14:paraId="38803D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78 232,2</w:t>
            </w:r>
          </w:p>
        </w:tc>
      </w:tr>
      <w:tr w:rsidR="00761800" w:rsidRPr="00761800" w14:paraId="2308FA9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3DCE2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1.1.</w:t>
            </w:r>
          </w:p>
        </w:tc>
        <w:tc>
          <w:tcPr>
            <w:tcW w:w="11062" w:type="dxa"/>
            <w:tcBorders>
              <w:top w:val="nil"/>
              <w:left w:val="nil"/>
              <w:bottom w:val="single" w:sz="4" w:space="0" w:color="auto"/>
              <w:right w:val="nil"/>
            </w:tcBorders>
            <w:shd w:val="clear" w:color="auto" w:fill="auto"/>
            <w:vAlign w:val="bottom"/>
            <w:hideMark/>
          </w:tcPr>
          <w:p w14:paraId="5BDF3351"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Бюджетна програма „Държавни резерви и военновременни запаси“</w:t>
            </w:r>
          </w:p>
        </w:tc>
        <w:tc>
          <w:tcPr>
            <w:tcW w:w="2178" w:type="dxa"/>
            <w:tcBorders>
              <w:top w:val="single" w:sz="4" w:space="0" w:color="auto"/>
              <w:left w:val="single" w:sz="4" w:space="0" w:color="auto"/>
              <w:bottom w:val="nil"/>
              <w:right w:val="single" w:sz="4" w:space="0" w:color="auto"/>
            </w:tcBorders>
            <w:shd w:val="clear" w:color="auto" w:fill="auto"/>
            <w:noWrap/>
            <w:vAlign w:val="bottom"/>
            <w:hideMark/>
          </w:tcPr>
          <w:p w14:paraId="1CC094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69 928,0</w:t>
            </w:r>
          </w:p>
        </w:tc>
      </w:tr>
      <w:tr w:rsidR="00761800" w:rsidRPr="00761800" w14:paraId="54D288D7" w14:textId="77777777" w:rsidTr="00406B4D">
        <w:trPr>
          <w:trHeight w:val="555"/>
        </w:trPr>
        <w:tc>
          <w:tcPr>
            <w:tcW w:w="1013" w:type="dxa"/>
            <w:tcBorders>
              <w:top w:val="nil"/>
              <w:left w:val="single" w:sz="4" w:space="0" w:color="auto"/>
              <w:bottom w:val="single" w:sz="4" w:space="0" w:color="auto"/>
              <w:right w:val="single" w:sz="4" w:space="0" w:color="auto"/>
            </w:tcBorders>
            <w:shd w:val="clear" w:color="auto" w:fill="auto"/>
            <w:noWrap/>
            <w:hideMark/>
          </w:tcPr>
          <w:p w14:paraId="2A8188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1.2.</w:t>
            </w:r>
          </w:p>
        </w:tc>
        <w:tc>
          <w:tcPr>
            <w:tcW w:w="11062" w:type="dxa"/>
            <w:tcBorders>
              <w:top w:val="nil"/>
              <w:left w:val="nil"/>
              <w:bottom w:val="single" w:sz="4" w:space="0" w:color="auto"/>
              <w:right w:val="nil"/>
            </w:tcBorders>
            <w:shd w:val="clear" w:color="auto" w:fill="auto"/>
            <w:vAlign w:val="bottom"/>
            <w:hideMark/>
          </w:tcPr>
          <w:p w14:paraId="46684C86"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Бюджетна програма „Запаси за извънредни ситуации от нефт и нефтопродукти и целеви запаси от нефтопродукти“</w:t>
            </w:r>
          </w:p>
        </w:tc>
        <w:tc>
          <w:tcPr>
            <w:tcW w:w="2178" w:type="dxa"/>
            <w:tcBorders>
              <w:top w:val="single" w:sz="4" w:space="0" w:color="auto"/>
              <w:left w:val="single" w:sz="4" w:space="0" w:color="auto"/>
              <w:bottom w:val="nil"/>
              <w:right w:val="single" w:sz="4" w:space="0" w:color="auto"/>
            </w:tcBorders>
            <w:shd w:val="clear" w:color="auto" w:fill="auto"/>
            <w:noWrap/>
            <w:vAlign w:val="bottom"/>
            <w:hideMark/>
          </w:tcPr>
          <w:p w14:paraId="2A4C86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8 304,2</w:t>
            </w:r>
          </w:p>
        </w:tc>
      </w:tr>
      <w:tr w:rsidR="00761800" w:rsidRPr="00761800" w14:paraId="2A2C041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BD894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EB63D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6051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78 232,2</w:t>
            </w:r>
          </w:p>
        </w:tc>
      </w:tr>
      <w:tr w:rsidR="00761800" w:rsidRPr="00761800" w14:paraId="4FB57A5E" w14:textId="77777777" w:rsidTr="00406B4D">
        <w:trPr>
          <w:trHeight w:val="300"/>
        </w:trPr>
        <w:tc>
          <w:tcPr>
            <w:tcW w:w="1013" w:type="dxa"/>
            <w:tcBorders>
              <w:top w:val="nil"/>
              <w:left w:val="nil"/>
              <w:bottom w:val="nil"/>
              <w:right w:val="nil"/>
            </w:tcBorders>
            <w:shd w:val="clear" w:color="auto" w:fill="auto"/>
            <w:noWrap/>
            <w:vAlign w:val="bottom"/>
            <w:hideMark/>
          </w:tcPr>
          <w:p w14:paraId="75A5D70B"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7637C86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550F86DC" w14:textId="77777777" w:rsidR="00761800" w:rsidRPr="00761800" w:rsidRDefault="00761800" w:rsidP="00761800">
            <w:pPr>
              <w:rPr>
                <w:rFonts w:ascii="Times New Roman" w:hAnsi="Times New Roman"/>
                <w:sz w:val="20"/>
                <w:lang w:eastAsia="bg-BG"/>
              </w:rPr>
            </w:pPr>
          </w:p>
        </w:tc>
      </w:tr>
      <w:tr w:rsidR="00761800" w:rsidRPr="00761800" w14:paraId="08580BDB" w14:textId="77777777" w:rsidTr="00406B4D">
        <w:trPr>
          <w:trHeight w:val="585"/>
        </w:trPr>
        <w:tc>
          <w:tcPr>
            <w:tcW w:w="14253" w:type="dxa"/>
            <w:gridSpan w:val="3"/>
            <w:tcBorders>
              <w:top w:val="nil"/>
              <w:left w:val="nil"/>
              <w:bottom w:val="nil"/>
              <w:right w:val="nil"/>
            </w:tcBorders>
            <w:shd w:val="clear" w:color="auto" w:fill="auto"/>
            <w:hideMark/>
          </w:tcPr>
          <w:p w14:paraId="002436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Държавната агенция „Държавен резерв и военновременни запаси“, както следва:</w:t>
            </w:r>
          </w:p>
        </w:tc>
      </w:tr>
      <w:tr w:rsidR="00761800" w:rsidRPr="00761800" w14:paraId="39DAE109"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4CB83D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E8C8DB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71252A7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4729A3B5"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1CF7ECF7"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E4A7946"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3A1B5F7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D6DFC4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37A23E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FC13EC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39104B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B2B9D8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74F5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44F866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8882C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69 998,2</w:t>
            </w:r>
          </w:p>
        </w:tc>
      </w:tr>
      <w:tr w:rsidR="00761800" w:rsidRPr="00761800" w14:paraId="46F6F6C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346EA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529E51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EABFC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69 160,0</w:t>
            </w:r>
          </w:p>
        </w:tc>
      </w:tr>
      <w:tr w:rsidR="00761800" w:rsidRPr="00761800" w14:paraId="7DF40421" w14:textId="77777777" w:rsidTr="00406B4D">
        <w:trPr>
          <w:trHeight w:val="56"/>
        </w:trPr>
        <w:tc>
          <w:tcPr>
            <w:tcW w:w="1013" w:type="dxa"/>
            <w:tcBorders>
              <w:top w:val="nil"/>
              <w:left w:val="nil"/>
              <w:bottom w:val="nil"/>
              <w:right w:val="nil"/>
            </w:tcBorders>
            <w:shd w:val="clear" w:color="auto" w:fill="auto"/>
            <w:noWrap/>
            <w:vAlign w:val="bottom"/>
            <w:hideMark/>
          </w:tcPr>
          <w:p w14:paraId="0B674B94"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14CB2138"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4FC61A83" w14:textId="77777777" w:rsidR="00761800" w:rsidRPr="00761800" w:rsidRDefault="00761800" w:rsidP="00761800">
            <w:pPr>
              <w:rPr>
                <w:rFonts w:ascii="Times New Roman" w:hAnsi="Times New Roman"/>
                <w:sz w:val="20"/>
                <w:lang w:eastAsia="bg-BG"/>
              </w:rPr>
            </w:pPr>
          </w:p>
        </w:tc>
      </w:tr>
      <w:tr w:rsidR="00761800" w:rsidRPr="00761800" w14:paraId="210D8330" w14:textId="77777777" w:rsidTr="00406B4D">
        <w:trPr>
          <w:trHeight w:val="878"/>
        </w:trPr>
        <w:tc>
          <w:tcPr>
            <w:tcW w:w="14253" w:type="dxa"/>
            <w:gridSpan w:val="3"/>
            <w:tcBorders>
              <w:top w:val="nil"/>
              <w:left w:val="nil"/>
              <w:bottom w:val="nil"/>
              <w:right w:val="nil"/>
            </w:tcBorders>
            <w:shd w:val="clear" w:color="auto" w:fill="auto"/>
            <w:vAlign w:val="bottom"/>
            <w:hideMark/>
          </w:tcPr>
          <w:p w14:paraId="154F5F73" w14:textId="77777777" w:rsidR="00761800" w:rsidRPr="00761800" w:rsidRDefault="00761800" w:rsidP="00761800">
            <w:pPr>
              <w:jc w:val="both"/>
              <w:rPr>
                <w:rFonts w:ascii="Times New Roman" w:hAnsi="Times New Roman"/>
                <w:sz w:val="22"/>
                <w:szCs w:val="22"/>
                <w:lang w:eastAsia="bg-BG"/>
              </w:rPr>
            </w:pPr>
            <w:r w:rsidRPr="00761800">
              <w:rPr>
                <w:rFonts w:ascii="Times New Roman" w:hAnsi="Times New Roman"/>
                <w:sz w:val="22"/>
                <w:szCs w:val="22"/>
                <w:lang w:eastAsia="bg-BG"/>
              </w:rPr>
              <w:lastRenderedPageBreak/>
              <w:t>(4) Размерът на показателите по ал. 3 може да бъде увеличен до размера на договорите, свързани с покупко-продажбата по поддържане и обновяване на държавния резерв. Председателят на агенцията уведомява министъра на финансите за извършените промени на показателите по ал. 3 по реда на чл. 112, ал. 2 и ал. 8 от Закона за публичните финанси.</w:t>
            </w:r>
          </w:p>
        </w:tc>
      </w:tr>
      <w:tr w:rsidR="00761800" w:rsidRPr="00761800" w14:paraId="5FE4DE28" w14:textId="77777777" w:rsidTr="00406B4D">
        <w:trPr>
          <w:trHeight w:val="300"/>
        </w:trPr>
        <w:tc>
          <w:tcPr>
            <w:tcW w:w="1013" w:type="dxa"/>
            <w:tcBorders>
              <w:top w:val="nil"/>
              <w:left w:val="nil"/>
              <w:bottom w:val="nil"/>
              <w:right w:val="nil"/>
            </w:tcBorders>
            <w:shd w:val="clear" w:color="auto" w:fill="auto"/>
            <w:vAlign w:val="bottom"/>
            <w:hideMark/>
          </w:tcPr>
          <w:p w14:paraId="1E6E9C0F" w14:textId="77777777" w:rsidR="00761800" w:rsidRPr="00761800" w:rsidRDefault="00761800" w:rsidP="00761800">
            <w:pPr>
              <w:jc w:val="both"/>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1465BA34"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1DA50CB3" w14:textId="77777777" w:rsidR="00761800" w:rsidRPr="00761800" w:rsidRDefault="00761800" w:rsidP="00761800">
            <w:pPr>
              <w:rPr>
                <w:rFonts w:ascii="Times New Roman" w:hAnsi="Times New Roman"/>
                <w:sz w:val="20"/>
                <w:lang w:eastAsia="bg-BG"/>
              </w:rPr>
            </w:pPr>
          </w:p>
        </w:tc>
      </w:tr>
      <w:tr w:rsidR="00761800" w:rsidRPr="00761800" w14:paraId="230EA381" w14:textId="77777777" w:rsidTr="00406B4D">
        <w:trPr>
          <w:trHeight w:val="300"/>
        </w:trPr>
        <w:tc>
          <w:tcPr>
            <w:tcW w:w="14253" w:type="dxa"/>
            <w:gridSpan w:val="3"/>
            <w:tcBorders>
              <w:top w:val="nil"/>
              <w:left w:val="nil"/>
              <w:bottom w:val="nil"/>
              <w:right w:val="nil"/>
            </w:tcBorders>
            <w:shd w:val="clear" w:color="auto" w:fill="auto"/>
            <w:vAlign w:val="bottom"/>
            <w:hideMark/>
          </w:tcPr>
          <w:p w14:paraId="6A2B880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42.</w:t>
            </w:r>
            <w:r w:rsidRPr="00761800">
              <w:rPr>
                <w:rFonts w:ascii="Times New Roman" w:hAnsi="Times New Roman"/>
                <w:color w:val="000000"/>
                <w:sz w:val="22"/>
                <w:szCs w:val="22"/>
                <w:lang w:eastAsia="bg-BG"/>
              </w:rPr>
              <w:t xml:space="preserve"> (1) Приема бюджета на Комисията за финансов надзор за 2026 г., както следва:</w:t>
            </w:r>
          </w:p>
        </w:tc>
      </w:tr>
      <w:tr w:rsidR="00761800" w:rsidRPr="00761800" w14:paraId="17876DE3"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3A3445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982559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081B39D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467A7A64"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418F6373"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4E6FF48"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1CDC321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24C082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3B6269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DF36E0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ED025E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B0A625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9E2BC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3A553B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center"/>
            <w:hideMark/>
          </w:tcPr>
          <w:p w14:paraId="72E8E0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17 926,0</w:t>
            </w:r>
          </w:p>
        </w:tc>
      </w:tr>
      <w:tr w:rsidR="00761800" w:rsidRPr="00761800" w14:paraId="64BC714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86B16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0F3F4260"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8E217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17 926,0</w:t>
            </w:r>
          </w:p>
        </w:tc>
      </w:tr>
      <w:tr w:rsidR="00761800" w:rsidRPr="00761800" w14:paraId="222B95E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C539C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EA781D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Държавни такси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B2CD6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16 392,1</w:t>
            </w:r>
          </w:p>
        </w:tc>
      </w:tr>
      <w:tr w:rsidR="00761800" w:rsidRPr="00761800" w14:paraId="654E4C8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2190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0BB6840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3F3A6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1 533,9</w:t>
            </w:r>
          </w:p>
        </w:tc>
      </w:tr>
      <w:tr w:rsidR="00761800" w:rsidRPr="00761800" w14:paraId="7778C44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7D9F5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4FA2E3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7028A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17 926,0</w:t>
            </w:r>
          </w:p>
        </w:tc>
      </w:tr>
      <w:tr w:rsidR="00761800" w:rsidRPr="00761800" w14:paraId="5B6C504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F0F11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30154094"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A5B4B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16 667,0</w:t>
            </w:r>
          </w:p>
        </w:tc>
      </w:tr>
      <w:tr w:rsidR="00761800" w:rsidRPr="00761800" w14:paraId="2792AAA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54FB6E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E28042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034E0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2C2DC1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0A8FE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2E35022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29F42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10 873,9</w:t>
            </w:r>
          </w:p>
        </w:tc>
      </w:tr>
      <w:tr w:rsidR="00761800" w:rsidRPr="00761800" w14:paraId="622DBC5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881DE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694A8253"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A7694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1 259,0</w:t>
            </w:r>
          </w:p>
        </w:tc>
      </w:tr>
      <w:tr w:rsidR="00761800" w:rsidRPr="00761800" w14:paraId="2AEE717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FA01F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0CD77C6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41CB2F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1 259,0</w:t>
            </w:r>
          </w:p>
        </w:tc>
      </w:tr>
      <w:tr w:rsidR="00761800" w:rsidRPr="00761800" w14:paraId="35851CC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8842E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21ECAB4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F7278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D09EAC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EAD5E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6C0A542D"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4C31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CF19D6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08059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570351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560C8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DA2417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C3020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1D6D14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CC1B0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E9773D2" w14:textId="77777777" w:rsidTr="00406B4D">
        <w:trPr>
          <w:trHeight w:val="300"/>
        </w:trPr>
        <w:tc>
          <w:tcPr>
            <w:tcW w:w="1013" w:type="dxa"/>
            <w:tcBorders>
              <w:top w:val="nil"/>
              <w:left w:val="nil"/>
              <w:bottom w:val="nil"/>
              <w:right w:val="nil"/>
            </w:tcBorders>
            <w:shd w:val="clear" w:color="auto" w:fill="auto"/>
            <w:noWrap/>
            <w:vAlign w:val="bottom"/>
            <w:hideMark/>
          </w:tcPr>
          <w:p w14:paraId="44B673EE"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268A5B6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24E19ED7" w14:textId="77777777" w:rsidR="00761800" w:rsidRPr="00761800" w:rsidRDefault="00761800" w:rsidP="00761800">
            <w:pPr>
              <w:rPr>
                <w:rFonts w:ascii="Times New Roman" w:hAnsi="Times New Roman"/>
                <w:sz w:val="20"/>
                <w:lang w:eastAsia="bg-BG"/>
              </w:rPr>
            </w:pPr>
          </w:p>
        </w:tc>
      </w:tr>
      <w:tr w:rsidR="00761800" w:rsidRPr="00761800" w14:paraId="14BCA3F9"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134337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57F7EDC0"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EB480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437BDD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397BA86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1A2F98D"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5D68CE64"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18C2C4E5"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0308549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E86E1B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44C93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8BDE1A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86841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198A51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78EF9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32F3AA6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„Регулация и надзор на небанковия финансов сектор“</w:t>
            </w:r>
          </w:p>
        </w:tc>
        <w:tc>
          <w:tcPr>
            <w:tcW w:w="2178" w:type="dxa"/>
            <w:tcBorders>
              <w:top w:val="nil"/>
              <w:left w:val="single" w:sz="4" w:space="0" w:color="auto"/>
              <w:bottom w:val="nil"/>
              <w:right w:val="single" w:sz="4" w:space="0" w:color="auto"/>
            </w:tcBorders>
            <w:shd w:val="clear" w:color="auto" w:fill="auto"/>
            <w:noWrap/>
            <w:vAlign w:val="bottom"/>
            <w:hideMark/>
          </w:tcPr>
          <w:p w14:paraId="48DD01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17 926,0</w:t>
            </w:r>
          </w:p>
        </w:tc>
      </w:tr>
      <w:tr w:rsidR="00761800" w:rsidRPr="00761800" w14:paraId="2464A7F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80195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FD43A2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C735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17 926,0</w:t>
            </w:r>
          </w:p>
        </w:tc>
      </w:tr>
      <w:tr w:rsidR="00761800" w:rsidRPr="00761800" w14:paraId="5953E3BA" w14:textId="77777777" w:rsidTr="00406B4D">
        <w:trPr>
          <w:trHeight w:val="300"/>
        </w:trPr>
        <w:tc>
          <w:tcPr>
            <w:tcW w:w="1013" w:type="dxa"/>
            <w:tcBorders>
              <w:top w:val="nil"/>
              <w:left w:val="nil"/>
              <w:bottom w:val="nil"/>
              <w:right w:val="nil"/>
            </w:tcBorders>
            <w:shd w:val="clear" w:color="auto" w:fill="auto"/>
            <w:noWrap/>
            <w:vAlign w:val="bottom"/>
            <w:hideMark/>
          </w:tcPr>
          <w:p w14:paraId="448D6E26"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0C78E76"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2B0F281" w14:textId="77777777" w:rsidR="00761800" w:rsidRPr="00761800" w:rsidRDefault="00761800" w:rsidP="00761800">
            <w:pPr>
              <w:rPr>
                <w:rFonts w:ascii="Times New Roman" w:hAnsi="Times New Roman"/>
                <w:sz w:val="20"/>
                <w:lang w:eastAsia="bg-BG"/>
              </w:rPr>
            </w:pPr>
          </w:p>
        </w:tc>
      </w:tr>
      <w:tr w:rsidR="00761800" w:rsidRPr="00761800" w14:paraId="76A78AAF" w14:textId="77777777" w:rsidTr="00406B4D">
        <w:trPr>
          <w:trHeight w:val="585"/>
        </w:trPr>
        <w:tc>
          <w:tcPr>
            <w:tcW w:w="14253" w:type="dxa"/>
            <w:gridSpan w:val="3"/>
            <w:tcBorders>
              <w:top w:val="nil"/>
              <w:left w:val="nil"/>
              <w:bottom w:val="nil"/>
              <w:right w:val="nil"/>
            </w:tcBorders>
            <w:shd w:val="clear" w:color="auto" w:fill="auto"/>
            <w:hideMark/>
          </w:tcPr>
          <w:p w14:paraId="02544A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Комисията за финансов надзор, както следва:</w:t>
            </w:r>
          </w:p>
        </w:tc>
      </w:tr>
      <w:tr w:rsidR="00761800" w:rsidRPr="00761800" w14:paraId="3AC7AE7D"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4804D9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92E827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2850B1F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11AEA2D7"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197DCAE1"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09DCC892"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760750A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EFE48F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3A9C9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397B09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D5E8AC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CB1AFE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C42C5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58B237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80BED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9 013,3</w:t>
            </w:r>
          </w:p>
        </w:tc>
      </w:tr>
      <w:tr w:rsidR="00761800" w:rsidRPr="00761800" w14:paraId="4C1DD8B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7B5D8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36361D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50F6E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7 018,9</w:t>
            </w:r>
          </w:p>
        </w:tc>
      </w:tr>
      <w:tr w:rsidR="00761800" w:rsidRPr="00761800" w14:paraId="4CEBA739" w14:textId="77777777" w:rsidTr="00406B4D">
        <w:trPr>
          <w:trHeight w:val="300"/>
        </w:trPr>
        <w:tc>
          <w:tcPr>
            <w:tcW w:w="1013" w:type="dxa"/>
            <w:tcBorders>
              <w:top w:val="nil"/>
              <w:left w:val="nil"/>
              <w:bottom w:val="nil"/>
              <w:right w:val="nil"/>
            </w:tcBorders>
            <w:shd w:val="clear" w:color="auto" w:fill="auto"/>
            <w:vAlign w:val="bottom"/>
            <w:hideMark/>
          </w:tcPr>
          <w:p w14:paraId="30101E61"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756A3BA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077FCD17" w14:textId="77777777" w:rsidR="00761800" w:rsidRPr="00761800" w:rsidRDefault="00761800" w:rsidP="00761800">
            <w:pPr>
              <w:rPr>
                <w:rFonts w:ascii="Times New Roman" w:hAnsi="Times New Roman"/>
                <w:sz w:val="20"/>
                <w:lang w:eastAsia="bg-BG"/>
              </w:rPr>
            </w:pPr>
          </w:p>
        </w:tc>
      </w:tr>
      <w:tr w:rsidR="00761800" w:rsidRPr="00761800" w14:paraId="17D0D6DF" w14:textId="77777777" w:rsidTr="00406B4D">
        <w:trPr>
          <w:trHeight w:val="300"/>
        </w:trPr>
        <w:tc>
          <w:tcPr>
            <w:tcW w:w="14253" w:type="dxa"/>
            <w:gridSpan w:val="3"/>
            <w:tcBorders>
              <w:top w:val="nil"/>
              <w:left w:val="nil"/>
              <w:bottom w:val="nil"/>
              <w:right w:val="nil"/>
            </w:tcBorders>
            <w:shd w:val="clear" w:color="auto" w:fill="auto"/>
            <w:vAlign w:val="bottom"/>
            <w:hideMark/>
          </w:tcPr>
          <w:p w14:paraId="077B1492"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43.</w:t>
            </w:r>
            <w:r w:rsidRPr="00761800">
              <w:rPr>
                <w:rFonts w:ascii="Times New Roman" w:hAnsi="Times New Roman"/>
                <w:color w:val="000000"/>
                <w:sz w:val="22"/>
                <w:szCs w:val="22"/>
                <w:lang w:eastAsia="bg-BG"/>
              </w:rPr>
              <w:t xml:space="preserve"> (1) Приема бюджета на Комисията за публичен надзор над регистрираните одитори за 2026 г., както следва:</w:t>
            </w:r>
          </w:p>
        </w:tc>
      </w:tr>
      <w:tr w:rsidR="00761800" w:rsidRPr="00761800" w14:paraId="399FAC59"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1CFD47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D16E6E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52A5B1B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48FA8FE3"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DA39744"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47EEE9BD"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3389CFE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E696B9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F6EDAA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AC7BED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BF12D7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98A68C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D527A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102881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CF54C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484C08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E35A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16237F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AE6D4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1 465,6</w:t>
            </w:r>
          </w:p>
        </w:tc>
      </w:tr>
      <w:tr w:rsidR="00761800" w:rsidRPr="00761800" w14:paraId="3E57D39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3DAC8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5B59C877"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E6C5D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1 451,8</w:t>
            </w:r>
          </w:p>
        </w:tc>
      </w:tr>
      <w:tr w:rsidR="00761800" w:rsidRPr="00761800" w14:paraId="4BC94E3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A5C6E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6FB313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D9B59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5436B4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4CBB6E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634AAF7"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D8F80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1 228,2</w:t>
            </w:r>
          </w:p>
        </w:tc>
      </w:tr>
      <w:tr w:rsidR="00761800" w:rsidRPr="00761800" w14:paraId="065DB3E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67661C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0691B583"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EED08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w:t>
            </w:r>
          </w:p>
        </w:tc>
      </w:tr>
      <w:tr w:rsidR="00761800" w:rsidRPr="00761800" w14:paraId="514F422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3CB7D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409CAC3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5587AE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w:t>
            </w:r>
          </w:p>
        </w:tc>
      </w:tr>
      <w:tr w:rsidR="00761800" w:rsidRPr="00761800" w14:paraId="47C4A28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8A963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454E98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32E06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1 465,6</w:t>
            </w:r>
          </w:p>
        </w:tc>
      </w:tr>
      <w:tr w:rsidR="00761800" w:rsidRPr="00761800" w14:paraId="1F6B565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D9CCF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63D7A1CB"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266DE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1 465,6</w:t>
            </w:r>
          </w:p>
        </w:tc>
      </w:tr>
      <w:tr w:rsidR="00761800" w:rsidRPr="00761800" w14:paraId="692AB4F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3DB1E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382223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BACB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54075B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66E75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76AAFB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88584B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BAC6166" w14:textId="77777777" w:rsidTr="00406B4D">
        <w:trPr>
          <w:trHeight w:val="300"/>
        </w:trPr>
        <w:tc>
          <w:tcPr>
            <w:tcW w:w="1013" w:type="dxa"/>
            <w:tcBorders>
              <w:top w:val="nil"/>
              <w:left w:val="nil"/>
              <w:bottom w:val="nil"/>
              <w:right w:val="nil"/>
            </w:tcBorders>
            <w:shd w:val="clear" w:color="auto" w:fill="auto"/>
            <w:noWrap/>
            <w:vAlign w:val="bottom"/>
            <w:hideMark/>
          </w:tcPr>
          <w:p w14:paraId="24F080D0"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98A8028"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11635B25" w14:textId="77777777" w:rsidR="00761800" w:rsidRPr="00761800" w:rsidRDefault="00761800" w:rsidP="00761800">
            <w:pPr>
              <w:rPr>
                <w:rFonts w:ascii="Times New Roman" w:hAnsi="Times New Roman"/>
                <w:sz w:val="20"/>
                <w:lang w:eastAsia="bg-BG"/>
              </w:rPr>
            </w:pPr>
          </w:p>
        </w:tc>
      </w:tr>
      <w:tr w:rsidR="00761800" w:rsidRPr="00761800" w14:paraId="0E7CC4F6"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0F21606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2F1FBC5B"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39CCDE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94347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7DAE9F3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8400705"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6F89B6C3"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11355087"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455EFDE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596B2AE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B5A45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11C9A9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62E15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6382FD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58F1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1.</w:t>
            </w:r>
          </w:p>
        </w:tc>
        <w:tc>
          <w:tcPr>
            <w:tcW w:w="11062" w:type="dxa"/>
            <w:tcBorders>
              <w:top w:val="nil"/>
              <w:left w:val="nil"/>
              <w:bottom w:val="single" w:sz="4" w:space="0" w:color="auto"/>
              <w:right w:val="nil"/>
            </w:tcBorders>
            <w:shd w:val="clear" w:color="auto" w:fill="auto"/>
            <w:hideMark/>
          </w:tcPr>
          <w:p w14:paraId="1248B1E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„Осъществяване на публичен надзор над регистрираните одитори“</w:t>
            </w:r>
          </w:p>
        </w:tc>
        <w:tc>
          <w:tcPr>
            <w:tcW w:w="2178" w:type="dxa"/>
            <w:tcBorders>
              <w:top w:val="nil"/>
              <w:left w:val="single" w:sz="4" w:space="0" w:color="auto"/>
              <w:bottom w:val="nil"/>
              <w:right w:val="single" w:sz="4" w:space="0" w:color="auto"/>
            </w:tcBorders>
            <w:shd w:val="clear" w:color="auto" w:fill="auto"/>
            <w:noWrap/>
            <w:vAlign w:val="bottom"/>
            <w:hideMark/>
          </w:tcPr>
          <w:p w14:paraId="09DEDF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1 465,6</w:t>
            </w:r>
          </w:p>
        </w:tc>
      </w:tr>
      <w:tr w:rsidR="00761800" w:rsidRPr="00761800" w14:paraId="3E60735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48F26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2BEA1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34B0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1 465,6</w:t>
            </w:r>
          </w:p>
        </w:tc>
      </w:tr>
      <w:tr w:rsidR="00761800" w:rsidRPr="00761800" w14:paraId="4E189A8D" w14:textId="77777777" w:rsidTr="00406B4D">
        <w:trPr>
          <w:trHeight w:val="300"/>
        </w:trPr>
        <w:tc>
          <w:tcPr>
            <w:tcW w:w="1013" w:type="dxa"/>
            <w:tcBorders>
              <w:top w:val="nil"/>
              <w:left w:val="nil"/>
              <w:bottom w:val="nil"/>
              <w:right w:val="nil"/>
            </w:tcBorders>
            <w:shd w:val="clear" w:color="auto" w:fill="auto"/>
            <w:noWrap/>
            <w:vAlign w:val="bottom"/>
            <w:hideMark/>
          </w:tcPr>
          <w:p w14:paraId="1535266C"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30FCCF6"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0036B70A" w14:textId="77777777" w:rsidR="00761800" w:rsidRPr="00761800" w:rsidRDefault="00761800" w:rsidP="00761800">
            <w:pPr>
              <w:rPr>
                <w:rFonts w:ascii="Times New Roman" w:hAnsi="Times New Roman"/>
                <w:sz w:val="20"/>
                <w:lang w:eastAsia="bg-BG"/>
              </w:rPr>
            </w:pPr>
          </w:p>
        </w:tc>
      </w:tr>
      <w:tr w:rsidR="00761800" w:rsidRPr="00761800" w14:paraId="64DA05C8" w14:textId="77777777" w:rsidTr="00406B4D">
        <w:trPr>
          <w:trHeight w:val="542"/>
        </w:trPr>
        <w:tc>
          <w:tcPr>
            <w:tcW w:w="14253" w:type="dxa"/>
            <w:gridSpan w:val="3"/>
            <w:tcBorders>
              <w:top w:val="nil"/>
              <w:left w:val="nil"/>
              <w:bottom w:val="single" w:sz="4" w:space="0" w:color="auto"/>
              <w:right w:val="nil"/>
            </w:tcBorders>
            <w:shd w:val="clear" w:color="auto" w:fill="auto"/>
            <w:hideMark/>
          </w:tcPr>
          <w:p w14:paraId="20EDFB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Комисията за публичен надзор над регистрираните одитори, както следва:</w:t>
            </w:r>
          </w:p>
        </w:tc>
      </w:tr>
      <w:tr w:rsidR="00761800" w:rsidRPr="00761800" w14:paraId="1AB86784"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1CA46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DB8F4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center"/>
            <w:hideMark/>
          </w:tcPr>
          <w:p w14:paraId="6613A54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4F9E2E8"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F67FAD0"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430DB875"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006A318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7B8DE49B" w14:textId="77777777" w:rsidTr="00406B4D">
        <w:trPr>
          <w:trHeight w:val="312"/>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18284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73032E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F1D212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7C95CF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D8808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36C9F2F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C7AA2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240,3</w:t>
            </w:r>
          </w:p>
        </w:tc>
      </w:tr>
      <w:tr w:rsidR="00761800" w:rsidRPr="00761800" w14:paraId="34C8721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2FFC4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3910DE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72801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236,0</w:t>
            </w:r>
          </w:p>
        </w:tc>
      </w:tr>
      <w:tr w:rsidR="00761800" w:rsidRPr="00761800" w14:paraId="6B8C8F69" w14:textId="77777777" w:rsidTr="00406B4D">
        <w:trPr>
          <w:trHeight w:val="70"/>
        </w:trPr>
        <w:tc>
          <w:tcPr>
            <w:tcW w:w="1013" w:type="dxa"/>
            <w:tcBorders>
              <w:top w:val="nil"/>
              <w:left w:val="nil"/>
              <w:bottom w:val="nil"/>
              <w:right w:val="nil"/>
            </w:tcBorders>
            <w:shd w:val="clear" w:color="auto" w:fill="auto"/>
            <w:vAlign w:val="bottom"/>
            <w:hideMark/>
          </w:tcPr>
          <w:p w14:paraId="08CEF159"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060D8DE5"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51094443" w14:textId="77777777" w:rsidR="00761800" w:rsidRPr="00761800" w:rsidRDefault="00761800" w:rsidP="00761800">
            <w:pPr>
              <w:rPr>
                <w:rFonts w:ascii="Times New Roman" w:hAnsi="Times New Roman"/>
                <w:sz w:val="20"/>
                <w:lang w:eastAsia="bg-BG"/>
              </w:rPr>
            </w:pPr>
          </w:p>
        </w:tc>
      </w:tr>
      <w:tr w:rsidR="00761800" w:rsidRPr="00761800" w14:paraId="1DB599DC" w14:textId="77777777" w:rsidTr="00406B4D">
        <w:trPr>
          <w:trHeight w:val="300"/>
        </w:trPr>
        <w:tc>
          <w:tcPr>
            <w:tcW w:w="14253" w:type="dxa"/>
            <w:gridSpan w:val="3"/>
            <w:tcBorders>
              <w:top w:val="nil"/>
              <w:left w:val="nil"/>
              <w:bottom w:val="nil"/>
              <w:right w:val="nil"/>
            </w:tcBorders>
            <w:shd w:val="clear" w:color="auto" w:fill="auto"/>
            <w:vAlign w:val="bottom"/>
            <w:hideMark/>
          </w:tcPr>
          <w:p w14:paraId="0A669D84"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44.</w:t>
            </w:r>
            <w:r w:rsidRPr="00761800">
              <w:rPr>
                <w:rFonts w:ascii="Times New Roman" w:hAnsi="Times New Roman"/>
                <w:color w:val="000000"/>
                <w:sz w:val="22"/>
                <w:szCs w:val="22"/>
                <w:lang w:eastAsia="bg-BG"/>
              </w:rPr>
              <w:t xml:space="preserve"> (1) Приема бюджета на Централната избирателна комисия за 2026 г., както следва:</w:t>
            </w:r>
          </w:p>
        </w:tc>
      </w:tr>
      <w:tr w:rsidR="00761800" w:rsidRPr="00761800" w14:paraId="663E4A09"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ADC5CA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2DB09F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381A5BB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8F977A7"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7EAB1614"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047B032B"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7E352C8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24CF7D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570286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ACA85A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676454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0E1693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DCC79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384BC2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D6EDB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567216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28EC0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498EB1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248FE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3 792,5</w:t>
            </w:r>
          </w:p>
        </w:tc>
      </w:tr>
      <w:tr w:rsidR="00761800" w:rsidRPr="00761800" w14:paraId="05D4816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0787B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49159962"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CAA21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3 757,5</w:t>
            </w:r>
          </w:p>
        </w:tc>
      </w:tr>
      <w:tr w:rsidR="00761800" w:rsidRPr="00761800" w14:paraId="0F63D6C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475D6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7A3F41E"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D91E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A11095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43397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A4C3D8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9E10F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3 023,3</w:t>
            </w:r>
          </w:p>
        </w:tc>
      </w:tr>
      <w:tr w:rsidR="00761800" w:rsidRPr="00761800" w14:paraId="69A3183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AA04B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727AD2D6"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CF763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35,0</w:t>
            </w:r>
          </w:p>
        </w:tc>
      </w:tr>
      <w:tr w:rsidR="00761800" w:rsidRPr="00761800" w14:paraId="06A40AA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0E5FD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0234748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31683A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35,0</w:t>
            </w:r>
          </w:p>
        </w:tc>
      </w:tr>
      <w:tr w:rsidR="00761800" w:rsidRPr="00761800" w14:paraId="56C1587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E38E2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4768BA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7BD5D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3 792,5</w:t>
            </w:r>
          </w:p>
        </w:tc>
      </w:tr>
      <w:tr w:rsidR="00761800" w:rsidRPr="00761800" w14:paraId="2990E6C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26B10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705AD38B"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725E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3 792,5</w:t>
            </w:r>
          </w:p>
        </w:tc>
      </w:tr>
      <w:tr w:rsidR="00761800" w:rsidRPr="00761800" w14:paraId="0610B1A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6F270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0DD6BE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244021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8EA9E8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97D0F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5DD0D6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FC022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5A7361F" w14:textId="77777777" w:rsidTr="00406B4D">
        <w:trPr>
          <w:trHeight w:val="70"/>
        </w:trPr>
        <w:tc>
          <w:tcPr>
            <w:tcW w:w="1013" w:type="dxa"/>
            <w:tcBorders>
              <w:top w:val="nil"/>
              <w:left w:val="nil"/>
              <w:bottom w:val="nil"/>
              <w:right w:val="nil"/>
            </w:tcBorders>
            <w:shd w:val="clear" w:color="auto" w:fill="auto"/>
            <w:noWrap/>
            <w:vAlign w:val="bottom"/>
            <w:hideMark/>
          </w:tcPr>
          <w:p w14:paraId="5BD0D758"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75E22242"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7F492F44" w14:textId="77777777" w:rsidR="00761800" w:rsidRPr="00761800" w:rsidRDefault="00761800" w:rsidP="00761800">
            <w:pPr>
              <w:rPr>
                <w:rFonts w:ascii="Times New Roman" w:hAnsi="Times New Roman"/>
                <w:sz w:val="20"/>
                <w:lang w:eastAsia="bg-BG"/>
              </w:rPr>
            </w:pPr>
          </w:p>
        </w:tc>
      </w:tr>
      <w:tr w:rsidR="00761800" w:rsidRPr="00761800" w14:paraId="62C9EA04"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6AD404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4FF7B089"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72393D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AEC5B2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4871C74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B530FFF"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6C3C5042"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0DFE1AB"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07E15A5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941245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C998E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9F95E2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F1DA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7B863E3F"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631C49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4F3394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„Организиране и произвеждане на законосъобразни, честни и свободни избори и национални референдуми“</w:t>
            </w:r>
          </w:p>
        </w:tc>
        <w:tc>
          <w:tcPr>
            <w:tcW w:w="2178" w:type="dxa"/>
            <w:tcBorders>
              <w:top w:val="nil"/>
              <w:left w:val="single" w:sz="4" w:space="0" w:color="auto"/>
              <w:bottom w:val="nil"/>
              <w:right w:val="single" w:sz="4" w:space="0" w:color="auto"/>
            </w:tcBorders>
            <w:shd w:val="clear" w:color="auto" w:fill="auto"/>
            <w:noWrap/>
            <w:vAlign w:val="bottom"/>
            <w:hideMark/>
          </w:tcPr>
          <w:p w14:paraId="08E2AF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3 792,5</w:t>
            </w:r>
          </w:p>
        </w:tc>
      </w:tr>
      <w:tr w:rsidR="00761800" w:rsidRPr="00761800" w14:paraId="34BBB1A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80EDF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DA927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5B5A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3 792,5</w:t>
            </w:r>
          </w:p>
        </w:tc>
      </w:tr>
      <w:tr w:rsidR="00761800" w:rsidRPr="00761800" w14:paraId="3F30DBA4" w14:textId="77777777" w:rsidTr="00406B4D">
        <w:trPr>
          <w:trHeight w:val="300"/>
        </w:trPr>
        <w:tc>
          <w:tcPr>
            <w:tcW w:w="1013" w:type="dxa"/>
            <w:tcBorders>
              <w:top w:val="nil"/>
              <w:left w:val="nil"/>
              <w:bottom w:val="nil"/>
              <w:right w:val="nil"/>
            </w:tcBorders>
            <w:shd w:val="clear" w:color="auto" w:fill="auto"/>
            <w:noWrap/>
            <w:vAlign w:val="bottom"/>
            <w:hideMark/>
          </w:tcPr>
          <w:p w14:paraId="1F9C1EA1"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434FC5BA"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66615619" w14:textId="77777777" w:rsidR="00761800" w:rsidRPr="00761800" w:rsidRDefault="00761800" w:rsidP="00761800">
            <w:pPr>
              <w:rPr>
                <w:rFonts w:ascii="Times New Roman" w:hAnsi="Times New Roman"/>
                <w:sz w:val="20"/>
                <w:lang w:eastAsia="bg-BG"/>
              </w:rPr>
            </w:pPr>
          </w:p>
        </w:tc>
      </w:tr>
      <w:tr w:rsidR="00761800" w:rsidRPr="00761800" w14:paraId="1B419749" w14:textId="77777777" w:rsidTr="00406B4D">
        <w:trPr>
          <w:trHeight w:val="612"/>
        </w:trPr>
        <w:tc>
          <w:tcPr>
            <w:tcW w:w="14253" w:type="dxa"/>
            <w:gridSpan w:val="3"/>
            <w:tcBorders>
              <w:top w:val="nil"/>
              <w:left w:val="nil"/>
              <w:bottom w:val="single" w:sz="4" w:space="0" w:color="auto"/>
              <w:right w:val="nil"/>
            </w:tcBorders>
            <w:shd w:val="clear" w:color="auto" w:fill="auto"/>
            <w:hideMark/>
          </w:tcPr>
          <w:p w14:paraId="506705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Централната избирателна комисия, както следва:</w:t>
            </w:r>
          </w:p>
        </w:tc>
      </w:tr>
      <w:tr w:rsidR="00761800" w:rsidRPr="00761800" w14:paraId="08EF0F1A"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558AF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C1B99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center"/>
            <w:hideMark/>
          </w:tcPr>
          <w:p w14:paraId="0CFAB49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0113464"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62310CA"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1A48060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581B081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C78E3C5" w14:textId="77777777" w:rsidTr="00406B4D">
        <w:trPr>
          <w:trHeight w:val="128"/>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F13AD5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0EE4B6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CFBC5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209361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4C6BC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274231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17DCC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623,6</w:t>
            </w:r>
          </w:p>
        </w:tc>
      </w:tr>
      <w:tr w:rsidR="00761800" w:rsidRPr="00761800" w14:paraId="346C0B2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66CA2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40912E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CAD03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768,7</w:t>
            </w:r>
          </w:p>
        </w:tc>
      </w:tr>
      <w:tr w:rsidR="00761800" w:rsidRPr="00761800" w14:paraId="34939777" w14:textId="77777777" w:rsidTr="00406B4D">
        <w:trPr>
          <w:trHeight w:val="300"/>
        </w:trPr>
        <w:tc>
          <w:tcPr>
            <w:tcW w:w="1013" w:type="dxa"/>
            <w:tcBorders>
              <w:top w:val="nil"/>
              <w:left w:val="nil"/>
              <w:bottom w:val="nil"/>
              <w:right w:val="nil"/>
            </w:tcBorders>
            <w:shd w:val="clear" w:color="auto" w:fill="auto"/>
            <w:vAlign w:val="bottom"/>
            <w:hideMark/>
          </w:tcPr>
          <w:p w14:paraId="2FF5E111"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06C81E9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464A89C1" w14:textId="77777777" w:rsidR="00761800" w:rsidRPr="00761800" w:rsidRDefault="00761800" w:rsidP="00761800">
            <w:pPr>
              <w:rPr>
                <w:rFonts w:ascii="Times New Roman" w:hAnsi="Times New Roman"/>
                <w:sz w:val="20"/>
                <w:lang w:eastAsia="bg-BG"/>
              </w:rPr>
            </w:pPr>
          </w:p>
        </w:tc>
      </w:tr>
      <w:tr w:rsidR="00761800" w:rsidRPr="00761800" w14:paraId="6B3DDE31" w14:textId="77777777" w:rsidTr="00406B4D">
        <w:trPr>
          <w:trHeight w:val="300"/>
        </w:trPr>
        <w:tc>
          <w:tcPr>
            <w:tcW w:w="14253" w:type="dxa"/>
            <w:gridSpan w:val="3"/>
            <w:tcBorders>
              <w:top w:val="nil"/>
              <w:left w:val="nil"/>
              <w:bottom w:val="nil"/>
              <w:right w:val="nil"/>
            </w:tcBorders>
            <w:shd w:val="clear" w:color="auto" w:fill="auto"/>
            <w:vAlign w:val="bottom"/>
            <w:hideMark/>
          </w:tcPr>
          <w:p w14:paraId="1D268EB8"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45.</w:t>
            </w:r>
            <w:r w:rsidRPr="00761800">
              <w:rPr>
                <w:rFonts w:ascii="Times New Roman" w:hAnsi="Times New Roman"/>
                <w:color w:val="000000"/>
                <w:sz w:val="22"/>
                <w:szCs w:val="22"/>
                <w:lang w:eastAsia="bg-BG"/>
              </w:rPr>
              <w:t xml:space="preserve"> (1) Приема бюджета на Държавен фонд „Земеделие“ за 2026 г., както следва:</w:t>
            </w:r>
          </w:p>
        </w:tc>
      </w:tr>
      <w:tr w:rsidR="00761800" w:rsidRPr="00761800" w14:paraId="08B59DEA"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F81E43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51D6A9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048F4E2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1C263D6"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A77BD86"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1EAE9B4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2B87548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794E44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97CC35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25E95B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1A30F7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0B44DF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60568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089657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A9C7E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1 533,9</w:t>
            </w:r>
          </w:p>
        </w:tc>
      </w:tr>
      <w:tr w:rsidR="00761800" w:rsidRPr="00761800" w14:paraId="4A75D28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02019D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3A8CBC94"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42B41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1 533,9</w:t>
            </w:r>
          </w:p>
        </w:tc>
      </w:tr>
      <w:tr w:rsidR="00761800" w:rsidRPr="00761800" w14:paraId="77C06A5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51AB3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0C5B8428"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DE9A7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1 148,7</w:t>
            </w:r>
          </w:p>
        </w:tc>
      </w:tr>
      <w:tr w:rsidR="00761800" w:rsidRPr="00761800" w14:paraId="409AB54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BBBFC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65DA0CF5"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92FFA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385,2</w:t>
            </w:r>
          </w:p>
        </w:tc>
      </w:tr>
      <w:tr w:rsidR="00761800" w:rsidRPr="00761800" w14:paraId="25796B9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A2831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42F3EF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3AE5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300 917,5</w:t>
            </w:r>
          </w:p>
        </w:tc>
      </w:tr>
      <w:tr w:rsidR="00761800" w:rsidRPr="00761800" w14:paraId="4C75473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E225C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4732156C"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76C9A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299 117,5</w:t>
            </w:r>
          </w:p>
        </w:tc>
      </w:tr>
      <w:tr w:rsidR="00761800" w:rsidRPr="00761800" w14:paraId="137B85D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A39E7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A6BDC34"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6EB7F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05B1E0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4CB74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0C38D7C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BBBD8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35 248,8</w:t>
            </w:r>
          </w:p>
        </w:tc>
      </w:tr>
      <w:tr w:rsidR="00761800" w:rsidRPr="00761800" w14:paraId="7BBC6A7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29B765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5118B1D0"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B6A65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230 260,3</w:t>
            </w:r>
          </w:p>
        </w:tc>
      </w:tr>
      <w:tr w:rsidR="00761800" w:rsidRPr="00761800" w14:paraId="4F4028A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64E87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1.2.1.</w:t>
            </w:r>
          </w:p>
        </w:tc>
        <w:tc>
          <w:tcPr>
            <w:tcW w:w="11062" w:type="dxa"/>
            <w:tcBorders>
              <w:top w:val="nil"/>
              <w:left w:val="nil"/>
              <w:bottom w:val="single" w:sz="4" w:space="0" w:color="auto"/>
              <w:right w:val="nil"/>
            </w:tcBorders>
            <w:shd w:val="clear" w:color="auto" w:fill="auto"/>
            <w:noWrap/>
            <w:vAlign w:val="bottom"/>
            <w:hideMark/>
          </w:tcPr>
          <w:p w14:paraId="0DA542CA" w14:textId="77777777" w:rsidR="00761800" w:rsidRPr="00761800" w:rsidRDefault="00761800" w:rsidP="00761800">
            <w:pPr>
              <w:ind w:firstLineChars="300" w:firstLine="660"/>
              <w:rPr>
                <w:rFonts w:ascii="Times New Roman" w:hAnsi="Times New Roman"/>
                <w:sz w:val="22"/>
                <w:szCs w:val="22"/>
                <w:lang w:eastAsia="bg-BG"/>
              </w:rPr>
            </w:pPr>
            <w:r w:rsidRPr="00761800">
              <w:rPr>
                <w:rFonts w:ascii="Times New Roman" w:hAnsi="Times New Roman"/>
                <w:sz w:val="22"/>
                <w:szCs w:val="22"/>
                <w:lang w:eastAsia="bg-BG"/>
              </w:rPr>
              <w:t>Субсидии и други текущи трансфери за нефинансови предприятия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7FFE6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230 260,3</w:t>
            </w:r>
          </w:p>
        </w:tc>
      </w:tr>
      <w:tr w:rsidR="00761800" w:rsidRPr="00761800" w14:paraId="6017A0C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B653B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25A5C8D9"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416F7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1 800,0</w:t>
            </w:r>
          </w:p>
        </w:tc>
      </w:tr>
      <w:tr w:rsidR="00761800" w:rsidRPr="00761800" w14:paraId="62319B8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58090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2.1.</w:t>
            </w:r>
          </w:p>
        </w:tc>
        <w:tc>
          <w:tcPr>
            <w:tcW w:w="11062" w:type="dxa"/>
            <w:tcBorders>
              <w:top w:val="nil"/>
              <w:left w:val="nil"/>
              <w:bottom w:val="single" w:sz="4" w:space="0" w:color="auto"/>
              <w:right w:val="single" w:sz="4" w:space="0" w:color="auto"/>
            </w:tcBorders>
            <w:shd w:val="clear" w:color="auto" w:fill="auto"/>
            <w:noWrap/>
            <w:vAlign w:val="bottom"/>
            <w:hideMark/>
          </w:tcPr>
          <w:p w14:paraId="3032333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10E2A7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1 800,0</w:t>
            </w:r>
          </w:p>
        </w:tc>
      </w:tr>
      <w:tr w:rsidR="00761800" w:rsidRPr="00761800" w14:paraId="74D82CB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427CF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2645A7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9322C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319 835,2</w:t>
            </w:r>
          </w:p>
        </w:tc>
      </w:tr>
      <w:tr w:rsidR="00761800" w:rsidRPr="00761800" w14:paraId="1FDD5F6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438AC1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2D2FDEEE"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08816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319 835,2</w:t>
            </w:r>
          </w:p>
        </w:tc>
      </w:tr>
      <w:tr w:rsidR="00761800" w:rsidRPr="00761800" w14:paraId="778F73D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AA1A6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768B72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EA83F4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20 451,6</w:t>
            </w:r>
          </w:p>
        </w:tc>
      </w:tr>
      <w:tr w:rsidR="00761800" w:rsidRPr="00761800" w14:paraId="747EBEB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55C91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5B3AEF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F0B6D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-20 451,6</w:t>
            </w:r>
          </w:p>
        </w:tc>
      </w:tr>
      <w:tr w:rsidR="00761800" w:rsidRPr="00761800" w14:paraId="54B9E39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D6723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38BABEAA"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Предоставени кредити (нето)</w:t>
            </w:r>
          </w:p>
        </w:tc>
        <w:tc>
          <w:tcPr>
            <w:tcW w:w="2178" w:type="dxa"/>
            <w:tcBorders>
              <w:top w:val="nil"/>
              <w:left w:val="single" w:sz="4" w:space="0" w:color="auto"/>
              <w:bottom w:val="single" w:sz="4" w:space="0" w:color="auto"/>
              <w:right w:val="single" w:sz="4" w:space="0" w:color="auto"/>
            </w:tcBorders>
            <w:shd w:val="clear" w:color="auto" w:fill="auto"/>
            <w:noWrap/>
            <w:hideMark/>
          </w:tcPr>
          <w:p w14:paraId="6F3163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-20 451,6</w:t>
            </w:r>
          </w:p>
        </w:tc>
      </w:tr>
      <w:tr w:rsidR="00761800" w:rsidRPr="00761800" w14:paraId="49B00A86"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7A5C36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3EB5CD9E" w14:textId="77777777" w:rsidR="00761800" w:rsidRPr="00761800" w:rsidRDefault="00761800" w:rsidP="00761800">
            <w:pPr>
              <w:ind w:firstLineChars="200" w:firstLine="440"/>
              <w:rPr>
                <w:rFonts w:ascii="Times New Roman" w:hAnsi="Times New Roman"/>
                <w:i/>
                <w:iCs/>
                <w:sz w:val="22"/>
                <w:szCs w:val="22"/>
                <w:lang w:eastAsia="bg-BG"/>
              </w:rPr>
            </w:pPr>
            <w:r w:rsidRPr="00761800">
              <w:rPr>
                <w:rFonts w:ascii="Times New Roman" w:hAnsi="Times New Roman"/>
                <w:i/>
                <w:iCs/>
                <w:sz w:val="22"/>
                <w:szCs w:val="22"/>
                <w:lang w:eastAsia="bg-BG"/>
              </w:rPr>
              <w:t>Предоставени средства по лихвени заеми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5F9DF4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-61 355,0</w:t>
            </w:r>
          </w:p>
        </w:tc>
      </w:tr>
      <w:tr w:rsidR="00761800" w:rsidRPr="00761800" w14:paraId="515B33F3" w14:textId="77777777" w:rsidTr="00406B4D">
        <w:trPr>
          <w:trHeight w:val="300"/>
        </w:trPr>
        <w:tc>
          <w:tcPr>
            <w:tcW w:w="1013" w:type="dxa"/>
            <w:tcBorders>
              <w:top w:val="nil"/>
              <w:left w:val="single" w:sz="4" w:space="0" w:color="auto"/>
              <w:bottom w:val="single" w:sz="4" w:space="0" w:color="auto"/>
              <w:right w:val="single" w:sz="4" w:space="0" w:color="auto"/>
            </w:tcBorders>
            <w:shd w:val="clear" w:color="000000" w:fill="FFFFFF"/>
            <w:noWrap/>
            <w:hideMark/>
          </w:tcPr>
          <w:p w14:paraId="019097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2307C45A" w14:textId="77777777" w:rsidR="00761800" w:rsidRPr="00761800" w:rsidRDefault="00761800" w:rsidP="00761800">
            <w:pPr>
              <w:ind w:firstLineChars="200" w:firstLine="440"/>
              <w:rPr>
                <w:rFonts w:ascii="Times New Roman" w:hAnsi="Times New Roman"/>
                <w:i/>
                <w:iCs/>
                <w:sz w:val="22"/>
                <w:szCs w:val="22"/>
                <w:lang w:eastAsia="bg-BG"/>
              </w:rPr>
            </w:pPr>
            <w:r w:rsidRPr="00761800">
              <w:rPr>
                <w:rFonts w:ascii="Times New Roman" w:hAnsi="Times New Roman"/>
                <w:i/>
                <w:iCs/>
                <w:sz w:val="22"/>
                <w:szCs w:val="22"/>
                <w:lang w:eastAsia="bg-BG"/>
              </w:rPr>
              <w:t>Възстановени главници по предоставени лихвени заеми (+)</w:t>
            </w:r>
          </w:p>
        </w:tc>
        <w:tc>
          <w:tcPr>
            <w:tcW w:w="2178" w:type="dxa"/>
            <w:tcBorders>
              <w:top w:val="nil"/>
              <w:left w:val="single" w:sz="4" w:space="0" w:color="auto"/>
              <w:bottom w:val="single" w:sz="4" w:space="0" w:color="auto"/>
              <w:right w:val="single" w:sz="4" w:space="0" w:color="auto"/>
            </w:tcBorders>
            <w:shd w:val="clear" w:color="auto" w:fill="auto"/>
            <w:noWrap/>
            <w:hideMark/>
          </w:tcPr>
          <w:p w14:paraId="7C0470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40 903,4</w:t>
            </w:r>
          </w:p>
        </w:tc>
      </w:tr>
      <w:tr w:rsidR="00761800" w:rsidRPr="00761800" w14:paraId="457F29A3" w14:textId="77777777" w:rsidTr="00406B4D">
        <w:trPr>
          <w:trHeight w:val="300"/>
        </w:trPr>
        <w:tc>
          <w:tcPr>
            <w:tcW w:w="1013" w:type="dxa"/>
            <w:tcBorders>
              <w:top w:val="nil"/>
              <w:left w:val="nil"/>
              <w:bottom w:val="nil"/>
              <w:right w:val="nil"/>
            </w:tcBorders>
            <w:shd w:val="clear" w:color="auto" w:fill="auto"/>
            <w:noWrap/>
            <w:vAlign w:val="bottom"/>
            <w:hideMark/>
          </w:tcPr>
          <w:p w14:paraId="32E4C1AD"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CE6DFDE"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10270F35" w14:textId="77777777" w:rsidR="00761800" w:rsidRPr="00761800" w:rsidRDefault="00761800" w:rsidP="00761800">
            <w:pPr>
              <w:rPr>
                <w:rFonts w:ascii="Times New Roman" w:hAnsi="Times New Roman"/>
                <w:sz w:val="20"/>
                <w:lang w:eastAsia="bg-BG"/>
              </w:rPr>
            </w:pPr>
          </w:p>
        </w:tc>
      </w:tr>
      <w:tr w:rsidR="00761800" w:rsidRPr="00761800" w14:paraId="3D04B7C4" w14:textId="77777777" w:rsidTr="00406B4D">
        <w:trPr>
          <w:trHeight w:val="300"/>
        </w:trPr>
        <w:tc>
          <w:tcPr>
            <w:tcW w:w="14253" w:type="dxa"/>
            <w:gridSpan w:val="3"/>
            <w:tcBorders>
              <w:top w:val="nil"/>
              <w:left w:val="nil"/>
              <w:bottom w:val="single" w:sz="4" w:space="0" w:color="auto"/>
              <w:right w:val="nil"/>
            </w:tcBorders>
            <w:shd w:val="clear" w:color="auto" w:fill="auto"/>
            <w:hideMark/>
          </w:tcPr>
          <w:p w14:paraId="3A6D33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p w14:paraId="0A651992" w14:textId="77777777" w:rsidR="00761800" w:rsidRPr="00761800" w:rsidRDefault="00761800" w:rsidP="00761800">
            <w:pPr>
              <w:rPr>
                <w:rFonts w:ascii="Times New Roman" w:hAnsi="Times New Roman"/>
                <w:sz w:val="22"/>
                <w:szCs w:val="22"/>
                <w:lang w:eastAsia="bg-BG"/>
              </w:rPr>
            </w:pPr>
          </w:p>
          <w:p w14:paraId="6392AAB6" w14:textId="77777777" w:rsidR="00761800" w:rsidRPr="00761800" w:rsidRDefault="00761800" w:rsidP="00761800">
            <w:pPr>
              <w:rPr>
                <w:rFonts w:ascii="Times New Roman" w:hAnsi="Times New Roman"/>
                <w:sz w:val="22"/>
                <w:szCs w:val="22"/>
                <w:lang w:eastAsia="bg-BG"/>
              </w:rPr>
            </w:pPr>
          </w:p>
          <w:p w14:paraId="0CABFC8F" w14:textId="77777777" w:rsidR="00761800" w:rsidRPr="00761800" w:rsidRDefault="00761800" w:rsidP="00761800">
            <w:pPr>
              <w:rPr>
                <w:rFonts w:ascii="Times New Roman" w:hAnsi="Times New Roman"/>
                <w:sz w:val="22"/>
                <w:szCs w:val="22"/>
                <w:lang w:eastAsia="bg-BG"/>
              </w:rPr>
            </w:pPr>
          </w:p>
        </w:tc>
      </w:tr>
      <w:tr w:rsidR="00761800" w:rsidRPr="00761800" w14:paraId="01C3B87B"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0AAE6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D2455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bottom"/>
            <w:hideMark/>
          </w:tcPr>
          <w:p w14:paraId="02BC02C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603AFCD2"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4C8909E5"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404D8468"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78DD636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6A57AB1" w14:textId="77777777" w:rsidTr="00406B4D">
        <w:trPr>
          <w:trHeight w:val="245"/>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201EA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2E7F54F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B804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6AEFA8C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56089A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vAlign w:val="bottom"/>
            <w:hideMark/>
          </w:tcPr>
          <w:p w14:paraId="438EA6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на Министерството на земеделието и храните в областта на земеделието и селските райони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299A2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281 928,2</w:t>
            </w:r>
          </w:p>
        </w:tc>
      </w:tr>
      <w:tr w:rsidR="00761800" w:rsidRPr="00761800" w14:paraId="710D8DC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hideMark/>
          </w:tcPr>
          <w:p w14:paraId="072BEE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vAlign w:val="bottom"/>
            <w:hideMark/>
          </w:tcPr>
          <w:p w14:paraId="3B762E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на Министерството на земеделието и храните в областта на рибарството и аквакултурите</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14:paraId="3FF33A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456,4</w:t>
            </w:r>
          </w:p>
        </w:tc>
      </w:tr>
      <w:tr w:rsidR="00761800" w:rsidRPr="00761800" w14:paraId="1549376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004C2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3.</w:t>
            </w:r>
          </w:p>
        </w:tc>
        <w:tc>
          <w:tcPr>
            <w:tcW w:w="11062" w:type="dxa"/>
            <w:tcBorders>
              <w:top w:val="nil"/>
              <w:left w:val="nil"/>
              <w:bottom w:val="single" w:sz="4" w:space="0" w:color="auto"/>
              <w:right w:val="nil"/>
            </w:tcBorders>
            <w:shd w:val="clear" w:color="auto" w:fill="auto"/>
            <w:vAlign w:val="bottom"/>
            <w:hideMark/>
          </w:tcPr>
          <w:p w14:paraId="41A436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Бюджетна програма „Администрация“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3DB0B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18 532,9</w:t>
            </w:r>
          </w:p>
        </w:tc>
      </w:tr>
      <w:tr w:rsidR="00761800" w:rsidRPr="00761800" w14:paraId="0EB2B7C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4DE89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8520B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E9B81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300 917,5</w:t>
            </w:r>
          </w:p>
        </w:tc>
      </w:tr>
      <w:tr w:rsidR="00761800" w:rsidRPr="00761800" w14:paraId="67CC6550" w14:textId="77777777" w:rsidTr="00406B4D">
        <w:trPr>
          <w:trHeight w:val="300"/>
        </w:trPr>
        <w:tc>
          <w:tcPr>
            <w:tcW w:w="1013" w:type="dxa"/>
            <w:tcBorders>
              <w:top w:val="nil"/>
              <w:left w:val="nil"/>
              <w:bottom w:val="nil"/>
              <w:right w:val="nil"/>
            </w:tcBorders>
            <w:shd w:val="clear" w:color="auto" w:fill="auto"/>
            <w:noWrap/>
            <w:vAlign w:val="bottom"/>
            <w:hideMark/>
          </w:tcPr>
          <w:p w14:paraId="7941F269"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71FD962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28769204" w14:textId="77777777" w:rsidR="00761800" w:rsidRPr="00761800" w:rsidRDefault="00761800" w:rsidP="00761800">
            <w:pPr>
              <w:rPr>
                <w:rFonts w:ascii="Times New Roman" w:hAnsi="Times New Roman"/>
                <w:sz w:val="20"/>
                <w:lang w:eastAsia="bg-BG"/>
              </w:rPr>
            </w:pPr>
          </w:p>
        </w:tc>
      </w:tr>
      <w:tr w:rsidR="00761800" w:rsidRPr="00761800" w14:paraId="67D3EEBF" w14:textId="77777777" w:rsidTr="00406B4D">
        <w:trPr>
          <w:trHeight w:val="563"/>
        </w:trPr>
        <w:tc>
          <w:tcPr>
            <w:tcW w:w="14253" w:type="dxa"/>
            <w:gridSpan w:val="3"/>
            <w:tcBorders>
              <w:top w:val="nil"/>
              <w:left w:val="nil"/>
              <w:bottom w:val="single" w:sz="4" w:space="0" w:color="auto"/>
              <w:right w:val="nil"/>
            </w:tcBorders>
            <w:shd w:val="clear" w:color="auto" w:fill="auto"/>
            <w:hideMark/>
          </w:tcPr>
          <w:p w14:paraId="2757A1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Държавен фонд „Земеделие”, както следва:</w:t>
            </w:r>
          </w:p>
        </w:tc>
      </w:tr>
      <w:tr w:rsidR="00761800" w:rsidRPr="00761800" w14:paraId="769F0324"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7B052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828FD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center"/>
            <w:hideMark/>
          </w:tcPr>
          <w:p w14:paraId="55D5656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BC99DC9"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4D48722A"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6F509949"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0215722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63E130A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0B6EA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44B861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063131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5B549D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11541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3777FD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13B29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265 208,0</w:t>
            </w:r>
          </w:p>
        </w:tc>
      </w:tr>
      <w:tr w:rsidR="00761800" w:rsidRPr="00761800" w14:paraId="373FE4E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6DE3A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0681F2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246F5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265 208,0</w:t>
            </w:r>
          </w:p>
        </w:tc>
      </w:tr>
      <w:tr w:rsidR="00761800" w:rsidRPr="00761800" w14:paraId="207665D8" w14:textId="77777777" w:rsidTr="00406B4D">
        <w:trPr>
          <w:trHeight w:val="300"/>
        </w:trPr>
        <w:tc>
          <w:tcPr>
            <w:tcW w:w="1013" w:type="dxa"/>
            <w:tcBorders>
              <w:top w:val="nil"/>
              <w:left w:val="nil"/>
              <w:bottom w:val="nil"/>
              <w:right w:val="nil"/>
            </w:tcBorders>
            <w:shd w:val="clear" w:color="auto" w:fill="auto"/>
            <w:vAlign w:val="bottom"/>
            <w:hideMark/>
          </w:tcPr>
          <w:p w14:paraId="293E2068"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4F6DF41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483B27E5" w14:textId="77777777" w:rsidR="00761800" w:rsidRPr="00761800" w:rsidRDefault="00761800" w:rsidP="00761800">
            <w:pPr>
              <w:rPr>
                <w:rFonts w:ascii="Times New Roman" w:hAnsi="Times New Roman"/>
                <w:sz w:val="20"/>
                <w:lang w:eastAsia="bg-BG"/>
              </w:rPr>
            </w:pPr>
          </w:p>
        </w:tc>
      </w:tr>
      <w:tr w:rsidR="00761800" w:rsidRPr="00761800" w14:paraId="6C434815" w14:textId="77777777" w:rsidTr="00406B4D">
        <w:trPr>
          <w:trHeight w:val="300"/>
        </w:trPr>
        <w:tc>
          <w:tcPr>
            <w:tcW w:w="14253" w:type="dxa"/>
            <w:gridSpan w:val="3"/>
            <w:tcBorders>
              <w:top w:val="nil"/>
              <w:left w:val="nil"/>
              <w:bottom w:val="nil"/>
              <w:right w:val="nil"/>
            </w:tcBorders>
            <w:shd w:val="clear" w:color="auto" w:fill="auto"/>
            <w:vAlign w:val="bottom"/>
            <w:hideMark/>
          </w:tcPr>
          <w:p w14:paraId="792DC74A"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46.</w:t>
            </w:r>
            <w:r w:rsidRPr="00761800">
              <w:rPr>
                <w:rFonts w:ascii="Times New Roman" w:hAnsi="Times New Roman"/>
                <w:color w:val="000000"/>
                <w:sz w:val="22"/>
                <w:szCs w:val="22"/>
                <w:lang w:eastAsia="bg-BG"/>
              </w:rPr>
              <w:t xml:space="preserve"> (1) Приема бюджета на Националното бюро за контрол на специалните разузнавателни средства за 2026 г., както следва:</w:t>
            </w:r>
          </w:p>
        </w:tc>
      </w:tr>
      <w:tr w:rsidR="00761800" w:rsidRPr="00761800" w14:paraId="6FD39960"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C31448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lastRenderedPageBreak/>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1F462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7FD37F9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54295C5"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23AFF515"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3059EE30"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05136CD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13924E2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6788C7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9B1B2A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11EBF0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9EEBF9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ECCD7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4383A4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C5AFE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D0F241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739D7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210D58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7FC17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1 050,9</w:t>
            </w:r>
          </w:p>
        </w:tc>
      </w:tr>
      <w:tr w:rsidR="00761800" w:rsidRPr="00761800" w14:paraId="372A58A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8E8C3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649744DD"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A39D1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1 050,9</w:t>
            </w:r>
          </w:p>
        </w:tc>
      </w:tr>
      <w:tr w:rsidR="00761800" w:rsidRPr="00761800" w14:paraId="04A27BD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E9723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7333D9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3CF59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125BE0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87624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1766E99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21BD7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889,6</w:t>
            </w:r>
          </w:p>
        </w:tc>
      </w:tr>
      <w:tr w:rsidR="00761800" w:rsidRPr="00761800" w14:paraId="749412F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F71B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45D4E69C"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39FCD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36CCE0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FA92B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47FF8B3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318C6E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5C6900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029D1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4F446F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F84D4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1 050,9</w:t>
            </w:r>
          </w:p>
        </w:tc>
      </w:tr>
      <w:tr w:rsidR="00761800" w:rsidRPr="00761800" w14:paraId="43907FD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D8FDF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737415AD"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7708A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1 050,9</w:t>
            </w:r>
          </w:p>
        </w:tc>
      </w:tr>
      <w:tr w:rsidR="00761800" w:rsidRPr="00761800" w14:paraId="7797FA9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98578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306525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355A4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CCD490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C7636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7E28A6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78785E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06B1FE1" w14:textId="77777777" w:rsidTr="00406B4D">
        <w:trPr>
          <w:trHeight w:val="300"/>
        </w:trPr>
        <w:tc>
          <w:tcPr>
            <w:tcW w:w="1013" w:type="dxa"/>
            <w:tcBorders>
              <w:top w:val="nil"/>
              <w:left w:val="nil"/>
              <w:bottom w:val="nil"/>
              <w:right w:val="nil"/>
            </w:tcBorders>
            <w:shd w:val="clear" w:color="auto" w:fill="auto"/>
            <w:noWrap/>
            <w:vAlign w:val="bottom"/>
            <w:hideMark/>
          </w:tcPr>
          <w:p w14:paraId="2A789D17"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702F509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6234D8B9" w14:textId="77777777" w:rsidR="00761800" w:rsidRPr="00761800" w:rsidRDefault="00761800" w:rsidP="00761800">
            <w:pPr>
              <w:rPr>
                <w:rFonts w:ascii="Times New Roman" w:hAnsi="Times New Roman"/>
                <w:sz w:val="20"/>
                <w:lang w:eastAsia="bg-BG"/>
              </w:rPr>
            </w:pPr>
          </w:p>
        </w:tc>
      </w:tr>
      <w:tr w:rsidR="00761800" w:rsidRPr="00761800" w14:paraId="0B7312E7"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48B2B9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функционални области, както следва:</w:t>
            </w:r>
          </w:p>
        </w:tc>
      </w:tr>
      <w:tr w:rsidR="00761800" w:rsidRPr="00761800" w14:paraId="4505875B"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8A8EB3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354081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функционалната област</w:t>
            </w:r>
          </w:p>
        </w:tc>
        <w:tc>
          <w:tcPr>
            <w:tcW w:w="2178" w:type="dxa"/>
            <w:tcBorders>
              <w:top w:val="single" w:sz="4" w:space="0" w:color="auto"/>
              <w:left w:val="nil"/>
              <w:bottom w:val="nil"/>
              <w:right w:val="single" w:sz="4" w:space="0" w:color="auto"/>
            </w:tcBorders>
            <w:shd w:val="clear" w:color="auto" w:fill="auto"/>
            <w:noWrap/>
            <w:vAlign w:val="bottom"/>
            <w:hideMark/>
          </w:tcPr>
          <w:p w14:paraId="29C6A71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78E9ECD9"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00269204"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62BC62C4"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nil"/>
              <w:right w:val="single" w:sz="4" w:space="0" w:color="auto"/>
            </w:tcBorders>
            <w:shd w:val="clear" w:color="auto" w:fill="auto"/>
            <w:noWrap/>
            <w:vAlign w:val="bottom"/>
            <w:hideMark/>
          </w:tcPr>
          <w:p w14:paraId="7025E5B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981BEF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13045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73E8404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F5F34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C7A406D"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518890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hideMark/>
          </w:tcPr>
          <w:p w14:paraId="7F0E1F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Функционална област „Наблюдение на процедурите по разрешаване, прилагане и използване на специални разузнавателни средства“</w:t>
            </w:r>
          </w:p>
        </w:tc>
        <w:tc>
          <w:tcPr>
            <w:tcW w:w="2178" w:type="dxa"/>
            <w:tcBorders>
              <w:top w:val="nil"/>
              <w:left w:val="single" w:sz="4" w:space="0" w:color="auto"/>
              <w:bottom w:val="nil"/>
              <w:right w:val="single" w:sz="4" w:space="0" w:color="auto"/>
            </w:tcBorders>
            <w:shd w:val="clear" w:color="auto" w:fill="auto"/>
            <w:noWrap/>
            <w:vAlign w:val="bottom"/>
            <w:hideMark/>
          </w:tcPr>
          <w:p w14:paraId="5BE99E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1 050,9</w:t>
            </w:r>
          </w:p>
        </w:tc>
      </w:tr>
      <w:tr w:rsidR="00761800" w:rsidRPr="00761800" w14:paraId="6654884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90651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3278C0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585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1 050,9</w:t>
            </w:r>
          </w:p>
        </w:tc>
      </w:tr>
      <w:tr w:rsidR="00761800" w:rsidRPr="00761800" w14:paraId="348BB71F" w14:textId="77777777" w:rsidTr="00406B4D">
        <w:trPr>
          <w:trHeight w:val="300"/>
        </w:trPr>
        <w:tc>
          <w:tcPr>
            <w:tcW w:w="1013" w:type="dxa"/>
            <w:tcBorders>
              <w:top w:val="nil"/>
              <w:left w:val="nil"/>
              <w:bottom w:val="nil"/>
              <w:right w:val="nil"/>
            </w:tcBorders>
            <w:shd w:val="clear" w:color="auto" w:fill="auto"/>
            <w:noWrap/>
            <w:vAlign w:val="bottom"/>
            <w:hideMark/>
          </w:tcPr>
          <w:p w14:paraId="53FD5BA5"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39B19DD6"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6E00ECDC" w14:textId="77777777" w:rsidR="00761800" w:rsidRPr="00761800" w:rsidRDefault="00761800" w:rsidP="00761800">
            <w:pPr>
              <w:rPr>
                <w:rFonts w:ascii="Times New Roman" w:hAnsi="Times New Roman"/>
                <w:sz w:val="20"/>
                <w:lang w:eastAsia="bg-BG"/>
              </w:rPr>
            </w:pPr>
          </w:p>
        </w:tc>
      </w:tr>
      <w:tr w:rsidR="00761800" w:rsidRPr="00761800" w14:paraId="7A64057E" w14:textId="77777777" w:rsidTr="00406B4D">
        <w:trPr>
          <w:trHeight w:val="578"/>
        </w:trPr>
        <w:tc>
          <w:tcPr>
            <w:tcW w:w="14253" w:type="dxa"/>
            <w:gridSpan w:val="3"/>
            <w:tcBorders>
              <w:top w:val="nil"/>
              <w:left w:val="nil"/>
              <w:bottom w:val="single" w:sz="4" w:space="0" w:color="auto"/>
              <w:right w:val="nil"/>
            </w:tcBorders>
            <w:shd w:val="clear" w:color="auto" w:fill="auto"/>
            <w:hideMark/>
          </w:tcPr>
          <w:p w14:paraId="6EFCFC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Националното бюро за контрол на специалните разузнавателни средства, както следва:</w:t>
            </w:r>
          </w:p>
        </w:tc>
      </w:tr>
      <w:tr w:rsidR="00761800" w:rsidRPr="00761800" w14:paraId="5CF4F2C0"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33B26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4EF39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center"/>
            <w:hideMark/>
          </w:tcPr>
          <w:p w14:paraId="5BE435E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2E005AAF"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3C11980D"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0A02FE92"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2FECE45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2276DF4" w14:textId="77777777" w:rsidTr="00406B4D">
        <w:trPr>
          <w:trHeight w:val="112"/>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EA3C2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4B5DAAB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36C05C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3AABE94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DB1F3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xml:space="preserve"> 1.</w:t>
            </w:r>
          </w:p>
        </w:tc>
        <w:tc>
          <w:tcPr>
            <w:tcW w:w="11062" w:type="dxa"/>
            <w:tcBorders>
              <w:top w:val="nil"/>
              <w:left w:val="nil"/>
              <w:bottom w:val="single" w:sz="4" w:space="0" w:color="auto"/>
              <w:right w:val="nil"/>
            </w:tcBorders>
            <w:shd w:val="clear" w:color="auto" w:fill="auto"/>
            <w:noWrap/>
            <w:vAlign w:val="bottom"/>
            <w:hideMark/>
          </w:tcPr>
          <w:p w14:paraId="2ED253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5CD29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242,0</w:t>
            </w:r>
          </w:p>
        </w:tc>
      </w:tr>
      <w:tr w:rsidR="00761800" w:rsidRPr="00761800" w14:paraId="475973E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0212C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43BBA1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023C5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156,1</w:t>
            </w:r>
          </w:p>
        </w:tc>
      </w:tr>
      <w:tr w:rsidR="00761800" w:rsidRPr="00761800" w14:paraId="538C8664" w14:textId="77777777" w:rsidTr="00406B4D">
        <w:trPr>
          <w:trHeight w:val="300"/>
        </w:trPr>
        <w:tc>
          <w:tcPr>
            <w:tcW w:w="1013" w:type="dxa"/>
            <w:tcBorders>
              <w:top w:val="nil"/>
              <w:left w:val="nil"/>
              <w:bottom w:val="nil"/>
              <w:right w:val="nil"/>
            </w:tcBorders>
            <w:shd w:val="clear" w:color="auto" w:fill="auto"/>
            <w:vAlign w:val="bottom"/>
            <w:hideMark/>
          </w:tcPr>
          <w:p w14:paraId="4DC17E67"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vAlign w:val="bottom"/>
            <w:hideMark/>
          </w:tcPr>
          <w:p w14:paraId="131B027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vAlign w:val="bottom"/>
            <w:hideMark/>
          </w:tcPr>
          <w:p w14:paraId="0E399EC4" w14:textId="77777777" w:rsidR="00761800" w:rsidRPr="00761800" w:rsidRDefault="00761800" w:rsidP="00761800">
            <w:pPr>
              <w:rPr>
                <w:rFonts w:ascii="Times New Roman" w:hAnsi="Times New Roman"/>
                <w:sz w:val="20"/>
                <w:lang w:eastAsia="bg-BG"/>
              </w:rPr>
            </w:pPr>
          </w:p>
        </w:tc>
      </w:tr>
      <w:tr w:rsidR="00761800" w:rsidRPr="00761800" w14:paraId="685F757B" w14:textId="77777777" w:rsidTr="00406B4D">
        <w:trPr>
          <w:trHeight w:val="300"/>
        </w:trPr>
        <w:tc>
          <w:tcPr>
            <w:tcW w:w="14253" w:type="dxa"/>
            <w:gridSpan w:val="3"/>
            <w:tcBorders>
              <w:top w:val="nil"/>
              <w:left w:val="nil"/>
              <w:bottom w:val="nil"/>
              <w:right w:val="nil"/>
            </w:tcBorders>
            <w:shd w:val="clear" w:color="auto" w:fill="auto"/>
            <w:vAlign w:val="bottom"/>
            <w:hideMark/>
          </w:tcPr>
          <w:p w14:paraId="510C8537"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47.</w:t>
            </w:r>
            <w:r w:rsidRPr="00761800">
              <w:rPr>
                <w:rFonts w:ascii="Times New Roman" w:hAnsi="Times New Roman"/>
                <w:color w:val="000000"/>
                <w:sz w:val="22"/>
                <w:szCs w:val="22"/>
                <w:lang w:eastAsia="bg-BG"/>
              </w:rPr>
              <w:t xml:space="preserve"> (1) Приема бюджета на Държавната агенция „Технически операции“ за 2026 г., както следва:</w:t>
            </w:r>
          </w:p>
        </w:tc>
      </w:tr>
      <w:tr w:rsidR="00761800" w:rsidRPr="00761800" w14:paraId="4CD38D81" w14:textId="77777777" w:rsidTr="00406B4D">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12ADC1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44ACB4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single" w:sz="4" w:space="0" w:color="auto"/>
              <w:left w:val="nil"/>
              <w:bottom w:val="nil"/>
              <w:right w:val="single" w:sz="4" w:space="0" w:color="auto"/>
            </w:tcBorders>
            <w:shd w:val="clear" w:color="auto" w:fill="auto"/>
            <w:noWrap/>
            <w:vAlign w:val="center"/>
            <w:hideMark/>
          </w:tcPr>
          <w:p w14:paraId="546549F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6D85426" w14:textId="77777777" w:rsidTr="00406B4D">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6AE8629B" w14:textId="77777777" w:rsidR="00761800" w:rsidRPr="00761800" w:rsidRDefault="00761800" w:rsidP="00761800">
            <w:pPr>
              <w:rPr>
                <w:rFonts w:ascii="Times New Roman" w:hAnsi="Times New Roman"/>
                <w:sz w:val="22"/>
                <w:szCs w:val="22"/>
                <w:lang w:eastAsia="bg-BG"/>
              </w:rPr>
            </w:pPr>
          </w:p>
        </w:tc>
        <w:tc>
          <w:tcPr>
            <w:tcW w:w="11062" w:type="dxa"/>
            <w:vMerge/>
            <w:tcBorders>
              <w:top w:val="single" w:sz="4" w:space="0" w:color="auto"/>
              <w:left w:val="single" w:sz="4" w:space="0" w:color="auto"/>
              <w:bottom w:val="single" w:sz="4" w:space="0" w:color="000000"/>
              <w:right w:val="single" w:sz="4" w:space="0" w:color="auto"/>
            </w:tcBorders>
            <w:vAlign w:val="center"/>
            <w:hideMark/>
          </w:tcPr>
          <w:p w14:paraId="701BBEDB"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7375BCC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2F90F9D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420E34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6CBC4B2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E9CC72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065B55F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CE4C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w:t>
            </w:r>
          </w:p>
        </w:tc>
        <w:tc>
          <w:tcPr>
            <w:tcW w:w="11062" w:type="dxa"/>
            <w:tcBorders>
              <w:top w:val="nil"/>
              <w:left w:val="nil"/>
              <w:bottom w:val="single" w:sz="4" w:space="0" w:color="auto"/>
              <w:right w:val="nil"/>
            </w:tcBorders>
            <w:shd w:val="clear" w:color="auto" w:fill="auto"/>
            <w:noWrap/>
            <w:vAlign w:val="bottom"/>
            <w:hideMark/>
          </w:tcPr>
          <w:p w14:paraId="70664E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ПРИХОДИ, ПОМОЩИ И ДАРЕНИЯ</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FCC94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52,2</w:t>
            </w:r>
          </w:p>
        </w:tc>
      </w:tr>
      <w:tr w:rsidR="00761800" w:rsidRPr="00761800" w14:paraId="6F6C6DC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8FE6D8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53BCAABC"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Неданъчни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7EECE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52,2</w:t>
            </w:r>
          </w:p>
        </w:tc>
      </w:tr>
      <w:tr w:rsidR="00761800" w:rsidRPr="00761800" w14:paraId="1A36C9A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2DBC72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317D2CFD"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Приходи и доходи от собственост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A33A4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51,1</w:t>
            </w:r>
          </w:p>
        </w:tc>
      </w:tr>
      <w:tr w:rsidR="00761800" w:rsidRPr="00761800" w14:paraId="4AC8150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2E1E0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1.2.</w:t>
            </w:r>
          </w:p>
        </w:tc>
        <w:tc>
          <w:tcPr>
            <w:tcW w:w="11062" w:type="dxa"/>
            <w:tcBorders>
              <w:top w:val="nil"/>
              <w:left w:val="nil"/>
              <w:bottom w:val="single" w:sz="4" w:space="0" w:color="auto"/>
              <w:right w:val="nil"/>
            </w:tcBorders>
            <w:shd w:val="clear" w:color="auto" w:fill="auto"/>
            <w:noWrap/>
            <w:vAlign w:val="bottom"/>
            <w:hideMark/>
          </w:tcPr>
          <w:p w14:paraId="6E6FA056"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Глоби, санкции и наказателни лихви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4B6708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w:t>
            </w:r>
          </w:p>
        </w:tc>
      </w:tr>
      <w:tr w:rsidR="00761800" w:rsidRPr="00761800" w14:paraId="3D5EFA8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8DC895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1.3.</w:t>
            </w:r>
          </w:p>
        </w:tc>
        <w:tc>
          <w:tcPr>
            <w:tcW w:w="11062" w:type="dxa"/>
            <w:tcBorders>
              <w:top w:val="nil"/>
              <w:left w:val="nil"/>
              <w:bottom w:val="single" w:sz="4" w:space="0" w:color="auto"/>
              <w:right w:val="nil"/>
            </w:tcBorders>
            <w:shd w:val="clear" w:color="auto" w:fill="auto"/>
            <w:noWrap/>
            <w:vAlign w:val="bottom"/>
            <w:hideMark/>
          </w:tcPr>
          <w:p w14:paraId="3F8E6F01"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Други приходи</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64558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w:t>
            </w:r>
          </w:p>
        </w:tc>
      </w:tr>
      <w:tr w:rsidR="00761800" w:rsidRPr="00761800" w14:paraId="31F8375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FBD39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w:t>
            </w:r>
          </w:p>
        </w:tc>
        <w:tc>
          <w:tcPr>
            <w:tcW w:w="11062" w:type="dxa"/>
            <w:tcBorders>
              <w:top w:val="nil"/>
              <w:left w:val="nil"/>
              <w:bottom w:val="single" w:sz="4" w:space="0" w:color="auto"/>
              <w:right w:val="nil"/>
            </w:tcBorders>
            <w:shd w:val="clear" w:color="auto" w:fill="auto"/>
            <w:noWrap/>
            <w:vAlign w:val="bottom"/>
            <w:hideMark/>
          </w:tcPr>
          <w:p w14:paraId="194269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3E20C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76 316,0</w:t>
            </w:r>
          </w:p>
        </w:tc>
      </w:tr>
      <w:tr w:rsidR="00761800" w:rsidRPr="00761800" w14:paraId="6481442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A6FC6E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1.     </w:t>
            </w:r>
          </w:p>
        </w:tc>
        <w:tc>
          <w:tcPr>
            <w:tcW w:w="11062" w:type="dxa"/>
            <w:tcBorders>
              <w:top w:val="nil"/>
              <w:left w:val="nil"/>
              <w:bottom w:val="single" w:sz="4" w:space="0" w:color="auto"/>
              <w:right w:val="nil"/>
            </w:tcBorders>
            <w:shd w:val="clear" w:color="auto" w:fill="auto"/>
            <w:noWrap/>
            <w:vAlign w:val="bottom"/>
            <w:hideMark/>
          </w:tcPr>
          <w:p w14:paraId="4D2EF5B2"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Текущи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D947C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75 577,4</w:t>
            </w:r>
          </w:p>
        </w:tc>
      </w:tr>
      <w:tr w:rsidR="00761800" w:rsidRPr="00761800" w14:paraId="748880E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4E209D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54568BEC"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в т.ч.</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742B0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F077C1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33C5FD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1.1.</w:t>
            </w:r>
          </w:p>
        </w:tc>
        <w:tc>
          <w:tcPr>
            <w:tcW w:w="11062" w:type="dxa"/>
            <w:tcBorders>
              <w:top w:val="nil"/>
              <w:left w:val="nil"/>
              <w:bottom w:val="single" w:sz="4" w:space="0" w:color="auto"/>
              <w:right w:val="nil"/>
            </w:tcBorders>
            <w:shd w:val="clear" w:color="auto" w:fill="auto"/>
            <w:noWrap/>
            <w:vAlign w:val="bottom"/>
            <w:hideMark/>
          </w:tcPr>
          <w:p w14:paraId="4D9ED523"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Персонал</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16371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73 788,1</w:t>
            </w:r>
          </w:p>
        </w:tc>
      </w:tr>
      <w:tr w:rsidR="00761800" w:rsidRPr="00761800" w14:paraId="7D7DCE7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1D3091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2.     </w:t>
            </w:r>
          </w:p>
        </w:tc>
        <w:tc>
          <w:tcPr>
            <w:tcW w:w="11062" w:type="dxa"/>
            <w:tcBorders>
              <w:top w:val="nil"/>
              <w:left w:val="nil"/>
              <w:bottom w:val="single" w:sz="4" w:space="0" w:color="auto"/>
              <w:right w:val="nil"/>
            </w:tcBorders>
            <w:shd w:val="clear" w:color="auto" w:fill="auto"/>
            <w:noWrap/>
            <w:vAlign w:val="bottom"/>
            <w:hideMark/>
          </w:tcPr>
          <w:p w14:paraId="6B3A05AD" w14:textId="77777777" w:rsidR="00761800" w:rsidRPr="00761800" w:rsidRDefault="00761800" w:rsidP="00761800">
            <w:pPr>
              <w:ind w:firstLineChars="100" w:firstLine="220"/>
              <w:rPr>
                <w:rFonts w:ascii="Times New Roman" w:hAnsi="Times New Roman"/>
                <w:i/>
                <w:iCs/>
                <w:sz w:val="22"/>
                <w:szCs w:val="22"/>
                <w:lang w:eastAsia="bg-BG"/>
              </w:rPr>
            </w:pPr>
            <w:r w:rsidRPr="00761800">
              <w:rPr>
                <w:rFonts w:ascii="Times New Roman" w:hAnsi="Times New Roman"/>
                <w:i/>
                <w:iCs/>
                <w:sz w:val="22"/>
                <w:szCs w:val="22"/>
                <w:lang w:eastAsia="bg-BG"/>
              </w:rPr>
              <w:t xml:space="preserve">Капиталови разходи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2BF8A9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738,6</w:t>
            </w:r>
          </w:p>
        </w:tc>
      </w:tr>
      <w:tr w:rsidR="00761800" w:rsidRPr="00761800" w14:paraId="2D255BE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5E66F6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2.1.</w:t>
            </w:r>
          </w:p>
        </w:tc>
        <w:tc>
          <w:tcPr>
            <w:tcW w:w="11062" w:type="dxa"/>
            <w:tcBorders>
              <w:top w:val="nil"/>
              <w:left w:val="nil"/>
              <w:bottom w:val="single" w:sz="4" w:space="0" w:color="auto"/>
              <w:right w:val="single" w:sz="4" w:space="0" w:color="auto"/>
            </w:tcBorders>
            <w:shd w:val="clear" w:color="auto" w:fill="auto"/>
            <w:noWrap/>
            <w:vAlign w:val="bottom"/>
            <w:hideMark/>
          </w:tcPr>
          <w:p w14:paraId="2F0EB16F" w14:textId="77777777" w:rsidR="00761800" w:rsidRPr="00761800" w:rsidRDefault="00761800" w:rsidP="00761800">
            <w:pPr>
              <w:ind w:firstLineChars="200" w:firstLine="440"/>
              <w:rPr>
                <w:rFonts w:ascii="Times New Roman" w:hAnsi="Times New Roman"/>
                <w:sz w:val="22"/>
                <w:szCs w:val="22"/>
                <w:lang w:eastAsia="bg-BG"/>
              </w:rPr>
            </w:pPr>
            <w:r w:rsidRPr="00761800">
              <w:rPr>
                <w:rFonts w:ascii="Times New Roman" w:hAnsi="Times New Roman"/>
                <w:sz w:val="22"/>
                <w:szCs w:val="22"/>
                <w:lang w:eastAsia="bg-BG"/>
              </w:rPr>
              <w:t xml:space="preserve">Придобиване на дълготрайни активи и основен ремонт </w:t>
            </w:r>
          </w:p>
        </w:tc>
        <w:tc>
          <w:tcPr>
            <w:tcW w:w="2178" w:type="dxa"/>
            <w:tcBorders>
              <w:top w:val="nil"/>
              <w:left w:val="nil"/>
              <w:bottom w:val="single" w:sz="4" w:space="0" w:color="auto"/>
              <w:right w:val="single" w:sz="4" w:space="0" w:color="auto"/>
            </w:tcBorders>
            <w:shd w:val="clear" w:color="auto" w:fill="auto"/>
            <w:noWrap/>
            <w:vAlign w:val="bottom"/>
            <w:hideMark/>
          </w:tcPr>
          <w:p w14:paraId="61B9BA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738,6</w:t>
            </w:r>
          </w:p>
        </w:tc>
      </w:tr>
      <w:tr w:rsidR="00761800" w:rsidRPr="00761800" w14:paraId="525780B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D445C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III.</w:t>
            </w:r>
          </w:p>
        </w:tc>
        <w:tc>
          <w:tcPr>
            <w:tcW w:w="11062" w:type="dxa"/>
            <w:tcBorders>
              <w:top w:val="nil"/>
              <w:left w:val="nil"/>
              <w:bottom w:val="single" w:sz="4" w:space="0" w:color="auto"/>
              <w:right w:val="nil"/>
            </w:tcBorders>
            <w:shd w:val="clear" w:color="auto" w:fill="auto"/>
            <w:noWrap/>
            <w:vAlign w:val="bottom"/>
            <w:hideMark/>
          </w:tcPr>
          <w:p w14:paraId="12AA00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БЮДЖЕТНИ ВЗАИМООТНОШЕНИЯ (ТРАНСФЕРИ) -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EE856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76 263,8</w:t>
            </w:r>
          </w:p>
        </w:tc>
      </w:tr>
      <w:tr w:rsidR="00761800" w:rsidRPr="00761800" w14:paraId="6C0109A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01F0EE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w:t>
            </w:r>
          </w:p>
        </w:tc>
        <w:tc>
          <w:tcPr>
            <w:tcW w:w="11062" w:type="dxa"/>
            <w:tcBorders>
              <w:top w:val="nil"/>
              <w:left w:val="nil"/>
              <w:bottom w:val="single" w:sz="4" w:space="0" w:color="auto"/>
              <w:right w:val="nil"/>
            </w:tcBorders>
            <w:shd w:val="clear" w:color="auto" w:fill="auto"/>
            <w:noWrap/>
            <w:vAlign w:val="bottom"/>
            <w:hideMark/>
          </w:tcPr>
          <w:p w14:paraId="12F2DE4F" w14:textId="77777777" w:rsidR="00761800" w:rsidRPr="00761800" w:rsidRDefault="00761800" w:rsidP="00761800">
            <w:pPr>
              <w:ind w:firstLineChars="100" w:firstLine="220"/>
              <w:rPr>
                <w:rFonts w:ascii="Times New Roman" w:hAnsi="Times New Roman"/>
                <w:sz w:val="22"/>
                <w:szCs w:val="22"/>
                <w:lang w:eastAsia="bg-BG"/>
              </w:rPr>
            </w:pPr>
            <w:r w:rsidRPr="00761800">
              <w:rPr>
                <w:rFonts w:ascii="Times New Roman" w:hAnsi="Times New Roman"/>
                <w:sz w:val="22"/>
                <w:szCs w:val="22"/>
                <w:lang w:eastAsia="bg-BG"/>
              </w:rPr>
              <w:t>Бюджетно взаимоотношение с централния бюджет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A474A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76 263,8</w:t>
            </w:r>
          </w:p>
        </w:tc>
      </w:tr>
      <w:tr w:rsidR="00761800" w:rsidRPr="00761800" w14:paraId="799BE6D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7EDB411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IV.</w:t>
            </w:r>
          </w:p>
        </w:tc>
        <w:tc>
          <w:tcPr>
            <w:tcW w:w="11062" w:type="dxa"/>
            <w:tcBorders>
              <w:top w:val="nil"/>
              <w:left w:val="nil"/>
              <w:bottom w:val="single" w:sz="4" w:space="0" w:color="auto"/>
              <w:right w:val="nil"/>
            </w:tcBorders>
            <w:shd w:val="clear" w:color="auto" w:fill="auto"/>
            <w:noWrap/>
            <w:vAlign w:val="bottom"/>
            <w:hideMark/>
          </w:tcPr>
          <w:p w14:paraId="3C5E48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БЮДЖЕТНО САЛДО (І-ІІ+ІІІ)</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80317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3B3CE4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CF4B9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V.</w:t>
            </w:r>
          </w:p>
        </w:tc>
        <w:tc>
          <w:tcPr>
            <w:tcW w:w="11062" w:type="dxa"/>
            <w:tcBorders>
              <w:top w:val="nil"/>
              <w:left w:val="nil"/>
              <w:bottom w:val="single" w:sz="4" w:space="0" w:color="auto"/>
              <w:right w:val="nil"/>
            </w:tcBorders>
            <w:shd w:val="clear" w:color="auto" w:fill="auto"/>
            <w:noWrap/>
            <w:vAlign w:val="bottom"/>
            <w:hideMark/>
          </w:tcPr>
          <w:p w14:paraId="0372B3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ОПЕРАЦИИ В ЧАСТТА НА ФИНАНСИРАНЕТО - НЕТО </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625075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AA0BEA7" w14:textId="77777777" w:rsidTr="00406B4D">
        <w:trPr>
          <w:trHeight w:val="300"/>
        </w:trPr>
        <w:tc>
          <w:tcPr>
            <w:tcW w:w="1013" w:type="dxa"/>
            <w:tcBorders>
              <w:top w:val="nil"/>
              <w:left w:val="nil"/>
              <w:bottom w:val="nil"/>
              <w:right w:val="nil"/>
            </w:tcBorders>
            <w:shd w:val="clear" w:color="auto" w:fill="auto"/>
            <w:noWrap/>
            <w:vAlign w:val="bottom"/>
            <w:hideMark/>
          </w:tcPr>
          <w:p w14:paraId="63FD2A92"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02570666"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hideMark/>
          </w:tcPr>
          <w:p w14:paraId="5F9D24FC" w14:textId="77777777" w:rsidR="00761800" w:rsidRPr="00761800" w:rsidRDefault="00761800" w:rsidP="00761800">
            <w:pPr>
              <w:rPr>
                <w:rFonts w:ascii="Times New Roman" w:hAnsi="Times New Roman"/>
                <w:sz w:val="20"/>
                <w:lang w:eastAsia="bg-BG"/>
              </w:rPr>
            </w:pPr>
          </w:p>
        </w:tc>
      </w:tr>
      <w:tr w:rsidR="00761800" w:rsidRPr="00761800" w14:paraId="7AF4998C" w14:textId="77777777" w:rsidTr="00406B4D">
        <w:trPr>
          <w:trHeight w:val="300"/>
        </w:trPr>
        <w:tc>
          <w:tcPr>
            <w:tcW w:w="14253" w:type="dxa"/>
            <w:gridSpan w:val="3"/>
            <w:tcBorders>
              <w:top w:val="nil"/>
              <w:left w:val="nil"/>
              <w:bottom w:val="single" w:sz="4" w:space="0" w:color="auto"/>
              <w:right w:val="nil"/>
            </w:tcBorders>
            <w:shd w:val="clear" w:color="auto" w:fill="auto"/>
            <w:hideMark/>
          </w:tcPr>
          <w:p w14:paraId="73BED4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Утвърждава разпределение на разходите по ал. 1 по области на политики и бюджетни програми, както следва:</w:t>
            </w:r>
          </w:p>
        </w:tc>
      </w:tr>
      <w:tr w:rsidR="00761800" w:rsidRPr="00761800" w14:paraId="4FA19C9F"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B37AE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7FEC0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Наименование на областта на политика / бюджетната програма</w:t>
            </w:r>
          </w:p>
        </w:tc>
        <w:tc>
          <w:tcPr>
            <w:tcW w:w="2178" w:type="dxa"/>
            <w:tcBorders>
              <w:top w:val="nil"/>
              <w:left w:val="nil"/>
              <w:bottom w:val="nil"/>
              <w:right w:val="single" w:sz="4" w:space="0" w:color="auto"/>
            </w:tcBorders>
            <w:shd w:val="clear" w:color="auto" w:fill="auto"/>
            <w:noWrap/>
            <w:vAlign w:val="center"/>
            <w:hideMark/>
          </w:tcPr>
          <w:p w14:paraId="7A8EB42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5D3C82C2"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6026DFC"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26421771"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508A1B0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497587D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5713FC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14A9172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5E9127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4A2980CB" w14:textId="77777777" w:rsidTr="00406B4D">
        <w:trPr>
          <w:trHeight w:val="600"/>
        </w:trPr>
        <w:tc>
          <w:tcPr>
            <w:tcW w:w="1013" w:type="dxa"/>
            <w:tcBorders>
              <w:top w:val="nil"/>
              <w:left w:val="single" w:sz="4" w:space="0" w:color="auto"/>
              <w:bottom w:val="single" w:sz="4" w:space="0" w:color="auto"/>
              <w:right w:val="single" w:sz="4" w:space="0" w:color="auto"/>
            </w:tcBorders>
            <w:shd w:val="clear" w:color="auto" w:fill="auto"/>
            <w:noWrap/>
            <w:hideMark/>
          </w:tcPr>
          <w:p w14:paraId="3CEA0B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vAlign w:val="bottom"/>
            <w:hideMark/>
          </w:tcPr>
          <w:p w14:paraId="79B766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Политика в областта на осигуряването и прилагането на специални разузнавателни средства с цел защита на националната сигурност и опазване на обществения ред</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BE779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76 316,0</w:t>
            </w:r>
          </w:p>
        </w:tc>
      </w:tr>
      <w:tr w:rsidR="00761800" w:rsidRPr="00761800" w14:paraId="5B37C03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53EC8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 </w:t>
            </w:r>
          </w:p>
        </w:tc>
        <w:tc>
          <w:tcPr>
            <w:tcW w:w="11062" w:type="dxa"/>
            <w:tcBorders>
              <w:top w:val="nil"/>
              <w:left w:val="nil"/>
              <w:bottom w:val="single" w:sz="4" w:space="0" w:color="auto"/>
              <w:right w:val="nil"/>
            </w:tcBorders>
            <w:shd w:val="clear" w:color="auto" w:fill="auto"/>
            <w:noWrap/>
            <w:vAlign w:val="bottom"/>
            <w:hideMark/>
          </w:tcPr>
          <w:p w14:paraId="44AA77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Всичко:</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ABB36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76 316,0</w:t>
            </w:r>
          </w:p>
        </w:tc>
      </w:tr>
      <w:tr w:rsidR="00761800" w:rsidRPr="00761800" w14:paraId="03B1B868" w14:textId="77777777" w:rsidTr="00406B4D">
        <w:trPr>
          <w:trHeight w:val="300"/>
        </w:trPr>
        <w:tc>
          <w:tcPr>
            <w:tcW w:w="1013" w:type="dxa"/>
            <w:tcBorders>
              <w:top w:val="nil"/>
              <w:left w:val="nil"/>
              <w:bottom w:val="nil"/>
              <w:right w:val="nil"/>
            </w:tcBorders>
            <w:shd w:val="clear" w:color="auto" w:fill="auto"/>
            <w:noWrap/>
            <w:vAlign w:val="bottom"/>
            <w:hideMark/>
          </w:tcPr>
          <w:p w14:paraId="04D72508"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4CB445D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3AE87A89" w14:textId="77777777" w:rsidR="00761800" w:rsidRPr="00761800" w:rsidRDefault="00761800" w:rsidP="00761800">
            <w:pPr>
              <w:rPr>
                <w:rFonts w:ascii="Times New Roman" w:hAnsi="Times New Roman"/>
                <w:sz w:val="20"/>
                <w:lang w:eastAsia="bg-BG"/>
              </w:rPr>
            </w:pPr>
          </w:p>
        </w:tc>
      </w:tr>
      <w:tr w:rsidR="00761800" w:rsidRPr="00761800" w14:paraId="0CF3375D" w14:textId="77777777" w:rsidTr="00406B4D">
        <w:trPr>
          <w:trHeight w:val="623"/>
        </w:trPr>
        <w:tc>
          <w:tcPr>
            <w:tcW w:w="14253" w:type="dxa"/>
            <w:gridSpan w:val="3"/>
            <w:tcBorders>
              <w:top w:val="nil"/>
              <w:left w:val="nil"/>
              <w:bottom w:val="single" w:sz="4" w:space="0" w:color="auto"/>
              <w:right w:val="nil"/>
            </w:tcBorders>
            <w:shd w:val="clear" w:color="auto" w:fill="auto"/>
            <w:hideMark/>
          </w:tcPr>
          <w:p w14:paraId="53FC31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Утвърждава максималните размери на ангажиментите за разходи, които могат да бъдат поети през 2026 г., и максималните размери на новите задължения за разходи, които могат да бъдат натрупани през 2026 г. от Държавната агенция „Технически операции“, както следва:</w:t>
            </w:r>
          </w:p>
        </w:tc>
      </w:tr>
      <w:tr w:rsidR="00761800" w:rsidRPr="00761800" w14:paraId="4F585C5D" w14:textId="77777777" w:rsidTr="00406B4D">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9FAA9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w:t>
            </w:r>
          </w:p>
        </w:tc>
        <w:tc>
          <w:tcPr>
            <w:tcW w:w="1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618CA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Показатели</w:t>
            </w:r>
          </w:p>
        </w:tc>
        <w:tc>
          <w:tcPr>
            <w:tcW w:w="2178" w:type="dxa"/>
            <w:tcBorders>
              <w:top w:val="nil"/>
              <w:left w:val="nil"/>
              <w:bottom w:val="nil"/>
              <w:right w:val="single" w:sz="4" w:space="0" w:color="auto"/>
            </w:tcBorders>
            <w:shd w:val="clear" w:color="auto" w:fill="auto"/>
            <w:noWrap/>
            <w:vAlign w:val="center"/>
            <w:hideMark/>
          </w:tcPr>
          <w:p w14:paraId="125E867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Сума</w:t>
            </w:r>
          </w:p>
        </w:tc>
      </w:tr>
      <w:tr w:rsidR="00761800" w:rsidRPr="00761800" w14:paraId="03794A38" w14:textId="77777777" w:rsidTr="00406B4D">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BDC4849" w14:textId="77777777" w:rsidR="00761800" w:rsidRPr="00761800" w:rsidRDefault="00761800" w:rsidP="00761800">
            <w:pPr>
              <w:rPr>
                <w:rFonts w:ascii="Times New Roman" w:hAnsi="Times New Roman"/>
                <w:sz w:val="22"/>
                <w:szCs w:val="22"/>
                <w:lang w:eastAsia="bg-BG"/>
              </w:rPr>
            </w:pPr>
          </w:p>
        </w:tc>
        <w:tc>
          <w:tcPr>
            <w:tcW w:w="11062" w:type="dxa"/>
            <w:vMerge/>
            <w:tcBorders>
              <w:top w:val="nil"/>
              <w:left w:val="single" w:sz="4" w:space="0" w:color="auto"/>
              <w:bottom w:val="single" w:sz="4" w:space="0" w:color="000000"/>
              <w:right w:val="single" w:sz="4" w:space="0" w:color="auto"/>
            </w:tcBorders>
            <w:vAlign w:val="center"/>
            <w:hideMark/>
          </w:tcPr>
          <w:p w14:paraId="1CCDCC99" w14:textId="77777777" w:rsidR="00761800" w:rsidRPr="00761800" w:rsidRDefault="00761800" w:rsidP="00761800">
            <w:pPr>
              <w:rPr>
                <w:rFonts w:ascii="Times New Roman" w:hAnsi="Times New Roman"/>
                <w:sz w:val="22"/>
                <w:szCs w:val="22"/>
                <w:lang w:eastAsia="bg-BG"/>
              </w:rPr>
            </w:pPr>
          </w:p>
        </w:tc>
        <w:tc>
          <w:tcPr>
            <w:tcW w:w="2178" w:type="dxa"/>
            <w:tcBorders>
              <w:top w:val="nil"/>
              <w:left w:val="nil"/>
              <w:bottom w:val="single" w:sz="4" w:space="0" w:color="auto"/>
              <w:right w:val="single" w:sz="4" w:space="0" w:color="auto"/>
            </w:tcBorders>
            <w:shd w:val="clear" w:color="auto" w:fill="auto"/>
            <w:noWrap/>
            <w:vAlign w:val="center"/>
            <w:hideMark/>
          </w:tcPr>
          <w:p w14:paraId="1E2EC64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39CC256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F20F1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062" w:type="dxa"/>
            <w:tcBorders>
              <w:top w:val="nil"/>
              <w:left w:val="nil"/>
              <w:bottom w:val="single" w:sz="4" w:space="0" w:color="auto"/>
              <w:right w:val="nil"/>
            </w:tcBorders>
            <w:shd w:val="clear" w:color="auto" w:fill="auto"/>
            <w:noWrap/>
            <w:vAlign w:val="bottom"/>
            <w:hideMark/>
          </w:tcPr>
          <w:p w14:paraId="0DD22DD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53352B5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r>
      <w:tr w:rsidR="00761800" w:rsidRPr="00761800" w14:paraId="27B1CB7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7C301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1.</w:t>
            </w:r>
          </w:p>
        </w:tc>
        <w:tc>
          <w:tcPr>
            <w:tcW w:w="11062" w:type="dxa"/>
            <w:tcBorders>
              <w:top w:val="nil"/>
              <w:left w:val="nil"/>
              <w:bottom w:val="single" w:sz="4" w:space="0" w:color="auto"/>
              <w:right w:val="nil"/>
            </w:tcBorders>
            <w:shd w:val="clear" w:color="auto" w:fill="auto"/>
            <w:noWrap/>
            <w:vAlign w:val="bottom"/>
            <w:hideMark/>
          </w:tcPr>
          <w:p w14:paraId="3F2566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ангажиментите за разходи, които могат да бъдат поети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18CDBB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3 442,5</w:t>
            </w:r>
          </w:p>
        </w:tc>
      </w:tr>
      <w:tr w:rsidR="00761800" w:rsidRPr="00761800" w14:paraId="4AAAFD2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hideMark/>
          </w:tcPr>
          <w:p w14:paraId="6AD7D6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 2.</w:t>
            </w:r>
          </w:p>
        </w:tc>
        <w:tc>
          <w:tcPr>
            <w:tcW w:w="11062" w:type="dxa"/>
            <w:tcBorders>
              <w:top w:val="nil"/>
              <w:left w:val="nil"/>
              <w:bottom w:val="single" w:sz="4" w:space="0" w:color="auto"/>
              <w:right w:val="nil"/>
            </w:tcBorders>
            <w:shd w:val="clear" w:color="auto" w:fill="auto"/>
            <w:noWrap/>
            <w:vAlign w:val="bottom"/>
            <w:hideMark/>
          </w:tcPr>
          <w:p w14:paraId="755625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Максимален размер на новите задължения за разходи, които могат да бъдат натрупани през 2026 г.</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04EB1C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2 458,9</w:t>
            </w:r>
          </w:p>
        </w:tc>
      </w:tr>
      <w:tr w:rsidR="00761800" w:rsidRPr="00761800" w14:paraId="6F2582BB" w14:textId="77777777" w:rsidTr="00406B4D">
        <w:trPr>
          <w:trHeight w:val="300"/>
        </w:trPr>
        <w:tc>
          <w:tcPr>
            <w:tcW w:w="1013" w:type="dxa"/>
            <w:tcBorders>
              <w:top w:val="nil"/>
              <w:left w:val="nil"/>
              <w:bottom w:val="nil"/>
              <w:right w:val="nil"/>
            </w:tcBorders>
            <w:shd w:val="clear" w:color="auto" w:fill="auto"/>
            <w:noWrap/>
            <w:vAlign w:val="bottom"/>
            <w:hideMark/>
          </w:tcPr>
          <w:p w14:paraId="1CBEF9A5" w14:textId="77777777" w:rsidR="00761800" w:rsidRPr="00761800" w:rsidRDefault="00761800" w:rsidP="00761800">
            <w:pPr>
              <w:jc w:val="right"/>
              <w:rPr>
                <w:rFonts w:ascii="Times New Roman" w:hAnsi="Times New Roman"/>
                <w:sz w:val="22"/>
                <w:szCs w:val="22"/>
                <w:lang w:eastAsia="bg-BG"/>
              </w:rPr>
            </w:pPr>
          </w:p>
        </w:tc>
        <w:tc>
          <w:tcPr>
            <w:tcW w:w="11062" w:type="dxa"/>
            <w:tcBorders>
              <w:top w:val="nil"/>
              <w:left w:val="nil"/>
              <w:bottom w:val="nil"/>
              <w:right w:val="nil"/>
            </w:tcBorders>
            <w:shd w:val="clear" w:color="auto" w:fill="auto"/>
            <w:noWrap/>
            <w:vAlign w:val="bottom"/>
            <w:hideMark/>
          </w:tcPr>
          <w:p w14:paraId="657BEA0F"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5DCF275A" w14:textId="77777777" w:rsidR="00761800" w:rsidRPr="00761800" w:rsidRDefault="00761800" w:rsidP="00761800">
            <w:pPr>
              <w:rPr>
                <w:rFonts w:ascii="Times New Roman" w:hAnsi="Times New Roman"/>
                <w:sz w:val="20"/>
                <w:lang w:eastAsia="bg-BG"/>
              </w:rPr>
            </w:pPr>
          </w:p>
        </w:tc>
      </w:tr>
      <w:tr w:rsidR="00761800" w:rsidRPr="00761800" w14:paraId="018704D8" w14:textId="77777777" w:rsidTr="00406B4D">
        <w:trPr>
          <w:trHeight w:val="657"/>
        </w:trPr>
        <w:tc>
          <w:tcPr>
            <w:tcW w:w="14253" w:type="dxa"/>
            <w:gridSpan w:val="3"/>
            <w:tcBorders>
              <w:top w:val="nil"/>
              <w:left w:val="nil"/>
              <w:bottom w:val="nil"/>
              <w:right w:val="nil"/>
            </w:tcBorders>
            <w:shd w:val="clear" w:color="auto" w:fill="auto"/>
            <w:vAlign w:val="bottom"/>
            <w:hideMark/>
          </w:tcPr>
          <w:p w14:paraId="0D153460"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48.</w:t>
            </w:r>
            <w:r w:rsidRPr="00761800">
              <w:rPr>
                <w:rFonts w:ascii="Times New Roman" w:hAnsi="Times New Roman"/>
                <w:color w:val="000000"/>
                <w:sz w:val="22"/>
                <w:szCs w:val="22"/>
                <w:lang w:eastAsia="bg-BG"/>
              </w:rPr>
              <w:t xml:space="preserve"> Определя бюджетните взаимоотношения с централния бюджет за 2026 г. на Българското национално радио, Българската национална телевизия и Българската телеграфна агенция, както следва:</w:t>
            </w:r>
          </w:p>
        </w:tc>
      </w:tr>
      <w:tr w:rsidR="00761800" w:rsidRPr="00761800" w14:paraId="382FEBFC" w14:textId="77777777" w:rsidTr="00406B4D">
        <w:trPr>
          <w:trHeight w:val="300"/>
        </w:trPr>
        <w:tc>
          <w:tcPr>
            <w:tcW w:w="1013" w:type="dxa"/>
            <w:tcBorders>
              <w:top w:val="single" w:sz="4" w:space="0" w:color="auto"/>
              <w:left w:val="single" w:sz="4" w:space="0" w:color="auto"/>
              <w:bottom w:val="nil"/>
              <w:right w:val="single" w:sz="4" w:space="0" w:color="auto"/>
            </w:tcBorders>
            <w:shd w:val="clear" w:color="auto" w:fill="auto"/>
            <w:noWrap/>
            <w:vAlign w:val="center"/>
            <w:hideMark/>
          </w:tcPr>
          <w:p w14:paraId="33D18E43"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w:t>
            </w:r>
          </w:p>
        </w:tc>
        <w:tc>
          <w:tcPr>
            <w:tcW w:w="11062" w:type="dxa"/>
            <w:tcBorders>
              <w:top w:val="single" w:sz="4" w:space="0" w:color="auto"/>
              <w:left w:val="nil"/>
              <w:bottom w:val="nil"/>
              <w:right w:val="single" w:sz="4" w:space="0" w:color="auto"/>
            </w:tcBorders>
            <w:shd w:val="clear" w:color="auto" w:fill="auto"/>
            <w:noWrap/>
            <w:vAlign w:val="center"/>
            <w:hideMark/>
          </w:tcPr>
          <w:p w14:paraId="094B783C"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Показатели</w:t>
            </w:r>
          </w:p>
        </w:tc>
        <w:tc>
          <w:tcPr>
            <w:tcW w:w="2178" w:type="dxa"/>
            <w:tcBorders>
              <w:top w:val="single" w:sz="4" w:space="0" w:color="auto"/>
              <w:left w:val="nil"/>
              <w:bottom w:val="single" w:sz="4" w:space="0" w:color="auto"/>
              <w:right w:val="single" w:sz="4" w:space="0" w:color="auto"/>
            </w:tcBorders>
            <w:shd w:val="clear" w:color="auto" w:fill="auto"/>
            <w:vAlign w:val="center"/>
            <w:hideMark/>
          </w:tcPr>
          <w:p w14:paraId="2F505740"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Сума</w:t>
            </w:r>
            <w:r w:rsidRPr="00761800">
              <w:rPr>
                <w:rFonts w:ascii="Times New Roman" w:hAnsi="Times New Roman"/>
                <w:color w:val="000000"/>
                <w:sz w:val="22"/>
                <w:szCs w:val="22"/>
                <w:lang w:eastAsia="bg-BG"/>
              </w:rPr>
              <w:br/>
              <w:t>(хил. евро)</w:t>
            </w:r>
          </w:p>
        </w:tc>
      </w:tr>
      <w:tr w:rsidR="00761800" w:rsidRPr="00761800" w14:paraId="3B6FBBEA" w14:textId="77777777" w:rsidTr="00406B4D">
        <w:trPr>
          <w:trHeight w:val="300"/>
        </w:trPr>
        <w:tc>
          <w:tcPr>
            <w:tcW w:w="10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CE772"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 </w:t>
            </w:r>
          </w:p>
        </w:tc>
        <w:tc>
          <w:tcPr>
            <w:tcW w:w="11062" w:type="dxa"/>
            <w:tcBorders>
              <w:top w:val="single" w:sz="4" w:space="0" w:color="auto"/>
              <w:left w:val="nil"/>
              <w:bottom w:val="single" w:sz="4" w:space="0" w:color="auto"/>
              <w:right w:val="single" w:sz="4" w:space="0" w:color="auto"/>
            </w:tcBorders>
            <w:shd w:val="clear" w:color="auto" w:fill="auto"/>
            <w:noWrap/>
            <w:vAlign w:val="bottom"/>
            <w:hideMark/>
          </w:tcPr>
          <w:p w14:paraId="4FC7C7BF"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1</w:t>
            </w:r>
          </w:p>
        </w:tc>
        <w:tc>
          <w:tcPr>
            <w:tcW w:w="2178" w:type="dxa"/>
            <w:tcBorders>
              <w:top w:val="nil"/>
              <w:left w:val="nil"/>
              <w:bottom w:val="single" w:sz="4" w:space="0" w:color="auto"/>
              <w:right w:val="single" w:sz="4" w:space="0" w:color="auto"/>
            </w:tcBorders>
            <w:shd w:val="clear" w:color="auto" w:fill="auto"/>
            <w:noWrap/>
            <w:vAlign w:val="bottom"/>
            <w:hideMark/>
          </w:tcPr>
          <w:p w14:paraId="3E46C13B"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2</w:t>
            </w:r>
          </w:p>
        </w:tc>
      </w:tr>
      <w:tr w:rsidR="00761800" w:rsidRPr="00761800" w14:paraId="466BC27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888E4C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1.</w:t>
            </w:r>
          </w:p>
        </w:tc>
        <w:tc>
          <w:tcPr>
            <w:tcW w:w="11062" w:type="dxa"/>
            <w:tcBorders>
              <w:top w:val="nil"/>
              <w:left w:val="nil"/>
              <w:bottom w:val="single" w:sz="4" w:space="0" w:color="auto"/>
              <w:right w:val="single" w:sz="4" w:space="0" w:color="auto"/>
            </w:tcBorders>
            <w:shd w:val="clear" w:color="auto" w:fill="auto"/>
            <w:noWrap/>
            <w:vAlign w:val="bottom"/>
            <w:hideMark/>
          </w:tcPr>
          <w:p w14:paraId="46BDD89F"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Българско национално радио</w:t>
            </w:r>
          </w:p>
        </w:tc>
        <w:tc>
          <w:tcPr>
            <w:tcW w:w="2178" w:type="dxa"/>
            <w:tcBorders>
              <w:top w:val="nil"/>
              <w:left w:val="nil"/>
              <w:bottom w:val="single" w:sz="4" w:space="0" w:color="auto"/>
              <w:right w:val="single" w:sz="4" w:space="0" w:color="auto"/>
            </w:tcBorders>
            <w:shd w:val="clear" w:color="auto" w:fill="auto"/>
            <w:noWrap/>
            <w:vAlign w:val="bottom"/>
            <w:hideMark/>
          </w:tcPr>
          <w:p w14:paraId="7C2C31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35 299,2</w:t>
            </w:r>
          </w:p>
        </w:tc>
      </w:tr>
      <w:tr w:rsidR="00761800" w:rsidRPr="00761800" w14:paraId="0B6D427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F0F4BE2"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bottom"/>
            <w:hideMark/>
          </w:tcPr>
          <w:p w14:paraId="78DEE6FA"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 xml:space="preserve">     в т.ч.</w:t>
            </w:r>
          </w:p>
        </w:tc>
        <w:tc>
          <w:tcPr>
            <w:tcW w:w="2178" w:type="dxa"/>
            <w:tcBorders>
              <w:top w:val="nil"/>
              <w:left w:val="nil"/>
              <w:bottom w:val="single" w:sz="4" w:space="0" w:color="auto"/>
              <w:right w:val="single" w:sz="4" w:space="0" w:color="auto"/>
            </w:tcBorders>
            <w:shd w:val="clear" w:color="auto" w:fill="auto"/>
            <w:noWrap/>
            <w:vAlign w:val="bottom"/>
            <w:hideMark/>
          </w:tcPr>
          <w:p w14:paraId="1A5008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7D1CC2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99B7AF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 xml:space="preserve"> </w:t>
            </w:r>
          </w:p>
        </w:tc>
        <w:tc>
          <w:tcPr>
            <w:tcW w:w="11062" w:type="dxa"/>
            <w:tcBorders>
              <w:top w:val="nil"/>
              <w:left w:val="nil"/>
              <w:bottom w:val="single" w:sz="4" w:space="0" w:color="auto"/>
              <w:right w:val="single" w:sz="4" w:space="0" w:color="auto"/>
            </w:tcBorders>
            <w:shd w:val="clear" w:color="auto" w:fill="auto"/>
            <w:noWrap/>
            <w:vAlign w:val="bottom"/>
            <w:hideMark/>
          </w:tcPr>
          <w:p w14:paraId="5CCA18BF"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 xml:space="preserve">  - по чл. 70, ал. 4, т. 2 от Закона за радиото и телевизията </w:t>
            </w:r>
          </w:p>
        </w:tc>
        <w:tc>
          <w:tcPr>
            <w:tcW w:w="2178" w:type="dxa"/>
            <w:tcBorders>
              <w:top w:val="nil"/>
              <w:left w:val="nil"/>
              <w:bottom w:val="single" w:sz="4" w:space="0" w:color="auto"/>
              <w:right w:val="single" w:sz="4" w:space="0" w:color="auto"/>
            </w:tcBorders>
            <w:shd w:val="clear" w:color="auto" w:fill="auto"/>
            <w:noWrap/>
            <w:vAlign w:val="bottom"/>
            <w:hideMark/>
          </w:tcPr>
          <w:p w14:paraId="502433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1 994,0</w:t>
            </w:r>
          </w:p>
        </w:tc>
      </w:tr>
      <w:tr w:rsidR="00761800" w:rsidRPr="00761800" w14:paraId="3D9F711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6909A5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2.</w:t>
            </w:r>
          </w:p>
        </w:tc>
        <w:tc>
          <w:tcPr>
            <w:tcW w:w="11062" w:type="dxa"/>
            <w:tcBorders>
              <w:top w:val="nil"/>
              <w:left w:val="nil"/>
              <w:bottom w:val="single" w:sz="4" w:space="0" w:color="auto"/>
              <w:right w:val="single" w:sz="4" w:space="0" w:color="auto"/>
            </w:tcBorders>
            <w:shd w:val="clear" w:color="auto" w:fill="auto"/>
            <w:noWrap/>
            <w:vAlign w:val="bottom"/>
            <w:hideMark/>
          </w:tcPr>
          <w:p w14:paraId="547E476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Българска национална телевизия</w:t>
            </w:r>
          </w:p>
        </w:tc>
        <w:tc>
          <w:tcPr>
            <w:tcW w:w="2178" w:type="dxa"/>
            <w:tcBorders>
              <w:top w:val="nil"/>
              <w:left w:val="nil"/>
              <w:bottom w:val="single" w:sz="4" w:space="0" w:color="auto"/>
              <w:right w:val="single" w:sz="4" w:space="0" w:color="auto"/>
            </w:tcBorders>
            <w:shd w:val="clear" w:color="auto" w:fill="auto"/>
            <w:noWrap/>
            <w:vAlign w:val="bottom"/>
            <w:hideMark/>
          </w:tcPr>
          <w:p w14:paraId="0B8663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49 503,7</w:t>
            </w:r>
          </w:p>
        </w:tc>
      </w:tr>
      <w:tr w:rsidR="00761800" w:rsidRPr="00761800" w14:paraId="2C0D2B4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8C1FB3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bottom"/>
            <w:hideMark/>
          </w:tcPr>
          <w:p w14:paraId="34D0070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 xml:space="preserve">     в т.ч.</w:t>
            </w:r>
          </w:p>
        </w:tc>
        <w:tc>
          <w:tcPr>
            <w:tcW w:w="2178" w:type="dxa"/>
            <w:tcBorders>
              <w:top w:val="nil"/>
              <w:left w:val="nil"/>
              <w:bottom w:val="single" w:sz="4" w:space="0" w:color="auto"/>
              <w:right w:val="single" w:sz="4" w:space="0" w:color="auto"/>
            </w:tcBorders>
            <w:shd w:val="clear" w:color="auto" w:fill="auto"/>
            <w:noWrap/>
            <w:vAlign w:val="bottom"/>
            <w:hideMark/>
          </w:tcPr>
          <w:p w14:paraId="2BA9CC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79EDF0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04345CD"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 xml:space="preserve"> </w:t>
            </w:r>
          </w:p>
        </w:tc>
        <w:tc>
          <w:tcPr>
            <w:tcW w:w="11062" w:type="dxa"/>
            <w:tcBorders>
              <w:top w:val="nil"/>
              <w:left w:val="nil"/>
              <w:bottom w:val="single" w:sz="4" w:space="0" w:color="auto"/>
              <w:right w:val="single" w:sz="4" w:space="0" w:color="auto"/>
            </w:tcBorders>
            <w:shd w:val="clear" w:color="auto" w:fill="auto"/>
            <w:noWrap/>
            <w:vAlign w:val="bottom"/>
            <w:hideMark/>
          </w:tcPr>
          <w:p w14:paraId="7FD9839D"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 xml:space="preserve">  - по чл. 70, ал. 4, т. 2 от Закона за радиото и телевизията </w:t>
            </w:r>
          </w:p>
        </w:tc>
        <w:tc>
          <w:tcPr>
            <w:tcW w:w="2178" w:type="dxa"/>
            <w:tcBorders>
              <w:top w:val="nil"/>
              <w:left w:val="nil"/>
              <w:bottom w:val="single" w:sz="4" w:space="0" w:color="auto"/>
              <w:right w:val="single" w:sz="4" w:space="0" w:color="auto"/>
            </w:tcBorders>
            <w:shd w:val="clear" w:color="auto" w:fill="auto"/>
            <w:noWrap/>
            <w:vAlign w:val="bottom"/>
            <w:hideMark/>
          </w:tcPr>
          <w:p w14:paraId="569B1C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3 118,9</w:t>
            </w:r>
          </w:p>
        </w:tc>
      </w:tr>
      <w:tr w:rsidR="00761800" w:rsidRPr="00761800" w14:paraId="3CAC511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4DE464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3.</w:t>
            </w:r>
          </w:p>
        </w:tc>
        <w:tc>
          <w:tcPr>
            <w:tcW w:w="11062" w:type="dxa"/>
            <w:tcBorders>
              <w:top w:val="nil"/>
              <w:left w:val="nil"/>
              <w:bottom w:val="single" w:sz="4" w:space="0" w:color="auto"/>
              <w:right w:val="single" w:sz="4" w:space="0" w:color="auto"/>
            </w:tcBorders>
            <w:shd w:val="clear" w:color="auto" w:fill="auto"/>
            <w:noWrap/>
            <w:vAlign w:val="bottom"/>
            <w:hideMark/>
          </w:tcPr>
          <w:p w14:paraId="1E3A5FD1"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Българска телеграфна агенция</w:t>
            </w:r>
          </w:p>
        </w:tc>
        <w:tc>
          <w:tcPr>
            <w:tcW w:w="2178" w:type="dxa"/>
            <w:tcBorders>
              <w:top w:val="nil"/>
              <w:left w:val="nil"/>
              <w:bottom w:val="single" w:sz="4" w:space="0" w:color="auto"/>
              <w:right w:val="single" w:sz="4" w:space="0" w:color="auto"/>
            </w:tcBorders>
            <w:shd w:val="clear" w:color="auto" w:fill="auto"/>
            <w:noWrap/>
            <w:vAlign w:val="bottom"/>
            <w:hideMark/>
          </w:tcPr>
          <w:p w14:paraId="407AA8D9"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9 761,6</w:t>
            </w:r>
          </w:p>
        </w:tc>
      </w:tr>
      <w:tr w:rsidR="00761800" w:rsidRPr="00761800" w14:paraId="5CF10AD9" w14:textId="77777777" w:rsidTr="00406B4D">
        <w:trPr>
          <w:trHeight w:val="70"/>
        </w:trPr>
        <w:tc>
          <w:tcPr>
            <w:tcW w:w="1013" w:type="dxa"/>
            <w:tcBorders>
              <w:top w:val="nil"/>
              <w:left w:val="nil"/>
              <w:bottom w:val="nil"/>
              <w:right w:val="nil"/>
            </w:tcBorders>
            <w:shd w:val="clear" w:color="auto" w:fill="auto"/>
            <w:noWrap/>
            <w:vAlign w:val="bottom"/>
            <w:hideMark/>
          </w:tcPr>
          <w:p w14:paraId="39AFCB67" w14:textId="77777777" w:rsidR="00761800" w:rsidRPr="00761800" w:rsidRDefault="00761800" w:rsidP="00761800">
            <w:pPr>
              <w:jc w:val="right"/>
              <w:rPr>
                <w:rFonts w:ascii="Times New Roman" w:hAnsi="Times New Roman"/>
                <w:color w:val="000000"/>
                <w:sz w:val="22"/>
                <w:szCs w:val="22"/>
                <w:lang w:eastAsia="bg-BG"/>
              </w:rPr>
            </w:pPr>
          </w:p>
        </w:tc>
        <w:tc>
          <w:tcPr>
            <w:tcW w:w="11062" w:type="dxa"/>
            <w:tcBorders>
              <w:top w:val="nil"/>
              <w:left w:val="nil"/>
              <w:bottom w:val="nil"/>
              <w:right w:val="nil"/>
            </w:tcBorders>
            <w:shd w:val="clear" w:color="auto" w:fill="auto"/>
            <w:noWrap/>
            <w:vAlign w:val="bottom"/>
            <w:hideMark/>
          </w:tcPr>
          <w:p w14:paraId="281B0569"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2FAB6290" w14:textId="77777777" w:rsidR="00761800" w:rsidRPr="00761800" w:rsidRDefault="00761800" w:rsidP="00761800">
            <w:pPr>
              <w:rPr>
                <w:rFonts w:ascii="Times New Roman" w:hAnsi="Times New Roman"/>
                <w:sz w:val="20"/>
                <w:lang w:eastAsia="bg-BG"/>
              </w:rPr>
            </w:pPr>
          </w:p>
        </w:tc>
      </w:tr>
      <w:tr w:rsidR="00761800" w:rsidRPr="00761800" w14:paraId="782123A9" w14:textId="77777777" w:rsidTr="00406B4D">
        <w:trPr>
          <w:trHeight w:val="1031"/>
        </w:trPr>
        <w:tc>
          <w:tcPr>
            <w:tcW w:w="14253" w:type="dxa"/>
            <w:gridSpan w:val="3"/>
            <w:tcBorders>
              <w:top w:val="nil"/>
              <w:left w:val="nil"/>
              <w:bottom w:val="nil"/>
              <w:right w:val="nil"/>
            </w:tcBorders>
            <w:shd w:val="clear" w:color="auto" w:fill="auto"/>
            <w:vAlign w:val="bottom"/>
            <w:hideMark/>
          </w:tcPr>
          <w:p w14:paraId="263A0D30"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b/>
                <w:bCs/>
                <w:color w:val="000000"/>
                <w:sz w:val="22"/>
                <w:szCs w:val="22"/>
                <w:lang w:eastAsia="bg-BG"/>
              </w:rPr>
              <w:t>Чл. 49.</w:t>
            </w:r>
            <w:r w:rsidRPr="00761800">
              <w:rPr>
                <w:rFonts w:ascii="Times New Roman" w:hAnsi="Times New Roman"/>
                <w:color w:val="000000"/>
                <w:sz w:val="22"/>
                <w:szCs w:val="22"/>
                <w:lang w:eastAsia="bg-BG"/>
              </w:rPr>
              <w:t xml:space="preserve"> (1) Утвърждава допустимите максимални размери на задълженията към доставчици към 31 декември 2026 г. на бюджетните организации по чл. 13, ал. 3 от Закона за публичните финанси, както следва:</w:t>
            </w:r>
          </w:p>
          <w:p w14:paraId="1C18A290" w14:textId="77777777" w:rsidR="00761800" w:rsidRPr="00761800" w:rsidRDefault="00761800" w:rsidP="00761800">
            <w:pPr>
              <w:rPr>
                <w:rFonts w:ascii="Times New Roman" w:hAnsi="Times New Roman"/>
                <w:color w:val="000000"/>
                <w:sz w:val="22"/>
                <w:szCs w:val="22"/>
                <w:lang w:eastAsia="bg-BG"/>
              </w:rPr>
            </w:pPr>
          </w:p>
        </w:tc>
      </w:tr>
      <w:tr w:rsidR="00761800" w:rsidRPr="00761800" w14:paraId="2A349CBB" w14:textId="77777777" w:rsidTr="00406B4D">
        <w:trPr>
          <w:trHeight w:val="638"/>
        </w:trPr>
        <w:tc>
          <w:tcPr>
            <w:tcW w:w="1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1F0D3"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w:t>
            </w:r>
          </w:p>
        </w:tc>
        <w:tc>
          <w:tcPr>
            <w:tcW w:w="11062" w:type="dxa"/>
            <w:tcBorders>
              <w:top w:val="single" w:sz="4" w:space="0" w:color="auto"/>
              <w:left w:val="nil"/>
              <w:bottom w:val="single" w:sz="4" w:space="0" w:color="auto"/>
              <w:right w:val="single" w:sz="4" w:space="0" w:color="auto"/>
            </w:tcBorders>
            <w:shd w:val="clear" w:color="auto" w:fill="auto"/>
            <w:noWrap/>
            <w:vAlign w:val="center"/>
            <w:hideMark/>
          </w:tcPr>
          <w:p w14:paraId="0A608DD2"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Наименование</w:t>
            </w:r>
          </w:p>
        </w:tc>
        <w:tc>
          <w:tcPr>
            <w:tcW w:w="2178" w:type="dxa"/>
            <w:tcBorders>
              <w:top w:val="single" w:sz="4" w:space="0" w:color="auto"/>
              <w:left w:val="nil"/>
              <w:bottom w:val="single" w:sz="4" w:space="0" w:color="auto"/>
              <w:right w:val="single" w:sz="4" w:space="0" w:color="auto"/>
            </w:tcBorders>
            <w:shd w:val="clear" w:color="auto" w:fill="auto"/>
            <w:vAlign w:val="center"/>
            <w:hideMark/>
          </w:tcPr>
          <w:p w14:paraId="352D697C"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Сума</w:t>
            </w:r>
            <w:r w:rsidRPr="00761800">
              <w:rPr>
                <w:rFonts w:ascii="Times New Roman" w:hAnsi="Times New Roman"/>
                <w:color w:val="000000"/>
                <w:sz w:val="22"/>
                <w:szCs w:val="22"/>
                <w:lang w:eastAsia="bg-BG"/>
              </w:rPr>
              <w:br/>
              <w:t>(хил. евро)</w:t>
            </w:r>
          </w:p>
        </w:tc>
      </w:tr>
      <w:tr w:rsidR="00761800" w:rsidRPr="00761800" w14:paraId="00C4A59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F6D6DE0"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bottom"/>
            <w:hideMark/>
          </w:tcPr>
          <w:p w14:paraId="641D1033"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1</w:t>
            </w:r>
          </w:p>
        </w:tc>
        <w:tc>
          <w:tcPr>
            <w:tcW w:w="2178" w:type="dxa"/>
            <w:tcBorders>
              <w:top w:val="nil"/>
              <w:left w:val="nil"/>
              <w:bottom w:val="single" w:sz="4" w:space="0" w:color="auto"/>
              <w:right w:val="single" w:sz="4" w:space="0" w:color="auto"/>
            </w:tcBorders>
            <w:shd w:val="clear" w:color="auto" w:fill="auto"/>
            <w:noWrap/>
            <w:vAlign w:val="bottom"/>
            <w:hideMark/>
          </w:tcPr>
          <w:p w14:paraId="4A036EF6" w14:textId="77777777" w:rsidR="00761800" w:rsidRPr="00761800" w:rsidRDefault="00761800" w:rsidP="00761800">
            <w:pPr>
              <w:jc w:val="center"/>
              <w:rPr>
                <w:rFonts w:ascii="Times New Roman" w:hAnsi="Times New Roman"/>
                <w:color w:val="000000"/>
                <w:sz w:val="22"/>
                <w:szCs w:val="22"/>
                <w:lang w:eastAsia="bg-BG"/>
              </w:rPr>
            </w:pPr>
            <w:r w:rsidRPr="00761800">
              <w:rPr>
                <w:rFonts w:ascii="Times New Roman" w:hAnsi="Times New Roman"/>
                <w:color w:val="000000"/>
                <w:sz w:val="22"/>
                <w:szCs w:val="22"/>
                <w:lang w:eastAsia="bg-BG"/>
              </w:rPr>
              <w:t>2</w:t>
            </w:r>
          </w:p>
        </w:tc>
      </w:tr>
      <w:tr w:rsidR="00761800" w:rsidRPr="00761800" w14:paraId="7959768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310691F"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lastRenderedPageBreak/>
              <w:t>1</w:t>
            </w:r>
          </w:p>
        </w:tc>
        <w:tc>
          <w:tcPr>
            <w:tcW w:w="11062" w:type="dxa"/>
            <w:tcBorders>
              <w:top w:val="nil"/>
              <w:left w:val="nil"/>
              <w:bottom w:val="single" w:sz="4" w:space="0" w:color="auto"/>
              <w:right w:val="single" w:sz="4" w:space="0" w:color="auto"/>
            </w:tcBorders>
            <w:shd w:val="clear" w:color="auto" w:fill="auto"/>
            <w:noWrap/>
            <w:vAlign w:val="bottom"/>
            <w:hideMark/>
          </w:tcPr>
          <w:p w14:paraId="779D7BA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Българска академия на науките</w:t>
            </w:r>
          </w:p>
        </w:tc>
        <w:tc>
          <w:tcPr>
            <w:tcW w:w="2178" w:type="dxa"/>
            <w:tcBorders>
              <w:top w:val="nil"/>
              <w:left w:val="nil"/>
              <w:bottom w:val="single" w:sz="4" w:space="0" w:color="auto"/>
              <w:right w:val="single" w:sz="4" w:space="0" w:color="auto"/>
            </w:tcBorders>
            <w:shd w:val="clear" w:color="auto" w:fill="auto"/>
            <w:noWrap/>
            <w:vAlign w:val="bottom"/>
            <w:hideMark/>
          </w:tcPr>
          <w:p w14:paraId="6F9D1C74"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1 432,0</w:t>
            </w:r>
          </w:p>
        </w:tc>
      </w:tr>
      <w:tr w:rsidR="00761800" w:rsidRPr="00761800" w14:paraId="2780FF2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82480D7"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2</w:t>
            </w:r>
          </w:p>
        </w:tc>
        <w:tc>
          <w:tcPr>
            <w:tcW w:w="11062" w:type="dxa"/>
            <w:tcBorders>
              <w:top w:val="nil"/>
              <w:left w:val="nil"/>
              <w:bottom w:val="single" w:sz="4" w:space="0" w:color="auto"/>
              <w:right w:val="single" w:sz="4" w:space="0" w:color="auto"/>
            </w:tcBorders>
            <w:shd w:val="clear" w:color="auto" w:fill="auto"/>
            <w:noWrap/>
            <w:vAlign w:val="bottom"/>
            <w:hideMark/>
          </w:tcPr>
          <w:p w14:paraId="2B6F9EAF"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Българска телеграфна агенция</w:t>
            </w:r>
          </w:p>
        </w:tc>
        <w:tc>
          <w:tcPr>
            <w:tcW w:w="2178" w:type="dxa"/>
            <w:tcBorders>
              <w:top w:val="nil"/>
              <w:left w:val="nil"/>
              <w:bottom w:val="single" w:sz="4" w:space="0" w:color="auto"/>
              <w:right w:val="single" w:sz="4" w:space="0" w:color="auto"/>
            </w:tcBorders>
            <w:shd w:val="clear" w:color="auto" w:fill="auto"/>
            <w:noWrap/>
            <w:vAlign w:val="bottom"/>
            <w:hideMark/>
          </w:tcPr>
          <w:p w14:paraId="74276CAC"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50,0</w:t>
            </w:r>
          </w:p>
        </w:tc>
      </w:tr>
      <w:tr w:rsidR="00761800" w:rsidRPr="00761800" w14:paraId="3F34C60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AC9D1B1"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3</w:t>
            </w:r>
          </w:p>
        </w:tc>
        <w:tc>
          <w:tcPr>
            <w:tcW w:w="11062" w:type="dxa"/>
            <w:tcBorders>
              <w:top w:val="nil"/>
              <w:left w:val="nil"/>
              <w:bottom w:val="single" w:sz="4" w:space="0" w:color="auto"/>
              <w:right w:val="single" w:sz="4" w:space="0" w:color="auto"/>
            </w:tcBorders>
            <w:shd w:val="clear" w:color="auto" w:fill="auto"/>
            <w:noWrap/>
            <w:vAlign w:val="bottom"/>
            <w:hideMark/>
          </w:tcPr>
          <w:p w14:paraId="4B7E283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Българска национална телевизия</w:t>
            </w:r>
          </w:p>
        </w:tc>
        <w:tc>
          <w:tcPr>
            <w:tcW w:w="2178" w:type="dxa"/>
            <w:tcBorders>
              <w:top w:val="nil"/>
              <w:left w:val="nil"/>
              <w:bottom w:val="single" w:sz="4" w:space="0" w:color="auto"/>
              <w:right w:val="single" w:sz="4" w:space="0" w:color="auto"/>
            </w:tcBorders>
            <w:shd w:val="clear" w:color="auto" w:fill="auto"/>
            <w:noWrap/>
            <w:vAlign w:val="bottom"/>
            <w:hideMark/>
          </w:tcPr>
          <w:p w14:paraId="41D90F82"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5 112,9</w:t>
            </w:r>
          </w:p>
        </w:tc>
      </w:tr>
      <w:tr w:rsidR="00761800" w:rsidRPr="00761800" w14:paraId="6693C49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69E6956"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4</w:t>
            </w:r>
          </w:p>
        </w:tc>
        <w:tc>
          <w:tcPr>
            <w:tcW w:w="11062" w:type="dxa"/>
            <w:tcBorders>
              <w:top w:val="nil"/>
              <w:left w:val="nil"/>
              <w:bottom w:val="single" w:sz="4" w:space="0" w:color="auto"/>
              <w:right w:val="single" w:sz="4" w:space="0" w:color="auto"/>
            </w:tcBorders>
            <w:shd w:val="clear" w:color="auto" w:fill="auto"/>
            <w:noWrap/>
            <w:vAlign w:val="bottom"/>
            <w:hideMark/>
          </w:tcPr>
          <w:p w14:paraId="663C042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Българско национално радио</w:t>
            </w:r>
          </w:p>
        </w:tc>
        <w:tc>
          <w:tcPr>
            <w:tcW w:w="2178" w:type="dxa"/>
            <w:tcBorders>
              <w:top w:val="nil"/>
              <w:left w:val="nil"/>
              <w:bottom w:val="single" w:sz="4" w:space="0" w:color="auto"/>
              <w:right w:val="single" w:sz="4" w:space="0" w:color="auto"/>
            </w:tcBorders>
            <w:shd w:val="clear" w:color="auto" w:fill="auto"/>
            <w:noWrap/>
            <w:vAlign w:val="bottom"/>
            <w:hideMark/>
          </w:tcPr>
          <w:p w14:paraId="2778F676"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1 022,6</w:t>
            </w:r>
          </w:p>
        </w:tc>
      </w:tr>
      <w:tr w:rsidR="00761800" w:rsidRPr="00761800" w14:paraId="4227B29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DEA9A4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w:t>
            </w:r>
          </w:p>
        </w:tc>
        <w:tc>
          <w:tcPr>
            <w:tcW w:w="11062" w:type="dxa"/>
            <w:tcBorders>
              <w:top w:val="nil"/>
              <w:left w:val="nil"/>
              <w:bottom w:val="single" w:sz="4" w:space="0" w:color="auto"/>
              <w:right w:val="single" w:sz="4" w:space="0" w:color="auto"/>
            </w:tcBorders>
            <w:shd w:val="clear" w:color="auto" w:fill="auto"/>
            <w:noWrap/>
            <w:vAlign w:val="bottom"/>
            <w:hideMark/>
          </w:tcPr>
          <w:p w14:paraId="3C2D1DB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Държавни висши училища</w:t>
            </w:r>
          </w:p>
        </w:tc>
        <w:tc>
          <w:tcPr>
            <w:tcW w:w="2178" w:type="dxa"/>
            <w:tcBorders>
              <w:top w:val="nil"/>
              <w:left w:val="nil"/>
              <w:bottom w:val="single" w:sz="4" w:space="0" w:color="auto"/>
              <w:right w:val="single" w:sz="4" w:space="0" w:color="auto"/>
            </w:tcBorders>
            <w:shd w:val="clear" w:color="auto" w:fill="auto"/>
            <w:noWrap/>
            <w:vAlign w:val="bottom"/>
            <w:hideMark/>
          </w:tcPr>
          <w:p w14:paraId="29DA98E1"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11 879,0</w:t>
            </w:r>
          </w:p>
        </w:tc>
      </w:tr>
      <w:tr w:rsidR="00761800" w:rsidRPr="00761800" w14:paraId="0E88263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7FA8C2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bottom"/>
            <w:hideMark/>
          </w:tcPr>
          <w:p w14:paraId="31DF19A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А) Държавни висши училища, финансирани от Министерството на образованието и науката</w:t>
            </w:r>
          </w:p>
        </w:tc>
        <w:tc>
          <w:tcPr>
            <w:tcW w:w="2178" w:type="dxa"/>
            <w:tcBorders>
              <w:top w:val="nil"/>
              <w:left w:val="nil"/>
              <w:bottom w:val="single" w:sz="4" w:space="0" w:color="auto"/>
              <w:right w:val="single" w:sz="4" w:space="0" w:color="auto"/>
            </w:tcBorders>
            <w:shd w:val="clear" w:color="auto" w:fill="auto"/>
            <w:noWrap/>
            <w:vAlign w:val="bottom"/>
            <w:hideMark/>
          </w:tcPr>
          <w:p w14:paraId="56E79D3E"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11 264,0</w:t>
            </w:r>
          </w:p>
        </w:tc>
      </w:tr>
      <w:tr w:rsidR="00761800" w:rsidRPr="00761800" w14:paraId="6431D69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83006BF"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5.1.</w:t>
            </w:r>
          </w:p>
        </w:tc>
        <w:tc>
          <w:tcPr>
            <w:tcW w:w="11062" w:type="dxa"/>
            <w:tcBorders>
              <w:top w:val="nil"/>
              <w:left w:val="nil"/>
              <w:bottom w:val="single" w:sz="4" w:space="0" w:color="auto"/>
              <w:right w:val="single" w:sz="4" w:space="0" w:color="auto"/>
            </w:tcBorders>
            <w:shd w:val="clear" w:color="auto" w:fill="auto"/>
            <w:noWrap/>
            <w:vAlign w:val="bottom"/>
            <w:hideMark/>
          </w:tcPr>
          <w:p w14:paraId="057F884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Технически университет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089C0328"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511,0</w:t>
            </w:r>
          </w:p>
        </w:tc>
      </w:tr>
      <w:tr w:rsidR="00761800" w:rsidRPr="00761800" w14:paraId="75D17D1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7016BFD"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5.2.</w:t>
            </w:r>
          </w:p>
        </w:tc>
        <w:tc>
          <w:tcPr>
            <w:tcW w:w="11062" w:type="dxa"/>
            <w:tcBorders>
              <w:top w:val="nil"/>
              <w:left w:val="nil"/>
              <w:bottom w:val="single" w:sz="4" w:space="0" w:color="auto"/>
              <w:right w:val="single" w:sz="4" w:space="0" w:color="auto"/>
            </w:tcBorders>
            <w:shd w:val="clear" w:color="auto" w:fill="auto"/>
            <w:noWrap/>
            <w:vAlign w:val="bottom"/>
            <w:hideMark/>
          </w:tcPr>
          <w:p w14:paraId="3C98B7A8"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Технически университет – Варна</w:t>
            </w:r>
          </w:p>
        </w:tc>
        <w:tc>
          <w:tcPr>
            <w:tcW w:w="2178" w:type="dxa"/>
            <w:tcBorders>
              <w:top w:val="nil"/>
              <w:left w:val="nil"/>
              <w:bottom w:val="single" w:sz="4" w:space="0" w:color="auto"/>
              <w:right w:val="single" w:sz="4" w:space="0" w:color="auto"/>
            </w:tcBorders>
            <w:shd w:val="clear" w:color="auto" w:fill="auto"/>
            <w:noWrap/>
            <w:vAlign w:val="bottom"/>
            <w:hideMark/>
          </w:tcPr>
          <w:p w14:paraId="49CA6D57"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90,0</w:t>
            </w:r>
          </w:p>
        </w:tc>
      </w:tr>
      <w:tr w:rsidR="00761800" w:rsidRPr="00761800" w14:paraId="3A9ACD8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0B9D1ED"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5.3.</w:t>
            </w:r>
          </w:p>
        </w:tc>
        <w:tc>
          <w:tcPr>
            <w:tcW w:w="11062" w:type="dxa"/>
            <w:tcBorders>
              <w:top w:val="nil"/>
              <w:left w:val="nil"/>
              <w:bottom w:val="single" w:sz="4" w:space="0" w:color="auto"/>
              <w:right w:val="single" w:sz="4" w:space="0" w:color="auto"/>
            </w:tcBorders>
            <w:shd w:val="clear" w:color="auto" w:fill="auto"/>
            <w:noWrap/>
            <w:vAlign w:val="bottom"/>
            <w:hideMark/>
          </w:tcPr>
          <w:p w14:paraId="73B72578"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Технически университет – Габрово</w:t>
            </w:r>
          </w:p>
        </w:tc>
        <w:tc>
          <w:tcPr>
            <w:tcW w:w="2178" w:type="dxa"/>
            <w:tcBorders>
              <w:top w:val="nil"/>
              <w:left w:val="nil"/>
              <w:bottom w:val="single" w:sz="4" w:space="0" w:color="auto"/>
              <w:right w:val="single" w:sz="4" w:space="0" w:color="auto"/>
            </w:tcBorders>
            <w:shd w:val="clear" w:color="auto" w:fill="auto"/>
            <w:noWrap/>
            <w:vAlign w:val="bottom"/>
            <w:hideMark/>
          </w:tcPr>
          <w:p w14:paraId="54256B86"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60,0</w:t>
            </w:r>
          </w:p>
        </w:tc>
      </w:tr>
      <w:tr w:rsidR="00761800" w:rsidRPr="00761800" w14:paraId="2C869B4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FCB38FD"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5.4.</w:t>
            </w:r>
          </w:p>
        </w:tc>
        <w:tc>
          <w:tcPr>
            <w:tcW w:w="11062" w:type="dxa"/>
            <w:tcBorders>
              <w:top w:val="nil"/>
              <w:left w:val="nil"/>
              <w:bottom w:val="single" w:sz="4" w:space="0" w:color="auto"/>
              <w:right w:val="single" w:sz="4" w:space="0" w:color="auto"/>
            </w:tcBorders>
            <w:shd w:val="clear" w:color="auto" w:fill="auto"/>
            <w:noWrap/>
            <w:vAlign w:val="bottom"/>
            <w:hideMark/>
          </w:tcPr>
          <w:p w14:paraId="12561B4D"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Русенски университет „Ангел Кънчев“</w:t>
            </w:r>
          </w:p>
        </w:tc>
        <w:tc>
          <w:tcPr>
            <w:tcW w:w="2178" w:type="dxa"/>
            <w:tcBorders>
              <w:top w:val="nil"/>
              <w:left w:val="nil"/>
              <w:bottom w:val="single" w:sz="4" w:space="0" w:color="auto"/>
              <w:right w:val="single" w:sz="4" w:space="0" w:color="auto"/>
            </w:tcBorders>
            <w:shd w:val="clear" w:color="auto" w:fill="auto"/>
            <w:noWrap/>
            <w:vAlign w:val="bottom"/>
            <w:hideMark/>
          </w:tcPr>
          <w:p w14:paraId="0C622734"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170,0</w:t>
            </w:r>
          </w:p>
        </w:tc>
      </w:tr>
      <w:tr w:rsidR="00761800" w:rsidRPr="00761800" w14:paraId="750B3D1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2FFE522"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5.5.</w:t>
            </w:r>
          </w:p>
        </w:tc>
        <w:tc>
          <w:tcPr>
            <w:tcW w:w="11062" w:type="dxa"/>
            <w:tcBorders>
              <w:top w:val="nil"/>
              <w:left w:val="nil"/>
              <w:bottom w:val="single" w:sz="4" w:space="0" w:color="auto"/>
              <w:right w:val="single" w:sz="4" w:space="0" w:color="auto"/>
            </w:tcBorders>
            <w:shd w:val="clear" w:color="auto" w:fill="auto"/>
            <w:noWrap/>
            <w:vAlign w:val="bottom"/>
            <w:hideMark/>
          </w:tcPr>
          <w:p w14:paraId="6E062A3B"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Университет по хранителни технологии – Пловдив</w:t>
            </w:r>
          </w:p>
        </w:tc>
        <w:tc>
          <w:tcPr>
            <w:tcW w:w="2178" w:type="dxa"/>
            <w:tcBorders>
              <w:top w:val="nil"/>
              <w:left w:val="nil"/>
              <w:bottom w:val="single" w:sz="4" w:space="0" w:color="auto"/>
              <w:right w:val="single" w:sz="4" w:space="0" w:color="auto"/>
            </w:tcBorders>
            <w:shd w:val="clear" w:color="auto" w:fill="auto"/>
            <w:noWrap/>
            <w:vAlign w:val="bottom"/>
            <w:hideMark/>
          </w:tcPr>
          <w:p w14:paraId="7D8F1450"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97,0</w:t>
            </w:r>
          </w:p>
        </w:tc>
      </w:tr>
      <w:tr w:rsidR="00761800" w:rsidRPr="00761800" w14:paraId="5EAA90C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B32A6B1"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5.6.</w:t>
            </w:r>
          </w:p>
        </w:tc>
        <w:tc>
          <w:tcPr>
            <w:tcW w:w="11062" w:type="dxa"/>
            <w:tcBorders>
              <w:top w:val="nil"/>
              <w:left w:val="nil"/>
              <w:bottom w:val="single" w:sz="4" w:space="0" w:color="auto"/>
              <w:right w:val="single" w:sz="4" w:space="0" w:color="auto"/>
            </w:tcBorders>
            <w:shd w:val="clear" w:color="auto" w:fill="auto"/>
            <w:noWrap/>
            <w:vAlign w:val="bottom"/>
            <w:hideMark/>
          </w:tcPr>
          <w:p w14:paraId="7131B55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Химикотехнологичен и металургичен университет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1B066056"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205,0</w:t>
            </w:r>
          </w:p>
        </w:tc>
      </w:tr>
      <w:tr w:rsidR="00761800" w:rsidRPr="00761800" w14:paraId="74E8075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0819582"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5.7.</w:t>
            </w:r>
          </w:p>
        </w:tc>
        <w:tc>
          <w:tcPr>
            <w:tcW w:w="11062" w:type="dxa"/>
            <w:tcBorders>
              <w:top w:val="nil"/>
              <w:left w:val="nil"/>
              <w:bottom w:val="single" w:sz="4" w:space="0" w:color="auto"/>
              <w:right w:val="single" w:sz="4" w:space="0" w:color="auto"/>
            </w:tcBorders>
            <w:shd w:val="clear" w:color="auto" w:fill="auto"/>
            <w:noWrap/>
            <w:vAlign w:val="bottom"/>
            <w:hideMark/>
          </w:tcPr>
          <w:p w14:paraId="16518D4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Бургаски държавен университет „Проф. д-р Асен Златаров“</w:t>
            </w:r>
          </w:p>
        </w:tc>
        <w:tc>
          <w:tcPr>
            <w:tcW w:w="2178" w:type="dxa"/>
            <w:tcBorders>
              <w:top w:val="nil"/>
              <w:left w:val="nil"/>
              <w:bottom w:val="single" w:sz="4" w:space="0" w:color="auto"/>
              <w:right w:val="single" w:sz="4" w:space="0" w:color="auto"/>
            </w:tcBorders>
            <w:shd w:val="clear" w:color="auto" w:fill="auto"/>
            <w:noWrap/>
            <w:vAlign w:val="bottom"/>
            <w:hideMark/>
          </w:tcPr>
          <w:p w14:paraId="51A653C1"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500,0</w:t>
            </w:r>
          </w:p>
        </w:tc>
      </w:tr>
      <w:tr w:rsidR="00761800" w:rsidRPr="00761800" w14:paraId="5437E39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46DF0CB"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5.8.</w:t>
            </w:r>
          </w:p>
        </w:tc>
        <w:tc>
          <w:tcPr>
            <w:tcW w:w="11062" w:type="dxa"/>
            <w:tcBorders>
              <w:top w:val="nil"/>
              <w:left w:val="nil"/>
              <w:bottom w:val="single" w:sz="4" w:space="0" w:color="auto"/>
              <w:right w:val="single" w:sz="4" w:space="0" w:color="auto"/>
            </w:tcBorders>
            <w:shd w:val="clear" w:color="auto" w:fill="auto"/>
            <w:noWrap/>
            <w:vAlign w:val="bottom"/>
            <w:hideMark/>
          </w:tcPr>
          <w:p w14:paraId="08BB561E"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Лесотехнически университет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15E3837C"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100,0</w:t>
            </w:r>
          </w:p>
        </w:tc>
      </w:tr>
      <w:tr w:rsidR="00761800" w:rsidRPr="00761800" w14:paraId="069102E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F22225D"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5.9.</w:t>
            </w:r>
          </w:p>
        </w:tc>
        <w:tc>
          <w:tcPr>
            <w:tcW w:w="11062" w:type="dxa"/>
            <w:tcBorders>
              <w:top w:val="nil"/>
              <w:left w:val="nil"/>
              <w:bottom w:val="single" w:sz="4" w:space="0" w:color="auto"/>
              <w:right w:val="single" w:sz="4" w:space="0" w:color="auto"/>
            </w:tcBorders>
            <w:shd w:val="clear" w:color="auto" w:fill="auto"/>
            <w:noWrap/>
            <w:vAlign w:val="bottom"/>
            <w:hideMark/>
          </w:tcPr>
          <w:p w14:paraId="5B8D512E"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Университет по архитектура, строителство и геодезия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5770343E"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212,0</w:t>
            </w:r>
          </w:p>
        </w:tc>
      </w:tr>
      <w:tr w:rsidR="00761800" w:rsidRPr="00761800" w14:paraId="655C23AF"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428D2E7"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5.10.</w:t>
            </w:r>
          </w:p>
        </w:tc>
        <w:tc>
          <w:tcPr>
            <w:tcW w:w="11062" w:type="dxa"/>
            <w:tcBorders>
              <w:top w:val="nil"/>
              <w:left w:val="nil"/>
              <w:bottom w:val="single" w:sz="4" w:space="0" w:color="auto"/>
              <w:right w:val="single" w:sz="4" w:space="0" w:color="auto"/>
            </w:tcBorders>
            <w:shd w:val="clear" w:color="auto" w:fill="auto"/>
            <w:noWrap/>
            <w:vAlign w:val="bottom"/>
            <w:hideMark/>
          </w:tcPr>
          <w:p w14:paraId="2D2F94E0"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Минно-геоложки университет „Св. Иван Рилски“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156F2E9E"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148,0</w:t>
            </w:r>
          </w:p>
        </w:tc>
      </w:tr>
      <w:tr w:rsidR="00761800" w:rsidRPr="00761800" w14:paraId="2726F7A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AD1EAEF"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5.11.</w:t>
            </w:r>
          </w:p>
        </w:tc>
        <w:tc>
          <w:tcPr>
            <w:tcW w:w="11062" w:type="dxa"/>
            <w:tcBorders>
              <w:top w:val="nil"/>
              <w:left w:val="nil"/>
              <w:bottom w:val="single" w:sz="4" w:space="0" w:color="auto"/>
              <w:right w:val="single" w:sz="4" w:space="0" w:color="auto"/>
            </w:tcBorders>
            <w:shd w:val="clear" w:color="auto" w:fill="auto"/>
            <w:noWrap/>
            <w:vAlign w:val="bottom"/>
            <w:hideMark/>
          </w:tcPr>
          <w:p w14:paraId="022E9E0E"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Университет за национално и световно стопанство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517240A6"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700,0</w:t>
            </w:r>
          </w:p>
        </w:tc>
      </w:tr>
      <w:tr w:rsidR="00761800" w:rsidRPr="00761800" w14:paraId="2EB3D4F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CF86A6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5.12.</w:t>
            </w:r>
          </w:p>
        </w:tc>
        <w:tc>
          <w:tcPr>
            <w:tcW w:w="11062" w:type="dxa"/>
            <w:tcBorders>
              <w:top w:val="nil"/>
              <w:left w:val="nil"/>
              <w:bottom w:val="single" w:sz="4" w:space="0" w:color="auto"/>
              <w:right w:val="single" w:sz="4" w:space="0" w:color="auto"/>
            </w:tcBorders>
            <w:shd w:val="clear" w:color="auto" w:fill="auto"/>
            <w:noWrap/>
            <w:vAlign w:val="bottom"/>
            <w:hideMark/>
          </w:tcPr>
          <w:p w14:paraId="011616D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Икономически университет – Варна</w:t>
            </w:r>
          </w:p>
        </w:tc>
        <w:tc>
          <w:tcPr>
            <w:tcW w:w="2178" w:type="dxa"/>
            <w:tcBorders>
              <w:top w:val="nil"/>
              <w:left w:val="nil"/>
              <w:bottom w:val="single" w:sz="4" w:space="0" w:color="auto"/>
              <w:right w:val="single" w:sz="4" w:space="0" w:color="auto"/>
            </w:tcBorders>
            <w:shd w:val="clear" w:color="auto" w:fill="auto"/>
            <w:noWrap/>
            <w:vAlign w:val="bottom"/>
            <w:hideMark/>
          </w:tcPr>
          <w:p w14:paraId="4776AC11"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150,0</w:t>
            </w:r>
          </w:p>
        </w:tc>
      </w:tr>
      <w:tr w:rsidR="00761800" w:rsidRPr="00761800" w14:paraId="3AE8FCC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3FE6717"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5.13.</w:t>
            </w:r>
          </w:p>
        </w:tc>
        <w:tc>
          <w:tcPr>
            <w:tcW w:w="11062" w:type="dxa"/>
            <w:tcBorders>
              <w:top w:val="nil"/>
              <w:left w:val="nil"/>
              <w:bottom w:val="single" w:sz="4" w:space="0" w:color="auto"/>
              <w:right w:val="single" w:sz="4" w:space="0" w:color="auto"/>
            </w:tcBorders>
            <w:shd w:val="clear" w:color="auto" w:fill="auto"/>
            <w:noWrap/>
            <w:vAlign w:val="bottom"/>
            <w:hideMark/>
          </w:tcPr>
          <w:p w14:paraId="11C5C941"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Стопанска академия „Димитър А. Ценов“ – Свищов</w:t>
            </w:r>
          </w:p>
        </w:tc>
        <w:tc>
          <w:tcPr>
            <w:tcW w:w="2178" w:type="dxa"/>
            <w:tcBorders>
              <w:top w:val="nil"/>
              <w:left w:val="nil"/>
              <w:bottom w:val="single" w:sz="4" w:space="0" w:color="auto"/>
              <w:right w:val="single" w:sz="4" w:space="0" w:color="auto"/>
            </w:tcBorders>
            <w:shd w:val="clear" w:color="auto" w:fill="auto"/>
            <w:noWrap/>
            <w:vAlign w:val="bottom"/>
            <w:hideMark/>
          </w:tcPr>
          <w:p w14:paraId="6BC68BAB"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102,0</w:t>
            </w:r>
          </w:p>
        </w:tc>
      </w:tr>
      <w:tr w:rsidR="00761800" w:rsidRPr="00761800" w14:paraId="771611C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736609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5.14.</w:t>
            </w:r>
          </w:p>
        </w:tc>
        <w:tc>
          <w:tcPr>
            <w:tcW w:w="11062" w:type="dxa"/>
            <w:tcBorders>
              <w:top w:val="nil"/>
              <w:left w:val="nil"/>
              <w:bottom w:val="single" w:sz="4" w:space="0" w:color="auto"/>
              <w:right w:val="single" w:sz="4" w:space="0" w:color="auto"/>
            </w:tcBorders>
            <w:shd w:val="clear" w:color="auto" w:fill="auto"/>
            <w:noWrap/>
            <w:vAlign w:val="bottom"/>
            <w:hideMark/>
          </w:tcPr>
          <w:p w14:paraId="1C247C31"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Софийски университет „Св. Климент Охридски“</w:t>
            </w:r>
          </w:p>
        </w:tc>
        <w:tc>
          <w:tcPr>
            <w:tcW w:w="2178" w:type="dxa"/>
            <w:tcBorders>
              <w:top w:val="nil"/>
              <w:left w:val="nil"/>
              <w:bottom w:val="single" w:sz="4" w:space="0" w:color="auto"/>
              <w:right w:val="single" w:sz="4" w:space="0" w:color="auto"/>
            </w:tcBorders>
            <w:shd w:val="clear" w:color="auto" w:fill="auto"/>
            <w:noWrap/>
            <w:vAlign w:val="bottom"/>
            <w:hideMark/>
          </w:tcPr>
          <w:p w14:paraId="3EBD1687"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3 500,0</w:t>
            </w:r>
          </w:p>
        </w:tc>
      </w:tr>
      <w:tr w:rsidR="00761800" w:rsidRPr="00761800" w14:paraId="430C729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4B41BB7"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5.15.</w:t>
            </w:r>
          </w:p>
        </w:tc>
        <w:tc>
          <w:tcPr>
            <w:tcW w:w="11062" w:type="dxa"/>
            <w:tcBorders>
              <w:top w:val="nil"/>
              <w:left w:val="nil"/>
              <w:bottom w:val="single" w:sz="4" w:space="0" w:color="auto"/>
              <w:right w:val="single" w:sz="4" w:space="0" w:color="auto"/>
            </w:tcBorders>
            <w:shd w:val="clear" w:color="auto" w:fill="auto"/>
            <w:noWrap/>
            <w:vAlign w:val="bottom"/>
            <w:hideMark/>
          </w:tcPr>
          <w:p w14:paraId="2C98060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Великотърновски университет „Св. св. Кирил и Методий“</w:t>
            </w:r>
          </w:p>
        </w:tc>
        <w:tc>
          <w:tcPr>
            <w:tcW w:w="2178" w:type="dxa"/>
            <w:tcBorders>
              <w:top w:val="nil"/>
              <w:left w:val="nil"/>
              <w:bottom w:val="single" w:sz="4" w:space="0" w:color="auto"/>
              <w:right w:val="single" w:sz="4" w:space="0" w:color="auto"/>
            </w:tcBorders>
            <w:shd w:val="clear" w:color="auto" w:fill="auto"/>
            <w:noWrap/>
            <w:vAlign w:val="bottom"/>
            <w:hideMark/>
          </w:tcPr>
          <w:p w14:paraId="5F2C56D8"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230,0</w:t>
            </w:r>
          </w:p>
        </w:tc>
      </w:tr>
      <w:tr w:rsidR="00761800" w:rsidRPr="00761800" w14:paraId="6F109DE4"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F93CCD6"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5.16.</w:t>
            </w:r>
          </w:p>
        </w:tc>
        <w:tc>
          <w:tcPr>
            <w:tcW w:w="11062" w:type="dxa"/>
            <w:tcBorders>
              <w:top w:val="nil"/>
              <w:left w:val="nil"/>
              <w:bottom w:val="single" w:sz="4" w:space="0" w:color="auto"/>
              <w:right w:val="single" w:sz="4" w:space="0" w:color="auto"/>
            </w:tcBorders>
            <w:shd w:val="clear" w:color="auto" w:fill="auto"/>
            <w:noWrap/>
            <w:vAlign w:val="bottom"/>
            <w:hideMark/>
          </w:tcPr>
          <w:p w14:paraId="7426155D"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Пловдивски университет „Паисий Хилендарски“</w:t>
            </w:r>
          </w:p>
        </w:tc>
        <w:tc>
          <w:tcPr>
            <w:tcW w:w="2178" w:type="dxa"/>
            <w:tcBorders>
              <w:top w:val="nil"/>
              <w:left w:val="nil"/>
              <w:bottom w:val="single" w:sz="4" w:space="0" w:color="auto"/>
              <w:right w:val="single" w:sz="4" w:space="0" w:color="auto"/>
            </w:tcBorders>
            <w:shd w:val="clear" w:color="auto" w:fill="auto"/>
            <w:noWrap/>
            <w:vAlign w:val="bottom"/>
            <w:hideMark/>
          </w:tcPr>
          <w:p w14:paraId="740E9900"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250,0</w:t>
            </w:r>
          </w:p>
        </w:tc>
      </w:tr>
      <w:tr w:rsidR="00761800" w:rsidRPr="00761800" w14:paraId="0BDD3AEC"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B862EA2"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5.17.</w:t>
            </w:r>
          </w:p>
        </w:tc>
        <w:tc>
          <w:tcPr>
            <w:tcW w:w="11062" w:type="dxa"/>
            <w:tcBorders>
              <w:top w:val="nil"/>
              <w:left w:val="nil"/>
              <w:bottom w:val="single" w:sz="4" w:space="0" w:color="auto"/>
              <w:right w:val="single" w:sz="4" w:space="0" w:color="auto"/>
            </w:tcBorders>
            <w:shd w:val="clear" w:color="auto" w:fill="auto"/>
            <w:noWrap/>
            <w:vAlign w:val="bottom"/>
            <w:hideMark/>
          </w:tcPr>
          <w:p w14:paraId="15B7F1F8"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Югозападен университет „Неофит Рилски“ – Благоевград</w:t>
            </w:r>
          </w:p>
        </w:tc>
        <w:tc>
          <w:tcPr>
            <w:tcW w:w="2178" w:type="dxa"/>
            <w:tcBorders>
              <w:top w:val="nil"/>
              <w:left w:val="nil"/>
              <w:bottom w:val="single" w:sz="4" w:space="0" w:color="auto"/>
              <w:right w:val="single" w:sz="4" w:space="0" w:color="auto"/>
            </w:tcBorders>
            <w:shd w:val="clear" w:color="auto" w:fill="auto"/>
            <w:noWrap/>
            <w:vAlign w:val="bottom"/>
            <w:hideMark/>
          </w:tcPr>
          <w:p w14:paraId="4CCA66F9"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400,0</w:t>
            </w:r>
          </w:p>
        </w:tc>
      </w:tr>
      <w:tr w:rsidR="00761800" w:rsidRPr="00761800" w14:paraId="09134AA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12A28C1"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5.18.</w:t>
            </w:r>
          </w:p>
        </w:tc>
        <w:tc>
          <w:tcPr>
            <w:tcW w:w="11062" w:type="dxa"/>
            <w:tcBorders>
              <w:top w:val="nil"/>
              <w:left w:val="nil"/>
              <w:bottom w:val="single" w:sz="4" w:space="0" w:color="auto"/>
              <w:right w:val="single" w:sz="4" w:space="0" w:color="auto"/>
            </w:tcBorders>
            <w:shd w:val="clear" w:color="auto" w:fill="auto"/>
            <w:noWrap/>
            <w:vAlign w:val="bottom"/>
            <w:hideMark/>
          </w:tcPr>
          <w:p w14:paraId="096A56B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Шуменски университет „Епископ Константин Преславски“</w:t>
            </w:r>
          </w:p>
        </w:tc>
        <w:tc>
          <w:tcPr>
            <w:tcW w:w="2178" w:type="dxa"/>
            <w:tcBorders>
              <w:top w:val="nil"/>
              <w:left w:val="nil"/>
              <w:bottom w:val="single" w:sz="4" w:space="0" w:color="auto"/>
              <w:right w:val="single" w:sz="4" w:space="0" w:color="auto"/>
            </w:tcBorders>
            <w:shd w:val="clear" w:color="auto" w:fill="auto"/>
            <w:noWrap/>
            <w:vAlign w:val="bottom"/>
            <w:hideMark/>
          </w:tcPr>
          <w:p w14:paraId="4F8DAC2E"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160,0</w:t>
            </w:r>
          </w:p>
        </w:tc>
      </w:tr>
      <w:tr w:rsidR="00761800" w:rsidRPr="00761800" w14:paraId="26CAB726"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4240917"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5.19.</w:t>
            </w:r>
          </w:p>
        </w:tc>
        <w:tc>
          <w:tcPr>
            <w:tcW w:w="11062" w:type="dxa"/>
            <w:tcBorders>
              <w:top w:val="nil"/>
              <w:left w:val="nil"/>
              <w:bottom w:val="single" w:sz="4" w:space="0" w:color="auto"/>
              <w:right w:val="single" w:sz="4" w:space="0" w:color="auto"/>
            </w:tcBorders>
            <w:shd w:val="clear" w:color="auto" w:fill="auto"/>
            <w:noWrap/>
            <w:vAlign w:val="bottom"/>
            <w:hideMark/>
          </w:tcPr>
          <w:p w14:paraId="357D8D1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Национална спортна академия „Васил Левски“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2C99E3F3"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358,0</w:t>
            </w:r>
          </w:p>
        </w:tc>
      </w:tr>
      <w:tr w:rsidR="00761800" w:rsidRPr="00761800" w14:paraId="40938DA2"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9E0E66D"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5.20.</w:t>
            </w:r>
          </w:p>
        </w:tc>
        <w:tc>
          <w:tcPr>
            <w:tcW w:w="11062" w:type="dxa"/>
            <w:tcBorders>
              <w:top w:val="nil"/>
              <w:left w:val="nil"/>
              <w:bottom w:val="single" w:sz="4" w:space="0" w:color="auto"/>
              <w:right w:val="single" w:sz="4" w:space="0" w:color="auto"/>
            </w:tcBorders>
            <w:shd w:val="clear" w:color="auto" w:fill="auto"/>
            <w:noWrap/>
            <w:vAlign w:val="bottom"/>
            <w:hideMark/>
          </w:tcPr>
          <w:p w14:paraId="53F4B13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Аграрен университет – Пловдив</w:t>
            </w:r>
          </w:p>
        </w:tc>
        <w:tc>
          <w:tcPr>
            <w:tcW w:w="2178" w:type="dxa"/>
            <w:tcBorders>
              <w:top w:val="nil"/>
              <w:left w:val="nil"/>
              <w:bottom w:val="single" w:sz="4" w:space="0" w:color="auto"/>
              <w:right w:val="single" w:sz="4" w:space="0" w:color="auto"/>
            </w:tcBorders>
            <w:shd w:val="clear" w:color="auto" w:fill="auto"/>
            <w:noWrap/>
            <w:vAlign w:val="bottom"/>
            <w:hideMark/>
          </w:tcPr>
          <w:p w14:paraId="6D3FB870"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76,0</w:t>
            </w:r>
          </w:p>
        </w:tc>
      </w:tr>
      <w:tr w:rsidR="00761800" w:rsidRPr="00761800" w14:paraId="0C3C8F28"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77AD5DE2"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5.21.</w:t>
            </w:r>
          </w:p>
        </w:tc>
        <w:tc>
          <w:tcPr>
            <w:tcW w:w="11062" w:type="dxa"/>
            <w:tcBorders>
              <w:top w:val="nil"/>
              <w:left w:val="nil"/>
              <w:bottom w:val="single" w:sz="4" w:space="0" w:color="auto"/>
              <w:right w:val="single" w:sz="4" w:space="0" w:color="auto"/>
            </w:tcBorders>
            <w:shd w:val="clear" w:color="auto" w:fill="auto"/>
            <w:noWrap/>
            <w:vAlign w:val="bottom"/>
            <w:hideMark/>
          </w:tcPr>
          <w:p w14:paraId="50F7A5BB"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Академия за музикално, танцово и изобразително изкуство „Проф. Асен Диамандиев“ – Пловдив</w:t>
            </w:r>
          </w:p>
        </w:tc>
        <w:tc>
          <w:tcPr>
            <w:tcW w:w="2178" w:type="dxa"/>
            <w:tcBorders>
              <w:top w:val="nil"/>
              <w:left w:val="nil"/>
              <w:bottom w:val="single" w:sz="4" w:space="0" w:color="auto"/>
              <w:right w:val="single" w:sz="4" w:space="0" w:color="auto"/>
            </w:tcBorders>
            <w:shd w:val="clear" w:color="auto" w:fill="auto"/>
            <w:noWrap/>
            <w:vAlign w:val="bottom"/>
            <w:hideMark/>
          </w:tcPr>
          <w:p w14:paraId="479DCFE0"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18,0</w:t>
            </w:r>
          </w:p>
        </w:tc>
      </w:tr>
      <w:tr w:rsidR="00761800" w:rsidRPr="00761800" w14:paraId="5790816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A4CAFA7"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5.22.</w:t>
            </w:r>
          </w:p>
        </w:tc>
        <w:tc>
          <w:tcPr>
            <w:tcW w:w="11062" w:type="dxa"/>
            <w:tcBorders>
              <w:top w:val="nil"/>
              <w:left w:val="nil"/>
              <w:bottom w:val="single" w:sz="4" w:space="0" w:color="auto"/>
              <w:right w:val="single" w:sz="4" w:space="0" w:color="auto"/>
            </w:tcBorders>
            <w:shd w:val="clear" w:color="auto" w:fill="auto"/>
            <w:noWrap/>
            <w:vAlign w:val="bottom"/>
            <w:hideMark/>
          </w:tcPr>
          <w:p w14:paraId="3AFB3D0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Национална академия за театрално и филмово изкуство „Кръстьо Сарафов“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536151EB"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65,0</w:t>
            </w:r>
          </w:p>
        </w:tc>
      </w:tr>
      <w:tr w:rsidR="00761800" w:rsidRPr="00761800" w14:paraId="4ED73FA7"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DC249BA"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5.23.</w:t>
            </w:r>
          </w:p>
        </w:tc>
        <w:tc>
          <w:tcPr>
            <w:tcW w:w="11062" w:type="dxa"/>
            <w:tcBorders>
              <w:top w:val="nil"/>
              <w:left w:val="nil"/>
              <w:bottom w:val="single" w:sz="4" w:space="0" w:color="auto"/>
              <w:right w:val="single" w:sz="4" w:space="0" w:color="auto"/>
            </w:tcBorders>
            <w:shd w:val="clear" w:color="auto" w:fill="auto"/>
            <w:noWrap/>
            <w:vAlign w:val="bottom"/>
            <w:hideMark/>
          </w:tcPr>
          <w:p w14:paraId="01934C9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Национална музикална академия „Проф. Панчо Владигеров“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0AED5B61"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250,0</w:t>
            </w:r>
          </w:p>
        </w:tc>
      </w:tr>
      <w:tr w:rsidR="00761800" w:rsidRPr="00761800" w14:paraId="5E2D99C3"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2B1BD7A"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lastRenderedPageBreak/>
              <w:t>5.24.</w:t>
            </w:r>
          </w:p>
        </w:tc>
        <w:tc>
          <w:tcPr>
            <w:tcW w:w="11062" w:type="dxa"/>
            <w:tcBorders>
              <w:top w:val="nil"/>
              <w:left w:val="nil"/>
              <w:bottom w:val="single" w:sz="4" w:space="0" w:color="auto"/>
              <w:right w:val="single" w:sz="4" w:space="0" w:color="auto"/>
            </w:tcBorders>
            <w:shd w:val="clear" w:color="auto" w:fill="auto"/>
            <w:noWrap/>
            <w:vAlign w:val="bottom"/>
            <w:hideMark/>
          </w:tcPr>
          <w:p w14:paraId="67BEBE58"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Национална художествена академия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1B992BAF"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15,0</w:t>
            </w:r>
          </w:p>
        </w:tc>
      </w:tr>
      <w:tr w:rsidR="00761800" w:rsidRPr="00761800" w14:paraId="53F6D4E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670A8BB"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5.25.</w:t>
            </w:r>
          </w:p>
        </w:tc>
        <w:tc>
          <w:tcPr>
            <w:tcW w:w="11062" w:type="dxa"/>
            <w:tcBorders>
              <w:top w:val="nil"/>
              <w:left w:val="nil"/>
              <w:bottom w:val="single" w:sz="4" w:space="0" w:color="auto"/>
              <w:right w:val="single" w:sz="4" w:space="0" w:color="auto"/>
            </w:tcBorders>
            <w:shd w:val="clear" w:color="auto" w:fill="auto"/>
            <w:noWrap/>
            <w:vAlign w:val="bottom"/>
            <w:hideMark/>
          </w:tcPr>
          <w:p w14:paraId="7B05CE12"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Университет по библиотекознание и информационни технологии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28BF74F6"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55,0</w:t>
            </w:r>
          </w:p>
        </w:tc>
      </w:tr>
      <w:tr w:rsidR="00761800" w:rsidRPr="00761800" w14:paraId="4B68ECF9"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F52DCCA"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5.26.</w:t>
            </w:r>
          </w:p>
        </w:tc>
        <w:tc>
          <w:tcPr>
            <w:tcW w:w="11062" w:type="dxa"/>
            <w:tcBorders>
              <w:top w:val="nil"/>
              <w:left w:val="nil"/>
              <w:bottom w:val="single" w:sz="4" w:space="0" w:color="auto"/>
              <w:right w:val="single" w:sz="4" w:space="0" w:color="auto"/>
            </w:tcBorders>
            <w:shd w:val="clear" w:color="auto" w:fill="auto"/>
            <w:noWrap/>
            <w:vAlign w:val="bottom"/>
            <w:hideMark/>
          </w:tcPr>
          <w:p w14:paraId="68ED0BAB"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Висше училище по телекомуникации и пощи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68E59A9A"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35,0</w:t>
            </w:r>
          </w:p>
        </w:tc>
      </w:tr>
      <w:tr w:rsidR="00761800" w:rsidRPr="00761800" w14:paraId="2730F1B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357DCEF"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5.27.</w:t>
            </w:r>
          </w:p>
        </w:tc>
        <w:tc>
          <w:tcPr>
            <w:tcW w:w="11062" w:type="dxa"/>
            <w:tcBorders>
              <w:top w:val="nil"/>
              <w:left w:val="nil"/>
              <w:bottom w:val="single" w:sz="4" w:space="0" w:color="auto"/>
              <w:right w:val="single" w:sz="4" w:space="0" w:color="auto"/>
            </w:tcBorders>
            <w:shd w:val="clear" w:color="auto" w:fill="auto"/>
            <w:noWrap/>
            <w:vAlign w:val="bottom"/>
            <w:hideMark/>
          </w:tcPr>
          <w:p w14:paraId="2CC3737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Медицински университет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6130C636"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1 219,0</w:t>
            </w:r>
          </w:p>
        </w:tc>
      </w:tr>
      <w:tr w:rsidR="00761800" w:rsidRPr="00761800" w14:paraId="3B901641"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BB6BD9F"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5.28.</w:t>
            </w:r>
          </w:p>
        </w:tc>
        <w:tc>
          <w:tcPr>
            <w:tcW w:w="11062" w:type="dxa"/>
            <w:tcBorders>
              <w:top w:val="nil"/>
              <w:left w:val="nil"/>
              <w:bottom w:val="single" w:sz="4" w:space="0" w:color="auto"/>
              <w:right w:val="single" w:sz="4" w:space="0" w:color="auto"/>
            </w:tcBorders>
            <w:shd w:val="clear" w:color="auto" w:fill="auto"/>
            <w:noWrap/>
            <w:vAlign w:val="bottom"/>
            <w:hideMark/>
          </w:tcPr>
          <w:p w14:paraId="4C954E0F"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Медицински университет „Проф. д-р Параскев Стоянов“ – Варна</w:t>
            </w:r>
          </w:p>
        </w:tc>
        <w:tc>
          <w:tcPr>
            <w:tcW w:w="2178" w:type="dxa"/>
            <w:tcBorders>
              <w:top w:val="nil"/>
              <w:left w:val="nil"/>
              <w:bottom w:val="single" w:sz="4" w:space="0" w:color="auto"/>
              <w:right w:val="single" w:sz="4" w:space="0" w:color="auto"/>
            </w:tcBorders>
            <w:shd w:val="clear" w:color="auto" w:fill="auto"/>
            <w:noWrap/>
            <w:vAlign w:val="bottom"/>
            <w:hideMark/>
          </w:tcPr>
          <w:p w14:paraId="16E0725D"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767,0</w:t>
            </w:r>
          </w:p>
        </w:tc>
      </w:tr>
      <w:tr w:rsidR="00761800" w:rsidRPr="00761800" w14:paraId="638A0BA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1B2857F"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5.29.</w:t>
            </w:r>
          </w:p>
        </w:tc>
        <w:tc>
          <w:tcPr>
            <w:tcW w:w="11062" w:type="dxa"/>
            <w:tcBorders>
              <w:top w:val="nil"/>
              <w:left w:val="nil"/>
              <w:bottom w:val="single" w:sz="4" w:space="0" w:color="auto"/>
              <w:right w:val="single" w:sz="4" w:space="0" w:color="auto"/>
            </w:tcBorders>
            <w:shd w:val="clear" w:color="auto" w:fill="auto"/>
            <w:noWrap/>
            <w:vAlign w:val="bottom"/>
            <w:hideMark/>
          </w:tcPr>
          <w:p w14:paraId="58B8105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Медицински университет – Пловдив</w:t>
            </w:r>
          </w:p>
        </w:tc>
        <w:tc>
          <w:tcPr>
            <w:tcW w:w="2178" w:type="dxa"/>
            <w:tcBorders>
              <w:top w:val="nil"/>
              <w:left w:val="nil"/>
              <w:bottom w:val="single" w:sz="4" w:space="0" w:color="auto"/>
              <w:right w:val="single" w:sz="4" w:space="0" w:color="auto"/>
            </w:tcBorders>
            <w:shd w:val="clear" w:color="auto" w:fill="auto"/>
            <w:noWrap/>
            <w:vAlign w:val="bottom"/>
            <w:hideMark/>
          </w:tcPr>
          <w:p w14:paraId="28586E3E"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383,0</w:t>
            </w:r>
          </w:p>
        </w:tc>
      </w:tr>
      <w:tr w:rsidR="00761800" w:rsidRPr="00761800" w14:paraId="13AA5B4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1EECCCE"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5.30.</w:t>
            </w:r>
          </w:p>
        </w:tc>
        <w:tc>
          <w:tcPr>
            <w:tcW w:w="11062" w:type="dxa"/>
            <w:tcBorders>
              <w:top w:val="nil"/>
              <w:left w:val="nil"/>
              <w:bottom w:val="single" w:sz="4" w:space="0" w:color="auto"/>
              <w:right w:val="single" w:sz="4" w:space="0" w:color="auto"/>
            </w:tcBorders>
            <w:shd w:val="clear" w:color="auto" w:fill="auto"/>
            <w:noWrap/>
            <w:vAlign w:val="bottom"/>
            <w:hideMark/>
          </w:tcPr>
          <w:p w14:paraId="0133D654"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Медицински университет – Плевен</w:t>
            </w:r>
          </w:p>
        </w:tc>
        <w:tc>
          <w:tcPr>
            <w:tcW w:w="2178" w:type="dxa"/>
            <w:tcBorders>
              <w:top w:val="nil"/>
              <w:left w:val="nil"/>
              <w:bottom w:val="single" w:sz="4" w:space="0" w:color="auto"/>
              <w:right w:val="single" w:sz="4" w:space="0" w:color="auto"/>
            </w:tcBorders>
            <w:shd w:val="clear" w:color="auto" w:fill="auto"/>
            <w:noWrap/>
            <w:vAlign w:val="bottom"/>
            <w:hideMark/>
          </w:tcPr>
          <w:p w14:paraId="3CB1FFAD"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70,0</w:t>
            </w:r>
          </w:p>
        </w:tc>
      </w:tr>
      <w:tr w:rsidR="00761800" w:rsidRPr="00761800" w14:paraId="4CF4CF90"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97D7AE8"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5.31.</w:t>
            </w:r>
          </w:p>
        </w:tc>
        <w:tc>
          <w:tcPr>
            <w:tcW w:w="11062" w:type="dxa"/>
            <w:tcBorders>
              <w:top w:val="nil"/>
              <w:left w:val="nil"/>
              <w:bottom w:val="single" w:sz="4" w:space="0" w:color="auto"/>
              <w:right w:val="single" w:sz="4" w:space="0" w:color="auto"/>
            </w:tcBorders>
            <w:shd w:val="clear" w:color="auto" w:fill="auto"/>
            <w:noWrap/>
            <w:vAlign w:val="bottom"/>
            <w:hideMark/>
          </w:tcPr>
          <w:p w14:paraId="2DE0D94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Тракийски университет – Стара Загора</w:t>
            </w:r>
          </w:p>
        </w:tc>
        <w:tc>
          <w:tcPr>
            <w:tcW w:w="2178" w:type="dxa"/>
            <w:tcBorders>
              <w:top w:val="nil"/>
              <w:left w:val="nil"/>
              <w:bottom w:val="single" w:sz="4" w:space="0" w:color="auto"/>
              <w:right w:val="single" w:sz="4" w:space="0" w:color="auto"/>
            </w:tcBorders>
            <w:shd w:val="clear" w:color="auto" w:fill="auto"/>
            <w:noWrap/>
            <w:vAlign w:val="bottom"/>
            <w:hideMark/>
          </w:tcPr>
          <w:p w14:paraId="25FBEE61"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205,0</w:t>
            </w:r>
          </w:p>
        </w:tc>
      </w:tr>
      <w:tr w:rsidR="00761800" w:rsidRPr="00761800" w14:paraId="3A45BC2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6CB965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5.32.</w:t>
            </w:r>
          </w:p>
        </w:tc>
        <w:tc>
          <w:tcPr>
            <w:tcW w:w="11062" w:type="dxa"/>
            <w:tcBorders>
              <w:top w:val="nil"/>
              <w:left w:val="nil"/>
              <w:bottom w:val="single" w:sz="4" w:space="0" w:color="auto"/>
              <w:right w:val="single" w:sz="4" w:space="0" w:color="auto"/>
            </w:tcBorders>
            <w:shd w:val="clear" w:color="auto" w:fill="auto"/>
            <w:noWrap/>
            <w:vAlign w:val="bottom"/>
            <w:hideMark/>
          </w:tcPr>
          <w:p w14:paraId="2B543977"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Висше транспортно училище „Тодор Каблешков“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592D4F3D"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120,0</w:t>
            </w:r>
          </w:p>
        </w:tc>
      </w:tr>
      <w:tr w:rsidR="00761800" w:rsidRPr="00761800" w14:paraId="390E29AE"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0506B68"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5.33.</w:t>
            </w:r>
          </w:p>
        </w:tc>
        <w:tc>
          <w:tcPr>
            <w:tcW w:w="11062" w:type="dxa"/>
            <w:tcBorders>
              <w:top w:val="nil"/>
              <w:left w:val="nil"/>
              <w:bottom w:val="single" w:sz="4" w:space="0" w:color="auto"/>
              <w:right w:val="single" w:sz="4" w:space="0" w:color="auto"/>
            </w:tcBorders>
            <w:shd w:val="clear" w:color="auto" w:fill="auto"/>
            <w:noWrap/>
            <w:vAlign w:val="bottom"/>
            <w:hideMark/>
          </w:tcPr>
          <w:p w14:paraId="4835279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Висше строително училище „Любен Каравелов“ – София</w:t>
            </w:r>
          </w:p>
        </w:tc>
        <w:tc>
          <w:tcPr>
            <w:tcW w:w="2178" w:type="dxa"/>
            <w:tcBorders>
              <w:top w:val="nil"/>
              <w:left w:val="nil"/>
              <w:bottom w:val="single" w:sz="4" w:space="0" w:color="auto"/>
              <w:right w:val="single" w:sz="4" w:space="0" w:color="auto"/>
            </w:tcBorders>
            <w:shd w:val="clear" w:color="auto" w:fill="auto"/>
            <w:noWrap/>
            <w:vAlign w:val="bottom"/>
            <w:hideMark/>
          </w:tcPr>
          <w:p w14:paraId="3A3C5ED0"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43,0</w:t>
            </w:r>
          </w:p>
        </w:tc>
      </w:tr>
      <w:tr w:rsidR="00761800" w:rsidRPr="00761800" w14:paraId="184E950B"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6F61C310"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bottom"/>
            <w:hideMark/>
          </w:tcPr>
          <w:p w14:paraId="14852843"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Б) Държавни висши училища, финансирани от Министерството на отбраната</w:t>
            </w:r>
          </w:p>
        </w:tc>
        <w:tc>
          <w:tcPr>
            <w:tcW w:w="2178" w:type="dxa"/>
            <w:tcBorders>
              <w:top w:val="nil"/>
              <w:left w:val="nil"/>
              <w:bottom w:val="single" w:sz="4" w:space="0" w:color="auto"/>
              <w:right w:val="single" w:sz="4" w:space="0" w:color="auto"/>
            </w:tcBorders>
            <w:shd w:val="clear" w:color="auto" w:fill="auto"/>
            <w:noWrap/>
            <w:vAlign w:val="bottom"/>
            <w:hideMark/>
          </w:tcPr>
          <w:p w14:paraId="53665819"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615,0</w:t>
            </w:r>
          </w:p>
        </w:tc>
      </w:tr>
      <w:tr w:rsidR="00761800" w:rsidRPr="00761800" w14:paraId="34D5D8A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19B8984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5.34.</w:t>
            </w:r>
          </w:p>
        </w:tc>
        <w:tc>
          <w:tcPr>
            <w:tcW w:w="11062" w:type="dxa"/>
            <w:tcBorders>
              <w:top w:val="nil"/>
              <w:left w:val="nil"/>
              <w:bottom w:val="single" w:sz="4" w:space="0" w:color="auto"/>
              <w:right w:val="single" w:sz="4" w:space="0" w:color="auto"/>
            </w:tcBorders>
            <w:shd w:val="clear" w:color="auto" w:fill="auto"/>
            <w:noWrap/>
            <w:vAlign w:val="bottom"/>
            <w:hideMark/>
          </w:tcPr>
          <w:p w14:paraId="59B75228"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Военна академия „Георги Стойков Раковски“</w:t>
            </w:r>
          </w:p>
        </w:tc>
        <w:tc>
          <w:tcPr>
            <w:tcW w:w="2178" w:type="dxa"/>
            <w:tcBorders>
              <w:top w:val="nil"/>
              <w:left w:val="nil"/>
              <w:bottom w:val="single" w:sz="4" w:space="0" w:color="auto"/>
              <w:right w:val="single" w:sz="4" w:space="0" w:color="auto"/>
            </w:tcBorders>
            <w:shd w:val="clear" w:color="auto" w:fill="auto"/>
            <w:noWrap/>
            <w:vAlign w:val="bottom"/>
            <w:hideMark/>
          </w:tcPr>
          <w:p w14:paraId="68D7AB5C"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60,0</w:t>
            </w:r>
          </w:p>
        </w:tc>
      </w:tr>
      <w:tr w:rsidR="00761800" w:rsidRPr="00761800" w14:paraId="33BC67BA"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AE5CF59"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5.35.</w:t>
            </w:r>
          </w:p>
        </w:tc>
        <w:tc>
          <w:tcPr>
            <w:tcW w:w="11062" w:type="dxa"/>
            <w:tcBorders>
              <w:top w:val="nil"/>
              <w:left w:val="nil"/>
              <w:bottom w:val="single" w:sz="4" w:space="0" w:color="auto"/>
              <w:right w:val="single" w:sz="4" w:space="0" w:color="auto"/>
            </w:tcBorders>
            <w:shd w:val="clear" w:color="auto" w:fill="auto"/>
            <w:noWrap/>
            <w:vAlign w:val="bottom"/>
            <w:hideMark/>
          </w:tcPr>
          <w:p w14:paraId="2D5037CA"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Национален военен университет „Васил Левски“</w:t>
            </w:r>
          </w:p>
        </w:tc>
        <w:tc>
          <w:tcPr>
            <w:tcW w:w="2178" w:type="dxa"/>
            <w:tcBorders>
              <w:top w:val="nil"/>
              <w:left w:val="nil"/>
              <w:bottom w:val="single" w:sz="4" w:space="0" w:color="auto"/>
              <w:right w:val="single" w:sz="4" w:space="0" w:color="auto"/>
            </w:tcBorders>
            <w:shd w:val="clear" w:color="auto" w:fill="auto"/>
            <w:noWrap/>
            <w:vAlign w:val="bottom"/>
            <w:hideMark/>
          </w:tcPr>
          <w:p w14:paraId="79790B88"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300,0</w:t>
            </w:r>
          </w:p>
        </w:tc>
      </w:tr>
      <w:tr w:rsidR="00761800" w:rsidRPr="00761800" w14:paraId="25C67E8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5DE4263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5.36.</w:t>
            </w:r>
          </w:p>
        </w:tc>
        <w:tc>
          <w:tcPr>
            <w:tcW w:w="11062" w:type="dxa"/>
            <w:tcBorders>
              <w:top w:val="nil"/>
              <w:left w:val="nil"/>
              <w:bottom w:val="single" w:sz="4" w:space="0" w:color="auto"/>
              <w:right w:val="single" w:sz="4" w:space="0" w:color="auto"/>
            </w:tcBorders>
            <w:shd w:val="clear" w:color="auto" w:fill="auto"/>
            <w:noWrap/>
            <w:vAlign w:val="bottom"/>
            <w:hideMark/>
          </w:tcPr>
          <w:p w14:paraId="149A9EB7"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Висше военноморско училище „Никола Йонков Вапцаров“</w:t>
            </w:r>
          </w:p>
        </w:tc>
        <w:tc>
          <w:tcPr>
            <w:tcW w:w="2178" w:type="dxa"/>
            <w:tcBorders>
              <w:top w:val="nil"/>
              <w:left w:val="nil"/>
              <w:bottom w:val="single" w:sz="4" w:space="0" w:color="auto"/>
              <w:right w:val="single" w:sz="4" w:space="0" w:color="auto"/>
            </w:tcBorders>
            <w:shd w:val="clear" w:color="auto" w:fill="auto"/>
            <w:noWrap/>
            <w:vAlign w:val="bottom"/>
            <w:hideMark/>
          </w:tcPr>
          <w:p w14:paraId="0AC795B2"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250,0</w:t>
            </w:r>
          </w:p>
        </w:tc>
      </w:tr>
      <w:tr w:rsidR="00761800" w:rsidRPr="00761800" w14:paraId="03DBC72D"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AF07847"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5.37.</w:t>
            </w:r>
          </w:p>
        </w:tc>
        <w:tc>
          <w:tcPr>
            <w:tcW w:w="11062" w:type="dxa"/>
            <w:tcBorders>
              <w:top w:val="nil"/>
              <w:left w:val="nil"/>
              <w:bottom w:val="single" w:sz="4" w:space="0" w:color="auto"/>
              <w:right w:val="single" w:sz="4" w:space="0" w:color="auto"/>
            </w:tcBorders>
            <w:shd w:val="clear" w:color="auto" w:fill="auto"/>
            <w:noWrap/>
            <w:vAlign w:val="bottom"/>
            <w:hideMark/>
          </w:tcPr>
          <w:p w14:paraId="06430BF8"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Висше военновъздушно училище „Георги Бенковски“</w:t>
            </w:r>
          </w:p>
        </w:tc>
        <w:tc>
          <w:tcPr>
            <w:tcW w:w="2178" w:type="dxa"/>
            <w:tcBorders>
              <w:top w:val="nil"/>
              <w:left w:val="nil"/>
              <w:bottom w:val="single" w:sz="4" w:space="0" w:color="auto"/>
              <w:right w:val="single" w:sz="4" w:space="0" w:color="auto"/>
            </w:tcBorders>
            <w:shd w:val="clear" w:color="auto" w:fill="auto"/>
            <w:noWrap/>
            <w:vAlign w:val="bottom"/>
            <w:hideMark/>
          </w:tcPr>
          <w:p w14:paraId="552EEA35"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5,0</w:t>
            </w:r>
          </w:p>
        </w:tc>
      </w:tr>
      <w:tr w:rsidR="00761800" w:rsidRPr="00761800" w14:paraId="19A8F125" w14:textId="77777777" w:rsidTr="00406B4D">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2174CD9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 </w:t>
            </w:r>
          </w:p>
        </w:tc>
        <w:tc>
          <w:tcPr>
            <w:tcW w:w="11062" w:type="dxa"/>
            <w:tcBorders>
              <w:top w:val="nil"/>
              <w:left w:val="nil"/>
              <w:bottom w:val="single" w:sz="4" w:space="0" w:color="auto"/>
              <w:right w:val="single" w:sz="4" w:space="0" w:color="auto"/>
            </w:tcBorders>
            <w:shd w:val="clear" w:color="auto" w:fill="auto"/>
            <w:noWrap/>
            <w:vAlign w:val="bottom"/>
            <w:hideMark/>
          </w:tcPr>
          <w:p w14:paraId="19009F5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Всичко:</w:t>
            </w:r>
          </w:p>
        </w:tc>
        <w:tc>
          <w:tcPr>
            <w:tcW w:w="2178" w:type="dxa"/>
            <w:tcBorders>
              <w:top w:val="nil"/>
              <w:left w:val="nil"/>
              <w:bottom w:val="single" w:sz="4" w:space="0" w:color="auto"/>
              <w:right w:val="single" w:sz="4" w:space="0" w:color="auto"/>
            </w:tcBorders>
            <w:shd w:val="clear" w:color="auto" w:fill="auto"/>
            <w:noWrap/>
            <w:vAlign w:val="bottom"/>
            <w:hideMark/>
          </w:tcPr>
          <w:p w14:paraId="47EE3D0D" w14:textId="77777777" w:rsidR="00761800" w:rsidRPr="00761800" w:rsidRDefault="00761800" w:rsidP="00761800">
            <w:pPr>
              <w:jc w:val="right"/>
              <w:rPr>
                <w:rFonts w:ascii="Times New Roman" w:hAnsi="Times New Roman"/>
                <w:color w:val="000000"/>
                <w:sz w:val="22"/>
                <w:szCs w:val="22"/>
                <w:lang w:eastAsia="bg-BG"/>
              </w:rPr>
            </w:pPr>
            <w:r w:rsidRPr="00761800">
              <w:rPr>
                <w:rFonts w:ascii="Times New Roman" w:hAnsi="Times New Roman"/>
                <w:color w:val="000000"/>
                <w:sz w:val="22"/>
                <w:szCs w:val="22"/>
                <w:lang w:eastAsia="bg-BG"/>
              </w:rPr>
              <w:t>19 496,5</w:t>
            </w:r>
          </w:p>
        </w:tc>
      </w:tr>
      <w:tr w:rsidR="00761800" w:rsidRPr="00761800" w14:paraId="010021F5" w14:textId="77777777" w:rsidTr="00406B4D">
        <w:trPr>
          <w:trHeight w:val="70"/>
        </w:trPr>
        <w:tc>
          <w:tcPr>
            <w:tcW w:w="1013" w:type="dxa"/>
            <w:tcBorders>
              <w:top w:val="nil"/>
              <w:left w:val="nil"/>
              <w:bottom w:val="nil"/>
              <w:right w:val="nil"/>
            </w:tcBorders>
            <w:shd w:val="clear" w:color="auto" w:fill="auto"/>
            <w:noWrap/>
            <w:vAlign w:val="bottom"/>
            <w:hideMark/>
          </w:tcPr>
          <w:p w14:paraId="0137CE9E" w14:textId="77777777" w:rsidR="00761800" w:rsidRPr="00761800" w:rsidRDefault="00761800" w:rsidP="00761800">
            <w:pPr>
              <w:jc w:val="right"/>
              <w:rPr>
                <w:rFonts w:ascii="Times New Roman" w:hAnsi="Times New Roman"/>
                <w:color w:val="000000"/>
                <w:sz w:val="22"/>
                <w:szCs w:val="22"/>
                <w:lang w:eastAsia="bg-BG"/>
              </w:rPr>
            </w:pPr>
          </w:p>
        </w:tc>
        <w:tc>
          <w:tcPr>
            <w:tcW w:w="11062" w:type="dxa"/>
            <w:tcBorders>
              <w:top w:val="nil"/>
              <w:left w:val="nil"/>
              <w:bottom w:val="nil"/>
              <w:right w:val="nil"/>
            </w:tcBorders>
            <w:shd w:val="clear" w:color="auto" w:fill="auto"/>
            <w:noWrap/>
            <w:vAlign w:val="bottom"/>
            <w:hideMark/>
          </w:tcPr>
          <w:p w14:paraId="54FE4363" w14:textId="77777777" w:rsidR="00761800" w:rsidRPr="00761800" w:rsidRDefault="00761800" w:rsidP="00761800">
            <w:pPr>
              <w:rPr>
                <w:rFonts w:ascii="Times New Roman" w:hAnsi="Times New Roman"/>
                <w:sz w:val="20"/>
                <w:lang w:eastAsia="bg-BG"/>
              </w:rPr>
            </w:pPr>
          </w:p>
        </w:tc>
        <w:tc>
          <w:tcPr>
            <w:tcW w:w="2178" w:type="dxa"/>
            <w:tcBorders>
              <w:top w:val="nil"/>
              <w:left w:val="nil"/>
              <w:bottom w:val="nil"/>
              <w:right w:val="nil"/>
            </w:tcBorders>
            <w:shd w:val="clear" w:color="auto" w:fill="auto"/>
            <w:noWrap/>
            <w:vAlign w:val="bottom"/>
            <w:hideMark/>
          </w:tcPr>
          <w:p w14:paraId="396C0B74" w14:textId="77777777" w:rsidR="00761800" w:rsidRPr="00761800" w:rsidRDefault="00761800" w:rsidP="00761800">
            <w:pPr>
              <w:rPr>
                <w:rFonts w:ascii="Times New Roman" w:hAnsi="Times New Roman"/>
                <w:sz w:val="20"/>
                <w:lang w:eastAsia="bg-BG"/>
              </w:rPr>
            </w:pPr>
          </w:p>
        </w:tc>
      </w:tr>
      <w:tr w:rsidR="00761800" w:rsidRPr="00761800" w14:paraId="52F50378" w14:textId="77777777" w:rsidTr="00406B4D">
        <w:trPr>
          <w:trHeight w:val="354"/>
        </w:trPr>
        <w:tc>
          <w:tcPr>
            <w:tcW w:w="14253" w:type="dxa"/>
            <w:gridSpan w:val="3"/>
            <w:tcBorders>
              <w:top w:val="nil"/>
              <w:left w:val="nil"/>
              <w:bottom w:val="nil"/>
              <w:right w:val="nil"/>
            </w:tcBorders>
            <w:shd w:val="clear" w:color="auto" w:fill="auto"/>
            <w:vAlign w:val="bottom"/>
            <w:hideMark/>
          </w:tcPr>
          <w:p w14:paraId="7D236C0C"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(2) Сумите за съответните бюджетни организации по ал. 1 могат да бъдат увеличени с акт на Министерския съвет, като общият размер на увеличенията не може да надвишава 20 на сто от сумата по ал. 1 за съответната бюджетна организация.</w:t>
            </w:r>
          </w:p>
        </w:tc>
      </w:tr>
      <w:tr w:rsidR="00761800" w:rsidRPr="00761800" w14:paraId="4A040153" w14:textId="77777777" w:rsidTr="00406B4D">
        <w:trPr>
          <w:trHeight w:val="675"/>
        </w:trPr>
        <w:tc>
          <w:tcPr>
            <w:tcW w:w="14253" w:type="dxa"/>
            <w:gridSpan w:val="3"/>
            <w:tcBorders>
              <w:top w:val="nil"/>
              <w:left w:val="nil"/>
              <w:bottom w:val="nil"/>
              <w:right w:val="nil"/>
            </w:tcBorders>
            <w:shd w:val="clear" w:color="auto" w:fill="auto"/>
            <w:vAlign w:val="bottom"/>
            <w:hideMark/>
          </w:tcPr>
          <w:p w14:paraId="1C92E265"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(3) Министерският съвет може да извършва компенсирани промени в сумите по ал. 1, когато очакваният размер на задълженията към доставчиците на съответната бюджетна организация е по-малък от съответната сума по ал. 1.</w:t>
            </w:r>
          </w:p>
        </w:tc>
      </w:tr>
      <w:tr w:rsidR="00761800" w:rsidRPr="00761800" w14:paraId="074D969A" w14:textId="77777777" w:rsidTr="00406B4D">
        <w:trPr>
          <w:trHeight w:val="874"/>
        </w:trPr>
        <w:tc>
          <w:tcPr>
            <w:tcW w:w="14253" w:type="dxa"/>
            <w:gridSpan w:val="3"/>
            <w:tcBorders>
              <w:top w:val="nil"/>
              <w:left w:val="nil"/>
              <w:bottom w:val="nil"/>
              <w:right w:val="nil"/>
            </w:tcBorders>
            <w:shd w:val="clear" w:color="auto" w:fill="auto"/>
            <w:vAlign w:val="bottom"/>
            <w:hideMark/>
          </w:tcPr>
          <w:p w14:paraId="16B3B5AE" w14:textId="77777777" w:rsidR="00761800" w:rsidRPr="00761800" w:rsidRDefault="00761800" w:rsidP="00761800">
            <w:pPr>
              <w:rPr>
                <w:rFonts w:ascii="Times New Roman" w:hAnsi="Times New Roman"/>
                <w:color w:val="000000"/>
                <w:sz w:val="22"/>
                <w:szCs w:val="22"/>
                <w:lang w:eastAsia="bg-BG"/>
              </w:rPr>
            </w:pPr>
            <w:r w:rsidRPr="00761800">
              <w:rPr>
                <w:rFonts w:ascii="Times New Roman" w:hAnsi="Times New Roman"/>
                <w:color w:val="000000"/>
                <w:sz w:val="22"/>
                <w:szCs w:val="22"/>
                <w:lang w:eastAsia="bg-BG"/>
              </w:rPr>
              <w:t>(4) В обхвата на задълженията по ал. 1-3 се включват всички задължения към доставчици, които подлежат на плащане и отчитане по съответните бюджети на бюджетните организации по ал. 1, с изключение на задълженията по финансов лизинг, търговски лизинг и други форми на дълг, за доставки на активи, отчетени като бюджетни разходи.</w:t>
            </w:r>
          </w:p>
        </w:tc>
      </w:tr>
      <w:tr w:rsidR="00761800" w:rsidRPr="00761800" w14:paraId="33ED564E" w14:textId="77777777" w:rsidTr="00406B4D">
        <w:trPr>
          <w:trHeight w:val="300"/>
        </w:trPr>
        <w:tc>
          <w:tcPr>
            <w:tcW w:w="14253" w:type="dxa"/>
            <w:gridSpan w:val="3"/>
            <w:tcBorders>
              <w:top w:val="nil"/>
              <w:left w:val="nil"/>
              <w:bottom w:val="nil"/>
              <w:right w:val="nil"/>
            </w:tcBorders>
            <w:shd w:val="clear" w:color="auto" w:fill="auto"/>
            <w:noWrap/>
            <w:vAlign w:val="bottom"/>
            <w:hideMark/>
          </w:tcPr>
          <w:p w14:paraId="469742E0" w14:textId="77777777" w:rsidR="00761800" w:rsidRPr="00761800" w:rsidRDefault="00761800" w:rsidP="00761800">
            <w:pPr>
              <w:rPr>
                <w:rFonts w:ascii="Times New Roman" w:hAnsi="Times New Roman"/>
                <w:color w:val="000000"/>
                <w:sz w:val="22"/>
                <w:szCs w:val="22"/>
                <w:lang w:eastAsia="bg-BG"/>
              </w:rPr>
            </w:pPr>
          </w:p>
        </w:tc>
      </w:tr>
      <w:tr w:rsidR="00761800" w:rsidRPr="00761800" w14:paraId="3D3F4FD1" w14:textId="77777777" w:rsidTr="00406B4D">
        <w:trPr>
          <w:trHeight w:val="2548"/>
        </w:trPr>
        <w:tc>
          <w:tcPr>
            <w:tcW w:w="14253" w:type="dxa"/>
            <w:gridSpan w:val="3"/>
            <w:tcBorders>
              <w:top w:val="nil"/>
              <w:left w:val="nil"/>
              <w:bottom w:val="nil"/>
              <w:right w:val="nil"/>
            </w:tcBorders>
            <w:shd w:val="clear" w:color="auto" w:fill="auto"/>
            <w:hideMark/>
          </w:tcPr>
          <w:p w14:paraId="3314BA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b/>
                <w:bCs/>
                <w:sz w:val="22"/>
                <w:szCs w:val="22"/>
                <w:lang w:eastAsia="bg-BG"/>
              </w:rPr>
              <w:lastRenderedPageBreak/>
              <w:t xml:space="preserve">Чл. 50. </w:t>
            </w:r>
            <w:r w:rsidRPr="00761800">
              <w:rPr>
                <w:rFonts w:ascii="Times New Roman" w:hAnsi="Times New Roman"/>
                <w:sz w:val="22"/>
                <w:szCs w:val="22"/>
                <w:lang w:eastAsia="bg-BG"/>
              </w:rPr>
              <w:t>(1) Приема разходи за субсидиране на превози на пътници с автомобилен транспорт по редовни линии от общата, междуобщинските и общинските транспортни схеми и за компенсиране на намалените приходи от прилагането на цени на пътуване, предвидени в нормативни актове за определени категории пътници по чл. 46, ал. 1, т. 3 и т. 4 от Закона за обществения транспорт, с изключение на средствата за транспорт на деца и ученици по чл. 283, ал. 2 от Закона за предучилищното и училищното образование и за превоз на служителите, пътуващи безплатно във вътрешноградския транспорт при изпълнение на служебните си задължения, когато това е предвидено в закон, от централния бюджет за 2026 г. в общ размер на 256 484,9 хил. евро, от които за субсидии и други текущи трансфери за нефинансовите предприятия по централния бюджет за 2026 г. в размер на 153 715,2  хил. евро, в т.ч. Столична община - вътрешноградски транспорт - 70 259,8 хил. евро  и 102 769,7 хил. евро за целеви текущи разходи по централния бюджет за 2026 г. за компенсиране на намалените приходи от прилагането на цени за пътуване, предвидени в нормативните актове за определени категории пътници.</w:t>
            </w:r>
          </w:p>
        </w:tc>
      </w:tr>
      <w:tr w:rsidR="00761800" w:rsidRPr="00761800" w14:paraId="4C35A72B" w14:textId="77777777" w:rsidTr="00406B4D">
        <w:trPr>
          <w:trHeight w:val="1124"/>
        </w:trPr>
        <w:tc>
          <w:tcPr>
            <w:tcW w:w="14253" w:type="dxa"/>
            <w:gridSpan w:val="3"/>
            <w:tcBorders>
              <w:top w:val="nil"/>
              <w:left w:val="nil"/>
              <w:bottom w:val="nil"/>
              <w:right w:val="nil"/>
            </w:tcBorders>
            <w:shd w:val="clear" w:color="auto" w:fill="auto"/>
            <w:hideMark/>
          </w:tcPr>
          <w:p w14:paraId="40E5D5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В рамките на приетия общ размер на разходите по ал. 1 Министерският съвет може да прави компенсирани промени между разходите за субсидиране на превоз на пътници по нерентабилни автобусни линии във вътрешноградския транспорт и транспорта в планински и други райони и за компенсиране на намалените приходи от прилагането на цени на пътуване, предвидени в нормативни актове за определени категории пътници, по предложение на министъра на транспорта и съобщенията.</w:t>
            </w:r>
          </w:p>
        </w:tc>
      </w:tr>
      <w:tr w:rsidR="00761800" w:rsidRPr="00761800" w14:paraId="5CB03BE1" w14:textId="77777777" w:rsidTr="00406B4D">
        <w:trPr>
          <w:trHeight w:val="305"/>
        </w:trPr>
        <w:tc>
          <w:tcPr>
            <w:tcW w:w="14253" w:type="dxa"/>
            <w:gridSpan w:val="3"/>
            <w:tcBorders>
              <w:top w:val="nil"/>
              <w:left w:val="nil"/>
              <w:bottom w:val="nil"/>
              <w:right w:val="nil"/>
            </w:tcBorders>
            <w:shd w:val="clear" w:color="auto" w:fill="auto"/>
            <w:hideMark/>
          </w:tcPr>
          <w:p w14:paraId="415B0A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(3) Приема капиталовите трансфери за нефинансовите предприятия от централния бюджет за 2026 г. в размер на 1 278,2 хил. евро за изпълнение на програми за отстраняване на нанесените щети върху околната среда, настъпили от минали действия или бездействия, при приватизация.</w:t>
            </w:r>
          </w:p>
        </w:tc>
      </w:tr>
    </w:tbl>
    <w:p w14:paraId="6FF60838" w14:textId="77777777" w:rsidR="00761800" w:rsidRPr="00761800" w:rsidRDefault="00761800" w:rsidP="00761800">
      <w:pPr>
        <w:rPr>
          <w:rFonts w:ascii="Times New Roman" w:hAnsi="Times New Roman"/>
          <w:b/>
          <w:sz w:val="22"/>
          <w:szCs w:val="22"/>
          <w:lang w:eastAsia="bg-BG"/>
        </w:rPr>
      </w:pPr>
    </w:p>
    <w:p w14:paraId="4CA632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b/>
          <w:sz w:val="22"/>
          <w:szCs w:val="22"/>
          <w:lang w:eastAsia="bg-BG"/>
        </w:rPr>
        <w:t>Чл. 51.</w:t>
      </w:r>
      <w:r w:rsidRPr="00761800">
        <w:rPr>
          <w:rFonts w:ascii="Times New Roman" w:hAnsi="Times New Roman"/>
          <w:sz w:val="22"/>
          <w:szCs w:val="22"/>
          <w:lang w:eastAsia="bg-BG"/>
        </w:rPr>
        <w:t xml:space="preserve"> Приема размерите на бюджетните взаимоотношения между централния бюджет и бюджетите на общините за 2026 г., в т.ч.:</w:t>
      </w:r>
    </w:p>
    <w:p w14:paraId="1EE275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1.  основни бюджетни взаимоотношения под формата на субсидии по механизъм съгласно приложение № 1 по видове: обща субсидия за делегираните от държавата дейности 4 351 706,0 хил. евро, трансфери за местни дейности, в т.ч. обща изравнителна субсидия 255 658,0 хил. евро и трансфер за зимно поддържане и снегопочистване на общински пътища 25 100,0 хил. евро, целева субсидия за капиталови разходи 255 000,0 хил. евро и по общини, както следва:</w:t>
      </w:r>
    </w:p>
    <w:p w14:paraId="70D2D3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2. трансфери за други целеви разходи за местни дейности 40 500,0 хил. евро и по общини, както следва:</w:t>
      </w:r>
    </w:p>
    <w:p w14:paraId="62FC2329" w14:textId="77777777" w:rsidR="00761800" w:rsidRPr="00761800" w:rsidRDefault="00761800" w:rsidP="00761800">
      <w:pPr>
        <w:rPr>
          <w:rFonts w:ascii="Times New Roman" w:hAnsi="Times New Roman"/>
          <w:sz w:val="22"/>
          <w:szCs w:val="22"/>
          <w:lang w:eastAsia="bg-BG"/>
        </w:rPr>
      </w:pPr>
    </w:p>
    <w:p w14:paraId="7DDDD68C" w14:textId="77777777" w:rsidR="00761800" w:rsidRPr="00761800" w:rsidRDefault="00761800" w:rsidP="00761800">
      <w:pPr>
        <w:rPr>
          <w:rFonts w:ascii="Times New Roman" w:hAnsi="Times New Roman"/>
          <w:sz w:val="22"/>
          <w:szCs w:val="22"/>
          <w:lang w:eastAsia="bg-BG"/>
        </w:rPr>
      </w:pPr>
    </w:p>
    <w:p w14:paraId="427CC653" w14:textId="77777777" w:rsidR="00761800" w:rsidRPr="00761800" w:rsidRDefault="00761800" w:rsidP="00761800">
      <w:pPr>
        <w:rPr>
          <w:rFonts w:ascii="Times New Roman" w:hAnsi="Times New Roman"/>
          <w:sz w:val="22"/>
          <w:szCs w:val="22"/>
          <w:lang w:eastAsia="bg-BG"/>
        </w:rPr>
      </w:pPr>
    </w:p>
    <w:tbl>
      <w:tblPr>
        <w:tblW w:w="14768" w:type="dxa"/>
        <w:tblCellMar>
          <w:left w:w="70" w:type="dxa"/>
          <w:right w:w="70" w:type="dxa"/>
        </w:tblCellMar>
        <w:tblLook w:val="04A0" w:firstRow="1" w:lastRow="0" w:firstColumn="1" w:lastColumn="0" w:noHBand="0" w:noVBand="1"/>
      </w:tblPr>
      <w:tblGrid>
        <w:gridCol w:w="5064"/>
        <w:gridCol w:w="146"/>
        <w:gridCol w:w="1453"/>
        <w:gridCol w:w="1406"/>
        <w:gridCol w:w="1570"/>
        <w:gridCol w:w="2002"/>
        <w:gridCol w:w="8"/>
        <w:gridCol w:w="1410"/>
        <w:gridCol w:w="8"/>
        <w:gridCol w:w="1693"/>
        <w:gridCol w:w="8"/>
      </w:tblGrid>
      <w:tr w:rsidR="00761800" w:rsidRPr="00761800" w14:paraId="61EA9247" w14:textId="77777777" w:rsidTr="00406B4D">
        <w:trPr>
          <w:gridAfter w:val="1"/>
          <w:wAfter w:w="8" w:type="dxa"/>
          <w:trHeight w:val="80"/>
        </w:trPr>
        <w:tc>
          <w:tcPr>
            <w:tcW w:w="5064" w:type="dxa"/>
            <w:tcBorders>
              <w:top w:val="nil"/>
              <w:left w:val="nil"/>
              <w:bottom w:val="nil"/>
              <w:right w:val="nil"/>
            </w:tcBorders>
            <w:shd w:val="clear" w:color="000000" w:fill="FFFFFF"/>
            <w:noWrap/>
            <w:vAlign w:val="bottom"/>
            <w:hideMark/>
          </w:tcPr>
          <w:p w14:paraId="47D135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6" w:type="dxa"/>
            <w:tcBorders>
              <w:top w:val="nil"/>
              <w:left w:val="nil"/>
              <w:bottom w:val="nil"/>
              <w:right w:val="nil"/>
            </w:tcBorders>
            <w:shd w:val="clear" w:color="000000" w:fill="FFFFFF"/>
          </w:tcPr>
          <w:p w14:paraId="4001E116" w14:textId="77777777" w:rsidR="00761800" w:rsidRPr="00761800" w:rsidRDefault="00761800" w:rsidP="00761800">
            <w:pPr>
              <w:jc w:val="center"/>
              <w:rPr>
                <w:rFonts w:ascii="Times New Roman" w:hAnsi="Times New Roman"/>
                <w:sz w:val="22"/>
                <w:szCs w:val="22"/>
                <w:lang w:eastAsia="bg-BG"/>
              </w:rPr>
            </w:pPr>
          </w:p>
        </w:tc>
        <w:tc>
          <w:tcPr>
            <w:tcW w:w="1453" w:type="dxa"/>
            <w:tcBorders>
              <w:top w:val="nil"/>
              <w:left w:val="nil"/>
              <w:bottom w:val="nil"/>
              <w:right w:val="nil"/>
            </w:tcBorders>
            <w:shd w:val="clear" w:color="000000" w:fill="FFFFFF"/>
            <w:noWrap/>
            <w:vAlign w:val="bottom"/>
            <w:hideMark/>
          </w:tcPr>
          <w:p w14:paraId="2324CCC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nil"/>
              <w:right w:val="nil"/>
            </w:tcBorders>
            <w:shd w:val="clear" w:color="000000" w:fill="FFFFFF"/>
            <w:noWrap/>
            <w:vAlign w:val="bottom"/>
            <w:hideMark/>
          </w:tcPr>
          <w:p w14:paraId="55D1BD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nil"/>
              <w:right w:val="nil"/>
            </w:tcBorders>
            <w:shd w:val="clear" w:color="000000" w:fill="FFFFFF"/>
            <w:noWrap/>
            <w:vAlign w:val="bottom"/>
            <w:hideMark/>
          </w:tcPr>
          <w:p w14:paraId="6A4F4B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nil"/>
              <w:right w:val="nil"/>
            </w:tcBorders>
            <w:shd w:val="clear" w:color="000000" w:fill="FFFFFF"/>
            <w:noWrap/>
            <w:vAlign w:val="bottom"/>
            <w:hideMark/>
          </w:tcPr>
          <w:p w14:paraId="7F06F6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nil"/>
              <w:right w:val="nil"/>
            </w:tcBorders>
            <w:shd w:val="clear" w:color="000000" w:fill="FFFFFF"/>
            <w:noWrap/>
            <w:vAlign w:val="bottom"/>
            <w:hideMark/>
          </w:tcPr>
          <w:p w14:paraId="491DDB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nil"/>
              <w:right w:val="nil"/>
            </w:tcBorders>
            <w:shd w:val="clear" w:color="auto" w:fill="auto"/>
            <w:noWrap/>
            <w:vAlign w:val="bottom"/>
            <w:hideMark/>
          </w:tcPr>
          <w:p w14:paraId="196B89C8" w14:textId="77777777" w:rsidR="00761800" w:rsidRPr="00761800" w:rsidRDefault="00761800" w:rsidP="00761800">
            <w:pPr>
              <w:rPr>
                <w:rFonts w:ascii="Calibri" w:hAnsi="Calibri" w:cs="Calibri"/>
                <w:color w:val="000000"/>
                <w:sz w:val="22"/>
                <w:szCs w:val="22"/>
                <w:lang w:eastAsia="bg-BG"/>
              </w:rPr>
            </w:pPr>
            <w:r w:rsidRPr="00761800">
              <w:rPr>
                <w:rFonts w:ascii="Calibri" w:hAnsi="Calibri" w:cs="Calibri"/>
                <w:noProof/>
                <w:color w:val="000000"/>
                <w:sz w:val="22"/>
                <w:szCs w:val="22"/>
                <w:lang w:eastAsia="bg-BG"/>
              </w:rPr>
              <mc:AlternateContent>
                <mc:Choice Requires="wps">
                  <w:drawing>
                    <wp:anchor distT="0" distB="0" distL="114300" distR="114300" simplePos="0" relativeHeight="251659776" behindDoc="0" locked="0" layoutInCell="1" allowOverlap="1" wp14:anchorId="4EBADC14" wp14:editId="7199C447">
                      <wp:simplePos x="0" y="0"/>
                      <wp:positionH relativeFrom="column">
                        <wp:posOffset>0</wp:posOffset>
                      </wp:positionH>
                      <wp:positionV relativeFrom="paragraph">
                        <wp:posOffset>-114300</wp:posOffset>
                      </wp:positionV>
                      <wp:extent cx="180975" cy="276225"/>
                      <wp:effectExtent l="0" t="0" r="0" b="0"/>
                      <wp:wrapNone/>
                      <wp:docPr id="4" name="Text Box 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6775E8" id="Text Box 4" o:spid="_x0000_s1026" type="#_x0000_t202" style="position:absolute;margin-left:0;margin-top:-9pt;width:14.25pt;height:21.75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CqEtfNtwEAAG8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60800" behindDoc="0" locked="0" layoutInCell="1" allowOverlap="1" wp14:anchorId="330BCFE7" wp14:editId="6733B159">
                      <wp:simplePos x="0" y="0"/>
                      <wp:positionH relativeFrom="column">
                        <wp:posOffset>0</wp:posOffset>
                      </wp:positionH>
                      <wp:positionV relativeFrom="paragraph">
                        <wp:posOffset>-114300</wp:posOffset>
                      </wp:positionV>
                      <wp:extent cx="180975" cy="276225"/>
                      <wp:effectExtent l="0" t="0" r="0" b="0"/>
                      <wp:wrapNone/>
                      <wp:docPr id="5" name="Text Box 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44608A9" id="Text Box 5" o:spid="_x0000_s1026" type="#_x0000_t202" style="position:absolute;margin-left:0;margin-top:-9pt;width:14.25pt;height:21.75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CgUXsPtwEAAG8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61824" behindDoc="0" locked="0" layoutInCell="1" allowOverlap="1" wp14:anchorId="45279AC5" wp14:editId="1B693F93">
                      <wp:simplePos x="0" y="0"/>
                      <wp:positionH relativeFrom="column">
                        <wp:posOffset>0</wp:posOffset>
                      </wp:positionH>
                      <wp:positionV relativeFrom="paragraph">
                        <wp:posOffset>-114300</wp:posOffset>
                      </wp:positionV>
                      <wp:extent cx="180975" cy="276225"/>
                      <wp:effectExtent l="0" t="0" r="0" b="0"/>
                      <wp:wrapNone/>
                      <wp:docPr id="6" name="Text Box 6">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B67F1D" id="Text Box 6" o:spid="_x0000_s1026" type="#_x0000_t202" style="position:absolute;margin-left:0;margin-top:-9pt;width:14.25pt;height:21.75pt;z-index:251661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D/kv6TtwEAAG8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62848" behindDoc="0" locked="0" layoutInCell="1" allowOverlap="1" wp14:anchorId="2FB8B33C" wp14:editId="5BC0CD8D">
                      <wp:simplePos x="0" y="0"/>
                      <wp:positionH relativeFrom="column">
                        <wp:posOffset>0</wp:posOffset>
                      </wp:positionH>
                      <wp:positionV relativeFrom="paragraph">
                        <wp:posOffset>-114300</wp:posOffset>
                      </wp:positionV>
                      <wp:extent cx="180975" cy="276225"/>
                      <wp:effectExtent l="0" t="0" r="0" b="0"/>
                      <wp:wrapNone/>
                      <wp:docPr id="7" name="Text Box 7">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CCBD1C1" id="Text Box 7" o:spid="_x0000_s1026" type="#_x0000_t202" style="position:absolute;margin-left:0;margin-top:-9pt;width:14.25pt;height:21.75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D10VJRtwEAAG8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63872" behindDoc="0" locked="0" layoutInCell="1" allowOverlap="1" wp14:anchorId="0E9A8260" wp14:editId="588862C8">
                      <wp:simplePos x="0" y="0"/>
                      <wp:positionH relativeFrom="column">
                        <wp:posOffset>0</wp:posOffset>
                      </wp:positionH>
                      <wp:positionV relativeFrom="paragraph">
                        <wp:posOffset>-114300</wp:posOffset>
                      </wp:positionV>
                      <wp:extent cx="180975" cy="276225"/>
                      <wp:effectExtent l="0" t="0" r="0" b="0"/>
                      <wp:wrapNone/>
                      <wp:docPr id="8" name="Text Box 8">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96C8027" id="Text Box 8" o:spid="_x0000_s1026" type="#_x0000_t202" style="position:absolute;margin-left:0;margin-top:-9pt;width:14.25pt;height:21.75pt;z-index:251663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64896" behindDoc="0" locked="0" layoutInCell="1" allowOverlap="1" wp14:anchorId="03427E8F" wp14:editId="28FDD6A5">
                      <wp:simplePos x="0" y="0"/>
                      <wp:positionH relativeFrom="column">
                        <wp:posOffset>0</wp:posOffset>
                      </wp:positionH>
                      <wp:positionV relativeFrom="paragraph">
                        <wp:posOffset>-114300</wp:posOffset>
                      </wp:positionV>
                      <wp:extent cx="180975" cy="276225"/>
                      <wp:effectExtent l="0" t="0" r="0" b="0"/>
                      <wp:wrapNone/>
                      <wp:docPr id="9" name="Text Box 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A626C41" id="Text Box 9" o:spid="_x0000_s1026" type="#_x0000_t202" style="position:absolute;margin-left:0;margin-top:-9pt;width:14.25pt;height:21.75pt;z-index:25166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H1b/ELgBAABv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65920" behindDoc="0" locked="0" layoutInCell="1" allowOverlap="1" wp14:anchorId="2D202F3E" wp14:editId="46C129F3">
                      <wp:simplePos x="0" y="0"/>
                      <wp:positionH relativeFrom="column">
                        <wp:posOffset>0</wp:posOffset>
                      </wp:positionH>
                      <wp:positionV relativeFrom="paragraph">
                        <wp:posOffset>-114300</wp:posOffset>
                      </wp:positionV>
                      <wp:extent cx="180975" cy="276225"/>
                      <wp:effectExtent l="0" t="0" r="0" b="0"/>
                      <wp:wrapNone/>
                      <wp:docPr id="10" name="Text Box 1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66FB9B3" id="Text Box 10" o:spid="_x0000_s1026" type="#_x0000_t202" style="position:absolute;margin-left:0;margin-top:-9pt;width:14.25pt;height:21.75pt;z-index:251665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BjLmDptwEAAHE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66944" behindDoc="0" locked="0" layoutInCell="1" allowOverlap="1" wp14:anchorId="7B73339A" wp14:editId="0D8FA378">
                      <wp:simplePos x="0" y="0"/>
                      <wp:positionH relativeFrom="column">
                        <wp:posOffset>0</wp:posOffset>
                      </wp:positionH>
                      <wp:positionV relativeFrom="paragraph">
                        <wp:posOffset>-114300</wp:posOffset>
                      </wp:positionV>
                      <wp:extent cx="180975" cy="276225"/>
                      <wp:effectExtent l="0" t="0" r="0" b="0"/>
                      <wp:wrapNone/>
                      <wp:docPr id="11" name="Text Box 11">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8DD573" id="Text Box 11" o:spid="_x0000_s1026" type="#_x0000_t202" style="position:absolute;margin-left:0;margin-top:-9pt;width:14.25pt;height:21.75pt;z-index:25166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AW8iMItwEAAHE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67968" behindDoc="0" locked="0" layoutInCell="1" allowOverlap="1" wp14:anchorId="5A7EE445" wp14:editId="51081550">
                      <wp:simplePos x="0" y="0"/>
                      <wp:positionH relativeFrom="column">
                        <wp:posOffset>0</wp:posOffset>
                      </wp:positionH>
                      <wp:positionV relativeFrom="paragraph">
                        <wp:posOffset>-114300</wp:posOffset>
                      </wp:positionV>
                      <wp:extent cx="180975" cy="276225"/>
                      <wp:effectExtent l="0" t="0" r="0" b="0"/>
                      <wp:wrapNone/>
                      <wp:docPr id="12" name="Text Box 12">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0FCAC11" id="Text Box 12" o:spid="_x0000_s1026" type="#_x0000_t202" style="position:absolute;margin-left:0;margin-top:-9pt;width:14.25pt;height:21.75pt;z-index:251667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yJCW8LgBAABx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68992" behindDoc="0" locked="0" layoutInCell="1" allowOverlap="1" wp14:anchorId="3E268DA2" wp14:editId="68144515">
                      <wp:simplePos x="0" y="0"/>
                      <wp:positionH relativeFrom="column">
                        <wp:posOffset>0</wp:posOffset>
                      </wp:positionH>
                      <wp:positionV relativeFrom="paragraph">
                        <wp:posOffset>-114300</wp:posOffset>
                      </wp:positionV>
                      <wp:extent cx="180975" cy="276225"/>
                      <wp:effectExtent l="0" t="0" r="0" b="0"/>
                      <wp:wrapNone/>
                      <wp:docPr id="13" name="Text Box 1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D7771FF" id="Text Box 13" o:spid="_x0000_s1026" type="#_x0000_t202" style="position:absolute;margin-left:0;margin-top:-9pt;width:14.25pt;height:21.75pt;z-index:251668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C9TNURtwEAAHE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70016" behindDoc="0" locked="0" layoutInCell="1" allowOverlap="1" wp14:anchorId="6CAB3089" wp14:editId="7E71E5E9">
                      <wp:simplePos x="0" y="0"/>
                      <wp:positionH relativeFrom="column">
                        <wp:posOffset>0</wp:posOffset>
                      </wp:positionH>
                      <wp:positionV relativeFrom="paragraph">
                        <wp:posOffset>-114300</wp:posOffset>
                      </wp:positionV>
                      <wp:extent cx="180975" cy="276225"/>
                      <wp:effectExtent l="0" t="0" r="0" b="0"/>
                      <wp:wrapNone/>
                      <wp:docPr id="14" name="Text Box 1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EE7D7CB" id="Text Box 14" o:spid="_x0000_s1026" type="#_x0000_t202" style="position:absolute;margin-left:0;margin-top:-9pt;width:14.25pt;height:21.75pt;z-index:251670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A1U43atwEAAHE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71040" behindDoc="0" locked="0" layoutInCell="1" allowOverlap="1" wp14:anchorId="728E1C72" wp14:editId="50E6248B">
                      <wp:simplePos x="0" y="0"/>
                      <wp:positionH relativeFrom="column">
                        <wp:posOffset>0</wp:posOffset>
                      </wp:positionH>
                      <wp:positionV relativeFrom="paragraph">
                        <wp:posOffset>-114300</wp:posOffset>
                      </wp:positionV>
                      <wp:extent cx="180975" cy="276225"/>
                      <wp:effectExtent l="0" t="0" r="0" b="0"/>
                      <wp:wrapNone/>
                      <wp:docPr id="15" name="Text Box 1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DC6D504" id="Text Box 15" o:spid="_x0000_s1026" type="#_x0000_t202" style="position:absolute;margin-left:0;margin-top:-9pt;width:14.25pt;height:21.75pt;z-index:251671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BAj847twEAAHE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72064" behindDoc="0" locked="0" layoutInCell="1" allowOverlap="1" wp14:anchorId="2814CE53" wp14:editId="413C1A39">
                      <wp:simplePos x="0" y="0"/>
                      <wp:positionH relativeFrom="column">
                        <wp:posOffset>0</wp:posOffset>
                      </wp:positionH>
                      <wp:positionV relativeFrom="paragraph">
                        <wp:posOffset>-114300</wp:posOffset>
                      </wp:positionV>
                      <wp:extent cx="180975" cy="276225"/>
                      <wp:effectExtent l="0" t="0" r="0" b="0"/>
                      <wp:wrapNone/>
                      <wp:docPr id="16" name="Text Box 16">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5098CA0" id="Text Box 16" o:spid="_x0000_s1026" type="#_x0000_t202" style="position:absolute;margin-left:0;margin-top:-9pt;width:14.25pt;height:21.75pt;z-index:251672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nu17w7gBAABx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73088" behindDoc="0" locked="0" layoutInCell="1" allowOverlap="1" wp14:anchorId="39C6CEE7" wp14:editId="1AFC57BA">
                      <wp:simplePos x="0" y="0"/>
                      <wp:positionH relativeFrom="column">
                        <wp:posOffset>0</wp:posOffset>
                      </wp:positionH>
                      <wp:positionV relativeFrom="paragraph">
                        <wp:posOffset>-114300</wp:posOffset>
                      </wp:positionV>
                      <wp:extent cx="180975" cy="276225"/>
                      <wp:effectExtent l="0" t="0" r="0" b="0"/>
                      <wp:wrapNone/>
                      <wp:docPr id="17" name="Text Box 17">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83C8D36" id="Text Box 17" o:spid="_x0000_s1026" type="#_x0000_t202" style="position:absolute;margin-left:0;margin-top:-9pt;width:14.25pt;height:21.75pt;z-index:251673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DrMTgitwEAAHE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74112" behindDoc="0" locked="0" layoutInCell="1" allowOverlap="1" wp14:anchorId="5DBE2BF2" wp14:editId="63A8D7A7">
                      <wp:simplePos x="0" y="0"/>
                      <wp:positionH relativeFrom="column">
                        <wp:posOffset>0</wp:posOffset>
                      </wp:positionH>
                      <wp:positionV relativeFrom="paragraph">
                        <wp:posOffset>-114300</wp:posOffset>
                      </wp:positionV>
                      <wp:extent cx="180975" cy="276225"/>
                      <wp:effectExtent l="0" t="0" r="0" b="0"/>
                      <wp:wrapNone/>
                      <wp:docPr id="18" name="Text Box 18">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F9C37D4" id="Text Box 18" o:spid="_x0000_s1026" type="#_x0000_t202" style="position:absolute;margin-left:0;margin-top:-9pt;width:14.25pt;height:21.75pt;z-index:251674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DP1LqOtwEAAHE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75136" behindDoc="0" locked="0" layoutInCell="1" allowOverlap="1" wp14:anchorId="5F65FB5B" wp14:editId="6668BC28">
                      <wp:simplePos x="0" y="0"/>
                      <wp:positionH relativeFrom="column">
                        <wp:posOffset>0</wp:posOffset>
                      </wp:positionH>
                      <wp:positionV relativeFrom="paragraph">
                        <wp:posOffset>-114300</wp:posOffset>
                      </wp:positionV>
                      <wp:extent cx="180975" cy="276225"/>
                      <wp:effectExtent l="0" t="0" r="0" b="0"/>
                      <wp:wrapNone/>
                      <wp:docPr id="19" name="Text Box 1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EF4A96F" id="Text Box 19" o:spid="_x0000_s1026" type="#_x0000_t202" style="position:absolute;margin-left:0;margin-top:-9pt;width:14.25pt;height:21.75pt;z-index:251675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C6CPlvtwEAAHE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76160" behindDoc="0" locked="0" layoutInCell="1" allowOverlap="1" wp14:anchorId="5B072C29" wp14:editId="3D3614BC">
                      <wp:simplePos x="0" y="0"/>
                      <wp:positionH relativeFrom="column">
                        <wp:posOffset>0</wp:posOffset>
                      </wp:positionH>
                      <wp:positionV relativeFrom="paragraph">
                        <wp:posOffset>-114300</wp:posOffset>
                      </wp:positionV>
                      <wp:extent cx="180975" cy="276225"/>
                      <wp:effectExtent l="0" t="0" r="0" b="0"/>
                      <wp:wrapNone/>
                      <wp:docPr id="20" name="Text Box 2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3B0806C" id="Text Box 20" o:spid="_x0000_s1026" type="#_x0000_t202" style="position:absolute;margin-left:0;margin-top:-9pt;width:14.25pt;height:21.75pt;z-index:251676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0mTziLgBAABx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77184" behindDoc="0" locked="0" layoutInCell="1" allowOverlap="1" wp14:anchorId="5EC64317" wp14:editId="7708BE8A">
                      <wp:simplePos x="0" y="0"/>
                      <wp:positionH relativeFrom="column">
                        <wp:posOffset>0</wp:posOffset>
                      </wp:positionH>
                      <wp:positionV relativeFrom="paragraph">
                        <wp:posOffset>-114300</wp:posOffset>
                      </wp:positionV>
                      <wp:extent cx="180975" cy="276225"/>
                      <wp:effectExtent l="0" t="0" r="0" b="0"/>
                      <wp:wrapNone/>
                      <wp:docPr id="21" name="Text Box 21">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2C75FE1" id="Text Box 21" o:spid="_x0000_s1026" type="#_x0000_t202" style="position:absolute;margin-left:0;margin-top:-9pt;width:14.25pt;height:21.75pt;z-index:251677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p7iwabgBAABx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78208" behindDoc="0" locked="0" layoutInCell="1" allowOverlap="1" wp14:anchorId="2582B7A2" wp14:editId="22CB934D">
                      <wp:simplePos x="0" y="0"/>
                      <wp:positionH relativeFrom="column">
                        <wp:posOffset>0</wp:posOffset>
                      </wp:positionH>
                      <wp:positionV relativeFrom="paragraph">
                        <wp:posOffset>-114300</wp:posOffset>
                      </wp:positionV>
                      <wp:extent cx="180975" cy="276225"/>
                      <wp:effectExtent l="0" t="0" r="0" b="0"/>
                      <wp:wrapNone/>
                      <wp:docPr id="22" name="Text Box 22">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C94D4F7" id="Text Box 22" o:spid="_x0000_s1026" type="#_x0000_t202" style="position:absolute;margin-left:0;margin-top:-9pt;width:14.25pt;height:21.75pt;z-index:251678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edoFkbgBAABx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79232" behindDoc="0" locked="0" layoutInCell="1" allowOverlap="1" wp14:anchorId="76DEB574" wp14:editId="58E42417">
                      <wp:simplePos x="0" y="0"/>
                      <wp:positionH relativeFrom="column">
                        <wp:posOffset>0</wp:posOffset>
                      </wp:positionH>
                      <wp:positionV relativeFrom="paragraph">
                        <wp:posOffset>-114300</wp:posOffset>
                      </wp:positionV>
                      <wp:extent cx="180975" cy="276225"/>
                      <wp:effectExtent l="0" t="0" r="0" b="0"/>
                      <wp:wrapNone/>
                      <wp:docPr id="23" name="Text Box 2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3A2BA52" id="Text Box 23" o:spid="_x0000_s1026" type="#_x0000_t202" style="position:absolute;margin-left:0;margin-top:-9pt;width:14.25pt;height:21.75pt;z-index:251679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DAZGcLgBAABx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80256" behindDoc="0" locked="0" layoutInCell="1" allowOverlap="1" wp14:anchorId="4349776C" wp14:editId="747747BE">
                      <wp:simplePos x="0" y="0"/>
                      <wp:positionH relativeFrom="column">
                        <wp:posOffset>0</wp:posOffset>
                      </wp:positionH>
                      <wp:positionV relativeFrom="paragraph">
                        <wp:posOffset>-114300</wp:posOffset>
                      </wp:positionV>
                      <wp:extent cx="180975" cy="276225"/>
                      <wp:effectExtent l="0" t="0" r="0" b="0"/>
                      <wp:wrapNone/>
                      <wp:docPr id="24" name="Text Box 2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1E1529" id="Text Box 24" o:spid="_x0000_s1026" type="#_x0000_t202" style="position:absolute;margin-left:0;margin-top:-9pt;width:14.25pt;height:21.75pt;z-index:251680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hBkeu7gBAABx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81280" behindDoc="0" locked="0" layoutInCell="1" allowOverlap="1" wp14:anchorId="1F08383D" wp14:editId="19624B83">
                      <wp:simplePos x="0" y="0"/>
                      <wp:positionH relativeFrom="column">
                        <wp:posOffset>0</wp:posOffset>
                      </wp:positionH>
                      <wp:positionV relativeFrom="paragraph">
                        <wp:posOffset>-114300</wp:posOffset>
                      </wp:positionV>
                      <wp:extent cx="180975" cy="276225"/>
                      <wp:effectExtent l="0" t="0" r="0" b="0"/>
                      <wp:wrapNone/>
                      <wp:docPr id="25" name="Text Box 2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234816D" id="Text Box 25" o:spid="_x0000_s1026" type="#_x0000_t202" style="position:absolute;margin-left:0;margin-top:-9pt;width:14.25pt;height:21.75pt;z-index:251681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8cVdWrgBAABx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82304" behindDoc="0" locked="0" layoutInCell="1" allowOverlap="1" wp14:anchorId="6AF7A1C6" wp14:editId="39062A2F">
                      <wp:simplePos x="0" y="0"/>
                      <wp:positionH relativeFrom="column">
                        <wp:posOffset>0</wp:posOffset>
                      </wp:positionH>
                      <wp:positionV relativeFrom="paragraph">
                        <wp:posOffset>-114300</wp:posOffset>
                      </wp:positionV>
                      <wp:extent cx="180975" cy="276225"/>
                      <wp:effectExtent l="0" t="0" r="0" b="0"/>
                      <wp:wrapNone/>
                      <wp:docPr id="26" name="Text Box 26">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EF38E80" id="Text Box 26" o:spid="_x0000_s1026" type="#_x0000_t202" style="position:absolute;margin-left:0;margin-top:-9pt;width:14.25pt;height:21.75pt;z-index:251682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L6foorgBAABx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83328" behindDoc="0" locked="0" layoutInCell="1" allowOverlap="1" wp14:anchorId="3C8D0D4A" wp14:editId="0A439CEA">
                      <wp:simplePos x="0" y="0"/>
                      <wp:positionH relativeFrom="column">
                        <wp:posOffset>0</wp:posOffset>
                      </wp:positionH>
                      <wp:positionV relativeFrom="paragraph">
                        <wp:posOffset>-114300</wp:posOffset>
                      </wp:positionV>
                      <wp:extent cx="180975" cy="276225"/>
                      <wp:effectExtent l="0" t="0" r="0" b="0"/>
                      <wp:wrapNone/>
                      <wp:docPr id="27" name="Text Box 27">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E31691" id="Text Box 27" o:spid="_x0000_s1026" type="#_x0000_t202" style="position:absolute;margin-left:0;margin-top:-9pt;width:14.25pt;height:21.75pt;z-index:251683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WnurQ7gBAABx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84352" behindDoc="0" locked="0" layoutInCell="1" allowOverlap="1" wp14:anchorId="5EE765FE" wp14:editId="6E40A8D2">
                      <wp:simplePos x="0" y="0"/>
                      <wp:positionH relativeFrom="column">
                        <wp:posOffset>0</wp:posOffset>
                      </wp:positionH>
                      <wp:positionV relativeFrom="paragraph">
                        <wp:posOffset>-114300</wp:posOffset>
                      </wp:positionV>
                      <wp:extent cx="180975" cy="276225"/>
                      <wp:effectExtent l="0" t="0" r="0" b="0"/>
                      <wp:wrapNone/>
                      <wp:docPr id="28" name="Text Box 28">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1442EB0" id="Text Box 28" o:spid="_x0000_s1026" type="#_x0000_t202" style="position:absolute;margin-left:0;margin-top:-9pt;width:14.25pt;height:21.75pt;z-index:251684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85376" behindDoc="0" locked="0" layoutInCell="1" allowOverlap="1" wp14:anchorId="4199818A" wp14:editId="390B71B6">
                      <wp:simplePos x="0" y="0"/>
                      <wp:positionH relativeFrom="column">
                        <wp:posOffset>0</wp:posOffset>
                      </wp:positionH>
                      <wp:positionV relativeFrom="paragraph">
                        <wp:posOffset>-114300</wp:posOffset>
                      </wp:positionV>
                      <wp:extent cx="180975" cy="276225"/>
                      <wp:effectExtent l="0" t="0" r="0" b="0"/>
                      <wp:wrapNone/>
                      <wp:docPr id="29" name="Text Box 2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2EF0C0B" id="Text Box 29" o:spid="_x0000_s1026" type="#_x0000_t202" style="position:absolute;margin-left:0;margin-top:-9pt;width:14.25pt;height:21.75pt;z-index:251685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86400" behindDoc="0" locked="0" layoutInCell="1" allowOverlap="1" wp14:anchorId="07162026" wp14:editId="76DBFACA">
                      <wp:simplePos x="0" y="0"/>
                      <wp:positionH relativeFrom="column">
                        <wp:posOffset>0</wp:posOffset>
                      </wp:positionH>
                      <wp:positionV relativeFrom="paragraph">
                        <wp:posOffset>-114300</wp:posOffset>
                      </wp:positionV>
                      <wp:extent cx="180975" cy="276225"/>
                      <wp:effectExtent l="0" t="0" r="0" b="0"/>
                      <wp:wrapNone/>
                      <wp:docPr id="30" name="Text Box 3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1C9D05D" id="Text Box 30" o:spid="_x0000_s1026" type="#_x0000_t202" style="position:absolute;margin-left:0;margin-top:-9pt;width:14.25pt;height:21.75pt;z-index:251686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87424" behindDoc="0" locked="0" layoutInCell="1" allowOverlap="1" wp14:anchorId="7030FEEE" wp14:editId="22B0F1DD">
                      <wp:simplePos x="0" y="0"/>
                      <wp:positionH relativeFrom="column">
                        <wp:posOffset>0</wp:posOffset>
                      </wp:positionH>
                      <wp:positionV relativeFrom="paragraph">
                        <wp:posOffset>-114300</wp:posOffset>
                      </wp:positionV>
                      <wp:extent cx="180975" cy="276225"/>
                      <wp:effectExtent l="0" t="0" r="0" b="0"/>
                      <wp:wrapNone/>
                      <wp:docPr id="8699" name="Text Box 8699">
                        <a:extLst xmlns:a="http://schemas.openxmlformats.org/drawingml/2006/main">
                          <a:ext uri="{FF2B5EF4-FFF2-40B4-BE49-F238E27FC236}">
                            <a16:creationId xmlns:a16="http://schemas.microsoft.com/office/drawing/2014/main" id="{00000000-0008-0000-0000-0000FB21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2D9B346" id="Text Box 8699" o:spid="_x0000_s1026" type="#_x0000_t202" style="position:absolute;margin-left:0;margin-top:-9pt;width:14.25pt;height:21.75pt;z-index:251687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D/2HmI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88448" behindDoc="0" locked="0" layoutInCell="1" allowOverlap="1" wp14:anchorId="793B796F" wp14:editId="79AE8278">
                      <wp:simplePos x="0" y="0"/>
                      <wp:positionH relativeFrom="column">
                        <wp:posOffset>0</wp:posOffset>
                      </wp:positionH>
                      <wp:positionV relativeFrom="paragraph">
                        <wp:posOffset>-114300</wp:posOffset>
                      </wp:positionV>
                      <wp:extent cx="180975" cy="276225"/>
                      <wp:effectExtent l="0" t="0" r="0" b="0"/>
                      <wp:wrapNone/>
                      <wp:docPr id="8700" name="Text Box 8700">
                        <a:extLst xmlns:a="http://schemas.openxmlformats.org/drawingml/2006/main">
                          <a:ext uri="{FF2B5EF4-FFF2-40B4-BE49-F238E27FC236}">
                            <a16:creationId xmlns:a16="http://schemas.microsoft.com/office/drawing/2014/main" id="{00000000-0008-0000-0000-0000FC21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89A6C83" id="Text Box 8700" o:spid="_x0000_s1026" type="#_x0000_t202" style="position:absolute;margin-left:0;margin-top:-9pt;width:14.25pt;height:21.75pt;z-index:251688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89472" behindDoc="0" locked="0" layoutInCell="1" allowOverlap="1" wp14:anchorId="36D02C35" wp14:editId="6B3CB568">
                      <wp:simplePos x="0" y="0"/>
                      <wp:positionH relativeFrom="column">
                        <wp:posOffset>0</wp:posOffset>
                      </wp:positionH>
                      <wp:positionV relativeFrom="paragraph">
                        <wp:posOffset>-114300</wp:posOffset>
                      </wp:positionV>
                      <wp:extent cx="180975" cy="276225"/>
                      <wp:effectExtent l="0" t="0" r="0" b="0"/>
                      <wp:wrapNone/>
                      <wp:docPr id="8701" name="Text Box 8701">
                        <a:extLst xmlns:a="http://schemas.openxmlformats.org/drawingml/2006/main">
                          <a:ext uri="{FF2B5EF4-FFF2-40B4-BE49-F238E27FC236}">
                            <a16:creationId xmlns:a16="http://schemas.microsoft.com/office/drawing/2014/main" id="{00000000-0008-0000-0000-0000FD21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6674F38" id="Text Box 8701" o:spid="_x0000_s1026" type="#_x0000_t202" style="position:absolute;margin-left:0;margin-top:-9pt;width:14.25pt;height:21.75pt;z-index:251689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90496" behindDoc="0" locked="0" layoutInCell="1" allowOverlap="1" wp14:anchorId="130853EA" wp14:editId="4187F8AC">
                      <wp:simplePos x="0" y="0"/>
                      <wp:positionH relativeFrom="column">
                        <wp:posOffset>0</wp:posOffset>
                      </wp:positionH>
                      <wp:positionV relativeFrom="paragraph">
                        <wp:posOffset>-114300</wp:posOffset>
                      </wp:positionV>
                      <wp:extent cx="180975" cy="276225"/>
                      <wp:effectExtent l="0" t="0" r="0" b="0"/>
                      <wp:wrapNone/>
                      <wp:docPr id="8702" name="Text Box 8702">
                        <a:extLst xmlns:a="http://schemas.openxmlformats.org/drawingml/2006/main">
                          <a:ext uri="{FF2B5EF4-FFF2-40B4-BE49-F238E27FC236}">
                            <a16:creationId xmlns:a16="http://schemas.microsoft.com/office/drawing/2014/main" id="{00000000-0008-0000-0000-0000FE21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381475F" id="Text Box 8702" o:spid="_x0000_s1026" type="#_x0000_t202" style="position:absolute;margin-left:0;margin-top:-9pt;width:14.25pt;height:21.75pt;z-index:251690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BbxFeH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91520" behindDoc="0" locked="0" layoutInCell="1" allowOverlap="1" wp14:anchorId="185BAEF6" wp14:editId="1053C9FE">
                      <wp:simplePos x="0" y="0"/>
                      <wp:positionH relativeFrom="column">
                        <wp:posOffset>0</wp:posOffset>
                      </wp:positionH>
                      <wp:positionV relativeFrom="paragraph">
                        <wp:posOffset>-114300</wp:posOffset>
                      </wp:positionV>
                      <wp:extent cx="180975" cy="276225"/>
                      <wp:effectExtent l="0" t="0" r="0" b="0"/>
                      <wp:wrapNone/>
                      <wp:docPr id="8703" name="Text Box 8703">
                        <a:extLst xmlns:a="http://schemas.openxmlformats.org/drawingml/2006/main">
                          <a:ext uri="{FF2B5EF4-FFF2-40B4-BE49-F238E27FC236}">
                            <a16:creationId xmlns:a16="http://schemas.microsoft.com/office/drawing/2014/main" id="{00000000-0008-0000-0000-0000FF21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9F5107A" id="Text Box 8703" o:spid="_x0000_s1026" type="#_x0000_t202" style="position:absolute;margin-left:0;margin-top:-9pt;width:14.25pt;height:21.75pt;z-index:251691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92544" behindDoc="0" locked="0" layoutInCell="1" allowOverlap="1" wp14:anchorId="7978D8B5" wp14:editId="2C1E83E1">
                      <wp:simplePos x="0" y="0"/>
                      <wp:positionH relativeFrom="column">
                        <wp:posOffset>0</wp:posOffset>
                      </wp:positionH>
                      <wp:positionV relativeFrom="paragraph">
                        <wp:posOffset>-114300</wp:posOffset>
                      </wp:positionV>
                      <wp:extent cx="180975" cy="276225"/>
                      <wp:effectExtent l="0" t="0" r="0" b="0"/>
                      <wp:wrapNone/>
                      <wp:docPr id="8704" name="Text Box 8704">
                        <a:extLst xmlns:a="http://schemas.openxmlformats.org/drawingml/2006/main">
                          <a:ext uri="{FF2B5EF4-FFF2-40B4-BE49-F238E27FC236}">
                            <a16:creationId xmlns:a16="http://schemas.microsoft.com/office/drawing/2014/main" id="{00000000-0008-0000-0000-000000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CCAF8CF" id="Text Box 8704" o:spid="_x0000_s1026" type="#_x0000_t202" style="position:absolute;margin-left:0;margin-top:-9pt;width:14.25pt;height:21.75pt;z-index:251692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BKEqlu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93568" behindDoc="0" locked="0" layoutInCell="1" allowOverlap="1" wp14:anchorId="29B60669" wp14:editId="4720C269">
                      <wp:simplePos x="0" y="0"/>
                      <wp:positionH relativeFrom="column">
                        <wp:posOffset>0</wp:posOffset>
                      </wp:positionH>
                      <wp:positionV relativeFrom="paragraph">
                        <wp:posOffset>-114300</wp:posOffset>
                      </wp:positionV>
                      <wp:extent cx="180975" cy="276225"/>
                      <wp:effectExtent l="0" t="0" r="0" b="0"/>
                      <wp:wrapNone/>
                      <wp:docPr id="8705" name="Text Box 8705">
                        <a:extLst xmlns:a="http://schemas.openxmlformats.org/drawingml/2006/main">
                          <a:ext uri="{FF2B5EF4-FFF2-40B4-BE49-F238E27FC236}">
                            <a16:creationId xmlns:a16="http://schemas.microsoft.com/office/drawing/2014/main" id="{00000000-0008-0000-0000-000001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80F63C2" id="Text Box 8705" o:spid="_x0000_s1026" type="#_x0000_t202" style="position:absolute;margin-left:0;margin-top:-9pt;width:14.25pt;height:21.75pt;z-index:251693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BhTjo4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94592" behindDoc="0" locked="0" layoutInCell="1" allowOverlap="1" wp14:anchorId="4ECF0EEF" wp14:editId="787CCA07">
                      <wp:simplePos x="0" y="0"/>
                      <wp:positionH relativeFrom="column">
                        <wp:posOffset>0</wp:posOffset>
                      </wp:positionH>
                      <wp:positionV relativeFrom="paragraph">
                        <wp:posOffset>-114300</wp:posOffset>
                      </wp:positionV>
                      <wp:extent cx="180975" cy="276225"/>
                      <wp:effectExtent l="0" t="0" r="0" b="0"/>
                      <wp:wrapNone/>
                      <wp:docPr id="8706" name="Text Box 8706">
                        <a:extLst xmlns:a="http://schemas.openxmlformats.org/drawingml/2006/main">
                          <a:ext uri="{FF2B5EF4-FFF2-40B4-BE49-F238E27FC236}">
                            <a16:creationId xmlns:a16="http://schemas.microsoft.com/office/drawing/2014/main" id="{00000000-0008-0000-0000-000002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9A760F0" id="Text Box 8706" o:spid="_x0000_s1026" type="#_x0000_t202" style="position:absolute;margin-left:0;margin-top:-9pt;width:14.25pt;height:21.75pt;z-index:251694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Acqo/D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95616" behindDoc="0" locked="0" layoutInCell="1" allowOverlap="1" wp14:anchorId="665F5B43" wp14:editId="733D08C1">
                      <wp:simplePos x="0" y="0"/>
                      <wp:positionH relativeFrom="column">
                        <wp:posOffset>0</wp:posOffset>
                      </wp:positionH>
                      <wp:positionV relativeFrom="paragraph">
                        <wp:posOffset>-114300</wp:posOffset>
                      </wp:positionV>
                      <wp:extent cx="180975" cy="276225"/>
                      <wp:effectExtent l="0" t="0" r="0" b="0"/>
                      <wp:wrapNone/>
                      <wp:docPr id="8707" name="Text Box 8707">
                        <a:extLst xmlns:a="http://schemas.openxmlformats.org/drawingml/2006/main">
                          <a:ext uri="{FF2B5EF4-FFF2-40B4-BE49-F238E27FC236}">
                            <a16:creationId xmlns:a16="http://schemas.microsoft.com/office/drawing/2014/main" id="{00000000-0008-0000-0000-000003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1130BA" id="Text Box 8707" o:spid="_x0000_s1026" type="#_x0000_t202" style="position:absolute;margin-left:0;margin-top:-9pt;width:14.25pt;height:21.75pt;z-index:251695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A39hyV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96640" behindDoc="0" locked="0" layoutInCell="1" allowOverlap="1" wp14:anchorId="0785D824" wp14:editId="34C192A7">
                      <wp:simplePos x="0" y="0"/>
                      <wp:positionH relativeFrom="column">
                        <wp:posOffset>0</wp:posOffset>
                      </wp:positionH>
                      <wp:positionV relativeFrom="paragraph">
                        <wp:posOffset>-114300</wp:posOffset>
                      </wp:positionV>
                      <wp:extent cx="180975" cy="276225"/>
                      <wp:effectExtent l="0" t="0" r="0" b="0"/>
                      <wp:wrapNone/>
                      <wp:docPr id="8708" name="Text Box 8708">
                        <a:extLst xmlns:a="http://schemas.openxmlformats.org/drawingml/2006/main">
                          <a:ext uri="{FF2B5EF4-FFF2-40B4-BE49-F238E27FC236}">
                            <a16:creationId xmlns:a16="http://schemas.microsoft.com/office/drawing/2014/main" id="{00000000-0008-0000-0000-000004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0BB0BF4" id="Text Box 8708" o:spid="_x0000_s1026" type="#_x0000_t202" style="position:absolute;margin-left:0;margin-top:-9pt;width:14.25pt;height:21.75pt;z-index:251696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wj7m3R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97664" behindDoc="0" locked="0" layoutInCell="1" allowOverlap="1" wp14:anchorId="0123E5A4" wp14:editId="592D774E">
                      <wp:simplePos x="0" y="0"/>
                      <wp:positionH relativeFrom="column">
                        <wp:posOffset>0</wp:posOffset>
                      </wp:positionH>
                      <wp:positionV relativeFrom="paragraph">
                        <wp:posOffset>-114300</wp:posOffset>
                      </wp:positionV>
                      <wp:extent cx="180975" cy="276225"/>
                      <wp:effectExtent l="0" t="0" r="0" b="0"/>
                      <wp:wrapNone/>
                      <wp:docPr id="8709" name="Text Box 8709">
                        <a:extLst xmlns:a="http://schemas.openxmlformats.org/drawingml/2006/main">
                          <a:ext uri="{FF2B5EF4-FFF2-40B4-BE49-F238E27FC236}">
                            <a16:creationId xmlns:a16="http://schemas.microsoft.com/office/drawing/2014/main" id="{00000000-0008-0000-0000-000005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DDF91A1" id="Text Box 8709" o:spid="_x0000_s1026" type="#_x0000_t202" style="position:absolute;margin-left:0;margin-top:-9pt;width:14.25pt;height:21.75pt;z-index:251697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6WJ1ix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98688" behindDoc="0" locked="0" layoutInCell="1" allowOverlap="1" wp14:anchorId="4046C40D" wp14:editId="75DC0E6C">
                      <wp:simplePos x="0" y="0"/>
                      <wp:positionH relativeFrom="column">
                        <wp:posOffset>0</wp:posOffset>
                      </wp:positionH>
                      <wp:positionV relativeFrom="paragraph">
                        <wp:posOffset>-114300</wp:posOffset>
                      </wp:positionV>
                      <wp:extent cx="180975" cy="276225"/>
                      <wp:effectExtent l="0" t="0" r="0" b="0"/>
                      <wp:wrapNone/>
                      <wp:docPr id="8710" name="Text Box 8710">
                        <a:extLst xmlns:a="http://schemas.openxmlformats.org/drawingml/2006/main">
                          <a:ext uri="{FF2B5EF4-FFF2-40B4-BE49-F238E27FC236}">
                            <a16:creationId xmlns:a16="http://schemas.microsoft.com/office/drawing/2014/main" id="{00000000-0008-0000-0000-000006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B4AD665" id="Text Box 8710" o:spid="_x0000_s1026" type="#_x0000_t202" style="position:absolute;margin-left:0;margin-top:-9pt;width:14.25pt;height:21.75pt;z-index:251698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DBtJjp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699712" behindDoc="0" locked="0" layoutInCell="1" allowOverlap="1" wp14:anchorId="16222E10" wp14:editId="384DD3C9">
                      <wp:simplePos x="0" y="0"/>
                      <wp:positionH relativeFrom="column">
                        <wp:posOffset>0</wp:posOffset>
                      </wp:positionH>
                      <wp:positionV relativeFrom="paragraph">
                        <wp:posOffset>-114300</wp:posOffset>
                      </wp:positionV>
                      <wp:extent cx="180975" cy="276225"/>
                      <wp:effectExtent l="0" t="0" r="0" b="0"/>
                      <wp:wrapNone/>
                      <wp:docPr id="8711" name="Text Box 8711">
                        <a:extLst xmlns:a="http://schemas.openxmlformats.org/drawingml/2006/main">
                          <a:ext uri="{FF2B5EF4-FFF2-40B4-BE49-F238E27FC236}">
                            <a16:creationId xmlns:a16="http://schemas.microsoft.com/office/drawing/2014/main" id="{00000000-0008-0000-0000-000007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1B2F90A" id="Text Box 8711" o:spid="_x0000_s1026" type="#_x0000_t202" style="position:absolute;margin-left:0;margin-top:-9pt;width:14.25pt;height:21.75pt;z-index:251699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Dq6Au/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00736" behindDoc="0" locked="0" layoutInCell="1" allowOverlap="1" wp14:anchorId="1CC293CC" wp14:editId="6FACC16A">
                      <wp:simplePos x="0" y="0"/>
                      <wp:positionH relativeFrom="column">
                        <wp:posOffset>0</wp:posOffset>
                      </wp:positionH>
                      <wp:positionV relativeFrom="paragraph">
                        <wp:posOffset>-114300</wp:posOffset>
                      </wp:positionV>
                      <wp:extent cx="180975" cy="276225"/>
                      <wp:effectExtent l="0" t="0" r="0" b="0"/>
                      <wp:wrapNone/>
                      <wp:docPr id="8712" name="Text Box 8712">
                        <a:extLst xmlns:a="http://schemas.openxmlformats.org/drawingml/2006/main">
                          <a:ext uri="{FF2B5EF4-FFF2-40B4-BE49-F238E27FC236}">
                            <a16:creationId xmlns:a16="http://schemas.microsoft.com/office/drawing/2014/main" id="{00000000-0008-0000-0000-000008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B07F22" id="Text Box 8712" o:spid="_x0000_s1026" type="#_x0000_t202" style="position:absolute;margin-left:0;margin-top:-9pt;width:14.25pt;height:21.75pt;z-index:251700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luV52h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01760" behindDoc="0" locked="0" layoutInCell="1" allowOverlap="1" wp14:anchorId="5184E436" wp14:editId="7233CA40">
                      <wp:simplePos x="0" y="0"/>
                      <wp:positionH relativeFrom="column">
                        <wp:posOffset>0</wp:posOffset>
                      </wp:positionH>
                      <wp:positionV relativeFrom="paragraph">
                        <wp:posOffset>-114300</wp:posOffset>
                      </wp:positionV>
                      <wp:extent cx="180975" cy="276225"/>
                      <wp:effectExtent l="0" t="0" r="0" b="0"/>
                      <wp:wrapNone/>
                      <wp:docPr id="8713" name="Text Box 8713">
                        <a:extLst xmlns:a="http://schemas.openxmlformats.org/drawingml/2006/main">
                          <a:ext uri="{FF2B5EF4-FFF2-40B4-BE49-F238E27FC236}">
                            <a16:creationId xmlns:a16="http://schemas.microsoft.com/office/drawing/2014/main" id="{00000000-0008-0000-0000-000009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B90A628" id="Text Box 8713" o:spid="_x0000_s1026" type="#_x0000_t202" style="position:absolute;margin-left:0;margin-top:-9pt;width:14.25pt;height:21.75pt;z-index:251701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vbnqjB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02784" behindDoc="0" locked="0" layoutInCell="1" allowOverlap="1" wp14:anchorId="47E2E2E6" wp14:editId="66276FE3">
                      <wp:simplePos x="0" y="0"/>
                      <wp:positionH relativeFrom="column">
                        <wp:posOffset>0</wp:posOffset>
                      </wp:positionH>
                      <wp:positionV relativeFrom="paragraph">
                        <wp:posOffset>-114300</wp:posOffset>
                      </wp:positionV>
                      <wp:extent cx="180975" cy="276225"/>
                      <wp:effectExtent l="0" t="0" r="0" b="0"/>
                      <wp:wrapNone/>
                      <wp:docPr id="8714" name="Text Box 8714">
                        <a:extLst xmlns:a="http://schemas.openxmlformats.org/drawingml/2006/main">
                          <a:ext uri="{FF2B5EF4-FFF2-40B4-BE49-F238E27FC236}">
                            <a16:creationId xmlns:a16="http://schemas.microsoft.com/office/drawing/2014/main" id="{00000000-0008-0000-0000-00000A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EC643B3" id="Text Box 8714" o:spid="_x0000_s1026" type="#_x0000_t202" style="position:absolute;margin-left:0;margin-top:-9pt;width:14.25pt;height:21.75pt;z-index:251702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z0FUGR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03808" behindDoc="0" locked="0" layoutInCell="1" allowOverlap="1" wp14:anchorId="11FC4B9B" wp14:editId="16ED419E">
                      <wp:simplePos x="0" y="0"/>
                      <wp:positionH relativeFrom="column">
                        <wp:posOffset>0</wp:posOffset>
                      </wp:positionH>
                      <wp:positionV relativeFrom="paragraph">
                        <wp:posOffset>-114300</wp:posOffset>
                      </wp:positionV>
                      <wp:extent cx="180975" cy="276225"/>
                      <wp:effectExtent l="0" t="0" r="0" b="0"/>
                      <wp:wrapNone/>
                      <wp:docPr id="8715" name="Text Box 8715">
                        <a:extLst xmlns:a="http://schemas.openxmlformats.org/drawingml/2006/main">
                          <a:ext uri="{FF2B5EF4-FFF2-40B4-BE49-F238E27FC236}">
                            <a16:creationId xmlns:a16="http://schemas.microsoft.com/office/drawing/2014/main" id="{00000000-0008-0000-0000-00000B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805735" id="Text Box 8715" o:spid="_x0000_s1026" type="#_x0000_t202" style="position:absolute;margin-left:0;margin-top:-9pt;width:14.25pt;height:21.75pt;z-index:251703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uzKhmB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04832" behindDoc="0" locked="0" layoutInCell="1" allowOverlap="1" wp14:anchorId="26FB08BE" wp14:editId="078B194C">
                      <wp:simplePos x="0" y="0"/>
                      <wp:positionH relativeFrom="column">
                        <wp:posOffset>0</wp:posOffset>
                      </wp:positionH>
                      <wp:positionV relativeFrom="paragraph">
                        <wp:posOffset>-114300</wp:posOffset>
                      </wp:positionV>
                      <wp:extent cx="180975" cy="276225"/>
                      <wp:effectExtent l="0" t="0" r="0" b="0"/>
                      <wp:wrapNone/>
                      <wp:docPr id="8716" name="Text Box 8716">
                        <a:extLst xmlns:a="http://schemas.openxmlformats.org/drawingml/2006/main">
                          <a:ext uri="{FF2B5EF4-FFF2-40B4-BE49-F238E27FC236}">
                            <a16:creationId xmlns:a16="http://schemas.microsoft.com/office/drawing/2014/main" id="{00000000-0008-0000-0000-00000C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509B89E" id="Text Box 8716" o:spid="_x0000_s1026" type="#_x0000_t202" style="position:absolute;margin-left:0;margin-top:-9pt;width:14.25pt;height:21.75pt;z-index:251704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mflytB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05856" behindDoc="0" locked="0" layoutInCell="1" allowOverlap="1" wp14:anchorId="7E563BE4" wp14:editId="4D449E60">
                      <wp:simplePos x="0" y="0"/>
                      <wp:positionH relativeFrom="column">
                        <wp:posOffset>0</wp:posOffset>
                      </wp:positionH>
                      <wp:positionV relativeFrom="paragraph">
                        <wp:posOffset>-114300</wp:posOffset>
                      </wp:positionV>
                      <wp:extent cx="180975" cy="276225"/>
                      <wp:effectExtent l="0" t="0" r="0" b="0"/>
                      <wp:wrapNone/>
                      <wp:docPr id="8717" name="Text Box 8717">
                        <a:extLst xmlns:a="http://schemas.openxmlformats.org/drawingml/2006/main">
                          <a:ext uri="{FF2B5EF4-FFF2-40B4-BE49-F238E27FC236}">
                            <a16:creationId xmlns:a16="http://schemas.microsoft.com/office/drawing/2014/main" id="{00000000-0008-0000-0000-00000D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705ACBB" id="Text Box 8717" o:spid="_x0000_s1026" type="#_x0000_t202" style="position:absolute;margin-left:0;margin-top:-9pt;width:14.25pt;height:21.75pt;z-index:251705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EtI6QB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06880" behindDoc="0" locked="0" layoutInCell="1" allowOverlap="1" wp14:anchorId="5C7CAF27" wp14:editId="365842AF">
                      <wp:simplePos x="0" y="0"/>
                      <wp:positionH relativeFrom="column">
                        <wp:posOffset>0</wp:posOffset>
                      </wp:positionH>
                      <wp:positionV relativeFrom="paragraph">
                        <wp:posOffset>-114300</wp:posOffset>
                      </wp:positionV>
                      <wp:extent cx="180975" cy="276225"/>
                      <wp:effectExtent l="0" t="0" r="0" b="0"/>
                      <wp:wrapNone/>
                      <wp:docPr id="8718" name="Text Box 8718">
                        <a:extLst xmlns:a="http://schemas.openxmlformats.org/drawingml/2006/main">
                          <a:ext uri="{FF2B5EF4-FFF2-40B4-BE49-F238E27FC236}">
                            <a16:creationId xmlns:a16="http://schemas.microsoft.com/office/drawing/2014/main" id="{00000000-0008-0000-0000-00000E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647C21B" id="Text Box 8718" o:spid="_x0000_s1026" type="#_x0000_t202" style="position:absolute;margin-left:0;margin-top:-9pt;width:14.25pt;height:21.75pt;z-index:251706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R20bqh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07904" behindDoc="0" locked="0" layoutInCell="1" allowOverlap="1" wp14:anchorId="73031368" wp14:editId="580C62D5">
                      <wp:simplePos x="0" y="0"/>
                      <wp:positionH relativeFrom="column">
                        <wp:posOffset>0</wp:posOffset>
                      </wp:positionH>
                      <wp:positionV relativeFrom="paragraph">
                        <wp:posOffset>-114300</wp:posOffset>
                      </wp:positionV>
                      <wp:extent cx="180975" cy="276225"/>
                      <wp:effectExtent l="0" t="0" r="0" b="0"/>
                      <wp:wrapNone/>
                      <wp:docPr id="8719" name="Text Box 8719">
                        <a:extLst xmlns:a="http://schemas.openxmlformats.org/drawingml/2006/main">
                          <a:ext uri="{FF2B5EF4-FFF2-40B4-BE49-F238E27FC236}">
                            <a16:creationId xmlns:a16="http://schemas.microsoft.com/office/drawing/2014/main" id="{00000000-0008-0000-0000-00000F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9A4F274" id="Text Box 8719" o:spid="_x0000_s1026" type="#_x0000_t202" style="position:absolute;margin-left:0;margin-top:-9pt;width:14.25pt;height:21.75pt;z-index:251707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Mx7uKx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08928" behindDoc="0" locked="0" layoutInCell="1" allowOverlap="1" wp14:anchorId="6E386E80" wp14:editId="05F41EA3">
                      <wp:simplePos x="0" y="0"/>
                      <wp:positionH relativeFrom="column">
                        <wp:posOffset>0</wp:posOffset>
                      </wp:positionH>
                      <wp:positionV relativeFrom="paragraph">
                        <wp:posOffset>-114300</wp:posOffset>
                      </wp:positionV>
                      <wp:extent cx="180975" cy="276225"/>
                      <wp:effectExtent l="0" t="0" r="0" b="0"/>
                      <wp:wrapNone/>
                      <wp:docPr id="8720" name="Text Box 8720">
                        <a:extLst xmlns:a="http://schemas.openxmlformats.org/drawingml/2006/main">
                          <a:ext uri="{FF2B5EF4-FFF2-40B4-BE49-F238E27FC236}">
                            <a16:creationId xmlns:a16="http://schemas.microsoft.com/office/drawing/2014/main" id="{00000000-0008-0000-0000-000010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32DA775" id="Text Box 8720" o:spid="_x0000_s1026" type="#_x0000_t202" style="position:absolute;margin-left:0;margin-top:-9pt;width:14.25pt;height:21.75pt;z-index:251708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BOUQ+e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09952" behindDoc="0" locked="0" layoutInCell="1" allowOverlap="1" wp14:anchorId="014809B1" wp14:editId="43A880CD">
                      <wp:simplePos x="0" y="0"/>
                      <wp:positionH relativeFrom="column">
                        <wp:posOffset>0</wp:posOffset>
                      </wp:positionH>
                      <wp:positionV relativeFrom="paragraph">
                        <wp:posOffset>-114300</wp:posOffset>
                      </wp:positionV>
                      <wp:extent cx="180975" cy="276225"/>
                      <wp:effectExtent l="0" t="0" r="0" b="0"/>
                      <wp:wrapNone/>
                      <wp:docPr id="8721" name="Text Box 8721">
                        <a:extLst xmlns:a="http://schemas.openxmlformats.org/drawingml/2006/main">
                          <a:ext uri="{FF2B5EF4-FFF2-40B4-BE49-F238E27FC236}">
                            <a16:creationId xmlns:a16="http://schemas.microsoft.com/office/drawing/2014/main" id="{00000000-0008-0000-0000-000011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4256CB2" id="Text Box 8721" o:spid="_x0000_s1026" type="#_x0000_t202" style="position:absolute;margin-left:0;margin-top:-9pt;width:14.25pt;height:21.75pt;z-index:251709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BlDZzI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10976" behindDoc="0" locked="0" layoutInCell="1" allowOverlap="1" wp14:anchorId="3262067A" wp14:editId="759F38A1">
                      <wp:simplePos x="0" y="0"/>
                      <wp:positionH relativeFrom="column">
                        <wp:posOffset>0</wp:posOffset>
                      </wp:positionH>
                      <wp:positionV relativeFrom="paragraph">
                        <wp:posOffset>-114300</wp:posOffset>
                      </wp:positionV>
                      <wp:extent cx="180975" cy="276225"/>
                      <wp:effectExtent l="0" t="0" r="0" b="0"/>
                      <wp:wrapNone/>
                      <wp:docPr id="8722" name="Text Box 8722">
                        <a:extLst xmlns:a="http://schemas.openxmlformats.org/drawingml/2006/main">
                          <a:ext uri="{FF2B5EF4-FFF2-40B4-BE49-F238E27FC236}">
                            <a16:creationId xmlns:a16="http://schemas.microsoft.com/office/drawing/2014/main" id="{00000000-0008-0000-0000-000012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C384250" id="Text Box 8722" o:spid="_x0000_s1026" type="#_x0000_t202" style="position:absolute;margin-left:0;margin-top:-9pt;width:14.25pt;height:21.75pt;z-index:251710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AY6Skz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12000" behindDoc="0" locked="0" layoutInCell="1" allowOverlap="1" wp14:anchorId="784C6F2C" wp14:editId="2751E066">
                      <wp:simplePos x="0" y="0"/>
                      <wp:positionH relativeFrom="column">
                        <wp:posOffset>0</wp:posOffset>
                      </wp:positionH>
                      <wp:positionV relativeFrom="paragraph">
                        <wp:posOffset>-114300</wp:posOffset>
                      </wp:positionV>
                      <wp:extent cx="180975" cy="276225"/>
                      <wp:effectExtent l="0" t="0" r="0" b="0"/>
                      <wp:wrapNone/>
                      <wp:docPr id="8723" name="Text Box 8723">
                        <a:extLst xmlns:a="http://schemas.openxmlformats.org/drawingml/2006/main">
                          <a:ext uri="{FF2B5EF4-FFF2-40B4-BE49-F238E27FC236}">
                            <a16:creationId xmlns:a16="http://schemas.microsoft.com/office/drawing/2014/main" id="{00000000-0008-0000-0000-000013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CE4AFFF" id="Text Box 8723" o:spid="_x0000_s1026" type="#_x0000_t202" style="position:absolute;margin-left:0;margin-top:-9pt;width:14.25pt;height:21.75pt;z-index:251712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13024" behindDoc="0" locked="0" layoutInCell="1" allowOverlap="1" wp14:anchorId="0B1A74D0" wp14:editId="10FFF52E">
                      <wp:simplePos x="0" y="0"/>
                      <wp:positionH relativeFrom="column">
                        <wp:posOffset>0</wp:posOffset>
                      </wp:positionH>
                      <wp:positionV relativeFrom="paragraph">
                        <wp:posOffset>-114300</wp:posOffset>
                      </wp:positionV>
                      <wp:extent cx="180975" cy="276225"/>
                      <wp:effectExtent l="0" t="0" r="0" b="0"/>
                      <wp:wrapNone/>
                      <wp:docPr id="8724" name="Text Box 8724">
                        <a:extLst xmlns:a="http://schemas.openxmlformats.org/drawingml/2006/main">
                          <a:ext uri="{FF2B5EF4-FFF2-40B4-BE49-F238E27FC236}">
                            <a16:creationId xmlns:a16="http://schemas.microsoft.com/office/drawing/2014/main" id="{00000000-0008-0000-0000-000014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FA448B5" id="Text Box 8724" o:spid="_x0000_s1026" type="#_x0000_t202" style="position:absolute;margin-left:0;margin-top:-9pt;width:14.25pt;height:21.75pt;z-index:251713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oyczHx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14048" behindDoc="0" locked="0" layoutInCell="1" allowOverlap="1" wp14:anchorId="466DA03B" wp14:editId="76A8CBF3">
                      <wp:simplePos x="0" y="0"/>
                      <wp:positionH relativeFrom="column">
                        <wp:posOffset>0</wp:posOffset>
                      </wp:positionH>
                      <wp:positionV relativeFrom="paragraph">
                        <wp:posOffset>-114300</wp:posOffset>
                      </wp:positionV>
                      <wp:extent cx="180975" cy="276225"/>
                      <wp:effectExtent l="0" t="0" r="0" b="0"/>
                      <wp:wrapNone/>
                      <wp:docPr id="8725" name="Text Box 8725">
                        <a:extLst xmlns:a="http://schemas.openxmlformats.org/drawingml/2006/main">
                          <a:ext uri="{FF2B5EF4-FFF2-40B4-BE49-F238E27FC236}">
                            <a16:creationId xmlns:a16="http://schemas.microsoft.com/office/drawing/2014/main" id="{00000000-0008-0000-0000-00001522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CCB0A59" id="Text Box 8725" o:spid="_x0000_s1026" type="#_x0000_t202" style="position:absolute;margin-left:0;margin-top:-9pt;width:14.25pt;height:21.75pt;z-index:251714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15072" behindDoc="0" locked="0" layoutInCell="1" allowOverlap="1" wp14:anchorId="44A52549" wp14:editId="0E942CAD">
                      <wp:simplePos x="0" y="0"/>
                      <wp:positionH relativeFrom="column">
                        <wp:posOffset>0</wp:posOffset>
                      </wp:positionH>
                      <wp:positionV relativeFrom="paragraph">
                        <wp:posOffset>-114300</wp:posOffset>
                      </wp:positionV>
                      <wp:extent cx="180975" cy="276225"/>
                      <wp:effectExtent l="0" t="0" r="0" b="0"/>
                      <wp:wrapNone/>
                      <wp:docPr id="11560" name="Text Box 11560"/>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63E0E1E" id="Text Box 11560" o:spid="_x0000_s1026" type="#_x0000_t202" style="position:absolute;margin-left:0;margin-top:-9pt;width:14.25pt;height:21.75pt;z-index:251715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P8mG72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16096" behindDoc="0" locked="0" layoutInCell="1" allowOverlap="1" wp14:anchorId="6582A371" wp14:editId="5FC50189">
                      <wp:simplePos x="0" y="0"/>
                      <wp:positionH relativeFrom="column">
                        <wp:posOffset>0</wp:posOffset>
                      </wp:positionH>
                      <wp:positionV relativeFrom="paragraph">
                        <wp:posOffset>-114300</wp:posOffset>
                      </wp:positionV>
                      <wp:extent cx="180975" cy="276225"/>
                      <wp:effectExtent l="0" t="0" r="0" b="0"/>
                      <wp:wrapNone/>
                      <wp:docPr id="11561" name="Text Box 11561"/>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C09F2F0" id="Text Box 11561" o:spid="_x0000_s1026" type="#_x0000_t202" style="position:absolute;margin-left:0;margin-top:-9pt;width:14.25pt;height:21.75pt;z-index:251716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B5g5YG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17120" behindDoc="0" locked="0" layoutInCell="1" allowOverlap="1" wp14:anchorId="23D8DCA8" wp14:editId="5195E47C">
                      <wp:simplePos x="0" y="0"/>
                      <wp:positionH relativeFrom="column">
                        <wp:posOffset>0</wp:posOffset>
                      </wp:positionH>
                      <wp:positionV relativeFrom="paragraph">
                        <wp:posOffset>-114300</wp:posOffset>
                      </wp:positionV>
                      <wp:extent cx="180975" cy="276225"/>
                      <wp:effectExtent l="0" t="0" r="0" b="0"/>
                      <wp:wrapNone/>
                      <wp:docPr id="11562" name="Text Box 11562"/>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FF46DE8" id="Text Box 11562" o:spid="_x0000_s1026" type="#_x0000_t202" style="position:absolute;margin-left:0;margin-top:-9pt;width:14.25pt;height:21.75pt;z-index:251717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9q+fE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18144" behindDoc="0" locked="0" layoutInCell="1" allowOverlap="1" wp14:anchorId="7E6B3F83" wp14:editId="737075F4">
                      <wp:simplePos x="0" y="0"/>
                      <wp:positionH relativeFrom="column">
                        <wp:posOffset>0</wp:posOffset>
                      </wp:positionH>
                      <wp:positionV relativeFrom="paragraph">
                        <wp:posOffset>-114300</wp:posOffset>
                      </wp:positionV>
                      <wp:extent cx="180975" cy="276225"/>
                      <wp:effectExtent l="0" t="0" r="0" b="0"/>
                      <wp:wrapNone/>
                      <wp:docPr id="11563" name="Text Box 11563"/>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BDEE7B" id="Text Box 11563" o:spid="_x0000_s1026" type="#_x0000_t202" style="position:absolute;margin-left:0;margin-top:-9pt;width:14.25pt;height:21.75pt;z-index:251718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c7Rn4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19168" behindDoc="0" locked="0" layoutInCell="1" allowOverlap="1" wp14:anchorId="3C6A0B1A" wp14:editId="4B38A8DB">
                      <wp:simplePos x="0" y="0"/>
                      <wp:positionH relativeFrom="column">
                        <wp:posOffset>0</wp:posOffset>
                      </wp:positionH>
                      <wp:positionV relativeFrom="paragraph">
                        <wp:posOffset>-114300</wp:posOffset>
                      </wp:positionV>
                      <wp:extent cx="180975" cy="276225"/>
                      <wp:effectExtent l="0" t="0" r="0" b="0"/>
                      <wp:wrapNone/>
                      <wp:docPr id="11564" name="Text Box 11564"/>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36ABE66" id="Text Box 11564" o:spid="_x0000_s1026" type="#_x0000_t202" style="position:absolute;margin-left:0;margin-top:-9pt;width:14.25pt;height:21.75pt;z-index:251719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7PeJO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20192" behindDoc="0" locked="0" layoutInCell="1" allowOverlap="1" wp14:anchorId="57B2AD2D" wp14:editId="7CAA8C75">
                      <wp:simplePos x="0" y="0"/>
                      <wp:positionH relativeFrom="column">
                        <wp:posOffset>0</wp:posOffset>
                      </wp:positionH>
                      <wp:positionV relativeFrom="paragraph">
                        <wp:posOffset>-114300</wp:posOffset>
                      </wp:positionV>
                      <wp:extent cx="180975" cy="276225"/>
                      <wp:effectExtent l="0" t="0" r="0" b="0"/>
                      <wp:wrapNone/>
                      <wp:docPr id="11565" name="Text Box 11565"/>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DF100FF" id="Text Box 11565" o:spid="_x0000_s1026" type="#_x0000_t202" style="position:absolute;margin-left:0;margin-top:-9pt;width:14.25pt;height:21.75pt;z-index:251720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aexxy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21216" behindDoc="0" locked="0" layoutInCell="1" allowOverlap="1" wp14:anchorId="35DB6109" wp14:editId="3C266BEA">
                      <wp:simplePos x="0" y="0"/>
                      <wp:positionH relativeFrom="column">
                        <wp:posOffset>0</wp:posOffset>
                      </wp:positionH>
                      <wp:positionV relativeFrom="paragraph">
                        <wp:posOffset>-114300</wp:posOffset>
                      </wp:positionV>
                      <wp:extent cx="180975" cy="276225"/>
                      <wp:effectExtent l="0" t="0" r="0" b="0"/>
                      <wp:wrapNone/>
                      <wp:docPr id="11566" name="Text Box 11566"/>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5039195" id="Text Box 11566" o:spid="_x0000_s1026" type="#_x0000_t202" style="position:absolute;margin-left:0;margin-top:-9pt;width:14.25pt;height:21.75pt;z-index:251721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5sB43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22240" behindDoc="0" locked="0" layoutInCell="1" allowOverlap="1" wp14:anchorId="2906BB16" wp14:editId="024414FC">
                      <wp:simplePos x="0" y="0"/>
                      <wp:positionH relativeFrom="column">
                        <wp:posOffset>0</wp:posOffset>
                      </wp:positionH>
                      <wp:positionV relativeFrom="paragraph">
                        <wp:posOffset>-114300</wp:posOffset>
                      </wp:positionV>
                      <wp:extent cx="180975" cy="276225"/>
                      <wp:effectExtent l="0" t="0" r="0" b="0"/>
                      <wp:wrapNone/>
                      <wp:docPr id="11567" name="Text Box 11567"/>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01EC55D" id="Text Box 11567" o:spid="_x0000_s1026" type="#_x0000_t202" style="position:absolute;margin-left:0;margin-top:-9pt;width:14.25pt;height:21.75pt;z-index:251722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Y9uAL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23264" behindDoc="0" locked="0" layoutInCell="1" allowOverlap="1" wp14:anchorId="08E5C0CC" wp14:editId="7121FCE5">
                      <wp:simplePos x="0" y="0"/>
                      <wp:positionH relativeFrom="column">
                        <wp:posOffset>0</wp:posOffset>
                      </wp:positionH>
                      <wp:positionV relativeFrom="paragraph">
                        <wp:posOffset>-114300</wp:posOffset>
                      </wp:positionV>
                      <wp:extent cx="180975" cy="276225"/>
                      <wp:effectExtent l="0" t="0" r="0" b="0"/>
                      <wp:wrapNone/>
                      <wp:docPr id="11568" name="Text Box 11568"/>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2CD4947" id="Text Box 11568" o:spid="_x0000_s1026" type="#_x0000_t202" style="position:absolute;margin-left:0;margin-top:-9pt;width:14.25pt;height:21.75pt;z-index:251723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2F5iB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24288" behindDoc="0" locked="0" layoutInCell="1" allowOverlap="1" wp14:anchorId="3FEFC329" wp14:editId="6C1ECEB0">
                      <wp:simplePos x="0" y="0"/>
                      <wp:positionH relativeFrom="column">
                        <wp:posOffset>0</wp:posOffset>
                      </wp:positionH>
                      <wp:positionV relativeFrom="paragraph">
                        <wp:posOffset>-114300</wp:posOffset>
                      </wp:positionV>
                      <wp:extent cx="180975" cy="276225"/>
                      <wp:effectExtent l="0" t="0" r="0" b="0"/>
                      <wp:wrapNone/>
                      <wp:docPr id="11569" name="Text Box 11569"/>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86A90A8" id="Text Box 11569" o:spid="_x0000_s1026" type="#_x0000_t202" style="position:absolute;margin-left:0;margin-top:-9pt;width:14.25pt;height:21.75pt;z-index:251724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XUWa9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25312" behindDoc="0" locked="0" layoutInCell="1" allowOverlap="1" wp14:anchorId="74EC2B1F" wp14:editId="233F47C3">
                      <wp:simplePos x="0" y="0"/>
                      <wp:positionH relativeFrom="column">
                        <wp:posOffset>0</wp:posOffset>
                      </wp:positionH>
                      <wp:positionV relativeFrom="paragraph">
                        <wp:posOffset>-114300</wp:posOffset>
                      </wp:positionV>
                      <wp:extent cx="180975" cy="276225"/>
                      <wp:effectExtent l="0" t="0" r="0" b="0"/>
                      <wp:wrapNone/>
                      <wp:docPr id="11570" name="Text Box 11570"/>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1403CF8" id="Text Box 11570" o:spid="_x0000_s1026" type="#_x0000_t202" style="position:absolute;margin-left:0;margin-top:-9pt;width:14.25pt;height:21.75pt;z-index:251725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Vwoqar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26336" behindDoc="0" locked="0" layoutInCell="1" allowOverlap="1" wp14:anchorId="4DB0D549" wp14:editId="13F33C5F">
                      <wp:simplePos x="0" y="0"/>
                      <wp:positionH relativeFrom="column">
                        <wp:posOffset>0</wp:posOffset>
                      </wp:positionH>
                      <wp:positionV relativeFrom="paragraph">
                        <wp:posOffset>-114300</wp:posOffset>
                      </wp:positionV>
                      <wp:extent cx="180975" cy="276225"/>
                      <wp:effectExtent l="0" t="0" r="0" b="0"/>
                      <wp:wrapNone/>
                      <wp:docPr id="11571" name="Text Box 11571"/>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C15CD9B" id="Text Box 11571" o:spid="_x0000_s1026" type="#_x0000_t202" style="position:absolute;margin-left:0;margin-top:-9pt;width:14.25pt;height:21.75pt;z-index:251726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2TNRW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27360" behindDoc="0" locked="0" layoutInCell="1" allowOverlap="1" wp14:anchorId="755FBCBC" wp14:editId="74D86949">
                      <wp:simplePos x="0" y="0"/>
                      <wp:positionH relativeFrom="column">
                        <wp:posOffset>0</wp:posOffset>
                      </wp:positionH>
                      <wp:positionV relativeFrom="paragraph">
                        <wp:posOffset>-114300</wp:posOffset>
                      </wp:positionV>
                      <wp:extent cx="180975" cy="276225"/>
                      <wp:effectExtent l="0" t="0" r="0" b="0"/>
                      <wp:wrapNone/>
                      <wp:docPr id="11572" name="Text Box 11572"/>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AC95D27" id="Text Box 11572" o:spid="_x0000_s1026" type="#_x0000_t202" style="position:absolute;margin-left:0;margin-top:-9pt;width:14.25pt;height:21.75pt;z-index:251727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Vh9YT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28384" behindDoc="0" locked="0" layoutInCell="1" allowOverlap="1" wp14:anchorId="2D4C126D" wp14:editId="5A6BB1A5">
                      <wp:simplePos x="0" y="0"/>
                      <wp:positionH relativeFrom="column">
                        <wp:posOffset>0</wp:posOffset>
                      </wp:positionH>
                      <wp:positionV relativeFrom="paragraph">
                        <wp:posOffset>-114300</wp:posOffset>
                      </wp:positionV>
                      <wp:extent cx="180975" cy="276225"/>
                      <wp:effectExtent l="0" t="0" r="0" b="0"/>
                      <wp:wrapNone/>
                      <wp:docPr id="11573" name="Text Box 11573"/>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1E2F4D6" id="Text Box 11573" o:spid="_x0000_s1026" type="#_x0000_t202" style="position:absolute;margin-left:0;margin-top:-9pt;width:14.25pt;height:21.75pt;z-index:251728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0wSgv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29408" behindDoc="0" locked="0" layoutInCell="1" allowOverlap="1" wp14:anchorId="708ADCCE" wp14:editId="1A45D12F">
                      <wp:simplePos x="0" y="0"/>
                      <wp:positionH relativeFrom="column">
                        <wp:posOffset>0</wp:posOffset>
                      </wp:positionH>
                      <wp:positionV relativeFrom="paragraph">
                        <wp:posOffset>-114300</wp:posOffset>
                      </wp:positionV>
                      <wp:extent cx="180975" cy="276225"/>
                      <wp:effectExtent l="0" t="0" r="0" b="0"/>
                      <wp:wrapNone/>
                      <wp:docPr id="11574" name="Text Box 11574"/>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88AC4B8" id="Text Box 11574" o:spid="_x0000_s1026" type="#_x0000_t202" style="position:absolute;margin-left:0;margin-top:-9pt;width:14.25pt;height:21.75pt;z-index:251729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TEdOZ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30432" behindDoc="0" locked="0" layoutInCell="1" allowOverlap="1" wp14:anchorId="0376C5C7" wp14:editId="7E8E24A0">
                      <wp:simplePos x="0" y="0"/>
                      <wp:positionH relativeFrom="column">
                        <wp:posOffset>0</wp:posOffset>
                      </wp:positionH>
                      <wp:positionV relativeFrom="paragraph">
                        <wp:posOffset>-114300</wp:posOffset>
                      </wp:positionV>
                      <wp:extent cx="180975" cy="276225"/>
                      <wp:effectExtent l="0" t="0" r="0" b="0"/>
                      <wp:wrapNone/>
                      <wp:docPr id="11575" name="Text Box 11575"/>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27F6078" id="Text Box 11575" o:spid="_x0000_s1026" type="#_x0000_t202" style="position:absolute;margin-left:0;margin-top:-9pt;width:14.25pt;height:21.75pt;z-index:251730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yVy2l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31456" behindDoc="0" locked="0" layoutInCell="1" allowOverlap="1" wp14:anchorId="2E201D50" wp14:editId="21116466">
                      <wp:simplePos x="0" y="0"/>
                      <wp:positionH relativeFrom="column">
                        <wp:posOffset>0</wp:posOffset>
                      </wp:positionH>
                      <wp:positionV relativeFrom="paragraph">
                        <wp:posOffset>-114300</wp:posOffset>
                      </wp:positionV>
                      <wp:extent cx="180975" cy="276225"/>
                      <wp:effectExtent l="0" t="0" r="0" b="0"/>
                      <wp:wrapNone/>
                      <wp:docPr id="11576" name="Text Box 11576"/>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807BD63" id="Text Box 11576" o:spid="_x0000_s1026" type="#_x0000_t202" style="position:absolute;margin-left:0;margin-top:-9pt;width:14.25pt;height:21.75pt;z-index:251731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RnC/g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32480" behindDoc="0" locked="0" layoutInCell="1" allowOverlap="1" wp14:anchorId="33456AD5" wp14:editId="092035B0">
                      <wp:simplePos x="0" y="0"/>
                      <wp:positionH relativeFrom="column">
                        <wp:posOffset>0</wp:posOffset>
                      </wp:positionH>
                      <wp:positionV relativeFrom="paragraph">
                        <wp:posOffset>-114300</wp:posOffset>
                      </wp:positionV>
                      <wp:extent cx="180975" cy="276225"/>
                      <wp:effectExtent l="0" t="0" r="0" b="0"/>
                      <wp:wrapNone/>
                      <wp:docPr id="11577" name="Text Box 11577"/>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EB616C0" id="Text Box 11577" o:spid="_x0000_s1026" type="#_x0000_t202" style="position:absolute;margin-left:0;margin-top:-9pt;width:14.25pt;height:21.75pt;z-index:251732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w2tHc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33504" behindDoc="0" locked="0" layoutInCell="1" allowOverlap="1" wp14:anchorId="33B85F47" wp14:editId="432C056D">
                      <wp:simplePos x="0" y="0"/>
                      <wp:positionH relativeFrom="column">
                        <wp:posOffset>0</wp:posOffset>
                      </wp:positionH>
                      <wp:positionV relativeFrom="paragraph">
                        <wp:posOffset>-114300</wp:posOffset>
                      </wp:positionV>
                      <wp:extent cx="180975" cy="276225"/>
                      <wp:effectExtent l="0" t="0" r="0" b="0"/>
                      <wp:wrapNone/>
                      <wp:docPr id="11578" name="Text Box 11578"/>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D1E6708" id="Text Box 11578" o:spid="_x0000_s1026" type="#_x0000_t202" style="position:absolute;margin-left:0;margin-top:-9pt;width:14.25pt;height:21.75pt;z-index:251733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eO6lW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34528" behindDoc="0" locked="0" layoutInCell="1" allowOverlap="1" wp14:anchorId="0AD91040" wp14:editId="44511F12">
                      <wp:simplePos x="0" y="0"/>
                      <wp:positionH relativeFrom="column">
                        <wp:posOffset>0</wp:posOffset>
                      </wp:positionH>
                      <wp:positionV relativeFrom="paragraph">
                        <wp:posOffset>-114300</wp:posOffset>
                      </wp:positionV>
                      <wp:extent cx="180975" cy="276225"/>
                      <wp:effectExtent l="0" t="0" r="0" b="0"/>
                      <wp:wrapNone/>
                      <wp:docPr id="11579" name="Text Box 11579"/>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4BF4AE7" id="Text Box 11579" o:spid="_x0000_s1026" type="#_x0000_t202" style="position:absolute;margin-left:0;margin-top:-9pt;width:14.25pt;height:21.75pt;z-index:251734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31Xar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35552" behindDoc="0" locked="0" layoutInCell="1" allowOverlap="1" wp14:anchorId="7721DBBD" wp14:editId="68F7D892">
                      <wp:simplePos x="0" y="0"/>
                      <wp:positionH relativeFrom="column">
                        <wp:posOffset>0</wp:posOffset>
                      </wp:positionH>
                      <wp:positionV relativeFrom="paragraph">
                        <wp:posOffset>-114300</wp:posOffset>
                      </wp:positionV>
                      <wp:extent cx="180975" cy="276225"/>
                      <wp:effectExtent l="0" t="0" r="0" b="0"/>
                      <wp:wrapNone/>
                      <wp:docPr id="11580" name="Text Box 11580"/>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1777327" id="Text Box 11580" o:spid="_x0000_s1026" type="#_x0000_t202" style="position:absolute;margin-left:0;margin-top:-9pt;width:14.25pt;height:21.75pt;z-index:251735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yb0SLb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36576" behindDoc="0" locked="0" layoutInCell="1" allowOverlap="1" wp14:anchorId="073C3D12" wp14:editId="2CFFA1D3">
                      <wp:simplePos x="0" y="0"/>
                      <wp:positionH relativeFrom="column">
                        <wp:posOffset>0</wp:posOffset>
                      </wp:positionH>
                      <wp:positionV relativeFrom="paragraph">
                        <wp:posOffset>-114300</wp:posOffset>
                      </wp:positionV>
                      <wp:extent cx="180975" cy="276225"/>
                      <wp:effectExtent l="0" t="0" r="0" b="0"/>
                      <wp:wrapNone/>
                      <wp:docPr id="11581" name="Text Box 11581"/>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F218DA7" id="Text Box 11581" o:spid="_x0000_s1026" type="#_x0000_t202" style="position:absolute;margin-left:0;margin-top:-9pt;width:14.25pt;height:21.75pt;z-index:251736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o++wR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37600" behindDoc="0" locked="0" layoutInCell="1" allowOverlap="1" wp14:anchorId="65EFDDAA" wp14:editId="3E179D92">
                      <wp:simplePos x="0" y="0"/>
                      <wp:positionH relativeFrom="column">
                        <wp:posOffset>0</wp:posOffset>
                      </wp:positionH>
                      <wp:positionV relativeFrom="paragraph">
                        <wp:posOffset>-114300</wp:posOffset>
                      </wp:positionV>
                      <wp:extent cx="180975" cy="276225"/>
                      <wp:effectExtent l="0" t="0" r="0" b="0"/>
                      <wp:wrapNone/>
                      <wp:docPr id="11582" name="Text Box 11582"/>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4F1CFF7" id="Text Box 11582" o:spid="_x0000_s1026" type="#_x0000_t202" style="position:absolute;margin-left:0;margin-top:-9pt;width:14.25pt;height:21.75pt;z-index:251737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LMO5U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38624" behindDoc="0" locked="0" layoutInCell="1" allowOverlap="1" wp14:anchorId="2B04C993" wp14:editId="71B5D694">
                      <wp:simplePos x="0" y="0"/>
                      <wp:positionH relativeFrom="column">
                        <wp:posOffset>0</wp:posOffset>
                      </wp:positionH>
                      <wp:positionV relativeFrom="paragraph">
                        <wp:posOffset>-114300</wp:posOffset>
                      </wp:positionV>
                      <wp:extent cx="180975" cy="276225"/>
                      <wp:effectExtent l="0" t="0" r="0" b="0"/>
                      <wp:wrapNone/>
                      <wp:docPr id="11583" name="Text Box 11583"/>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95CB16D" id="Text Box 11583" o:spid="_x0000_s1026" type="#_x0000_t202" style="position:absolute;margin-left:0;margin-top:-9pt;width:14.25pt;height:21.75pt;z-index:251738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qdhBo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39648" behindDoc="0" locked="0" layoutInCell="1" allowOverlap="1" wp14:anchorId="67F5E539" wp14:editId="5F67A67A">
                      <wp:simplePos x="0" y="0"/>
                      <wp:positionH relativeFrom="column">
                        <wp:posOffset>0</wp:posOffset>
                      </wp:positionH>
                      <wp:positionV relativeFrom="paragraph">
                        <wp:posOffset>-114300</wp:posOffset>
                      </wp:positionV>
                      <wp:extent cx="180975" cy="276225"/>
                      <wp:effectExtent l="0" t="0" r="0" b="0"/>
                      <wp:wrapNone/>
                      <wp:docPr id="11584" name="Text Box 11584"/>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59A6487" id="Text Box 11584" o:spid="_x0000_s1026" type="#_x0000_t202" style="position:absolute;margin-left:0;margin-top:-9pt;width:14.25pt;height:21.75pt;z-index:251739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Npuve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40672" behindDoc="0" locked="0" layoutInCell="1" allowOverlap="1" wp14:anchorId="266A904E" wp14:editId="612ECF15">
                      <wp:simplePos x="0" y="0"/>
                      <wp:positionH relativeFrom="column">
                        <wp:posOffset>0</wp:posOffset>
                      </wp:positionH>
                      <wp:positionV relativeFrom="paragraph">
                        <wp:posOffset>-114300</wp:posOffset>
                      </wp:positionV>
                      <wp:extent cx="180975" cy="276225"/>
                      <wp:effectExtent l="0" t="0" r="0" b="0"/>
                      <wp:wrapNone/>
                      <wp:docPr id="11585" name="Text Box 11585"/>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1CA301E" id="Text Box 11585" o:spid="_x0000_s1026" type="#_x0000_t202" style="position:absolute;margin-left:0;margin-top:-9pt;width:14.25pt;height:21.75pt;z-index:251740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s4BXi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41696" behindDoc="0" locked="0" layoutInCell="1" allowOverlap="1" wp14:anchorId="5BCB5529" wp14:editId="228EDB64">
                      <wp:simplePos x="0" y="0"/>
                      <wp:positionH relativeFrom="column">
                        <wp:posOffset>0</wp:posOffset>
                      </wp:positionH>
                      <wp:positionV relativeFrom="paragraph">
                        <wp:posOffset>-114300</wp:posOffset>
                      </wp:positionV>
                      <wp:extent cx="180975" cy="276225"/>
                      <wp:effectExtent l="0" t="0" r="0" b="0"/>
                      <wp:wrapNone/>
                      <wp:docPr id="11586" name="Text Box 11586"/>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5619C64" id="Text Box 11586" o:spid="_x0000_s1026" type="#_x0000_t202" style="position:absolute;margin-left:0;margin-top:-9pt;width:14.25pt;height:21.75pt;z-index:251741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PKxen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42720" behindDoc="0" locked="0" layoutInCell="1" allowOverlap="1" wp14:anchorId="5D834878" wp14:editId="108005D4">
                      <wp:simplePos x="0" y="0"/>
                      <wp:positionH relativeFrom="column">
                        <wp:posOffset>0</wp:posOffset>
                      </wp:positionH>
                      <wp:positionV relativeFrom="paragraph">
                        <wp:posOffset>-114300</wp:posOffset>
                      </wp:positionV>
                      <wp:extent cx="180975" cy="276225"/>
                      <wp:effectExtent l="0" t="0" r="0" b="0"/>
                      <wp:wrapNone/>
                      <wp:docPr id="11587" name="Text Box 11587"/>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CB3647" id="Text Box 11587" o:spid="_x0000_s1026" type="#_x0000_t202" style="position:absolute;margin-left:0;margin-top:-9pt;width:14.25pt;height:21.75pt;z-index:251742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ubemb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43744" behindDoc="0" locked="0" layoutInCell="1" allowOverlap="1" wp14:anchorId="1A6C4E84" wp14:editId="480CCFC8">
                      <wp:simplePos x="0" y="0"/>
                      <wp:positionH relativeFrom="column">
                        <wp:posOffset>0</wp:posOffset>
                      </wp:positionH>
                      <wp:positionV relativeFrom="paragraph">
                        <wp:posOffset>-114300</wp:posOffset>
                      </wp:positionV>
                      <wp:extent cx="180975" cy="276225"/>
                      <wp:effectExtent l="0" t="0" r="0" b="0"/>
                      <wp:wrapNone/>
                      <wp:docPr id="11588" name="Text Box 11588"/>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CB1F04E" id="Text Box 11588" o:spid="_x0000_s1026" type="#_x0000_t202" style="position:absolute;margin-left:0;margin-top:-9pt;width:14.25pt;height:21.75pt;z-index:251743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AjJER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44768" behindDoc="0" locked="0" layoutInCell="1" allowOverlap="1" wp14:anchorId="2E8BFD7B" wp14:editId="4B8818A5">
                      <wp:simplePos x="0" y="0"/>
                      <wp:positionH relativeFrom="column">
                        <wp:posOffset>0</wp:posOffset>
                      </wp:positionH>
                      <wp:positionV relativeFrom="paragraph">
                        <wp:posOffset>-114300</wp:posOffset>
                      </wp:positionV>
                      <wp:extent cx="180975" cy="276225"/>
                      <wp:effectExtent l="0" t="0" r="0" b="0"/>
                      <wp:wrapNone/>
                      <wp:docPr id="11589" name="Text Box 11589"/>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5F1A338" id="Text Box 11589" o:spid="_x0000_s1026" type="#_x0000_t202" style="position:absolute;margin-left:0;margin-top:-9pt;width:14.25pt;height:21.75pt;z-index:251744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hym8t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45792" behindDoc="0" locked="0" layoutInCell="1" allowOverlap="1" wp14:anchorId="3F265E4A" wp14:editId="3DFC0963">
                      <wp:simplePos x="0" y="0"/>
                      <wp:positionH relativeFrom="column">
                        <wp:posOffset>0</wp:posOffset>
                      </wp:positionH>
                      <wp:positionV relativeFrom="paragraph">
                        <wp:posOffset>-114300</wp:posOffset>
                      </wp:positionV>
                      <wp:extent cx="180975" cy="276225"/>
                      <wp:effectExtent l="0" t="0" r="0" b="0"/>
                      <wp:wrapNone/>
                      <wp:docPr id="11590" name="Text Box 11590"/>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D6FD86E" id="Text Box 11590" o:spid="_x0000_s1026" type="#_x0000_t202" style="position:absolute;margin-left:0;margin-top:-9pt;width:14.25pt;height:21.75pt;z-index:251745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YZEj+r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46816" behindDoc="0" locked="0" layoutInCell="1" allowOverlap="1" wp14:anchorId="0900DFE7" wp14:editId="019A5898">
                      <wp:simplePos x="0" y="0"/>
                      <wp:positionH relativeFrom="column">
                        <wp:posOffset>0</wp:posOffset>
                      </wp:positionH>
                      <wp:positionV relativeFrom="paragraph">
                        <wp:posOffset>-114300</wp:posOffset>
                      </wp:positionV>
                      <wp:extent cx="180975" cy="276225"/>
                      <wp:effectExtent l="0" t="0" r="0" b="0"/>
                      <wp:wrapNone/>
                      <wp:docPr id="11591" name="Text Box 11591"/>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9E912AD" id="Text Box 11591" o:spid="_x0000_s1026" type="#_x0000_t202" style="position:absolute;margin-left:0;margin-top:-9pt;width:14.25pt;height:21.75pt;z-index:251746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A193G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47840" behindDoc="0" locked="0" layoutInCell="1" allowOverlap="1" wp14:anchorId="19457120" wp14:editId="18118B0E">
                      <wp:simplePos x="0" y="0"/>
                      <wp:positionH relativeFrom="column">
                        <wp:posOffset>0</wp:posOffset>
                      </wp:positionH>
                      <wp:positionV relativeFrom="paragraph">
                        <wp:posOffset>-114300</wp:posOffset>
                      </wp:positionV>
                      <wp:extent cx="180975" cy="276225"/>
                      <wp:effectExtent l="0" t="0" r="0" b="0"/>
                      <wp:wrapNone/>
                      <wp:docPr id="11592" name="Text Box 11592"/>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E1E1A48" id="Text Box 11592" o:spid="_x0000_s1026" type="#_x0000_t202" style="position:absolute;margin-left:0;margin-top:-9pt;width:14.25pt;height:21.75pt;z-index:251747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jHN+D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48864" behindDoc="0" locked="0" layoutInCell="1" allowOverlap="1" wp14:anchorId="7410606D" wp14:editId="335030F8">
                      <wp:simplePos x="0" y="0"/>
                      <wp:positionH relativeFrom="column">
                        <wp:posOffset>0</wp:posOffset>
                      </wp:positionH>
                      <wp:positionV relativeFrom="paragraph">
                        <wp:posOffset>-114300</wp:posOffset>
                      </wp:positionV>
                      <wp:extent cx="180975" cy="276225"/>
                      <wp:effectExtent l="0" t="0" r="0" b="0"/>
                      <wp:wrapNone/>
                      <wp:docPr id="11593" name="Text Box 11593"/>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0089D5A" id="Text Box 11593" o:spid="_x0000_s1026" type="#_x0000_t202" style="position:absolute;margin-left:0;margin-top:-9pt;width:14.25pt;height:21.75pt;z-index:251748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Qlohv7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49888" behindDoc="0" locked="0" layoutInCell="1" allowOverlap="1" wp14:anchorId="2673639A" wp14:editId="33C0C5B1">
                      <wp:simplePos x="0" y="0"/>
                      <wp:positionH relativeFrom="column">
                        <wp:posOffset>0</wp:posOffset>
                      </wp:positionH>
                      <wp:positionV relativeFrom="paragraph">
                        <wp:posOffset>-114300</wp:posOffset>
                      </wp:positionV>
                      <wp:extent cx="180975" cy="276225"/>
                      <wp:effectExtent l="0" t="0" r="0" b="0"/>
                      <wp:wrapNone/>
                      <wp:docPr id="11594" name="Text Box 11594"/>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8D13A03" id="Text Box 11594" o:spid="_x0000_s1026" type="#_x0000_t202" style="position:absolute;margin-left:0;margin-top:-9pt;width:14.25pt;height:21.75pt;z-index:251749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litoJ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50912" behindDoc="0" locked="0" layoutInCell="1" allowOverlap="1" wp14:anchorId="056CDA5E" wp14:editId="3C01EB11">
                      <wp:simplePos x="0" y="0"/>
                      <wp:positionH relativeFrom="column">
                        <wp:posOffset>0</wp:posOffset>
                      </wp:positionH>
                      <wp:positionV relativeFrom="paragraph">
                        <wp:posOffset>-114300</wp:posOffset>
                      </wp:positionV>
                      <wp:extent cx="180975" cy="276225"/>
                      <wp:effectExtent l="0" t="0" r="0" b="0"/>
                      <wp:wrapNone/>
                      <wp:docPr id="11595" name="Text Box 11595"/>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BD43765" id="Text Box 11595" o:spid="_x0000_s1026" type="#_x0000_t202" style="position:absolute;margin-left:0;margin-top:-9pt;width:14.25pt;height:21.75pt;z-index:251750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EzCQ1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51936" behindDoc="0" locked="0" layoutInCell="1" allowOverlap="1" wp14:anchorId="30A3B761" wp14:editId="13BED3AA">
                      <wp:simplePos x="0" y="0"/>
                      <wp:positionH relativeFrom="column">
                        <wp:posOffset>0</wp:posOffset>
                      </wp:positionH>
                      <wp:positionV relativeFrom="paragraph">
                        <wp:posOffset>-114300</wp:posOffset>
                      </wp:positionV>
                      <wp:extent cx="180975" cy="276225"/>
                      <wp:effectExtent l="0" t="0" r="0" b="0"/>
                      <wp:wrapNone/>
                      <wp:docPr id="11596" name="Text Box 11596"/>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CDE285C" id="Text Box 11596" o:spid="_x0000_s1026" type="#_x0000_t202" style="position:absolute;margin-left:0;margin-top:-9pt;width:14.25pt;height:21.75pt;z-index:251751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nByZw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52960" behindDoc="0" locked="0" layoutInCell="1" allowOverlap="1" wp14:anchorId="1ACAE8EB" wp14:editId="75562FC6">
                      <wp:simplePos x="0" y="0"/>
                      <wp:positionH relativeFrom="column">
                        <wp:posOffset>0</wp:posOffset>
                      </wp:positionH>
                      <wp:positionV relativeFrom="paragraph">
                        <wp:posOffset>-114300</wp:posOffset>
                      </wp:positionV>
                      <wp:extent cx="180975" cy="276225"/>
                      <wp:effectExtent l="0" t="0" r="0" b="0"/>
                      <wp:wrapNone/>
                      <wp:docPr id="11597" name="Text Box 11597"/>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8A635A" id="Text Box 11597" o:spid="_x0000_s1026" type="#_x0000_t202" style="position:absolute;margin-left:0;margin-top:-9pt;width:14.25pt;height:21.75pt;z-index:251752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xkHYTL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53984" behindDoc="0" locked="0" layoutInCell="1" allowOverlap="1" wp14:anchorId="0673A5CF" wp14:editId="1DACB8D0">
                      <wp:simplePos x="0" y="0"/>
                      <wp:positionH relativeFrom="column">
                        <wp:posOffset>0</wp:posOffset>
                      </wp:positionH>
                      <wp:positionV relativeFrom="paragraph">
                        <wp:posOffset>-114300</wp:posOffset>
                      </wp:positionV>
                      <wp:extent cx="180975" cy="276225"/>
                      <wp:effectExtent l="0" t="0" r="0" b="0"/>
                      <wp:wrapNone/>
                      <wp:docPr id="11598" name="Text Box 11598"/>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08A74D" id="Text Box 11598" o:spid="_x0000_s1026" type="#_x0000_t202" style="position:absolute;margin-left:0;margin-top:-9pt;width:14.25pt;height:21.75pt;z-index:251753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ooKDG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55008" behindDoc="0" locked="0" layoutInCell="1" allowOverlap="1" wp14:anchorId="063AC966" wp14:editId="184D0C9F">
                      <wp:simplePos x="0" y="0"/>
                      <wp:positionH relativeFrom="column">
                        <wp:posOffset>0</wp:posOffset>
                      </wp:positionH>
                      <wp:positionV relativeFrom="paragraph">
                        <wp:posOffset>-114300</wp:posOffset>
                      </wp:positionV>
                      <wp:extent cx="180975" cy="276225"/>
                      <wp:effectExtent l="0" t="0" r="0" b="0"/>
                      <wp:wrapNone/>
                      <wp:docPr id="11599" name="Text Box 11599"/>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6D8EC5" id="Text Box 11599" o:spid="_x0000_s1026" type="#_x0000_t202" style="position:absolute;margin-left:0;margin-top:-9pt;width:14.25pt;height:21.75pt;z-index:251755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yeZe+r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56032" behindDoc="0" locked="0" layoutInCell="1" allowOverlap="1" wp14:anchorId="5EE9FCF0" wp14:editId="51996079">
                      <wp:simplePos x="0" y="0"/>
                      <wp:positionH relativeFrom="column">
                        <wp:posOffset>0</wp:posOffset>
                      </wp:positionH>
                      <wp:positionV relativeFrom="paragraph">
                        <wp:posOffset>-114300</wp:posOffset>
                      </wp:positionV>
                      <wp:extent cx="180975" cy="276225"/>
                      <wp:effectExtent l="0" t="0" r="0" b="0"/>
                      <wp:wrapNone/>
                      <wp:docPr id="11600" name="Text Box 11600"/>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72F742" id="Text Box 11600" o:spid="_x0000_s1026" type="#_x0000_t202" style="position:absolute;margin-left:0;margin-top:-9pt;width:14.25pt;height:21.75pt;z-index:251756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l+4xkL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57056" behindDoc="0" locked="0" layoutInCell="1" allowOverlap="1" wp14:anchorId="0416E145" wp14:editId="7CCCC956">
                      <wp:simplePos x="0" y="0"/>
                      <wp:positionH relativeFrom="column">
                        <wp:posOffset>0</wp:posOffset>
                      </wp:positionH>
                      <wp:positionV relativeFrom="paragraph">
                        <wp:posOffset>-114300</wp:posOffset>
                      </wp:positionV>
                      <wp:extent cx="180975" cy="276225"/>
                      <wp:effectExtent l="0" t="0" r="0" b="0"/>
                      <wp:wrapNone/>
                      <wp:docPr id="11601" name="Text Box 11601"/>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2F7B338" id="Text Box 11601" o:spid="_x0000_s1026" type="#_x0000_t202" style="position:absolute;margin-left:0;margin-top:-9pt;width:14.25pt;height:21.75pt;z-index:251757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Haoz6y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58080" behindDoc="0" locked="0" layoutInCell="1" allowOverlap="1" wp14:anchorId="5754EE10" wp14:editId="703DC589">
                      <wp:simplePos x="0" y="0"/>
                      <wp:positionH relativeFrom="column">
                        <wp:posOffset>0</wp:posOffset>
                      </wp:positionH>
                      <wp:positionV relativeFrom="paragraph">
                        <wp:posOffset>-114300</wp:posOffset>
                      </wp:positionV>
                      <wp:extent cx="180975" cy="276225"/>
                      <wp:effectExtent l="0" t="0" r="0" b="0"/>
                      <wp:wrapNone/>
                      <wp:docPr id="11602" name="Text Box 11602"/>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6B83538" id="Text Box 11602" o:spid="_x0000_s1026" type="#_x0000_t202" style="position:absolute;margin-left:0;margin-top:-9pt;width:14.25pt;height:21.75pt;z-index:251758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VY83p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59104" behindDoc="0" locked="0" layoutInCell="1" allowOverlap="1" wp14:anchorId="0CCFFDED" wp14:editId="224D28F8">
                      <wp:simplePos x="0" y="0"/>
                      <wp:positionH relativeFrom="column">
                        <wp:posOffset>0</wp:posOffset>
                      </wp:positionH>
                      <wp:positionV relativeFrom="paragraph">
                        <wp:posOffset>-114300</wp:posOffset>
                      </wp:positionV>
                      <wp:extent cx="180975" cy="276225"/>
                      <wp:effectExtent l="0" t="0" r="0" b="0"/>
                      <wp:wrapNone/>
                      <wp:docPr id="11603" name="Text Box 11603"/>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657D0FF" id="Text Box 11603" o:spid="_x0000_s1026" type="#_x0000_t202" style="position:absolute;margin-left:0;margin-top:-9pt;width:14.25pt;height:21.75pt;z-index:251759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0JTPV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60128" behindDoc="0" locked="0" layoutInCell="1" allowOverlap="1" wp14:anchorId="05296A98" wp14:editId="20EAFB0C">
                      <wp:simplePos x="0" y="0"/>
                      <wp:positionH relativeFrom="column">
                        <wp:posOffset>0</wp:posOffset>
                      </wp:positionH>
                      <wp:positionV relativeFrom="paragraph">
                        <wp:posOffset>-114300</wp:posOffset>
                      </wp:positionV>
                      <wp:extent cx="180975" cy="276225"/>
                      <wp:effectExtent l="0" t="0" r="0" b="0"/>
                      <wp:wrapNone/>
                      <wp:docPr id="11604" name="Text Box 11604"/>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CDBFA03" id="Text Box 11604" o:spid="_x0000_s1026" type="#_x0000_t202" style="position:absolute;margin-left:0;margin-top:-9pt;width:14.25pt;height:21.75pt;z-index:251760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T9chj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61152" behindDoc="0" locked="0" layoutInCell="1" allowOverlap="1" wp14:anchorId="71ADCD2E" wp14:editId="33A5450A">
                      <wp:simplePos x="0" y="0"/>
                      <wp:positionH relativeFrom="column">
                        <wp:posOffset>0</wp:posOffset>
                      </wp:positionH>
                      <wp:positionV relativeFrom="paragraph">
                        <wp:posOffset>-114300</wp:posOffset>
                      </wp:positionV>
                      <wp:extent cx="180975" cy="276225"/>
                      <wp:effectExtent l="0" t="0" r="0" b="0"/>
                      <wp:wrapNone/>
                      <wp:docPr id="11605" name="Text Box 11605"/>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7B1F9F4" id="Text Box 11605" o:spid="_x0000_s1026" type="#_x0000_t202" style="position:absolute;margin-left:0;margin-top:-9pt;width:14.25pt;height:21.75pt;z-index:251761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yszZf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62176" behindDoc="0" locked="0" layoutInCell="1" allowOverlap="1" wp14:anchorId="665656B0" wp14:editId="194897C6">
                      <wp:simplePos x="0" y="0"/>
                      <wp:positionH relativeFrom="column">
                        <wp:posOffset>0</wp:posOffset>
                      </wp:positionH>
                      <wp:positionV relativeFrom="paragraph">
                        <wp:posOffset>-114300</wp:posOffset>
                      </wp:positionV>
                      <wp:extent cx="180975" cy="276225"/>
                      <wp:effectExtent l="0" t="0" r="0" b="0"/>
                      <wp:wrapNone/>
                      <wp:docPr id="11606" name="Text Box 11606"/>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5A84D2B" id="Text Box 11606" o:spid="_x0000_s1026" type="#_x0000_t202" style="position:absolute;margin-left:0;margin-top:-9pt;width:14.25pt;height:21.75pt;z-index:251762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NF4NBq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63200" behindDoc="0" locked="0" layoutInCell="1" allowOverlap="1" wp14:anchorId="10F347BF" wp14:editId="6014226E">
                      <wp:simplePos x="0" y="0"/>
                      <wp:positionH relativeFrom="column">
                        <wp:posOffset>0</wp:posOffset>
                      </wp:positionH>
                      <wp:positionV relativeFrom="paragraph">
                        <wp:posOffset>-114300</wp:posOffset>
                      </wp:positionV>
                      <wp:extent cx="180975" cy="276225"/>
                      <wp:effectExtent l="0" t="0" r="0" b="0"/>
                      <wp:wrapNone/>
                      <wp:docPr id="11607" name="Text Box 11607"/>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317EBD2" id="Text Box 11607" o:spid="_x0000_s1026" type="#_x0000_t202" style="position:absolute;margin-left:0;margin-top:-9pt;width:14.25pt;height:21.75pt;z-index:251763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wPsom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64224" behindDoc="0" locked="0" layoutInCell="1" allowOverlap="1" wp14:anchorId="7F79D111" wp14:editId="7F5663B8">
                      <wp:simplePos x="0" y="0"/>
                      <wp:positionH relativeFrom="column">
                        <wp:posOffset>0</wp:posOffset>
                      </wp:positionH>
                      <wp:positionV relativeFrom="paragraph">
                        <wp:posOffset>-114300</wp:posOffset>
                      </wp:positionV>
                      <wp:extent cx="180975" cy="276225"/>
                      <wp:effectExtent l="0" t="0" r="0" b="0"/>
                      <wp:wrapNone/>
                      <wp:docPr id="11608" name="Text Box 11608"/>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01A60D3" id="Text Box 11608" o:spid="_x0000_s1026" type="#_x0000_t202" style="position:absolute;margin-left:0;margin-top:-9pt;width:14.25pt;height:21.75pt;z-index:251764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e37Ks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65248" behindDoc="0" locked="0" layoutInCell="1" allowOverlap="1" wp14:anchorId="303C9570" wp14:editId="1F3DAC73">
                      <wp:simplePos x="0" y="0"/>
                      <wp:positionH relativeFrom="column">
                        <wp:posOffset>0</wp:posOffset>
                      </wp:positionH>
                      <wp:positionV relativeFrom="paragraph">
                        <wp:posOffset>-114300</wp:posOffset>
                      </wp:positionV>
                      <wp:extent cx="180975" cy="276225"/>
                      <wp:effectExtent l="0" t="0" r="0" b="0"/>
                      <wp:wrapNone/>
                      <wp:docPr id="11609" name="Text Box 11609"/>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2E070CD" id="Text Box 11609" o:spid="_x0000_s1026" type="#_x0000_t202" style="position:absolute;margin-left:0;margin-top:-9pt;width:14.25pt;height:21.75pt;z-index:251765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mUyQ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66272" behindDoc="0" locked="0" layoutInCell="1" allowOverlap="1" wp14:anchorId="1C0D8B8D" wp14:editId="4EAF568C">
                      <wp:simplePos x="0" y="0"/>
                      <wp:positionH relativeFrom="column">
                        <wp:posOffset>0</wp:posOffset>
                      </wp:positionH>
                      <wp:positionV relativeFrom="paragraph">
                        <wp:posOffset>-114300</wp:posOffset>
                      </wp:positionV>
                      <wp:extent cx="180975" cy="276225"/>
                      <wp:effectExtent l="0" t="0" r="0" b="0"/>
                      <wp:wrapNone/>
                      <wp:docPr id="11610" name="Text Box 11610"/>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C16C9D8" id="Text Box 11610" o:spid="_x0000_s1026" type="#_x0000_t202" style="position:absolute;margin-left:0;margin-top:-9pt;width:14.25pt;height:21.75pt;z-index:251766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P8IAR7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67296" behindDoc="0" locked="0" layoutInCell="1" allowOverlap="1" wp14:anchorId="379806C9" wp14:editId="5E492343">
                      <wp:simplePos x="0" y="0"/>
                      <wp:positionH relativeFrom="column">
                        <wp:posOffset>0</wp:posOffset>
                      </wp:positionH>
                      <wp:positionV relativeFrom="paragraph">
                        <wp:posOffset>-114300</wp:posOffset>
                      </wp:positionV>
                      <wp:extent cx="180975" cy="276225"/>
                      <wp:effectExtent l="0" t="0" r="0" b="0"/>
                      <wp:wrapNone/>
                      <wp:docPr id="11611" name="Text Box 11611"/>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BED5EB8" id="Text Box 11611" o:spid="_x0000_s1026" type="#_x0000_t202" style="position:absolute;margin-left:0;margin-top:-9pt;width:14.25pt;height:21.75pt;z-index:251767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N6E/nu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68320" behindDoc="0" locked="0" layoutInCell="1" allowOverlap="1" wp14:anchorId="36DA9DCD" wp14:editId="7BE4A0DA">
                      <wp:simplePos x="0" y="0"/>
                      <wp:positionH relativeFrom="column">
                        <wp:posOffset>0</wp:posOffset>
                      </wp:positionH>
                      <wp:positionV relativeFrom="paragraph">
                        <wp:posOffset>-114300</wp:posOffset>
                      </wp:positionV>
                      <wp:extent cx="180975" cy="276225"/>
                      <wp:effectExtent l="0" t="0" r="0" b="0"/>
                      <wp:wrapNone/>
                      <wp:docPr id="11612" name="Text Box 11612"/>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89B700B" id="Text Box 11612" o:spid="_x0000_s1026" type="#_x0000_t202" style="position:absolute;margin-left:0;margin-top:-9pt;width:14.25pt;height:21.75pt;z-index:251768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9T/w+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69344" behindDoc="0" locked="0" layoutInCell="1" allowOverlap="1" wp14:anchorId="0CFBD42B" wp14:editId="34072A99">
                      <wp:simplePos x="0" y="0"/>
                      <wp:positionH relativeFrom="column">
                        <wp:posOffset>0</wp:posOffset>
                      </wp:positionH>
                      <wp:positionV relativeFrom="paragraph">
                        <wp:posOffset>-114300</wp:posOffset>
                      </wp:positionV>
                      <wp:extent cx="180975" cy="276225"/>
                      <wp:effectExtent l="0" t="0" r="0" b="0"/>
                      <wp:wrapNone/>
                      <wp:docPr id="11613" name="Text Box 11613"/>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8503B17" id="Text Box 11613" o:spid="_x0000_s1026" type="#_x0000_t202" style="position:absolute;margin-left:0;margin-top:-9pt;width:14.25pt;height:21.75pt;z-index:251769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cCQIC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70368" behindDoc="0" locked="0" layoutInCell="1" allowOverlap="1" wp14:anchorId="11F9F32C" wp14:editId="3CF28C51">
                      <wp:simplePos x="0" y="0"/>
                      <wp:positionH relativeFrom="column">
                        <wp:posOffset>0</wp:posOffset>
                      </wp:positionH>
                      <wp:positionV relativeFrom="paragraph">
                        <wp:posOffset>-114300</wp:posOffset>
                      </wp:positionV>
                      <wp:extent cx="180975" cy="276225"/>
                      <wp:effectExtent l="0" t="0" r="0" b="0"/>
                      <wp:wrapNone/>
                      <wp:docPr id="11614" name="Text Box 11614"/>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2CBD51C" id="Text Box 11614" o:spid="_x0000_s1026" type="#_x0000_t202" style="position:absolute;margin-left:0;margin-top:-9pt;width:14.25pt;height:21.75pt;z-index:251770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72fm0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71392" behindDoc="0" locked="0" layoutInCell="1" allowOverlap="1" wp14:anchorId="3FFDD525" wp14:editId="07E6BE7E">
                      <wp:simplePos x="0" y="0"/>
                      <wp:positionH relativeFrom="column">
                        <wp:posOffset>0</wp:posOffset>
                      </wp:positionH>
                      <wp:positionV relativeFrom="paragraph">
                        <wp:posOffset>-114300</wp:posOffset>
                      </wp:positionV>
                      <wp:extent cx="180975" cy="276225"/>
                      <wp:effectExtent l="0" t="0" r="0" b="0"/>
                      <wp:wrapNone/>
                      <wp:docPr id="11615" name="Text Box 11615"/>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ED97EA1" id="Text Box 11615" o:spid="_x0000_s1026" type="#_x0000_t202" style="position:absolute;margin-left:0;margin-top:-9pt;width:14.25pt;height:21.75pt;z-index:251771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anweI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72416" behindDoc="0" locked="0" layoutInCell="1" allowOverlap="1" wp14:anchorId="3A269747" wp14:editId="75865EC6">
                      <wp:simplePos x="0" y="0"/>
                      <wp:positionH relativeFrom="column">
                        <wp:posOffset>0</wp:posOffset>
                      </wp:positionH>
                      <wp:positionV relativeFrom="paragraph">
                        <wp:posOffset>-114300</wp:posOffset>
                      </wp:positionV>
                      <wp:extent cx="180975" cy="276225"/>
                      <wp:effectExtent l="0" t="0" r="0" b="0"/>
                      <wp:wrapNone/>
                      <wp:docPr id="11616" name="Text Box 11616"/>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E5DDD4E" id="Text Box 11616" o:spid="_x0000_s1026" type="#_x0000_t202" style="position:absolute;margin-left:0;margin-top:-9pt;width:14.25pt;height:21.75pt;z-index:251772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HlUBc2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73440" behindDoc="0" locked="0" layoutInCell="1" allowOverlap="1" wp14:anchorId="3EEEC5EB" wp14:editId="692BA91A">
                      <wp:simplePos x="0" y="0"/>
                      <wp:positionH relativeFrom="column">
                        <wp:posOffset>0</wp:posOffset>
                      </wp:positionH>
                      <wp:positionV relativeFrom="paragraph">
                        <wp:posOffset>-114300</wp:posOffset>
                      </wp:positionV>
                      <wp:extent cx="180975" cy="276225"/>
                      <wp:effectExtent l="0" t="0" r="0" b="0"/>
                      <wp:wrapNone/>
                      <wp:docPr id="11617" name="Text Box 11617"/>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04CF6D0" id="Text Box 11617" o:spid="_x0000_s1026" type="#_x0000_t202" style="position:absolute;margin-left:0;margin-top:-9pt;width:14.25pt;height:21.75pt;z-index:251773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YEvvx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74464" behindDoc="0" locked="0" layoutInCell="1" allowOverlap="1" wp14:anchorId="4B033764" wp14:editId="5570D536">
                      <wp:simplePos x="0" y="0"/>
                      <wp:positionH relativeFrom="column">
                        <wp:posOffset>0</wp:posOffset>
                      </wp:positionH>
                      <wp:positionV relativeFrom="paragraph">
                        <wp:posOffset>-114300</wp:posOffset>
                      </wp:positionV>
                      <wp:extent cx="180975" cy="276225"/>
                      <wp:effectExtent l="0" t="0" r="0" b="0"/>
                      <wp:wrapNone/>
                      <wp:docPr id="11618" name="Text Box 11618"/>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130D968" id="Text Box 11618" o:spid="_x0000_s1026" type="#_x0000_t202" style="position:absolute;margin-left:0;margin-top:-9pt;width:14.25pt;height:21.75pt;z-index:251774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284N7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75488" behindDoc="0" locked="0" layoutInCell="1" allowOverlap="1" wp14:anchorId="64B0694F" wp14:editId="5EC4DCBB">
                      <wp:simplePos x="0" y="0"/>
                      <wp:positionH relativeFrom="column">
                        <wp:posOffset>0</wp:posOffset>
                      </wp:positionH>
                      <wp:positionV relativeFrom="paragraph">
                        <wp:posOffset>-114300</wp:posOffset>
                      </wp:positionV>
                      <wp:extent cx="180975" cy="276225"/>
                      <wp:effectExtent l="0" t="0" r="0" b="0"/>
                      <wp:wrapNone/>
                      <wp:docPr id="11619" name="Text Box 11619"/>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BDEE67E" id="Text Box 11619" o:spid="_x0000_s1026" type="#_x0000_t202" style="position:absolute;margin-left:0;margin-top:-9pt;width:14.25pt;height:21.75pt;z-index:251775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XtX1H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76512" behindDoc="0" locked="0" layoutInCell="1" allowOverlap="1" wp14:anchorId="4154D464" wp14:editId="6E64CDBA">
                      <wp:simplePos x="0" y="0"/>
                      <wp:positionH relativeFrom="column">
                        <wp:posOffset>0</wp:posOffset>
                      </wp:positionH>
                      <wp:positionV relativeFrom="paragraph">
                        <wp:posOffset>-114300</wp:posOffset>
                      </wp:positionV>
                      <wp:extent cx="180975" cy="276225"/>
                      <wp:effectExtent l="0" t="0" r="0" b="0"/>
                      <wp:wrapNone/>
                      <wp:docPr id="11620" name="Text Box 11620"/>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DF7174" id="Text Box 11620" o:spid="_x0000_s1026" type="#_x0000_t202" style="position:absolute;margin-left:0;margin-top:-9pt;width:14.25pt;height:21.75pt;z-index:251776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GsSLl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77536" behindDoc="0" locked="0" layoutInCell="1" allowOverlap="1" wp14:anchorId="2C354AC3" wp14:editId="1381EDCA">
                      <wp:simplePos x="0" y="0"/>
                      <wp:positionH relativeFrom="column">
                        <wp:posOffset>0</wp:posOffset>
                      </wp:positionH>
                      <wp:positionV relativeFrom="paragraph">
                        <wp:posOffset>-114300</wp:posOffset>
                      </wp:positionV>
                      <wp:extent cx="180975" cy="276225"/>
                      <wp:effectExtent l="0" t="0" r="0" b="0"/>
                      <wp:wrapNone/>
                      <wp:docPr id="11621" name="Text Box 11621"/>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7AFB0CD" id="Text Box 11621" o:spid="_x0000_s1026" type="#_x0000_t202" style="position:absolute;margin-left:0;margin-top:-9pt;width:14.25pt;height:21.75pt;z-index:251777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Gf33Nm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78560" behindDoc="0" locked="0" layoutInCell="1" allowOverlap="1" wp14:anchorId="7A8C14C7" wp14:editId="6B06118C">
                      <wp:simplePos x="0" y="0"/>
                      <wp:positionH relativeFrom="column">
                        <wp:posOffset>0</wp:posOffset>
                      </wp:positionH>
                      <wp:positionV relativeFrom="paragraph">
                        <wp:posOffset>-114300</wp:posOffset>
                      </wp:positionV>
                      <wp:extent cx="180975" cy="276225"/>
                      <wp:effectExtent l="0" t="0" r="0" b="0"/>
                      <wp:wrapNone/>
                      <wp:docPr id="11622" name="Text Box 11622"/>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FEC550B" id="Text Box 11622" o:spid="_x0000_s1026" type="#_x0000_t202" style="position:absolute;margin-left:0;margin-top:-9pt;width:14.25pt;height:21.75pt;z-index:251778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EPN6c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79584" behindDoc="0" locked="0" layoutInCell="1" allowOverlap="1" wp14:anchorId="62DC206B" wp14:editId="31D48CC0">
                      <wp:simplePos x="0" y="0"/>
                      <wp:positionH relativeFrom="column">
                        <wp:posOffset>0</wp:posOffset>
                      </wp:positionH>
                      <wp:positionV relativeFrom="paragraph">
                        <wp:posOffset>-114300</wp:posOffset>
                      </wp:positionV>
                      <wp:extent cx="180975" cy="276225"/>
                      <wp:effectExtent l="0" t="0" r="0" b="0"/>
                      <wp:wrapNone/>
                      <wp:docPr id="11623" name="Text Box 11623"/>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30842EC" id="Text Box 11623" o:spid="_x0000_s1026" type="#_x0000_t202" style="position:absolute;margin-left:0;margin-top:-9pt;width:14.25pt;height:21.75pt;z-index:251779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leiCg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80608" behindDoc="0" locked="0" layoutInCell="1" allowOverlap="1" wp14:anchorId="42288076" wp14:editId="26D4F91F">
                      <wp:simplePos x="0" y="0"/>
                      <wp:positionH relativeFrom="column">
                        <wp:posOffset>0</wp:posOffset>
                      </wp:positionH>
                      <wp:positionV relativeFrom="paragraph">
                        <wp:posOffset>-114300</wp:posOffset>
                      </wp:positionV>
                      <wp:extent cx="180975" cy="276225"/>
                      <wp:effectExtent l="0" t="0" r="0" b="0"/>
                      <wp:wrapNone/>
                      <wp:docPr id="11624" name="Text Box 11624"/>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EB8F82E" id="Text Box 11624" o:spid="_x0000_s1026" type="#_x0000_t202" style="position:absolute;margin-left:0;margin-top:-9pt;width:14.25pt;height:21.75pt;z-index:251780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CqtsW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81632" behindDoc="0" locked="0" layoutInCell="1" allowOverlap="1" wp14:anchorId="5365F453" wp14:editId="095AFABC">
                      <wp:simplePos x="0" y="0"/>
                      <wp:positionH relativeFrom="column">
                        <wp:posOffset>0</wp:posOffset>
                      </wp:positionH>
                      <wp:positionV relativeFrom="paragraph">
                        <wp:posOffset>-114300</wp:posOffset>
                      </wp:positionV>
                      <wp:extent cx="180975" cy="276225"/>
                      <wp:effectExtent l="0" t="0" r="0" b="0"/>
                      <wp:wrapNone/>
                      <wp:docPr id="11625" name="Text Box 11625"/>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039BB4D" id="Text Box 11625" o:spid="_x0000_s1026" type="#_x0000_t202" style="position:absolute;margin-left:0;margin-top:-9pt;width:14.25pt;height:21.75pt;z-index:251781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j7CUq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82656" behindDoc="0" locked="0" layoutInCell="1" allowOverlap="1" wp14:anchorId="0251A4F7" wp14:editId="113240B8">
                      <wp:simplePos x="0" y="0"/>
                      <wp:positionH relativeFrom="column">
                        <wp:posOffset>0</wp:posOffset>
                      </wp:positionH>
                      <wp:positionV relativeFrom="paragraph">
                        <wp:posOffset>-114300</wp:posOffset>
                      </wp:positionV>
                      <wp:extent cx="180975" cy="276225"/>
                      <wp:effectExtent l="0" t="0" r="0" b="0"/>
                      <wp:wrapNone/>
                      <wp:docPr id="11626" name="Text Box 11626"/>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B8031C4" id="Text Box 11626" o:spid="_x0000_s1026" type="#_x0000_t202" style="position:absolute;margin-left:0;margin-top:-9pt;width:14.25pt;height:21.75pt;z-index:251782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AJydv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83680" behindDoc="0" locked="0" layoutInCell="1" allowOverlap="1" wp14:anchorId="4FE99408" wp14:editId="4EE0E8CC">
                      <wp:simplePos x="0" y="0"/>
                      <wp:positionH relativeFrom="column">
                        <wp:posOffset>0</wp:posOffset>
                      </wp:positionH>
                      <wp:positionV relativeFrom="paragraph">
                        <wp:posOffset>-114300</wp:posOffset>
                      </wp:positionV>
                      <wp:extent cx="180975" cy="276225"/>
                      <wp:effectExtent l="0" t="0" r="0" b="0"/>
                      <wp:wrapNone/>
                      <wp:docPr id="11627" name="Text Box 11627"/>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30A3D5F" id="Text Box 11627" o:spid="_x0000_s1026" type="#_x0000_t202" style="position:absolute;margin-left:0;margin-top:-9pt;width:14.25pt;height:21.75pt;z-index:251783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hYdlT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84704" behindDoc="0" locked="0" layoutInCell="1" allowOverlap="1" wp14:anchorId="254FB78C" wp14:editId="7E413CBD">
                      <wp:simplePos x="0" y="0"/>
                      <wp:positionH relativeFrom="column">
                        <wp:posOffset>0</wp:posOffset>
                      </wp:positionH>
                      <wp:positionV relativeFrom="paragraph">
                        <wp:posOffset>-114300</wp:posOffset>
                      </wp:positionV>
                      <wp:extent cx="180975" cy="276225"/>
                      <wp:effectExtent l="0" t="0" r="0" b="0"/>
                      <wp:wrapNone/>
                      <wp:docPr id="11628" name="Text Box 11628"/>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1B5E010" id="Text Box 11628" o:spid="_x0000_s1026" type="#_x0000_t202" style="position:absolute;margin-left:0;margin-top:-9pt;width:14.25pt;height:21.75pt;z-index:251784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M+Aodm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85728" behindDoc="0" locked="0" layoutInCell="1" allowOverlap="1" wp14:anchorId="27C4186C" wp14:editId="28E9A128">
                      <wp:simplePos x="0" y="0"/>
                      <wp:positionH relativeFrom="column">
                        <wp:posOffset>0</wp:posOffset>
                      </wp:positionH>
                      <wp:positionV relativeFrom="paragraph">
                        <wp:posOffset>-114300</wp:posOffset>
                      </wp:positionV>
                      <wp:extent cx="180975" cy="276225"/>
                      <wp:effectExtent l="0" t="0" r="0" b="0"/>
                      <wp:wrapNone/>
                      <wp:docPr id="11629" name="Text Box 11629"/>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823FE67" id="Text Box 11629" o:spid="_x0000_s1026" type="#_x0000_t202" style="position:absolute;margin-left:0;margin-top:-9pt;width:14.25pt;height:21.75pt;z-index:251785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uxl/l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86752" behindDoc="0" locked="0" layoutInCell="1" allowOverlap="1" wp14:anchorId="25D83EAB" wp14:editId="73E8F65E">
                      <wp:simplePos x="0" y="0"/>
                      <wp:positionH relativeFrom="column">
                        <wp:posOffset>0</wp:posOffset>
                      </wp:positionH>
                      <wp:positionV relativeFrom="paragraph">
                        <wp:posOffset>-114300</wp:posOffset>
                      </wp:positionV>
                      <wp:extent cx="180975" cy="276225"/>
                      <wp:effectExtent l="0" t="0" r="0" b="0"/>
                      <wp:wrapNone/>
                      <wp:docPr id="11630" name="Text Box 11630"/>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E573EFC" id="Text Box 11630" o:spid="_x0000_s1026" type="#_x0000_t202" style="position:absolute;margin-left:0;margin-top:-9pt;width:14.25pt;height:21.75pt;z-index:251786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Lp0TMr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87776" behindDoc="0" locked="0" layoutInCell="1" allowOverlap="1" wp14:anchorId="4B406298" wp14:editId="0013312C">
                      <wp:simplePos x="0" y="0"/>
                      <wp:positionH relativeFrom="column">
                        <wp:posOffset>0</wp:posOffset>
                      </wp:positionH>
                      <wp:positionV relativeFrom="paragraph">
                        <wp:posOffset>-114300</wp:posOffset>
                      </wp:positionV>
                      <wp:extent cx="180975" cy="276225"/>
                      <wp:effectExtent l="0" t="0" r="0" b="0"/>
                      <wp:wrapNone/>
                      <wp:docPr id="11631" name="Text Box 11631"/>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5CC18BC" id="Text Box 11631" o:spid="_x0000_s1026" type="#_x0000_t202" style="position:absolute;margin-left:0;margin-top:-9pt;width:14.25pt;height:21.75pt;z-index:251787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M/b7Q6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88800" behindDoc="0" locked="0" layoutInCell="1" allowOverlap="1" wp14:anchorId="7B521130" wp14:editId="166A6517">
                      <wp:simplePos x="0" y="0"/>
                      <wp:positionH relativeFrom="column">
                        <wp:posOffset>0</wp:posOffset>
                      </wp:positionH>
                      <wp:positionV relativeFrom="paragraph">
                        <wp:posOffset>-114300</wp:posOffset>
                      </wp:positionV>
                      <wp:extent cx="180975" cy="276225"/>
                      <wp:effectExtent l="0" t="0" r="0" b="0"/>
                      <wp:wrapNone/>
                      <wp:docPr id="11632" name="Text Box 11632"/>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059F935" id="Text Box 11632" o:spid="_x0000_s1026" type="#_x0000_t202" style="position:absolute;margin-left:0;margin-top:-9pt;width:14.25pt;height:21.75pt;z-index:251788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sEO9L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89824" behindDoc="0" locked="0" layoutInCell="1" allowOverlap="1" wp14:anchorId="0AB4CDD8" wp14:editId="55498A92">
                      <wp:simplePos x="0" y="0"/>
                      <wp:positionH relativeFrom="column">
                        <wp:posOffset>0</wp:posOffset>
                      </wp:positionH>
                      <wp:positionV relativeFrom="paragraph">
                        <wp:posOffset>-114300</wp:posOffset>
                      </wp:positionV>
                      <wp:extent cx="180975" cy="276225"/>
                      <wp:effectExtent l="0" t="0" r="0" b="0"/>
                      <wp:wrapNone/>
                      <wp:docPr id="11633" name="Text Box 11633"/>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41E6EBD" id="Text Box 11633" o:spid="_x0000_s1026" type="#_x0000_t202" style="position:absolute;margin-left:0;margin-top:-9pt;width:14.25pt;height:21.75pt;z-index:251789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NVhF3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90848" behindDoc="0" locked="0" layoutInCell="1" allowOverlap="1" wp14:anchorId="0155D83D" wp14:editId="55553D6D">
                      <wp:simplePos x="0" y="0"/>
                      <wp:positionH relativeFrom="column">
                        <wp:posOffset>0</wp:posOffset>
                      </wp:positionH>
                      <wp:positionV relativeFrom="paragraph">
                        <wp:posOffset>-114300</wp:posOffset>
                      </wp:positionV>
                      <wp:extent cx="180975" cy="276225"/>
                      <wp:effectExtent l="0" t="0" r="0" b="0"/>
                      <wp:wrapNone/>
                      <wp:docPr id="11634" name="Text Box 11634"/>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EACC58" id="Text Box 11634" o:spid="_x0000_s1026" type="#_x0000_t202" style="position:absolute;margin-left:0;margin-top:-9pt;width:14.25pt;height:21.75pt;z-index:251790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qhurB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91872" behindDoc="0" locked="0" layoutInCell="1" allowOverlap="1" wp14:anchorId="42227150" wp14:editId="3E61F2E3">
                      <wp:simplePos x="0" y="0"/>
                      <wp:positionH relativeFrom="column">
                        <wp:posOffset>0</wp:posOffset>
                      </wp:positionH>
                      <wp:positionV relativeFrom="paragraph">
                        <wp:posOffset>-114300</wp:posOffset>
                      </wp:positionV>
                      <wp:extent cx="180975" cy="276225"/>
                      <wp:effectExtent l="0" t="0" r="0" b="0"/>
                      <wp:wrapNone/>
                      <wp:docPr id="11635" name="Text Box 11635"/>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92DB4C6" id="Text Box 11635" o:spid="_x0000_s1026" type="#_x0000_t202" style="position:absolute;margin-left:0;margin-top:-9pt;width:14.25pt;height:21.75pt;z-index:251791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LwBT9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92896" behindDoc="0" locked="0" layoutInCell="1" allowOverlap="1" wp14:anchorId="4EAFCCB9" wp14:editId="494DC261">
                      <wp:simplePos x="0" y="0"/>
                      <wp:positionH relativeFrom="column">
                        <wp:posOffset>0</wp:posOffset>
                      </wp:positionH>
                      <wp:positionV relativeFrom="paragraph">
                        <wp:posOffset>-114300</wp:posOffset>
                      </wp:positionV>
                      <wp:extent cx="180975" cy="276225"/>
                      <wp:effectExtent l="0" t="0" r="0" b="0"/>
                      <wp:wrapNone/>
                      <wp:docPr id="11636" name="Text Box 11636"/>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55B2B57" id="Text Box 11636" o:spid="_x0000_s1026" type="#_x0000_t202" style="position:absolute;margin-left:0;margin-top:-9pt;width:14.25pt;height:21.75pt;z-index:251792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oCxa4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93920" behindDoc="0" locked="0" layoutInCell="1" allowOverlap="1" wp14:anchorId="4726CFAA" wp14:editId="36F99116">
                      <wp:simplePos x="0" y="0"/>
                      <wp:positionH relativeFrom="column">
                        <wp:posOffset>0</wp:posOffset>
                      </wp:positionH>
                      <wp:positionV relativeFrom="paragraph">
                        <wp:posOffset>-114300</wp:posOffset>
                      </wp:positionV>
                      <wp:extent cx="180975" cy="276225"/>
                      <wp:effectExtent l="0" t="0" r="0" b="0"/>
                      <wp:wrapNone/>
                      <wp:docPr id="11637" name="Text Box 11637"/>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FF28279" id="Text Box 11637" o:spid="_x0000_s1026" type="#_x0000_t202" style="position:absolute;margin-left:0;margin-top:-9pt;width:14.25pt;height:21.75pt;z-index:251793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JTeiE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94944" behindDoc="0" locked="0" layoutInCell="1" allowOverlap="1" wp14:anchorId="1F3FDB27" wp14:editId="6FC718B1">
                      <wp:simplePos x="0" y="0"/>
                      <wp:positionH relativeFrom="column">
                        <wp:posOffset>0</wp:posOffset>
                      </wp:positionH>
                      <wp:positionV relativeFrom="paragraph">
                        <wp:posOffset>-114300</wp:posOffset>
                      </wp:positionV>
                      <wp:extent cx="180975" cy="276225"/>
                      <wp:effectExtent l="0" t="0" r="0" b="0"/>
                      <wp:wrapNone/>
                      <wp:docPr id="11638" name="Text Box 11638"/>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270591E" id="Text Box 11638" o:spid="_x0000_s1026" type="#_x0000_t202" style="position:absolute;margin-left:0;margin-top:-9pt;width:14.25pt;height:21.75pt;z-index:251794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nrJAO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95968" behindDoc="0" locked="0" layoutInCell="1" allowOverlap="1" wp14:anchorId="440B40FA" wp14:editId="7EC88844">
                      <wp:simplePos x="0" y="0"/>
                      <wp:positionH relativeFrom="column">
                        <wp:posOffset>0</wp:posOffset>
                      </wp:positionH>
                      <wp:positionV relativeFrom="paragraph">
                        <wp:posOffset>-114300</wp:posOffset>
                      </wp:positionV>
                      <wp:extent cx="180975" cy="276225"/>
                      <wp:effectExtent l="0" t="0" r="0" b="0"/>
                      <wp:wrapNone/>
                      <wp:docPr id="11639" name="Text Box 11639"/>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92E5CF2" id="Text Box 11639" o:spid="_x0000_s1026" type="#_x0000_t202" style="position:absolute;margin-left:0;margin-top:-9pt;width:14.25pt;height:21.75pt;z-index:251795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G6m4y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96992" behindDoc="0" locked="0" layoutInCell="1" allowOverlap="1" wp14:anchorId="6E20838C" wp14:editId="706392F5">
                      <wp:simplePos x="0" y="0"/>
                      <wp:positionH relativeFrom="column">
                        <wp:posOffset>0</wp:posOffset>
                      </wp:positionH>
                      <wp:positionV relativeFrom="paragraph">
                        <wp:posOffset>-114300</wp:posOffset>
                      </wp:positionV>
                      <wp:extent cx="180975" cy="276225"/>
                      <wp:effectExtent l="0" t="0" r="0" b="0"/>
                      <wp:wrapNone/>
                      <wp:docPr id="11640" name="Text Box 11640"/>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7D9E3E8" id="Text Box 11640" o:spid="_x0000_s1026" type="#_x0000_t202" style="position:absolute;margin-left:0;margin-top:-9pt;width:14.25pt;height:21.75pt;z-index:251796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tVAXer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98016" behindDoc="0" locked="0" layoutInCell="1" allowOverlap="1" wp14:anchorId="3709C002" wp14:editId="0C17E213">
                      <wp:simplePos x="0" y="0"/>
                      <wp:positionH relativeFrom="column">
                        <wp:posOffset>0</wp:posOffset>
                      </wp:positionH>
                      <wp:positionV relativeFrom="paragraph">
                        <wp:posOffset>-114300</wp:posOffset>
                      </wp:positionV>
                      <wp:extent cx="180975" cy="276225"/>
                      <wp:effectExtent l="0" t="0" r="0" b="0"/>
                      <wp:wrapNone/>
                      <wp:docPr id="11641" name="Text Box 11641"/>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8ECF5F2" id="Text Box 11641" o:spid="_x0000_s1026" type="#_x0000_t202" style="position:absolute;margin-left:0;margin-top:-9pt;width:14.25pt;height:21.75pt;z-index:251798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UFulG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799040" behindDoc="0" locked="0" layoutInCell="1" allowOverlap="1" wp14:anchorId="0B48A21C" wp14:editId="7C7FD047">
                      <wp:simplePos x="0" y="0"/>
                      <wp:positionH relativeFrom="column">
                        <wp:posOffset>0</wp:posOffset>
                      </wp:positionH>
                      <wp:positionV relativeFrom="paragraph">
                        <wp:posOffset>-114300</wp:posOffset>
                      </wp:positionV>
                      <wp:extent cx="180975" cy="276225"/>
                      <wp:effectExtent l="0" t="0" r="0" b="0"/>
                      <wp:wrapNone/>
                      <wp:docPr id="11642" name="Text Box 11642"/>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2FEEF47" id="Text Box 11642" o:spid="_x0000_s1026" type="#_x0000_t202" style="position:absolute;margin-left:0;margin-top:-9pt;width:14.25pt;height:21.75pt;z-index:251799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33esD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00064" behindDoc="0" locked="0" layoutInCell="1" allowOverlap="1" wp14:anchorId="4E663844" wp14:editId="428967F0">
                      <wp:simplePos x="0" y="0"/>
                      <wp:positionH relativeFrom="column">
                        <wp:posOffset>0</wp:posOffset>
                      </wp:positionH>
                      <wp:positionV relativeFrom="paragraph">
                        <wp:posOffset>-114300</wp:posOffset>
                      </wp:positionV>
                      <wp:extent cx="180975" cy="276225"/>
                      <wp:effectExtent l="0" t="0" r="0" b="0"/>
                      <wp:wrapNone/>
                      <wp:docPr id="11643" name="Text Box 11643"/>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54B4F60" id="Text Box 11643" o:spid="_x0000_s1026" type="#_x0000_t202" style="position:absolute;margin-left:0;margin-top:-9pt;width:14.25pt;height:21.75pt;z-index:251800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WmxU/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01088" behindDoc="0" locked="0" layoutInCell="1" allowOverlap="1" wp14:anchorId="2C6536DC" wp14:editId="41F65323">
                      <wp:simplePos x="0" y="0"/>
                      <wp:positionH relativeFrom="column">
                        <wp:posOffset>0</wp:posOffset>
                      </wp:positionH>
                      <wp:positionV relativeFrom="paragraph">
                        <wp:posOffset>-114300</wp:posOffset>
                      </wp:positionV>
                      <wp:extent cx="180975" cy="276225"/>
                      <wp:effectExtent l="0" t="0" r="0" b="0"/>
                      <wp:wrapNone/>
                      <wp:docPr id="11644" name="Text Box 11644"/>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7E8F8E2" id="Text Box 11644" o:spid="_x0000_s1026" type="#_x0000_t202" style="position:absolute;margin-left:0;margin-top:-9pt;width:14.25pt;height:21.75pt;z-index:251801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xS+6J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02112" behindDoc="0" locked="0" layoutInCell="1" allowOverlap="1" wp14:anchorId="21E04EEB" wp14:editId="354041BF">
                      <wp:simplePos x="0" y="0"/>
                      <wp:positionH relativeFrom="column">
                        <wp:posOffset>0</wp:posOffset>
                      </wp:positionH>
                      <wp:positionV relativeFrom="paragraph">
                        <wp:posOffset>-114300</wp:posOffset>
                      </wp:positionV>
                      <wp:extent cx="180975" cy="276225"/>
                      <wp:effectExtent l="0" t="0" r="0" b="0"/>
                      <wp:wrapNone/>
                      <wp:docPr id="11645" name="Text Box 11645"/>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A899BB5" id="Text Box 11645" o:spid="_x0000_s1026" type="#_x0000_t202" style="position:absolute;margin-left:0;margin-top:-9pt;width:14.25pt;height:21.75pt;z-index:251802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NANELW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03136" behindDoc="0" locked="0" layoutInCell="1" allowOverlap="1" wp14:anchorId="7D2714F3" wp14:editId="5F5BA2F0">
                      <wp:simplePos x="0" y="0"/>
                      <wp:positionH relativeFrom="column">
                        <wp:posOffset>0</wp:posOffset>
                      </wp:positionH>
                      <wp:positionV relativeFrom="paragraph">
                        <wp:posOffset>-114300</wp:posOffset>
                      </wp:positionV>
                      <wp:extent cx="180975" cy="276225"/>
                      <wp:effectExtent l="0" t="0" r="0" b="0"/>
                      <wp:wrapNone/>
                      <wp:docPr id="11646" name="Text Box 11646"/>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602BB3A" id="Text Box 11646" o:spid="_x0000_s1026" type="#_x0000_t202" style="position:absolute;margin-left:0;margin-top:-9pt;width:14.25pt;height:21.75pt;z-index:251803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zxhLw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04160" behindDoc="0" locked="0" layoutInCell="1" allowOverlap="1" wp14:anchorId="5986CA58" wp14:editId="230D8729">
                      <wp:simplePos x="0" y="0"/>
                      <wp:positionH relativeFrom="column">
                        <wp:posOffset>0</wp:posOffset>
                      </wp:positionH>
                      <wp:positionV relativeFrom="paragraph">
                        <wp:posOffset>-114300</wp:posOffset>
                      </wp:positionV>
                      <wp:extent cx="180975" cy="276225"/>
                      <wp:effectExtent l="0" t="0" r="0" b="0"/>
                      <wp:wrapNone/>
                      <wp:docPr id="11647" name="Text Box 11647"/>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0D997BD" id="Text Box 11647" o:spid="_x0000_s1026" type="#_x0000_t202" style="position:absolute;margin-left:0;margin-top:-9pt;width:14.25pt;height:21.75pt;z-index:251804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SgOzM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05184" behindDoc="0" locked="0" layoutInCell="1" allowOverlap="1" wp14:anchorId="5906E6AA" wp14:editId="78CBFF7D">
                      <wp:simplePos x="0" y="0"/>
                      <wp:positionH relativeFrom="column">
                        <wp:posOffset>0</wp:posOffset>
                      </wp:positionH>
                      <wp:positionV relativeFrom="paragraph">
                        <wp:posOffset>-114300</wp:posOffset>
                      </wp:positionV>
                      <wp:extent cx="180975" cy="276225"/>
                      <wp:effectExtent l="0" t="0" r="0" b="0"/>
                      <wp:wrapNone/>
                      <wp:docPr id="11648" name="Text Box 11648"/>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B08F7E4" id="Text Box 11648" o:spid="_x0000_s1026" type="#_x0000_t202" style="position:absolute;margin-left:0;margin-top:-9pt;width:14.25pt;height:21.75pt;z-index:251805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8YZRG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06208" behindDoc="0" locked="0" layoutInCell="1" allowOverlap="1" wp14:anchorId="451568A7" wp14:editId="615CAD73">
                      <wp:simplePos x="0" y="0"/>
                      <wp:positionH relativeFrom="column">
                        <wp:posOffset>0</wp:posOffset>
                      </wp:positionH>
                      <wp:positionV relativeFrom="paragraph">
                        <wp:posOffset>-114300</wp:posOffset>
                      </wp:positionV>
                      <wp:extent cx="180975" cy="276225"/>
                      <wp:effectExtent l="0" t="0" r="0" b="0"/>
                      <wp:wrapNone/>
                      <wp:docPr id="11649" name="Text Box 11649"/>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BB82156" id="Text Box 11649" o:spid="_x0000_s1026" type="#_x0000_t202" style="position:absolute;margin-left:0;margin-top:-9pt;width:14.25pt;height:21.75pt;z-index:251806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dJ2p6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07232" behindDoc="0" locked="0" layoutInCell="1" allowOverlap="1" wp14:anchorId="3B770C5D" wp14:editId="612221BA">
                      <wp:simplePos x="0" y="0"/>
                      <wp:positionH relativeFrom="column">
                        <wp:posOffset>0</wp:posOffset>
                      </wp:positionH>
                      <wp:positionV relativeFrom="paragraph">
                        <wp:posOffset>-114300</wp:posOffset>
                      </wp:positionV>
                      <wp:extent cx="180975" cy="276225"/>
                      <wp:effectExtent l="0" t="0" r="0" b="0"/>
                      <wp:wrapNone/>
                      <wp:docPr id="11650" name="Text Box 11650"/>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80BEA95" id="Text Box 11650" o:spid="_x0000_s1026" type="#_x0000_t202" style="position:absolute;margin-left:0;margin-top:-9pt;width:14.25pt;height:21.75pt;z-index:251807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08256" behindDoc="0" locked="0" layoutInCell="1" allowOverlap="1" wp14:anchorId="7574C385" wp14:editId="1B7DB530">
                      <wp:simplePos x="0" y="0"/>
                      <wp:positionH relativeFrom="column">
                        <wp:posOffset>0</wp:posOffset>
                      </wp:positionH>
                      <wp:positionV relativeFrom="paragraph">
                        <wp:posOffset>-114300</wp:posOffset>
                      </wp:positionV>
                      <wp:extent cx="180975" cy="276225"/>
                      <wp:effectExtent l="0" t="0" r="0" b="0"/>
                      <wp:wrapNone/>
                      <wp:docPr id="11651" name="Text Box 11651"/>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3DCF991" id="Text Box 11651" o:spid="_x0000_s1026" type="#_x0000_t202" style="position:absolute;margin-left:0;margin-top:-9pt;width:14.25pt;height:21.75pt;z-index:251808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Pw62JG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09280" behindDoc="0" locked="0" layoutInCell="1" allowOverlap="1" wp14:anchorId="409CAD42" wp14:editId="55AF8701">
                      <wp:simplePos x="0" y="0"/>
                      <wp:positionH relativeFrom="column">
                        <wp:posOffset>0</wp:posOffset>
                      </wp:positionH>
                      <wp:positionV relativeFrom="paragraph">
                        <wp:posOffset>-114300</wp:posOffset>
                      </wp:positionV>
                      <wp:extent cx="180975" cy="276225"/>
                      <wp:effectExtent l="0" t="0" r="0" b="0"/>
                      <wp:wrapNone/>
                      <wp:docPr id="11652" name="Text Box 11652"/>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D7B02A8" id="Text Box 11652" o:spid="_x0000_s1026" type="#_x0000_t202" style="position:absolute;margin-left:0;margin-top:-9pt;width:14.25pt;height:21.75pt;z-index:251809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f8drU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10304" behindDoc="0" locked="0" layoutInCell="1" allowOverlap="1" wp14:anchorId="49DB1CE3" wp14:editId="75EFFD0A">
                      <wp:simplePos x="0" y="0"/>
                      <wp:positionH relativeFrom="column">
                        <wp:posOffset>0</wp:posOffset>
                      </wp:positionH>
                      <wp:positionV relativeFrom="paragraph">
                        <wp:posOffset>-114300</wp:posOffset>
                      </wp:positionV>
                      <wp:extent cx="180975" cy="276225"/>
                      <wp:effectExtent l="0" t="0" r="0" b="0"/>
                      <wp:wrapNone/>
                      <wp:docPr id="11653" name="Text Box 11653"/>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36FD7C3" id="Text Box 11653" o:spid="_x0000_s1026" type="#_x0000_t202" style="position:absolute;margin-left:0;margin-top:-9pt;width:14.25pt;height:21.75pt;z-index:251810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tyTo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11328" behindDoc="0" locked="0" layoutInCell="1" allowOverlap="1" wp14:anchorId="12CB5AE7" wp14:editId="1E6B038C">
                      <wp:simplePos x="0" y="0"/>
                      <wp:positionH relativeFrom="column">
                        <wp:posOffset>0</wp:posOffset>
                      </wp:positionH>
                      <wp:positionV relativeFrom="paragraph">
                        <wp:posOffset>-114300</wp:posOffset>
                      </wp:positionV>
                      <wp:extent cx="180975" cy="276225"/>
                      <wp:effectExtent l="0" t="0" r="0" b="0"/>
                      <wp:wrapNone/>
                      <wp:docPr id="11654" name="Text Box 11654"/>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EAE0342" id="Text Box 11654" o:spid="_x0000_s1026" type="#_x0000_t202" style="position:absolute;margin-left:0;margin-top:-9pt;width:14.25pt;height:21.75pt;z-index:251811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ZZ99e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12352" behindDoc="0" locked="0" layoutInCell="1" allowOverlap="1" wp14:anchorId="0A73CB1C" wp14:editId="17439BF5">
                      <wp:simplePos x="0" y="0"/>
                      <wp:positionH relativeFrom="column">
                        <wp:posOffset>0</wp:posOffset>
                      </wp:positionH>
                      <wp:positionV relativeFrom="paragraph">
                        <wp:posOffset>-114300</wp:posOffset>
                      </wp:positionV>
                      <wp:extent cx="180975" cy="276225"/>
                      <wp:effectExtent l="0" t="0" r="0" b="0"/>
                      <wp:wrapNone/>
                      <wp:docPr id="11655" name="Text Box 11655"/>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1F9EBD" id="Text Box 11655" o:spid="_x0000_s1026" type="#_x0000_t202" style="position:absolute;margin-left:0;margin-top:-9pt;width:14.25pt;height:21.75pt;z-index:251812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4ISFi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13376" behindDoc="0" locked="0" layoutInCell="1" allowOverlap="1" wp14:anchorId="17C2D4FB" wp14:editId="287165E5">
                      <wp:simplePos x="0" y="0"/>
                      <wp:positionH relativeFrom="column">
                        <wp:posOffset>0</wp:posOffset>
                      </wp:positionH>
                      <wp:positionV relativeFrom="paragraph">
                        <wp:posOffset>-114300</wp:posOffset>
                      </wp:positionV>
                      <wp:extent cx="180975" cy="276225"/>
                      <wp:effectExtent l="0" t="0" r="0" b="0"/>
                      <wp:wrapNone/>
                      <wp:docPr id="11656" name="Text Box 11656"/>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6BADCA5" id="Text Box 11656" o:spid="_x0000_s1026" type="#_x0000_t202" style="position:absolute;margin-left:0;margin-top:-9pt;width:14.25pt;height:21.75pt;z-index:251813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b6iMn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14400" behindDoc="0" locked="0" layoutInCell="1" allowOverlap="1" wp14:anchorId="215ECB53" wp14:editId="4CAAED6B">
                      <wp:simplePos x="0" y="0"/>
                      <wp:positionH relativeFrom="column">
                        <wp:posOffset>0</wp:posOffset>
                      </wp:positionH>
                      <wp:positionV relativeFrom="paragraph">
                        <wp:posOffset>-114300</wp:posOffset>
                      </wp:positionV>
                      <wp:extent cx="180975" cy="276225"/>
                      <wp:effectExtent l="0" t="0" r="0" b="0"/>
                      <wp:wrapNone/>
                      <wp:docPr id="11657" name="Text Box 11657"/>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A4626C9" id="Text Box 11657" o:spid="_x0000_s1026" type="#_x0000_t202" style="position:absolute;margin-left:0;margin-top:-9pt;width:14.25pt;height:21.75pt;z-index:251814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6rN0b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15424" behindDoc="0" locked="0" layoutInCell="1" allowOverlap="1" wp14:anchorId="5462F989" wp14:editId="740BEA89">
                      <wp:simplePos x="0" y="0"/>
                      <wp:positionH relativeFrom="column">
                        <wp:posOffset>0</wp:posOffset>
                      </wp:positionH>
                      <wp:positionV relativeFrom="paragraph">
                        <wp:posOffset>-114300</wp:posOffset>
                      </wp:positionV>
                      <wp:extent cx="180975" cy="276225"/>
                      <wp:effectExtent l="0" t="0" r="0" b="0"/>
                      <wp:wrapNone/>
                      <wp:docPr id="11658" name="Text Box 11658"/>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4ACB35A" id="Text Box 11658" o:spid="_x0000_s1026" type="#_x0000_t202" style="position:absolute;margin-left:0;margin-top:-9pt;width:14.25pt;height:21.75pt;z-index:251815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UTaWR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16448" behindDoc="0" locked="0" layoutInCell="1" allowOverlap="1" wp14:anchorId="08318DF2" wp14:editId="701F4046">
                      <wp:simplePos x="0" y="0"/>
                      <wp:positionH relativeFrom="column">
                        <wp:posOffset>0</wp:posOffset>
                      </wp:positionH>
                      <wp:positionV relativeFrom="paragraph">
                        <wp:posOffset>-114300</wp:posOffset>
                      </wp:positionV>
                      <wp:extent cx="180975" cy="276225"/>
                      <wp:effectExtent l="0" t="0" r="0" b="0"/>
                      <wp:wrapNone/>
                      <wp:docPr id="11659" name="Text Box 11659"/>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60D40A2" id="Text Box 11659" o:spid="_x0000_s1026" type="#_x0000_t202" style="position:absolute;margin-left:0;margin-top:-9pt;width:14.25pt;height:21.75pt;z-index:251816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1C1ut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17472" behindDoc="0" locked="0" layoutInCell="1" allowOverlap="1" wp14:anchorId="79F1A294" wp14:editId="45F7105C">
                      <wp:simplePos x="0" y="0"/>
                      <wp:positionH relativeFrom="column">
                        <wp:posOffset>0</wp:posOffset>
                      </wp:positionH>
                      <wp:positionV relativeFrom="paragraph">
                        <wp:posOffset>-114300</wp:posOffset>
                      </wp:positionV>
                      <wp:extent cx="180975" cy="276225"/>
                      <wp:effectExtent l="0" t="0" r="0" b="0"/>
                      <wp:wrapNone/>
                      <wp:docPr id="11660" name="Text Box 11660"/>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44E2F5C" id="Text Box 11660" o:spid="_x0000_s1026" type="#_x0000_t202" style="position:absolute;margin-left:0;margin-top:-9pt;width:14.25pt;height:21.75pt;z-index:251817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kDwQP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18496" behindDoc="0" locked="0" layoutInCell="1" allowOverlap="1" wp14:anchorId="323B785B" wp14:editId="2E851A38">
                      <wp:simplePos x="0" y="0"/>
                      <wp:positionH relativeFrom="column">
                        <wp:posOffset>0</wp:posOffset>
                      </wp:positionH>
                      <wp:positionV relativeFrom="paragraph">
                        <wp:posOffset>-114300</wp:posOffset>
                      </wp:positionV>
                      <wp:extent cx="180975" cy="276225"/>
                      <wp:effectExtent l="0" t="0" r="0" b="0"/>
                      <wp:wrapNone/>
                      <wp:docPr id="11661" name="Text Box 11661"/>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C88E46C" id="Text Box 11661" o:spid="_x0000_s1026" type="#_x0000_t202" style="position:absolute;margin-left:0;margin-top:-9pt;width:14.25pt;height:21.75pt;z-index:251818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19520" behindDoc="0" locked="0" layoutInCell="1" allowOverlap="1" wp14:anchorId="434BA40B" wp14:editId="47E121B2">
                      <wp:simplePos x="0" y="0"/>
                      <wp:positionH relativeFrom="column">
                        <wp:posOffset>0</wp:posOffset>
                      </wp:positionH>
                      <wp:positionV relativeFrom="paragraph">
                        <wp:posOffset>-114300</wp:posOffset>
                      </wp:positionV>
                      <wp:extent cx="180975" cy="276225"/>
                      <wp:effectExtent l="0" t="0" r="0" b="0"/>
                      <wp:wrapNone/>
                      <wp:docPr id="11662" name="Text Box 11662"/>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6D31CC8" id="Text Box 11662" o:spid="_x0000_s1026" type="#_x0000_t202" style="position:absolute;margin-left:0;margin-top:-9pt;width:14.25pt;height:21.75pt;z-index:251819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Bmgvh2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20544" behindDoc="0" locked="0" layoutInCell="1" allowOverlap="1" wp14:anchorId="22D6927E" wp14:editId="1CBEA3AC">
                      <wp:simplePos x="0" y="0"/>
                      <wp:positionH relativeFrom="column">
                        <wp:posOffset>0</wp:posOffset>
                      </wp:positionH>
                      <wp:positionV relativeFrom="paragraph">
                        <wp:posOffset>-114300</wp:posOffset>
                      </wp:positionV>
                      <wp:extent cx="180975" cy="276225"/>
                      <wp:effectExtent l="0" t="0" r="0" b="0"/>
                      <wp:wrapNone/>
                      <wp:docPr id="11663" name="Text Box 11663"/>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F0125C4" id="Text Box 11663" o:spid="_x0000_s1026" type="#_x0000_t202" style="position:absolute;margin-left:0;margin-top:-9pt;width:14.25pt;height:21.75pt;z-index:251820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CHxAZK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21568" behindDoc="0" locked="0" layoutInCell="1" allowOverlap="1" wp14:anchorId="5899C44A" wp14:editId="1E0C3DAD">
                      <wp:simplePos x="0" y="0"/>
                      <wp:positionH relativeFrom="column">
                        <wp:posOffset>0</wp:posOffset>
                      </wp:positionH>
                      <wp:positionV relativeFrom="paragraph">
                        <wp:posOffset>-114300</wp:posOffset>
                      </wp:positionV>
                      <wp:extent cx="180975" cy="276225"/>
                      <wp:effectExtent l="0" t="0" r="0" b="0"/>
                      <wp:wrapNone/>
                      <wp:docPr id="11664" name="Text Box 11664"/>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DC18180" id="Text Box 11664" o:spid="_x0000_s1026" type="#_x0000_t202" style="position:absolute;margin-left:0;margin-top:-9pt;width:14.25pt;height:21.75pt;z-index:251821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AgFP38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22592" behindDoc="0" locked="0" layoutInCell="1" allowOverlap="1" wp14:anchorId="56A6D3D0" wp14:editId="5918B4B8">
                      <wp:simplePos x="0" y="0"/>
                      <wp:positionH relativeFrom="column">
                        <wp:posOffset>0</wp:posOffset>
                      </wp:positionH>
                      <wp:positionV relativeFrom="paragraph">
                        <wp:posOffset>-114300</wp:posOffset>
                      </wp:positionV>
                      <wp:extent cx="180975" cy="276225"/>
                      <wp:effectExtent l="0" t="0" r="0" b="0"/>
                      <wp:wrapNone/>
                      <wp:docPr id="11665" name="Text Box 11665"/>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29C94E" id="Text Box 11665" o:spid="_x0000_s1026" type="#_x0000_t202" style="position:absolute;margin-left:0;margin-top:-9pt;width:14.25pt;height:21.75pt;z-index:251822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BUgPAtAEAAGEDAAAOAAAAAAAAAAAAAAAAAC4CAABkcnMvZTJvRG9jLnht&#10;bFBLAQItABQABgAIAAAAIQAArTTK2gAAAAYBAAAPAAAAAAAAAAAAAAAAAA4EAABkcnMvZG93bnJl&#10;di54bWxQSwUGAAAAAAQABADzAAAAFQUAAAAA&#10;" filled="f" stroked="f">
                      <v:textbox style="mso-fit-shape-to-text:t"/>
                    </v:shape>
                  </w:pict>
                </mc:Fallback>
              </mc:AlternateContent>
            </w:r>
            <w:r w:rsidRPr="00761800">
              <w:rPr>
                <w:rFonts w:ascii="Calibri" w:hAnsi="Calibri" w:cs="Calibri"/>
                <w:noProof/>
                <w:color w:val="000000"/>
                <w:sz w:val="22"/>
                <w:szCs w:val="22"/>
                <w:lang w:eastAsia="bg-BG"/>
              </w:rPr>
              <mc:AlternateContent>
                <mc:Choice Requires="wps">
                  <w:drawing>
                    <wp:anchor distT="0" distB="0" distL="114300" distR="114300" simplePos="0" relativeHeight="251823616" behindDoc="0" locked="0" layoutInCell="1" allowOverlap="1" wp14:anchorId="23D9CEBD" wp14:editId="75DCDE9B">
                      <wp:simplePos x="0" y="0"/>
                      <wp:positionH relativeFrom="column">
                        <wp:posOffset>0</wp:posOffset>
                      </wp:positionH>
                      <wp:positionV relativeFrom="paragraph">
                        <wp:posOffset>-114300</wp:posOffset>
                      </wp:positionV>
                      <wp:extent cx="180975" cy="276225"/>
                      <wp:effectExtent l="0" t="0" r="0" b="0"/>
                      <wp:wrapNone/>
                      <wp:docPr id="11666" name="Text Box 11666"/>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E73DA7" id="Text Box 11666" o:spid="_x0000_s1026" type="#_x0000_t202" style="position:absolute;margin-left:0;margin-top:-9pt;width:14.25pt;height:21.75pt;z-index:251823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360"/>
            </w:tblGrid>
            <w:tr w:rsidR="00761800" w:rsidRPr="00761800" w14:paraId="5FBC5660" w14:textId="77777777" w:rsidTr="00406B4D">
              <w:trPr>
                <w:trHeight w:val="300"/>
                <w:tblCellSpacing w:w="0" w:type="dxa"/>
              </w:trPr>
              <w:tc>
                <w:tcPr>
                  <w:tcW w:w="1360" w:type="dxa"/>
                  <w:tcBorders>
                    <w:top w:val="nil"/>
                    <w:left w:val="nil"/>
                    <w:bottom w:val="nil"/>
                    <w:right w:val="nil"/>
                  </w:tcBorders>
                  <w:shd w:val="clear" w:color="000000" w:fill="FFFFFF"/>
                  <w:noWrap/>
                  <w:vAlign w:val="bottom"/>
                  <w:hideMark/>
                </w:tcPr>
                <w:p w14:paraId="4D9171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xml:space="preserve"> (хил. евро)</w:t>
                  </w:r>
                </w:p>
              </w:tc>
            </w:tr>
          </w:tbl>
          <w:p w14:paraId="574A8C05" w14:textId="77777777" w:rsidR="00761800" w:rsidRPr="00761800" w:rsidRDefault="00761800" w:rsidP="00761800">
            <w:pPr>
              <w:rPr>
                <w:rFonts w:ascii="Calibri" w:hAnsi="Calibri" w:cs="Calibri"/>
                <w:color w:val="000000"/>
                <w:sz w:val="22"/>
                <w:szCs w:val="22"/>
                <w:lang w:eastAsia="bg-BG"/>
              </w:rPr>
            </w:pPr>
          </w:p>
        </w:tc>
      </w:tr>
      <w:tr w:rsidR="00761800" w:rsidRPr="00761800" w14:paraId="56227ABF" w14:textId="77777777" w:rsidTr="00406B4D">
        <w:trPr>
          <w:trHeight w:val="300"/>
        </w:trPr>
        <w:tc>
          <w:tcPr>
            <w:tcW w:w="5064"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7EFA8E4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Общини</w:t>
            </w:r>
          </w:p>
        </w:tc>
        <w:tc>
          <w:tcPr>
            <w:tcW w:w="146" w:type="dxa"/>
            <w:tcBorders>
              <w:top w:val="single" w:sz="4" w:space="0" w:color="auto"/>
              <w:left w:val="nil"/>
              <w:bottom w:val="nil"/>
              <w:right w:val="nil"/>
            </w:tcBorders>
            <w:shd w:val="clear" w:color="000000" w:fill="FFFFFF"/>
          </w:tcPr>
          <w:p w14:paraId="6D31F803" w14:textId="77777777" w:rsidR="00761800" w:rsidRPr="00761800" w:rsidRDefault="00761800" w:rsidP="00761800">
            <w:pPr>
              <w:jc w:val="center"/>
              <w:rPr>
                <w:rFonts w:ascii="Times New Roman" w:hAnsi="Times New Roman"/>
                <w:sz w:val="22"/>
                <w:szCs w:val="22"/>
                <w:lang w:eastAsia="bg-BG"/>
              </w:rPr>
            </w:pPr>
          </w:p>
        </w:tc>
        <w:tc>
          <w:tcPr>
            <w:tcW w:w="1453" w:type="dxa"/>
            <w:tcBorders>
              <w:top w:val="single" w:sz="4" w:space="0" w:color="auto"/>
              <w:left w:val="nil"/>
              <w:bottom w:val="nil"/>
              <w:right w:val="single" w:sz="4" w:space="0" w:color="auto"/>
            </w:tcBorders>
            <w:shd w:val="clear" w:color="000000" w:fill="FFFFFF"/>
            <w:noWrap/>
            <w:vAlign w:val="bottom"/>
            <w:hideMark/>
          </w:tcPr>
          <w:p w14:paraId="3104756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 Основни</w:t>
            </w:r>
          </w:p>
        </w:tc>
        <w:tc>
          <w:tcPr>
            <w:tcW w:w="6404" w:type="dxa"/>
            <w:gridSpan w:val="6"/>
            <w:tcBorders>
              <w:top w:val="single" w:sz="4" w:space="0" w:color="auto"/>
              <w:left w:val="nil"/>
              <w:bottom w:val="single" w:sz="4" w:space="0" w:color="auto"/>
              <w:right w:val="single" w:sz="4" w:space="0" w:color="000000"/>
            </w:tcBorders>
            <w:shd w:val="clear" w:color="000000" w:fill="FFFFFF"/>
            <w:noWrap/>
            <w:vAlign w:val="bottom"/>
            <w:hideMark/>
          </w:tcPr>
          <w:p w14:paraId="131933C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от тях:</w:t>
            </w:r>
          </w:p>
        </w:tc>
        <w:tc>
          <w:tcPr>
            <w:tcW w:w="1701" w:type="dxa"/>
            <w:gridSpan w:val="2"/>
            <w:tcBorders>
              <w:top w:val="single" w:sz="4" w:space="0" w:color="auto"/>
              <w:left w:val="nil"/>
              <w:bottom w:val="nil"/>
              <w:right w:val="single" w:sz="4" w:space="0" w:color="auto"/>
            </w:tcBorders>
            <w:shd w:val="clear" w:color="000000" w:fill="FFFFFF"/>
            <w:noWrap/>
            <w:vAlign w:val="bottom"/>
            <w:hideMark/>
          </w:tcPr>
          <w:p w14:paraId="48E3618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 Трансфери</w:t>
            </w:r>
          </w:p>
        </w:tc>
      </w:tr>
      <w:tr w:rsidR="00761800" w:rsidRPr="00761800" w14:paraId="19646E8F" w14:textId="77777777" w:rsidTr="00406B4D">
        <w:trPr>
          <w:trHeight w:val="300"/>
        </w:trPr>
        <w:tc>
          <w:tcPr>
            <w:tcW w:w="5064" w:type="dxa"/>
            <w:vMerge/>
            <w:tcBorders>
              <w:top w:val="single" w:sz="4" w:space="0" w:color="auto"/>
              <w:left w:val="single" w:sz="4" w:space="0" w:color="auto"/>
              <w:bottom w:val="single" w:sz="4" w:space="0" w:color="000000"/>
              <w:right w:val="single" w:sz="4" w:space="0" w:color="auto"/>
            </w:tcBorders>
            <w:vAlign w:val="center"/>
            <w:hideMark/>
          </w:tcPr>
          <w:p w14:paraId="03CBDC63" w14:textId="77777777" w:rsidR="00761800" w:rsidRPr="00761800" w:rsidRDefault="00761800" w:rsidP="00761800">
            <w:pPr>
              <w:rPr>
                <w:rFonts w:ascii="Times New Roman" w:hAnsi="Times New Roman"/>
                <w:sz w:val="22"/>
                <w:szCs w:val="22"/>
                <w:lang w:eastAsia="bg-BG"/>
              </w:rPr>
            </w:pPr>
          </w:p>
        </w:tc>
        <w:tc>
          <w:tcPr>
            <w:tcW w:w="146" w:type="dxa"/>
            <w:tcBorders>
              <w:top w:val="nil"/>
              <w:left w:val="nil"/>
              <w:bottom w:val="nil"/>
              <w:right w:val="nil"/>
            </w:tcBorders>
            <w:shd w:val="clear" w:color="000000" w:fill="FFFFFF"/>
          </w:tcPr>
          <w:p w14:paraId="3ED28420" w14:textId="77777777" w:rsidR="00761800" w:rsidRPr="00761800" w:rsidRDefault="00761800" w:rsidP="00761800">
            <w:pPr>
              <w:jc w:val="center"/>
              <w:rPr>
                <w:rFonts w:ascii="Times New Roman" w:hAnsi="Times New Roman"/>
                <w:sz w:val="22"/>
                <w:szCs w:val="22"/>
                <w:lang w:eastAsia="bg-BG"/>
              </w:rPr>
            </w:pPr>
          </w:p>
        </w:tc>
        <w:tc>
          <w:tcPr>
            <w:tcW w:w="1453" w:type="dxa"/>
            <w:tcBorders>
              <w:top w:val="nil"/>
              <w:left w:val="nil"/>
              <w:bottom w:val="nil"/>
              <w:right w:val="single" w:sz="4" w:space="0" w:color="auto"/>
            </w:tcBorders>
            <w:shd w:val="clear" w:color="000000" w:fill="FFFFFF"/>
            <w:noWrap/>
            <w:vAlign w:val="bottom"/>
            <w:hideMark/>
          </w:tcPr>
          <w:p w14:paraId="2D23A86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xml:space="preserve">бюджетни </w:t>
            </w:r>
          </w:p>
        </w:tc>
        <w:tc>
          <w:tcPr>
            <w:tcW w:w="1406" w:type="dxa"/>
            <w:tcBorders>
              <w:top w:val="nil"/>
              <w:left w:val="nil"/>
              <w:bottom w:val="nil"/>
              <w:right w:val="nil"/>
            </w:tcBorders>
            <w:shd w:val="clear" w:color="000000" w:fill="FFFFFF"/>
            <w:noWrap/>
            <w:vAlign w:val="bottom"/>
            <w:hideMark/>
          </w:tcPr>
          <w:p w14:paraId="4BFF422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3580" w:type="dxa"/>
            <w:gridSpan w:val="3"/>
            <w:tcBorders>
              <w:top w:val="single" w:sz="4" w:space="0" w:color="auto"/>
              <w:left w:val="single" w:sz="4" w:space="0" w:color="auto"/>
              <w:bottom w:val="nil"/>
              <w:right w:val="single" w:sz="4" w:space="0" w:color="000000"/>
            </w:tcBorders>
            <w:shd w:val="clear" w:color="000000" w:fill="FFFFFF"/>
            <w:noWrap/>
            <w:vAlign w:val="bottom"/>
            <w:hideMark/>
          </w:tcPr>
          <w:p w14:paraId="1A9A368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трансфери за местни дейности</w:t>
            </w:r>
          </w:p>
        </w:tc>
        <w:tc>
          <w:tcPr>
            <w:tcW w:w="1418" w:type="dxa"/>
            <w:gridSpan w:val="2"/>
            <w:tcBorders>
              <w:top w:val="nil"/>
              <w:left w:val="nil"/>
              <w:bottom w:val="nil"/>
              <w:right w:val="single" w:sz="4" w:space="0" w:color="auto"/>
            </w:tcBorders>
            <w:shd w:val="clear" w:color="000000" w:fill="FFFFFF"/>
            <w:noWrap/>
            <w:vAlign w:val="bottom"/>
            <w:hideMark/>
          </w:tcPr>
          <w:p w14:paraId="292B8B4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nil"/>
              <w:right w:val="single" w:sz="4" w:space="0" w:color="auto"/>
            </w:tcBorders>
            <w:shd w:val="clear" w:color="000000" w:fill="FFFFFF"/>
            <w:noWrap/>
            <w:vAlign w:val="bottom"/>
            <w:hideMark/>
          </w:tcPr>
          <w:p w14:paraId="068AE44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за други</w:t>
            </w:r>
          </w:p>
        </w:tc>
      </w:tr>
      <w:tr w:rsidR="00761800" w:rsidRPr="00761800" w14:paraId="0372B04A" w14:textId="77777777" w:rsidTr="00406B4D">
        <w:trPr>
          <w:gridAfter w:val="1"/>
          <w:wAfter w:w="8" w:type="dxa"/>
          <w:trHeight w:val="300"/>
        </w:trPr>
        <w:tc>
          <w:tcPr>
            <w:tcW w:w="5064" w:type="dxa"/>
            <w:vMerge/>
            <w:tcBorders>
              <w:top w:val="single" w:sz="4" w:space="0" w:color="auto"/>
              <w:left w:val="single" w:sz="4" w:space="0" w:color="auto"/>
              <w:bottom w:val="single" w:sz="4" w:space="0" w:color="000000"/>
              <w:right w:val="single" w:sz="4" w:space="0" w:color="auto"/>
            </w:tcBorders>
            <w:vAlign w:val="center"/>
            <w:hideMark/>
          </w:tcPr>
          <w:p w14:paraId="3CF2139B" w14:textId="77777777" w:rsidR="00761800" w:rsidRPr="00761800" w:rsidRDefault="00761800" w:rsidP="00761800">
            <w:pPr>
              <w:rPr>
                <w:rFonts w:ascii="Times New Roman" w:hAnsi="Times New Roman"/>
                <w:sz w:val="22"/>
                <w:szCs w:val="22"/>
                <w:lang w:eastAsia="bg-BG"/>
              </w:rPr>
            </w:pPr>
          </w:p>
        </w:tc>
        <w:tc>
          <w:tcPr>
            <w:tcW w:w="146" w:type="dxa"/>
            <w:tcBorders>
              <w:top w:val="nil"/>
              <w:left w:val="nil"/>
              <w:bottom w:val="nil"/>
              <w:right w:val="nil"/>
            </w:tcBorders>
            <w:shd w:val="clear" w:color="000000" w:fill="FFFFFF"/>
          </w:tcPr>
          <w:p w14:paraId="2DE6E8DE" w14:textId="77777777" w:rsidR="00761800" w:rsidRPr="00761800" w:rsidRDefault="00761800" w:rsidP="00761800">
            <w:pPr>
              <w:jc w:val="center"/>
              <w:rPr>
                <w:rFonts w:ascii="Times New Roman" w:hAnsi="Times New Roman"/>
                <w:sz w:val="22"/>
                <w:szCs w:val="22"/>
                <w:lang w:eastAsia="bg-BG"/>
              </w:rPr>
            </w:pPr>
          </w:p>
        </w:tc>
        <w:tc>
          <w:tcPr>
            <w:tcW w:w="1453" w:type="dxa"/>
            <w:tcBorders>
              <w:top w:val="nil"/>
              <w:left w:val="nil"/>
              <w:bottom w:val="nil"/>
              <w:right w:val="single" w:sz="4" w:space="0" w:color="auto"/>
            </w:tcBorders>
            <w:shd w:val="clear" w:color="000000" w:fill="FFFFFF"/>
            <w:noWrap/>
            <w:vAlign w:val="bottom"/>
            <w:hideMark/>
          </w:tcPr>
          <w:p w14:paraId="0E80520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взаимоотно-</w:t>
            </w:r>
          </w:p>
        </w:tc>
        <w:tc>
          <w:tcPr>
            <w:tcW w:w="1406" w:type="dxa"/>
            <w:tcBorders>
              <w:top w:val="nil"/>
              <w:left w:val="nil"/>
              <w:bottom w:val="nil"/>
              <w:right w:val="nil"/>
            </w:tcBorders>
            <w:shd w:val="clear" w:color="000000" w:fill="FFFFFF"/>
            <w:noWrap/>
            <w:vAlign w:val="bottom"/>
            <w:hideMark/>
          </w:tcPr>
          <w:p w14:paraId="6BD7DE6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Обща</w:t>
            </w:r>
          </w:p>
        </w:tc>
        <w:tc>
          <w:tcPr>
            <w:tcW w:w="1570" w:type="dxa"/>
            <w:tcBorders>
              <w:top w:val="nil"/>
              <w:left w:val="single" w:sz="4" w:space="0" w:color="auto"/>
              <w:bottom w:val="single" w:sz="4" w:space="0" w:color="auto"/>
              <w:right w:val="nil"/>
            </w:tcBorders>
            <w:shd w:val="clear" w:color="000000" w:fill="FFFFFF"/>
            <w:noWrap/>
            <w:vAlign w:val="bottom"/>
            <w:hideMark/>
          </w:tcPr>
          <w:p w14:paraId="537B61D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3F665CB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nil"/>
              <w:right w:val="single" w:sz="4" w:space="0" w:color="auto"/>
            </w:tcBorders>
            <w:shd w:val="clear" w:color="000000" w:fill="FFFFFF"/>
            <w:noWrap/>
            <w:vAlign w:val="bottom"/>
            <w:hideMark/>
          </w:tcPr>
          <w:p w14:paraId="54FE9A0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xml:space="preserve">Целева </w:t>
            </w:r>
          </w:p>
        </w:tc>
        <w:tc>
          <w:tcPr>
            <w:tcW w:w="1701" w:type="dxa"/>
            <w:gridSpan w:val="2"/>
            <w:tcBorders>
              <w:top w:val="nil"/>
              <w:left w:val="nil"/>
              <w:bottom w:val="nil"/>
              <w:right w:val="single" w:sz="4" w:space="0" w:color="auto"/>
            </w:tcBorders>
            <w:shd w:val="clear" w:color="000000" w:fill="FFFFFF"/>
            <w:noWrap/>
            <w:vAlign w:val="bottom"/>
            <w:hideMark/>
          </w:tcPr>
          <w:p w14:paraId="4667494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целеви</w:t>
            </w:r>
          </w:p>
        </w:tc>
      </w:tr>
      <w:tr w:rsidR="00761800" w:rsidRPr="00761800" w14:paraId="5EB5FF4D" w14:textId="77777777" w:rsidTr="00406B4D">
        <w:trPr>
          <w:gridAfter w:val="1"/>
          <w:wAfter w:w="8" w:type="dxa"/>
          <w:trHeight w:val="300"/>
        </w:trPr>
        <w:tc>
          <w:tcPr>
            <w:tcW w:w="5064" w:type="dxa"/>
            <w:vMerge/>
            <w:tcBorders>
              <w:top w:val="single" w:sz="4" w:space="0" w:color="auto"/>
              <w:left w:val="single" w:sz="4" w:space="0" w:color="auto"/>
              <w:bottom w:val="single" w:sz="4" w:space="0" w:color="000000"/>
              <w:right w:val="single" w:sz="4" w:space="0" w:color="auto"/>
            </w:tcBorders>
            <w:vAlign w:val="center"/>
            <w:hideMark/>
          </w:tcPr>
          <w:p w14:paraId="61E1C0A7" w14:textId="77777777" w:rsidR="00761800" w:rsidRPr="00761800" w:rsidRDefault="00761800" w:rsidP="00761800">
            <w:pPr>
              <w:rPr>
                <w:rFonts w:ascii="Times New Roman" w:hAnsi="Times New Roman"/>
                <w:sz w:val="22"/>
                <w:szCs w:val="22"/>
                <w:lang w:eastAsia="bg-BG"/>
              </w:rPr>
            </w:pPr>
          </w:p>
        </w:tc>
        <w:tc>
          <w:tcPr>
            <w:tcW w:w="146" w:type="dxa"/>
            <w:tcBorders>
              <w:top w:val="nil"/>
              <w:left w:val="nil"/>
              <w:bottom w:val="nil"/>
              <w:right w:val="nil"/>
            </w:tcBorders>
            <w:shd w:val="clear" w:color="000000" w:fill="FFFFFF"/>
          </w:tcPr>
          <w:p w14:paraId="2CA8A23B" w14:textId="77777777" w:rsidR="00761800" w:rsidRPr="00761800" w:rsidRDefault="00761800" w:rsidP="00761800">
            <w:pPr>
              <w:jc w:val="center"/>
              <w:rPr>
                <w:rFonts w:ascii="Times New Roman" w:hAnsi="Times New Roman"/>
                <w:sz w:val="22"/>
                <w:szCs w:val="22"/>
                <w:lang w:eastAsia="bg-BG"/>
              </w:rPr>
            </w:pPr>
          </w:p>
        </w:tc>
        <w:tc>
          <w:tcPr>
            <w:tcW w:w="1453" w:type="dxa"/>
            <w:tcBorders>
              <w:top w:val="nil"/>
              <w:left w:val="nil"/>
              <w:bottom w:val="nil"/>
              <w:right w:val="single" w:sz="4" w:space="0" w:color="auto"/>
            </w:tcBorders>
            <w:shd w:val="clear" w:color="000000" w:fill="FFFFFF"/>
            <w:noWrap/>
            <w:vAlign w:val="bottom"/>
            <w:hideMark/>
          </w:tcPr>
          <w:p w14:paraId="5C6489E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шения</w:t>
            </w:r>
          </w:p>
        </w:tc>
        <w:tc>
          <w:tcPr>
            <w:tcW w:w="1406" w:type="dxa"/>
            <w:tcBorders>
              <w:top w:val="nil"/>
              <w:left w:val="nil"/>
              <w:bottom w:val="nil"/>
              <w:right w:val="single" w:sz="4" w:space="0" w:color="auto"/>
            </w:tcBorders>
            <w:shd w:val="clear" w:color="000000" w:fill="FFFFFF"/>
            <w:noWrap/>
            <w:vAlign w:val="bottom"/>
            <w:hideMark/>
          </w:tcPr>
          <w:p w14:paraId="180C106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xml:space="preserve">субсидия за </w:t>
            </w:r>
          </w:p>
        </w:tc>
        <w:tc>
          <w:tcPr>
            <w:tcW w:w="1570" w:type="dxa"/>
            <w:tcBorders>
              <w:top w:val="nil"/>
              <w:left w:val="nil"/>
              <w:bottom w:val="nil"/>
              <w:right w:val="single" w:sz="4" w:space="0" w:color="auto"/>
            </w:tcBorders>
            <w:shd w:val="clear" w:color="000000" w:fill="FFFFFF"/>
            <w:noWrap/>
            <w:vAlign w:val="bottom"/>
            <w:hideMark/>
          </w:tcPr>
          <w:p w14:paraId="21DF22C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обща</w:t>
            </w:r>
          </w:p>
        </w:tc>
        <w:tc>
          <w:tcPr>
            <w:tcW w:w="2002" w:type="dxa"/>
            <w:tcBorders>
              <w:top w:val="nil"/>
              <w:left w:val="nil"/>
              <w:bottom w:val="nil"/>
              <w:right w:val="single" w:sz="4" w:space="0" w:color="auto"/>
            </w:tcBorders>
            <w:shd w:val="clear" w:color="000000" w:fill="FFFFFF"/>
            <w:noWrap/>
            <w:vAlign w:val="bottom"/>
            <w:hideMark/>
          </w:tcPr>
          <w:p w14:paraId="0847005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за зимно</w:t>
            </w:r>
          </w:p>
        </w:tc>
        <w:tc>
          <w:tcPr>
            <w:tcW w:w="1418" w:type="dxa"/>
            <w:gridSpan w:val="2"/>
            <w:tcBorders>
              <w:top w:val="nil"/>
              <w:left w:val="nil"/>
              <w:bottom w:val="nil"/>
              <w:right w:val="single" w:sz="4" w:space="0" w:color="auto"/>
            </w:tcBorders>
            <w:shd w:val="clear" w:color="000000" w:fill="FFFFFF"/>
            <w:noWrap/>
            <w:vAlign w:val="bottom"/>
            <w:hideMark/>
          </w:tcPr>
          <w:p w14:paraId="26E4083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xml:space="preserve">субсидия за </w:t>
            </w:r>
          </w:p>
        </w:tc>
        <w:tc>
          <w:tcPr>
            <w:tcW w:w="1701" w:type="dxa"/>
            <w:gridSpan w:val="2"/>
            <w:tcBorders>
              <w:top w:val="nil"/>
              <w:left w:val="nil"/>
              <w:bottom w:val="nil"/>
              <w:right w:val="single" w:sz="4" w:space="0" w:color="auto"/>
            </w:tcBorders>
            <w:shd w:val="clear" w:color="000000" w:fill="FFFFFF"/>
            <w:noWrap/>
            <w:vAlign w:val="bottom"/>
            <w:hideMark/>
          </w:tcPr>
          <w:p w14:paraId="151B987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xml:space="preserve">разходи </w:t>
            </w:r>
          </w:p>
        </w:tc>
      </w:tr>
      <w:tr w:rsidR="00761800" w:rsidRPr="00761800" w14:paraId="78AED1BD" w14:textId="77777777" w:rsidTr="00406B4D">
        <w:trPr>
          <w:gridAfter w:val="1"/>
          <w:wAfter w:w="8" w:type="dxa"/>
          <w:trHeight w:val="300"/>
        </w:trPr>
        <w:tc>
          <w:tcPr>
            <w:tcW w:w="5064" w:type="dxa"/>
            <w:vMerge/>
            <w:tcBorders>
              <w:top w:val="single" w:sz="4" w:space="0" w:color="auto"/>
              <w:left w:val="single" w:sz="4" w:space="0" w:color="auto"/>
              <w:bottom w:val="single" w:sz="4" w:space="0" w:color="000000"/>
              <w:right w:val="single" w:sz="4" w:space="0" w:color="auto"/>
            </w:tcBorders>
            <w:vAlign w:val="center"/>
            <w:hideMark/>
          </w:tcPr>
          <w:p w14:paraId="07100B89" w14:textId="77777777" w:rsidR="00761800" w:rsidRPr="00761800" w:rsidRDefault="00761800" w:rsidP="00761800">
            <w:pPr>
              <w:rPr>
                <w:rFonts w:ascii="Times New Roman" w:hAnsi="Times New Roman"/>
                <w:sz w:val="22"/>
                <w:szCs w:val="22"/>
                <w:lang w:eastAsia="bg-BG"/>
              </w:rPr>
            </w:pPr>
          </w:p>
        </w:tc>
        <w:tc>
          <w:tcPr>
            <w:tcW w:w="146" w:type="dxa"/>
            <w:tcBorders>
              <w:top w:val="nil"/>
              <w:left w:val="nil"/>
              <w:bottom w:val="nil"/>
              <w:right w:val="nil"/>
            </w:tcBorders>
            <w:shd w:val="clear" w:color="000000" w:fill="FFFFFF"/>
          </w:tcPr>
          <w:p w14:paraId="0D974317" w14:textId="77777777" w:rsidR="00761800" w:rsidRPr="00761800" w:rsidRDefault="00761800" w:rsidP="00761800">
            <w:pPr>
              <w:jc w:val="center"/>
              <w:rPr>
                <w:rFonts w:ascii="Times New Roman" w:hAnsi="Times New Roman"/>
                <w:sz w:val="22"/>
                <w:szCs w:val="22"/>
                <w:lang w:eastAsia="bg-BG"/>
              </w:rPr>
            </w:pPr>
          </w:p>
        </w:tc>
        <w:tc>
          <w:tcPr>
            <w:tcW w:w="1453" w:type="dxa"/>
            <w:tcBorders>
              <w:top w:val="nil"/>
              <w:left w:val="nil"/>
              <w:bottom w:val="nil"/>
              <w:right w:val="single" w:sz="4" w:space="0" w:color="auto"/>
            </w:tcBorders>
            <w:shd w:val="clear" w:color="000000" w:fill="FFFFFF"/>
            <w:noWrap/>
            <w:vAlign w:val="bottom"/>
            <w:hideMark/>
          </w:tcPr>
          <w:p w14:paraId="7EF5854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nil"/>
              <w:right w:val="single" w:sz="4" w:space="0" w:color="auto"/>
            </w:tcBorders>
            <w:shd w:val="clear" w:color="000000" w:fill="FFFFFF"/>
            <w:noWrap/>
            <w:vAlign w:val="bottom"/>
            <w:hideMark/>
          </w:tcPr>
          <w:p w14:paraId="2C079A7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делегираните</w:t>
            </w:r>
          </w:p>
        </w:tc>
        <w:tc>
          <w:tcPr>
            <w:tcW w:w="1570" w:type="dxa"/>
            <w:tcBorders>
              <w:top w:val="nil"/>
              <w:left w:val="nil"/>
              <w:bottom w:val="nil"/>
              <w:right w:val="single" w:sz="4" w:space="0" w:color="auto"/>
            </w:tcBorders>
            <w:shd w:val="clear" w:color="000000" w:fill="FFFFFF"/>
            <w:noWrap/>
            <w:vAlign w:val="bottom"/>
            <w:hideMark/>
          </w:tcPr>
          <w:p w14:paraId="3ABC8ED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изравнителна</w:t>
            </w:r>
          </w:p>
        </w:tc>
        <w:tc>
          <w:tcPr>
            <w:tcW w:w="2002" w:type="dxa"/>
            <w:tcBorders>
              <w:top w:val="nil"/>
              <w:left w:val="nil"/>
              <w:bottom w:val="nil"/>
              <w:right w:val="single" w:sz="4" w:space="0" w:color="auto"/>
            </w:tcBorders>
            <w:shd w:val="clear" w:color="000000" w:fill="FFFFFF"/>
            <w:noWrap/>
            <w:vAlign w:val="bottom"/>
            <w:hideMark/>
          </w:tcPr>
          <w:p w14:paraId="6EC05A8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поддържане и</w:t>
            </w:r>
          </w:p>
        </w:tc>
        <w:tc>
          <w:tcPr>
            <w:tcW w:w="1418" w:type="dxa"/>
            <w:gridSpan w:val="2"/>
            <w:tcBorders>
              <w:top w:val="nil"/>
              <w:left w:val="nil"/>
              <w:bottom w:val="nil"/>
              <w:right w:val="single" w:sz="4" w:space="0" w:color="auto"/>
            </w:tcBorders>
            <w:shd w:val="clear" w:color="000000" w:fill="FFFFFF"/>
            <w:noWrap/>
            <w:vAlign w:val="bottom"/>
            <w:hideMark/>
          </w:tcPr>
          <w:p w14:paraId="645E662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капиталови</w:t>
            </w:r>
          </w:p>
        </w:tc>
        <w:tc>
          <w:tcPr>
            <w:tcW w:w="1701" w:type="dxa"/>
            <w:gridSpan w:val="2"/>
            <w:tcBorders>
              <w:top w:val="nil"/>
              <w:left w:val="nil"/>
              <w:bottom w:val="nil"/>
              <w:right w:val="single" w:sz="4" w:space="0" w:color="auto"/>
            </w:tcBorders>
            <w:shd w:val="clear" w:color="000000" w:fill="FFFFFF"/>
            <w:noWrap/>
            <w:vAlign w:val="bottom"/>
            <w:hideMark/>
          </w:tcPr>
          <w:p w14:paraId="1482CAE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за местни</w:t>
            </w:r>
          </w:p>
        </w:tc>
      </w:tr>
      <w:tr w:rsidR="00761800" w:rsidRPr="00761800" w14:paraId="23BE361B" w14:textId="77777777" w:rsidTr="00406B4D">
        <w:trPr>
          <w:gridAfter w:val="1"/>
          <w:wAfter w:w="8" w:type="dxa"/>
          <w:trHeight w:val="300"/>
        </w:trPr>
        <w:tc>
          <w:tcPr>
            <w:tcW w:w="5064" w:type="dxa"/>
            <w:vMerge/>
            <w:tcBorders>
              <w:top w:val="single" w:sz="4" w:space="0" w:color="auto"/>
              <w:left w:val="single" w:sz="4" w:space="0" w:color="auto"/>
              <w:bottom w:val="single" w:sz="4" w:space="0" w:color="000000"/>
              <w:right w:val="single" w:sz="4" w:space="0" w:color="auto"/>
            </w:tcBorders>
            <w:vAlign w:val="center"/>
            <w:hideMark/>
          </w:tcPr>
          <w:p w14:paraId="65B126FC" w14:textId="77777777" w:rsidR="00761800" w:rsidRPr="00761800" w:rsidRDefault="00761800" w:rsidP="00761800">
            <w:pPr>
              <w:rPr>
                <w:rFonts w:ascii="Times New Roman" w:hAnsi="Times New Roman"/>
                <w:sz w:val="22"/>
                <w:szCs w:val="22"/>
                <w:lang w:eastAsia="bg-BG"/>
              </w:rPr>
            </w:pPr>
          </w:p>
        </w:tc>
        <w:tc>
          <w:tcPr>
            <w:tcW w:w="146" w:type="dxa"/>
            <w:tcBorders>
              <w:top w:val="nil"/>
              <w:left w:val="nil"/>
              <w:bottom w:val="nil"/>
              <w:right w:val="nil"/>
            </w:tcBorders>
            <w:shd w:val="clear" w:color="000000" w:fill="FFFFFF"/>
          </w:tcPr>
          <w:p w14:paraId="58317DF8" w14:textId="77777777" w:rsidR="00761800" w:rsidRPr="00761800" w:rsidRDefault="00761800" w:rsidP="00761800">
            <w:pPr>
              <w:jc w:val="center"/>
              <w:rPr>
                <w:rFonts w:ascii="Times New Roman" w:hAnsi="Times New Roman"/>
                <w:sz w:val="22"/>
                <w:szCs w:val="22"/>
                <w:lang w:eastAsia="bg-BG"/>
              </w:rPr>
            </w:pPr>
          </w:p>
        </w:tc>
        <w:tc>
          <w:tcPr>
            <w:tcW w:w="1453" w:type="dxa"/>
            <w:tcBorders>
              <w:top w:val="nil"/>
              <w:left w:val="nil"/>
              <w:bottom w:val="nil"/>
              <w:right w:val="single" w:sz="4" w:space="0" w:color="auto"/>
            </w:tcBorders>
            <w:shd w:val="clear" w:color="000000" w:fill="FFFFFF"/>
            <w:noWrap/>
            <w:vAlign w:val="bottom"/>
            <w:hideMark/>
          </w:tcPr>
          <w:p w14:paraId="7DBA668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nil"/>
              <w:right w:val="single" w:sz="4" w:space="0" w:color="auto"/>
            </w:tcBorders>
            <w:shd w:val="clear" w:color="000000" w:fill="FFFFFF"/>
            <w:noWrap/>
            <w:vAlign w:val="bottom"/>
            <w:hideMark/>
          </w:tcPr>
          <w:p w14:paraId="72FD897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от държавата</w:t>
            </w:r>
          </w:p>
        </w:tc>
        <w:tc>
          <w:tcPr>
            <w:tcW w:w="1570" w:type="dxa"/>
            <w:tcBorders>
              <w:top w:val="nil"/>
              <w:left w:val="nil"/>
              <w:bottom w:val="nil"/>
              <w:right w:val="single" w:sz="4" w:space="0" w:color="auto"/>
            </w:tcBorders>
            <w:shd w:val="clear" w:color="000000" w:fill="FFFFFF"/>
            <w:noWrap/>
            <w:vAlign w:val="bottom"/>
            <w:hideMark/>
          </w:tcPr>
          <w:p w14:paraId="03905EE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субсидия</w:t>
            </w:r>
          </w:p>
        </w:tc>
        <w:tc>
          <w:tcPr>
            <w:tcW w:w="2002" w:type="dxa"/>
            <w:tcBorders>
              <w:top w:val="nil"/>
              <w:left w:val="nil"/>
              <w:bottom w:val="nil"/>
              <w:right w:val="single" w:sz="4" w:space="0" w:color="auto"/>
            </w:tcBorders>
            <w:shd w:val="clear" w:color="000000" w:fill="FFFFFF"/>
            <w:noWrap/>
            <w:vAlign w:val="bottom"/>
            <w:hideMark/>
          </w:tcPr>
          <w:p w14:paraId="549552F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снегопочистване</w:t>
            </w:r>
          </w:p>
        </w:tc>
        <w:tc>
          <w:tcPr>
            <w:tcW w:w="1418" w:type="dxa"/>
            <w:gridSpan w:val="2"/>
            <w:tcBorders>
              <w:top w:val="nil"/>
              <w:left w:val="nil"/>
              <w:bottom w:val="nil"/>
              <w:right w:val="single" w:sz="4" w:space="0" w:color="auto"/>
            </w:tcBorders>
            <w:shd w:val="clear" w:color="000000" w:fill="FFFFFF"/>
            <w:noWrap/>
            <w:vAlign w:val="bottom"/>
            <w:hideMark/>
          </w:tcPr>
          <w:p w14:paraId="7F9D2E3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разходи</w:t>
            </w:r>
          </w:p>
        </w:tc>
        <w:tc>
          <w:tcPr>
            <w:tcW w:w="1701" w:type="dxa"/>
            <w:gridSpan w:val="2"/>
            <w:tcBorders>
              <w:top w:val="nil"/>
              <w:left w:val="nil"/>
              <w:bottom w:val="nil"/>
              <w:right w:val="single" w:sz="4" w:space="0" w:color="auto"/>
            </w:tcBorders>
            <w:shd w:val="clear" w:color="000000" w:fill="FFFFFF"/>
            <w:noWrap/>
            <w:vAlign w:val="bottom"/>
            <w:hideMark/>
          </w:tcPr>
          <w:p w14:paraId="4C02D55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дейности</w:t>
            </w:r>
          </w:p>
        </w:tc>
      </w:tr>
      <w:tr w:rsidR="00761800" w:rsidRPr="00761800" w14:paraId="7D35155A" w14:textId="77777777" w:rsidTr="00406B4D">
        <w:trPr>
          <w:gridAfter w:val="1"/>
          <w:wAfter w:w="8" w:type="dxa"/>
          <w:trHeight w:val="70"/>
        </w:trPr>
        <w:tc>
          <w:tcPr>
            <w:tcW w:w="5064" w:type="dxa"/>
            <w:vMerge/>
            <w:tcBorders>
              <w:top w:val="single" w:sz="4" w:space="0" w:color="auto"/>
              <w:left w:val="single" w:sz="4" w:space="0" w:color="auto"/>
              <w:bottom w:val="single" w:sz="4" w:space="0" w:color="000000"/>
              <w:right w:val="single" w:sz="4" w:space="0" w:color="auto"/>
            </w:tcBorders>
            <w:vAlign w:val="center"/>
            <w:hideMark/>
          </w:tcPr>
          <w:p w14:paraId="532E6DB1" w14:textId="77777777" w:rsidR="00761800" w:rsidRPr="00761800" w:rsidRDefault="00761800" w:rsidP="00761800">
            <w:pPr>
              <w:rPr>
                <w:rFonts w:ascii="Times New Roman" w:hAnsi="Times New Roman"/>
                <w:sz w:val="22"/>
                <w:szCs w:val="22"/>
                <w:lang w:eastAsia="bg-BG"/>
              </w:rPr>
            </w:pPr>
          </w:p>
        </w:tc>
        <w:tc>
          <w:tcPr>
            <w:tcW w:w="146" w:type="dxa"/>
            <w:tcBorders>
              <w:top w:val="nil"/>
              <w:left w:val="nil"/>
              <w:bottom w:val="nil"/>
              <w:right w:val="nil"/>
            </w:tcBorders>
            <w:shd w:val="clear" w:color="000000" w:fill="FFFFFF"/>
          </w:tcPr>
          <w:p w14:paraId="37330EDF" w14:textId="77777777" w:rsidR="00761800" w:rsidRPr="00761800" w:rsidRDefault="00761800" w:rsidP="00761800">
            <w:pPr>
              <w:jc w:val="center"/>
              <w:rPr>
                <w:rFonts w:ascii="Times New Roman" w:hAnsi="Times New Roman"/>
                <w:sz w:val="22"/>
                <w:szCs w:val="22"/>
                <w:lang w:eastAsia="bg-BG"/>
              </w:rPr>
            </w:pPr>
          </w:p>
        </w:tc>
        <w:tc>
          <w:tcPr>
            <w:tcW w:w="1453" w:type="dxa"/>
            <w:tcBorders>
              <w:top w:val="nil"/>
              <w:left w:val="nil"/>
              <w:bottom w:val="nil"/>
              <w:right w:val="single" w:sz="4" w:space="0" w:color="auto"/>
            </w:tcBorders>
            <w:shd w:val="clear" w:color="000000" w:fill="FFFFFF"/>
            <w:noWrap/>
            <w:vAlign w:val="bottom"/>
            <w:hideMark/>
          </w:tcPr>
          <w:p w14:paraId="3CCE463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nil"/>
              <w:right w:val="single" w:sz="4" w:space="0" w:color="auto"/>
            </w:tcBorders>
            <w:shd w:val="clear" w:color="000000" w:fill="FFFFFF"/>
            <w:noWrap/>
            <w:vAlign w:val="bottom"/>
            <w:hideMark/>
          </w:tcPr>
          <w:p w14:paraId="5069B26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дейности</w:t>
            </w:r>
          </w:p>
        </w:tc>
        <w:tc>
          <w:tcPr>
            <w:tcW w:w="1570" w:type="dxa"/>
            <w:tcBorders>
              <w:top w:val="nil"/>
              <w:left w:val="nil"/>
              <w:bottom w:val="nil"/>
              <w:right w:val="single" w:sz="4" w:space="0" w:color="auto"/>
            </w:tcBorders>
            <w:shd w:val="clear" w:color="000000" w:fill="FFFFFF"/>
            <w:noWrap/>
            <w:vAlign w:val="bottom"/>
            <w:hideMark/>
          </w:tcPr>
          <w:p w14:paraId="01EF141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nil"/>
              <w:right w:val="single" w:sz="4" w:space="0" w:color="auto"/>
            </w:tcBorders>
            <w:shd w:val="clear" w:color="000000" w:fill="FFFFFF"/>
            <w:noWrap/>
            <w:vAlign w:val="bottom"/>
            <w:hideMark/>
          </w:tcPr>
          <w:p w14:paraId="4BE32A1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на общински</w:t>
            </w:r>
          </w:p>
        </w:tc>
        <w:tc>
          <w:tcPr>
            <w:tcW w:w="1418" w:type="dxa"/>
            <w:gridSpan w:val="2"/>
            <w:tcBorders>
              <w:top w:val="nil"/>
              <w:left w:val="nil"/>
              <w:bottom w:val="nil"/>
              <w:right w:val="single" w:sz="4" w:space="0" w:color="auto"/>
            </w:tcBorders>
            <w:shd w:val="clear" w:color="000000" w:fill="FFFFFF"/>
            <w:noWrap/>
            <w:vAlign w:val="bottom"/>
            <w:hideMark/>
          </w:tcPr>
          <w:p w14:paraId="64D2D63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nil"/>
              <w:right w:val="single" w:sz="4" w:space="0" w:color="auto"/>
            </w:tcBorders>
            <w:shd w:val="clear" w:color="000000" w:fill="FFFFFF"/>
            <w:noWrap/>
            <w:vAlign w:val="bottom"/>
            <w:hideMark/>
          </w:tcPr>
          <w:p w14:paraId="0770608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1316DCE" w14:textId="77777777" w:rsidTr="00406B4D">
        <w:trPr>
          <w:gridAfter w:val="1"/>
          <w:wAfter w:w="8" w:type="dxa"/>
          <w:trHeight w:val="300"/>
        </w:trPr>
        <w:tc>
          <w:tcPr>
            <w:tcW w:w="5064" w:type="dxa"/>
            <w:vMerge/>
            <w:tcBorders>
              <w:top w:val="single" w:sz="4" w:space="0" w:color="auto"/>
              <w:left w:val="single" w:sz="4" w:space="0" w:color="auto"/>
              <w:bottom w:val="single" w:sz="4" w:space="0" w:color="000000"/>
              <w:right w:val="single" w:sz="4" w:space="0" w:color="auto"/>
            </w:tcBorders>
            <w:vAlign w:val="center"/>
            <w:hideMark/>
          </w:tcPr>
          <w:p w14:paraId="788121DE" w14:textId="77777777" w:rsidR="00761800" w:rsidRPr="00761800" w:rsidRDefault="00761800" w:rsidP="00761800">
            <w:pPr>
              <w:rPr>
                <w:rFonts w:ascii="Times New Roman" w:hAnsi="Times New Roman"/>
                <w:sz w:val="22"/>
                <w:szCs w:val="22"/>
                <w:lang w:eastAsia="bg-BG"/>
              </w:rPr>
            </w:pPr>
          </w:p>
        </w:tc>
        <w:tc>
          <w:tcPr>
            <w:tcW w:w="146" w:type="dxa"/>
            <w:tcBorders>
              <w:top w:val="nil"/>
              <w:left w:val="nil"/>
              <w:bottom w:val="single" w:sz="4" w:space="0" w:color="auto"/>
              <w:right w:val="nil"/>
            </w:tcBorders>
            <w:shd w:val="clear" w:color="000000" w:fill="FFFFFF"/>
          </w:tcPr>
          <w:p w14:paraId="0CFD2B60" w14:textId="77777777" w:rsidR="00761800" w:rsidRPr="00761800" w:rsidRDefault="00761800" w:rsidP="00761800">
            <w:pPr>
              <w:jc w:val="cente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775C0B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2B6FFBB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021841E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77A5B52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пътища</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B24734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000000" w:fill="FFFFFF"/>
            <w:noWrap/>
            <w:vAlign w:val="bottom"/>
            <w:hideMark/>
          </w:tcPr>
          <w:p w14:paraId="3066C21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6FC3B9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04E7C8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w:t>
            </w:r>
          </w:p>
        </w:tc>
        <w:tc>
          <w:tcPr>
            <w:tcW w:w="146" w:type="dxa"/>
            <w:tcBorders>
              <w:top w:val="nil"/>
              <w:left w:val="nil"/>
              <w:bottom w:val="single" w:sz="4" w:space="0" w:color="auto"/>
              <w:right w:val="nil"/>
            </w:tcBorders>
            <w:shd w:val="clear" w:color="000000" w:fill="FFFFFF"/>
          </w:tcPr>
          <w:p w14:paraId="2E0C619F" w14:textId="77777777" w:rsidR="00761800" w:rsidRPr="00761800" w:rsidRDefault="00761800" w:rsidP="00761800">
            <w:pPr>
              <w:jc w:val="cente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C09E00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2(3+4+5+6)</w:t>
            </w:r>
          </w:p>
        </w:tc>
        <w:tc>
          <w:tcPr>
            <w:tcW w:w="1406" w:type="dxa"/>
            <w:tcBorders>
              <w:top w:val="nil"/>
              <w:left w:val="nil"/>
              <w:bottom w:val="single" w:sz="4" w:space="0" w:color="auto"/>
              <w:right w:val="single" w:sz="4" w:space="0" w:color="auto"/>
            </w:tcBorders>
            <w:shd w:val="clear" w:color="000000" w:fill="FFFFFF"/>
            <w:noWrap/>
            <w:vAlign w:val="bottom"/>
            <w:hideMark/>
          </w:tcPr>
          <w:p w14:paraId="11E499D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3</w:t>
            </w:r>
          </w:p>
        </w:tc>
        <w:tc>
          <w:tcPr>
            <w:tcW w:w="1570" w:type="dxa"/>
            <w:tcBorders>
              <w:top w:val="nil"/>
              <w:left w:val="nil"/>
              <w:bottom w:val="single" w:sz="4" w:space="0" w:color="auto"/>
              <w:right w:val="single" w:sz="4" w:space="0" w:color="auto"/>
            </w:tcBorders>
            <w:shd w:val="clear" w:color="000000" w:fill="FFFFFF"/>
            <w:noWrap/>
            <w:vAlign w:val="bottom"/>
            <w:hideMark/>
          </w:tcPr>
          <w:p w14:paraId="09EF1F3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4</w:t>
            </w:r>
          </w:p>
        </w:tc>
        <w:tc>
          <w:tcPr>
            <w:tcW w:w="2002" w:type="dxa"/>
            <w:tcBorders>
              <w:top w:val="nil"/>
              <w:left w:val="nil"/>
              <w:bottom w:val="single" w:sz="4" w:space="0" w:color="auto"/>
              <w:right w:val="single" w:sz="4" w:space="0" w:color="auto"/>
            </w:tcBorders>
            <w:shd w:val="clear" w:color="000000" w:fill="FFFFFF"/>
            <w:noWrap/>
            <w:vAlign w:val="bottom"/>
            <w:hideMark/>
          </w:tcPr>
          <w:p w14:paraId="358CF40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B7A2D6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6</w:t>
            </w:r>
          </w:p>
        </w:tc>
        <w:tc>
          <w:tcPr>
            <w:tcW w:w="1701" w:type="dxa"/>
            <w:gridSpan w:val="2"/>
            <w:tcBorders>
              <w:top w:val="nil"/>
              <w:left w:val="nil"/>
              <w:bottom w:val="single" w:sz="4" w:space="0" w:color="auto"/>
              <w:right w:val="single" w:sz="4" w:space="0" w:color="auto"/>
            </w:tcBorders>
            <w:shd w:val="clear" w:color="000000" w:fill="FFFFFF"/>
            <w:noWrap/>
            <w:vAlign w:val="bottom"/>
            <w:hideMark/>
          </w:tcPr>
          <w:p w14:paraId="192C63C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7</w:t>
            </w:r>
          </w:p>
        </w:tc>
      </w:tr>
      <w:tr w:rsidR="00761800" w:rsidRPr="00761800" w14:paraId="01BA534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58693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БЛАГОЕВГРАД</w:t>
            </w:r>
          </w:p>
        </w:tc>
        <w:tc>
          <w:tcPr>
            <w:tcW w:w="146" w:type="dxa"/>
            <w:tcBorders>
              <w:top w:val="nil"/>
              <w:left w:val="nil"/>
              <w:bottom w:val="single" w:sz="4" w:space="0" w:color="auto"/>
              <w:right w:val="nil"/>
            </w:tcBorders>
            <w:shd w:val="clear" w:color="000000" w:fill="FFFFFF"/>
          </w:tcPr>
          <w:p w14:paraId="36DF17AC"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79C03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272D83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181AC2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55AF41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F6189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BE380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39CBB1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418FB4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Банско</w:t>
            </w:r>
          </w:p>
        </w:tc>
        <w:tc>
          <w:tcPr>
            <w:tcW w:w="146" w:type="dxa"/>
            <w:tcBorders>
              <w:top w:val="nil"/>
              <w:left w:val="nil"/>
              <w:bottom w:val="single" w:sz="4" w:space="0" w:color="auto"/>
              <w:right w:val="nil"/>
            </w:tcBorders>
            <w:shd w:val="clear" w:color="000000" w:fill="FFFFFF"/>
          </w:tcPr>
          <w:p w14:paraId="2D6D50C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5C1B0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11 681,1</w:t>
            </w:r>
          </w:p>
        </w:tc>
        <w:tc>
          <w:tcPr>
            <w:tcW w:w="1406" w:type="dxa"/>
            <w:tcBorders>
              <w:top w:val="nil"/>
              <w:left w:val="nil"/>
              <w:bottom w:val="single" w:sz="4" w:space="0" w:color="auto"/>
              <w:right w:val="single" w:sz="4" w:space="0" w:color="auto"/>
            </w:tcBorders>
            <w:shd w:val="clear" w:color="000000" w:fill="FFFFFF"/>
            <w:noWrap/>
            <w:vAlign w:val="bottom"/>
            <w:hideMark/>
          </w:tcPr>
          <w:p w14:paraId="029070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11 086,6</w:t>
            </w:r>
          </w:p>
        </w:tc>
        <w:tc>
          <w:tcPr>
            <w:tcW w:w="1570" w:type="dxa"/>
            <w:tcBorders>
              <w:top w:val="nil"/>
              <w:left w:val="nil"/>
              <w:bottom w:val="single" w:sz="4" w:space="0" w:color="auto"/>
              <w:right w:val="single" w:sz="4" w:space="0" w:color="auto"/>
            </w:tcBorders>
            <w:shd w:val="clear" w:color="000000" w:fill="FFFFFF"/>
            <w:noWrap/>
            <w:vAlign w:val="bottom"/>
            <w:hideMark/>
          </w:tcPr>
          <w:p w14:paraId="7A4493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33D9DC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7F3BC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523,2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C8ACB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125,9</w:t>
            </w:r>
          </w:p>
        </w:tc>
      </w:tr>
      <w:tr w:rsidR="00761800" w:rsidRPr="00761800" w14:paraId="2651453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EC153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Белица</w:t>
            </w:r>
          </w:p>
        </w:tc>
        <w:tc>
          <w:tcPr>
            <w:tcW w:w="146" w:type="dxa"/>
            <w:tcBorders>
              <w:top w:val="nil"/>
              <w:left w:val="nil"/>
              <w:bottom w:val="single" w:sz="4" w:space="0" w:color="auto"/>
              <w:right w:val="nil"/>
            </w:tcBorders>
            <w:shd w:val="clear" w:color="000000" w:fill="FFFFFF"/>
          </w:tcPr>
          <w:p w14:paraId="699C8F7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6397F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8 958,5</w:t>
            </w:r>
          </w:p>
        </w:tc>
        <w:tc>
          <w:tcPr>
            <w:tcW w:w="1406" w:type="dxa"/>
            <w:tcBorders>
              <w:top w:val="nil"/>
              <w:left w:val="nil"/>
              <w:bottom w:val="single" w:sz="4" w:space="0" w:color="auto"/>
              <w:right w:val="single" w:sz="4" w:space="0" w:color="auto"/>
            </w:tcBorders>
            <w:shd w:val="clear" w:color="000000" w:fill="FFFFFF"/>
            <w:noWrap/>
            <w:vAlign w:val="bottom"/>
            <w:hideMark/>
          </w:tcPr>
          <w:p w14:paraId="56EADF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7 041,6</w:t>
            </w:r>
          </w:p>
        </w:tc>
        <w:tc>
          <w:tcPr>
            <w:tcW w:w="1570" w:type="dxa"/>
            <w:tcBorders>
              <w:top w:val="nil"/>
              <w:left w:val="nil"/>
              <w:bottom w:val="single" w:sz="4" w:space="0" w:color="auto"/>
              <w:right w:val="single" w:sz="4" w:space="0" w:color="auto"/>
            </w:tcBorders>
            <w:shd w:val="clear" w:color="000000" w:fill="FFFFFF"/>
            <w:noWrap/>
            <w:vAlign w:val="bottom"/>
            <w:hideMark/>
          </w:tcPr>
          <w:p w14:paraId="0B8973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992,8</w:t>
            </w:r>
          </w:p>
        </w:tc>
        <w:tc>
          <w:tcPr>
            <w:tcW w:w="2002" w:type="dxa"/>
            <w:tcBorders>
              <w:top w:val="nil"/>
              <w:left w:val="nil"/>
              <w:bottom w:val="single" w:sz="4" w:space="0" w:color="auto"/>
              <w:right w:val="single" w:sz="4" w:space="0" w:color="auto"/>
            </w:tcBorders>
            <w:shd w:val="clear" w:color="000000" w:fill="FFFFFF"/>
            <w:noWrap/>
            <w:vAlign w:val="bottom"/>
            <w:hideMark/>
          </w:tcPr>
          <w:p w14:paraId="331BCE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154,1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CC011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F70D2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25,6</w:t>
            </w:r>
          </w:p>
        </w:tc>
      </w:tr>
      <w:tr w:rsidR="00761800" w:rsidRPr="00761800" w14:paraId="272A864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6D873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Благоевград</w:t>
            </w:r>
          </w:p>
        </w:tc>
        <w:tc>
          <w:tcPr>
            <w:tcW w:w="146" w:type="dxa"/>
            <w:tcBorders>
              <w:top w:val="nil"/>
              <w:left w:val="nil"/>
              <w:bottom w:val="single" w:sz="4" w:space="0" w:color="auto"/>
              <w:right w:val="nil"/>
            </w:tcBorders>
            <w:shd w:val="clear" w:color="000000" w:fill="FFFFFF"/>
          </w:tcPr>
          <w:p w14:paraId="08CDCB3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9F8D0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58 201,3</w:t>
            </w:r>
          </w:p>
        </w:tc>
        <w:tc>
          <w:tcPr>
            <w:tcW w:w="1406" w:type="dxa"/>
            <w:tcBorders>
              <w:top w:val="nil"/>
              <w:left w:val="nil"/>
              <w:bottom w:val="single" w:sz="4" w:space="0" w:color="auto"/>
              <w:right w:val="single" w:sz="4" w:space="0" w:color="auto"/>
            </w:tcBorders>
            <w:shd w:val="clear" w:color="000000" w:fill="FFFFFF"/>
            <w:noWrap/>
            <w:vAlign w:val="bottom"/>
            <w:hideMark/>
          </w:tcPr>
          <w:p w14:paraId="39664C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54 732,5</w:t>
            </w:r>
          </w:p>
        </w:tc>
        <w:tc>
          <w:tcPr>
            <w:tcW w:w="1570" w:type="dxa"/>
            <w:tcBorders>
              <w:top w:val="nil"/>
              <w:left w:val="nil"/>
              <w:bottom w:val="single" w:sz="4" w:space="0" w:color="auto"/>
              <w:right w:val="single" w:sz="4" w:space="0" w:color="auto"/>
            </w:tcBorders>
            <w:shd w:val="clear" w:color="000000" w:fill="FFFFFF"/>
            <w:noWrap/>
            <w:vAlign w:val="bottom"/>
            <w:hideMark/>
          </w:tcPr>
          <w:p w14:paraId="249588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1 509,0</w:t>
            </w:r>
          </w:p>
        </w:tc>
        <w:tc>
          <w:tcPr>
            <w:tcW w:w="2002" w:type="dxa"/>
            <w:tcBorders>
              <w:top w:val="nil"/>
              <w:left w:val="nil"/>
              <w:bottom w:val="single" w:sz="4" w:space="0" w:color="auto"/>
              <w:right w:val="single" w:sz="4" w:space="0" w:color="auto"/>
            </w:tcBorders>
            <w:shd w:val="clear" w:color="000000" w:fill="FFFFFF"/>
            <w:noWrap/>
            <w:vAlign w:val="bottom"/>
            <w:hideMark/>
          </w:tcPr>
          <w:p w14:paraId="179FF8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201,5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EFAAE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1 758,3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20B50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774,1</w:t>
            </w:r>
          </w:p>
        </w:tc>
      </w:tr>
      <w:tr w:rsidR="00761800" w:rsidRPr="00761800" w14:paraId="35B473E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56F2B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Гоце Делчев</w:t>
            </w:r>
          </w:p>
        </w:tc>
        <w:tc>
          <w:tcPr>
            <w:tcW w:w="146" w:type="dxa"/>
            <w:tcBorders>
              <w:top w:val="nil"/>
              <w:left w:val="nil"/>
              <w:bottom w:val="single" w:sz="4" w:space="0" w:color="auto"/>
              <w:right w:val="nil"/>
            </w:tcBorders>
            <w:shd w:val="clear" w:color="000000" w:fill="FFFFFF"/>
          </w:tcPr>
          <w:p w14:paraId="34E51DE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4B7F9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28 405,6</w:t>
            </w:r>
          </w:p>
        </w:tc>
        <w:tc>
          <w:tcPr>
            <w:tcW w:w="1406" w:type="dxa"/>
            <w:tcBorders>
              <w:top w:val="nil"/>
              <w:left w:val="nil"/>
              <w:bottom w:val="single" w:sz="4" w:space="0" w:color="auto"/>
              <w:right w:val="single" w:sz="4" w:space="0" w:color="auto"/>
            </w:tcBorders>
            <w:shd w:val="clear" w:color="000000" w:fill="FFFFFF"/>
            <w:noWrap/>
            <w:vAlign w:val="bottom"/>
            <w:hideMark/>
          </w:tcPr>
          <w:p w14:paraId="30F28A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26 001,0</w:t>
            </w:r>
          </w:p>
        </w:tc>
        <w:tc>
          <w:tcPr>
            <w:tcW w:w="1570" w:type="dxa"/>
            <w:tcBorders>
              <w:top w:val="nil"/>
              <w:left w:val="nil"/>
              <w:bottom w:val="single" w:sz="4" w:space="0" w:color="auto"/>
              <w:right w:val="single" w:sz="4" w:space="0" w:color="auto"/>
            </w:tcBorders>
            <w:shd w:val="clear" w:color="000000" w:fill="FFFFFF"/>
            <w:noWrap/>
            <w:vAlign w:val="bottom"/>
            <w:hideMark/>
          </w:tcPr>
          <w:p w14:paraId="63AD19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1 581,4</w:t>
            </w:r>
          </w:p>
        </w:tc>
        <w:tc>
          <w:tcPr>
            <w:tcW w:w="2002" w:type="dxa"/>
            <w:tcBorders>
              <w:top w:val="nil"/>
              <w:left w:val="nil"/>
              <w:bottom w:val="single" w:sz="4" w:space="0" w:color="auto"/>
              <w:right w:val="single" w:sz="4" w:space="0" w:color="auto"/>
            </w:tcBorders>
            <w:shd w:val="clear" w:color="000000" w:fill="FFFFFF"/>
            <w:noWrap/>
            <w:vAlign w:val="bottom"/>
            <w:hideMark/>
          </w:tcPr>
          <w:p w14:paraId="02A7D7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C023A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741,1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C8C84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180,0</w:t>
            </w:r>
          </w:p>
        </w:tc>
      </w:tr>
      <w:tr w:rsidR="00761800" w:rsidRPr="00761800" w14:paraId="35AF62E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6CEF6A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Гърмен</w:t>
            </w:r>
          </w:p>
        </w:tc>
        <w:tc>
          <w:tcPr>
            <w:tcW w:w="146" w:type="dxa"/>
            <w:tcBorders>
              <w:top w:val="nil"/>
              <w:left w:val="nil"/>
              <w:bottom w:val="single" w:sz="4" w:space="0" w:color="auto"/>
              <w:right w:val="nil"/>
            </w:tcBorders>
            <w:shd w:val="clear" w:color="000000" w:fill="FFFFFF"/>
          </w:tcPr>
          <w:p w14:paraId="2CDA269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80622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13 421,8</w:t>
            </w:r>
          </w:p>
        </w:tc>
        <w:tc>
          <w:tcPr>
            <w:tcW w:w="1406" w:type="dxa"/>
            <w:tcBorders>
              <w:top w:val="nil"/>
              <w:left w:val="nil"/>
              <w:bottom w:val="single" w:sz="4" w:space="0" w:color="auto"/>
              <w:right w:val="single" w:sz="4" w:space="0" w:color="auto"/>
            </w:tcBorders>
            <w:shd w:val="clear" w:color="000000" w:fill="FFFFFF"/>
            <w:noWrap/>
            <w:vAlign w:val="bottom"/>
            <w:hideMark/>
          </w:tcPr>
          <w:p w14:paraId="2E61A2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11 337,7</w:t>
            </w:r>
          </w:p>
        </w:tc>
        <w:tc>
          <w:tcPr>
            <w:tcW w:w="1570" w:type="dxa"/>
            <w:tcBorders>
              <w:top w:val="nil"/>
              <w:left w:val="nil"/>
              <w:bottom w:val="single" w:sz="4" w:space="0" w:color="auto"/>
              <w:right w:val="single" w:sz="4" w:space="0" w:color="auto"/>
            </w:tcBorders>
            <w:shd w:val="clear" w:color="000000" w:fill="FFFFFF"/>
            <w:noWrap/>
            <w:vAlign w:val="bottom"/>
            <w:hideMark/>
          </w:tcPr>
          <w:p w14:paraId="729D48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1 235,7</w:t>
            </w:r>
          </w:p>
        </w:tc>
        <w:tc>
          <w:tcPr>
            <w:tcW w:w="2002" w:type="dxa"/>
            <w:tcBorders>
              <w:top w:val="nil"/>
              <w:left w:val="nil"/>
              <w:bottom w:val="single" w:sz="4" w:space="0" w:color="auto"/>
              <w:right w:val="single" w:sz="4" w:space="0" w:color="auto"/>
            </w:tcBorders>
            <w:shd w:val="clear" w:color="000000" w:fill="FFFFFF"/>
            <w:noWrap/>
            <w:vAlign w:val="bottom"/>
            <w:hideMark/>
          </w:tcPr>
          <w:p w14:paraId="16E41A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7DDB4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762,2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F6661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87,6</w:t>
            </w:r>
          </w:p>
        </w:tc>
      </w:tr>
      <w:tr w:rsidR="00761800" w:rsidRPr="00761800" w14:paraId="4E1999A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472C80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Kресна</w:t>
            </w:r>
          </w:p>
        </w:tc>
        <w:tc>
          <w:tcPr>
            <w:tcW w:w="146" w:type="dxa"/>
            <w:tcBorders>
              <w:top w:val="nil"/>
              <w:left w:val="nil"/>
              <w:bottom w:val="single" w:sz="4" w:space="0" w:color="auto"/>
              <w:right w:val="nil"/>
            </w:tcBorders>
            <w:shd w:val="clear" w:color="000000" w:fill="FFFFFF"/>
          </w:tcPr>
          <w:p w14:paraId="6271B67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F7318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4 548,8</w:t>
            </w:r>
          </w:p>
        </w:tc>
        <w:tc>
          <w:tcPr>
            <w:tcW w:w="1406" w:type="dxa"/>
            <w:tcBorders>
              <w:top w:val="nil"/>
              <w:left w:val="nil"/>
              <w:bottom w:val="single" w:sz="4" w:space="0" w:color="auto"/>
              <w:right w:val="single" w:sz="4" w:space="0" w:color="auto"/>
            </w:tcBorders>
            <w:shd w:val="clear" w:color="000000" w:fill="FFFFFF"/>
            <w:noWrap/>
            <w:vAlign w:val="bottom"/>
            <w:hideMark/>
          </w:tcPr>
          <w:p w14:paraId="3D7361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3 531,5</w:t>
            </w:r>
          </w:p>
        </w:tc>
        <w:tc>
          <w:tcPr>
            <w:tcW w:w="1570" w:type="dxa"/>
            <w:tcBorders>
              <w:top w:val="nil"/>
              <w:left w:val="nil"/>
              <w:bottom w:val="single" w:sz="4" w:space="0" w:color="auto"/>
              <w:right w:val="single" w:sz="4" w:space="0" w:color="auto"/>
            </w:tcBorders>
            <w:shd w:val="clear" w:color="000000" w:fill="FFFFFF"/>
            <w:noWrap/>
            <w:vAlign w:val="bottom"/>
            <w:hideMark/>
          </w:tcPr>
          <w:p w14:paraId="0E78B4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565,1</w:t>
            </w:r>
          </w:p>
        </w:tc>
        <w:tc>
          <w:tcPr>
            <w:tcW w:w="2002" w:type="dxa"/>
            <w:tcBorders>
              <w:top w:val="nil"/>
              <w:left w:val="nil"/>
              <w:bottom w:val="single" w:sz="4" w:space="0" w:color="auto"/>
              <w:right w:val="single" w:sz="4" w:space="0" w:color="auto"/>
            </w:tcBorders>
            <w:shd w:val="clear" w:color="000000" w:fill="FFFFFF"/>
            <w:noWrap/>
            <w:vAlign w:val="bottom"/>
            <w:hideMark/>
          </w:tcPr>
          <w:p w14:paraId="47BEBC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B649B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388,1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DC0F2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23,7</w:t>
            </w:r>
          </w:p>
        </w:tc>
      </w:tr>
      <w:tr w:rsidR="00761800" w:rsidRPr="00761800" w14:paraId="2674E32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72760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Петрич</w:t>
            </w:r>
          </w:p>
        </w:tc>
        <w:tc>
          <w:tcPr>
            <w:tcW w:w="146" w:type="dxa"/>
            <w:tcBorders>
              <w:top w:val="nil"/>
              <w:left w:val="nil"/>
              <w:bottom w:val="single" w:sz="4" w:space="0" w:color="auto"/>
              <w:right w:val="nil"/>
            </w:tcBorders>
            <w:shd w:val="clear" w:color="000000" w:fill="FFFFFF"/>
          </w:tcPr>
          <w:p w14:paraId="4CBF0B3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81F0F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33 482,3</w:t>
            </w:r>
          </w:p>
        </w:tc>
        <w:tc>
          <w:tcPr>
            <w:tcW w:w="1406" w:type="dxa"/>
            <w:tcBorders>
              <w:top w:val="nil"/>
              <w:left w:val="nil"/>
              <w:bottom w:val="single" w:sz="4" w:space="0" w:color="auto"/>
              <w:right w:val="single" w:sz="4" w:space="0" w:color="auto"/>
            </w:tcBorders>
            <w:shd w:val="clear" w:color="000000" w:fill="FFFFFF"/>
            <w:noWrap/>
            <w:vAlign w:val="bottom"/>
            <w:hideMark/>
          </w:tcPr>
          <w:p w14:paraId="3AA2BA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28 607,8</w:t>
            </w:r>
          </w:p>
        </w:tc>
        <w:tc>
          <w:tcPr>
            <w:tcW w:w="1570" w:type="dxa"/>
            <w:tcBorders>
              <w:top w:val="nil"/>
              <w:left w:val="nil"/>
              <w:bottom w:val="single" w:sz="4" w:space="0" w:color="auto"/>
              <w:right w:val="single" w:sz="4" w:space="0" w:color="auto"/>
            </w:tcBorders>
            <w:shd w:val="clear" w:color="000000" w:fill="FFFFFF"/>
            <w:noWrap/>
            <w:vAlign w:val="bottom"/>
            <w:hideMark/>
          </w:tcPr>
          <w:p w14:paraId="0FE25CD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2 350,7</w:t>
            </w:r>
          </w:p>
        </w:tc>
        <w:tc>
          <w:tcPr>
            <w:tcW w:w="2002" w:type="dxa"/>
            <w:tcBorders>
              <w:top w:val="nil"/>
              <w:left w:val="nil"/>
              <w:bottom w:val="single" w:sz="4" w:space="0" w:color="auto"/>
              <w:right w:val="single" w:sz="4" w:space="0" w:color="auto"/>
            </w:tcBorders>
            <w:shd w:val="clear" w:color="000000" w:fill="FFFFFF"/>
            <w:noWrap/>
            <w:vAlign w:val="bottom"/>
            <w:hideMark/>
          </w:tcPr>
          <w:p w14:paraId="7A118E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247,6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E9BA7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2 276,2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482BC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101,0</w:t>
            </w:r>
          </w:p>
        </w:tc>
      </w:tr>
      <w:tr w:rsidR="00761800" w:rsidRPr="00761800" w14:paraId="6F4A970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D3A9A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Pазлог</w:t>
            </w:r>
          </w:p>
        </w:tc>
        <w:tc>
          <w:tcPr>
            <w:tcW w:w="146" w:type="dxa"/>
            <w:tcBorders>
              <w:top w:val="nil"/>
              <w:left w:val="nil"/>
              <w:bottom w:val="single" w:sz="4" w:space="0" w:color="auto"/>
              <w:right w:val="nil"/>
            </w:tcBorders>
            <w:shd w:val="clear" w:color="000000" w:fill="FFFFFF"/>
          </w:tcPr>
          <w:p w14:paraId="7C3A39E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0CBD5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15 876,8</w:t>
            </w:r>
          </w:p>
        </w:tc>
        <w:tc>
          <w:tcPr>
            <w:tcW w:w="1406" w:type="dxa"/>
            <w:tcBorders>
              <w:top w:val="nil"/>
              <w:left w:val="nil"/>
              <w:bottom w:val="single" w:sz="4" w:space="0" w:color="auto"/>
              <w:right w:val="single" w:sz="4" w:space="0" w:color="auto"/>
            </w:tcBorders>
            <w:shd w:val="clear" w:color="000000" w:fill="FFFFFF"/>
            <w:noWrap/>
            <w:vAlign w:val="bottom"/>
            <w:hideMark/>
          </w:tcPr>
          <w:p w14:paraId="06D776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14 412,8</w:t>
            </w:r>
          </w:p>
        </w:tc>
        <w:tc>
          <w:tcPr>
            <w:tcW w:w="1570" w:type="dxa"/>
            <w:tcBorders>
              <w:top w:val="nil"/>
              <w:left w:val="nil"/>
              <w:bottom w:val="single" w:sz="4" w:space="0" w:color="auto"/>
              <w:right w:val="single" w:sz="4" w:space="0" w:color="auto"/>
            </w:tcBorders>
            <w:shd w:val="clear" w:color="000000" w:fill="FFFFFF"/>
            <w:noWrap/>
            <w:vAlign w:val="bottom"/>
            <w:hideMark/>
          </w:tcPr>
          <w:p w14:paraId="12DFF9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616,3</w:t>
            </w:r>
          </w:p>
        </w:tc>
        <w:tc>
          <w:tcPr>
            <w:tcW w:w="2002" w:type="dxa"/>
            <w:tcBorders>
              <w:top w:val="nil"/>
              <w:left w:val="nil"/>
              <w:bottom w:val="single" w:sz="4" w:space="0" w:color="auto"/>
              <w:right w:val="single" w:sz="4" w:space="0" w:color="auto"/>
            </w:tcBorders>
            <w:shd w:val="clear" w:color="000000" w:fill="FFFFFF"/>
            <w:noWrap/>
            <w:vAlign w:val="bottom"/>
            <w:hideMark/>
          </w:tcPr>
          <w:p w14:paraId="3582AA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0C353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709,6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05D88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145,6</w:t>
            </w:r>
          </w:p>
        </w:tc>
      </w:tr>
      <w:tr w:rsidR="00761800" w:rsidRPr="00761800" w14:paraId="7D49874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B8FC8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Cандански</w:t>
            </w:r>
          </w:p>
        </w:tc>
        <w:tc>
          <w:tcPr>
            <w:tcW w:w="146" w:type="dxa"/>
            <w:tcBorders>
              <w:top w:val="nil"/>
              <w:left w:val="nil"/>
              <w:bottom w:val="single" w:sz="4" w:space="0" w:color="auto"/>
              <w:right w:val="nil"/>
            </w:tcBorders>
            <w:shd w:val="clear" w:color="000000" w:fill="FFFFFF"/>
          </w:tcPr>
          <w:p w14:paraId="760D6BE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BF1CD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30 395,6</w:t>
            </w:r>
          </w:p>
        </w:tc>
        <w:tc>
          <w:tcPr>
            <w:tcW w:w="1406" w:type="dxa"/>
            <w:tcBorders>
              <w:top w:val="nil"/>
              <w:left w:val="nil"/>
              <w:bottom w:val="single" w:sz="4" w:space="0" w:color="auto"/>
              <w:right w:val="single" w:sz="4" w:space="0" w:color="auto"/>
            </w:tcBorders>
            <w:shd w:val="clear" w:color="000000" w:fill="FFFFFF"/>
            <w:noWrap/>
            <w:vAlign w:val="bottom"/>
            <w:hideMark/>
          </w:tcPr>
          <w:p w14:paraId="066BF5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25 993,6</w:t>
            </w:r>
          </w:p>
        </w:tc>
        <w:tc>
          <w:tcPr>
            <w:tcW w:w="1570" w:type="dxa"/>
            <w:tcBorders>
              <w:top w:val="nil"/>
              <w:left w:val="nil"/>
              <w:bottom w:val="single" w:sz="4" w:space="0" w:color="auto"/>
              <w:right w:val="single" w:sz="4" w:space="0" w:color="auto"/>
            </w:tcBorders>
            <w:shd w:val="clear" w:color="000000" w:fill="FFFFFF"/>
            <w:noWrap/>
            <w:vAlign w:val="bottom"/>
            <w:hideMark/>
          </w:tcPr>
          <w:p w14:paraId="76A515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2 043,7</w:t>
            </w:r>
          </w:p>
        </w:tc>
        <w:tc>
          <w:tcPr>
            <w:tcW w:w="2002" w:type="dxa"/>
            <w:tcBorders>
              <w:top w:val="nil"/>
              <w:left w:val="nil"/>
              <w:bottom w:val="single" w:sz="4" w:space="0" w:color="auto"/>
              <w:right w:val="single" w:sz="4" w:space="0" w:color="auto"/>
            </w:tcBorders>
            <w:shd w:val="clear" w:color="000000" w:fill="FFFFFF"/>
            <w:noWrap/>
            <w:vAlign w:val="bottom"/>
            <w:hideMark/>
          </w:tcPr>
          <w:p w14:paraId="363662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242,1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F7A5A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2 116,2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3E041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183,1</w:t>
            </w:r>
          </w:p>
        </w:tc>
      </w:tr>
      <w:tr w:rsidR="00761800" w:rsidRPr="00761800" w14:paraId="78CA379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8D789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Cатовча</w:t>
            </w:r>
          </w:p>
        </w:tc>
        <w:tc>
          <w:tcPr>
            <w:tcW w:w="146" w:type="dxa"/>
            <w:tcBorders>
              <w:top w:val="nil"/>
              <w:left w:val="nil"/>
              <w:bottom w:val="single" w:sz="4" w:space="0" w:color="auto"/>
              <w:right w:val="nil"/>
            </w:tcBorders>
            <w:shd w:val="clear" w:color="000000" w:fill="FFFFFF"/>
          </w:tcPr>
          <w:p w14:paraId="4FD53E4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2C2BF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12 014,1</w:t>
            </w:r>
          </w:p>
        </w:tc>
        <w:tc>
          <w:tcPr>
            <w:tcW w:w="1406" w:type="dxa"/>
            <w:tcBorders>
              <w:top w:val="nil"/>
              <w:left w:val="nil"/>
              <w:bottom w:val="single" w:sz="4" w:space="0" w:color="auto"/>
              <w:right w:val="single" w:sz="4" w:space="0" w:color="auto"/>
            </w:tcBorders>
            <w:shd w:val="clear" w:color="000000" w:fill="FFFFFF"/>
            <w:noWrap/>
            <w:vAlign w:val="bottom"/>
            <w:hideMark/>
          </w:tcPr>
          <w:p w14:paraId="444B84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10 012,1</w:t>
            </w:r>
          </w:p>
        </w:tc>
        <w:tc>
          <w:tcPr>
            <w:tcW w:w="1570" w:type="dxa"/>
            <w:tcBorders>
              <w:top w:val="nil"/>
              <w:left w:val="nil"/>
              <w:bottom w:val="single" w:sz="4" w:space="0" w:color="auto"/>
              <w:right w:val="single" w:sz="4" w:space="0" w:color="auto"/>
            </w:tcBorders>
            <w:shd w:val="clear" w:color="000000" w:fill="FFFFFF"/>
            <w:noWrap/>
            <w:vAlign w:val="bottom"/>
            <w:hideMark/>
          </w:tcPr>
          <w:p w14:paraId="201F7D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1 205,6</w:t>
            </w:r>
          </w:p>
        </w:tc>
        <w:tc>
          <w:tcPr>
            <w:tcW w:w="2002" w:type="dxa"/>
            <w:tcBorders>
              <w:top w:val="nil"/>
              <w:left w:val="nil"/>
              <w:bottom w:val="single" w:sz="4" w:space="0" w:color="auto"/>
              <w:right w:val="single" w:sz="4" w:space="0" w:color="auto"/>
            </w:tcBorders>
            <w:shd w:val="clear" w:color="000000" w:fill="FFFFFF"/>
            <w:noWrap/>
            <w:vAlign w:val="bottom"/>
            <w:hideMark/>
          </w:tcPr>
          <w:p w14:paraId="7329F6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BE8C5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710,1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BF749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77,8</w:t>
            </w:r>
          </w:p>
        </w:tc>
      </w:tr>
      <w:tr w:rsidR="00761800" w:rsidRPr="00761800" w14:paraId="1B255F8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0C3822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Cимитли</w:t>
            </w:r>
          </w:p>
        </w:tc>
        <w:tc>
          <w:tcPr>
            <w:tcW w:w="146" w:type="dxa"/>
            <w:tcBorders>
              <w:top w:val="nil"/>
              <w:left w:val="nil"/>
              <w:bottom w:val="single" w:sz="4" w:space="0" w:color="auto"/>
              <w:right w:val="nil"/>
            </w:tcBorders>
            <w:shd w:val="clear" w:color="000000" w:fill="FFFFFF"/>
          </w:tcPr>
          <w:p w14:paraId="676429F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8A9E9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12 028,8</w:t>
            </w:r>
          </w:p>
        </w:tc>
        <w:tc>
          <w:tcPr>
            <w:tcW w:w="1406" w:type="dxa"/>
            <w:tcBorders>
              <w:top w:val="nil"/>
              <w:left w:val="nil"/>
              <w:bottom w:val="single" w:sz="4" w:space="0" w:color="auto"/>
              <w:right w:val="single" w:sz="4" w:space="0" w:color="auto"/>
            </w:tcBorders>
            <w:shd w:val="clear" w:color="000000" w:fill="FFFFFF"/>
            <w:noWrap/>
            <w:vAlign w:val="bottom"/>
            <w:hideMark/>
          </w:tcPr>
          <w:p w14:paraId="796A0F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10 119,8</w:t>
            </w:r>
          </w:p>
        </w:tc>
        <w:tc>
          <w:tcPr>
            <w:tcW w:w="1570" w:type="dxa"/>
            <w:tcBorders>
              <w:top w:val="nil"/>
              <w:left w:val="nil"/>
              <w:bottom w:val="single" w:sz="4" w:space="0" w:color="auto"/>
              <w:right w:val="single" w:sz="4" w:space="0" w:color="auto"/>
            </w:tcBorders>
            <w:shd w:val="clear" w:color="000000" w:fill="FFFFFF"/>
            <w:noWrap/>
            <w:vAlign w:val="bottom"/>
            <w:hideMark/>
          </w:tcPr>
          <w:p w14:paraId="74D1C6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1 010,0</w:t>
            </w:r>
          </w:p>
        </w:tc>
        <w:tc>
          <w:tcPr>
            <w:tcW w:w="2002" w:type="dxa"/>
            <w:tcBorders>
              <w:top w:val="nil"/>
              <w:left w:val="nil"/>
              <w:bottom w:val="single" w:sz="4" w:space="0" w:color="auto"/>
              <w:right w:val="single" w:sz="4" w:space="0" w:color="auto"/>
            </w:tcBorders>
            <w:shd w:val="clear" w:color="000000" w:fill="FFFFFF"/>
            <w:noWrap/>
            <w:vAlign w:val="bottom"/>
            <w:hideMark/>
          </w:tcPr>
          <w:p w14:paraId="2EC025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113,5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C7DD2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785,5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1F3A5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27,2</w:t>
            </w:r>
          </w:p>
        </w:tc>
      </w:tr>
      <w:tr w:rsidR="00761800" w:rsidRPr="00761800" w14:paraId="62D7AD9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3CDF88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Cтрумяни</w:t>
            </w:r>
          </w:p>
        </w:tc>
        <w:tc>
          <w:tcPr>
            <w:tcW w:w="146" w:type="dxa"/>
            <w:tcBorders>
              <w:top w:val="nil"/>
              <w:left w:val="nil"/>
              <w:bottom w:val="single" w:sz="4" w:space="0" w:color="auto"/>
              <w:right w:val="nil"/>
            </w:tcBorders>
            <w:shd w:val="clear" w:color="000000" w:fill="FFFFFF"/>
          </w:tcPr>
          <w:p w14:paraId="0FC37DDA"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9BFD9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6 586,9</w:t>
            </w:r>
          </w:p>
        </w:tc>
        <w:tc>
          <w:tcPr>
            <w:tcW w:w="1406" w:type="dxa"/>
            <w:tcBorders>
              <w:top w:val="nil"/>
              <w:left w:val="nil"/>
              <w:bottom w:val="single" w:sz="4" w:space="0" w:color="auto"/>
              <w:right w:val="single" w:sz="4" w:space="0" w:color="auto"/>
            </w:tcBorders>
            <w:shd w:val="clear" w:color="000000" w:fill="FFFFFF"/>
            <w:noWrap/>
            <w:vAlign w:val="bottom"/>
            <w:hideMark/>
          </w:tcPr>
          <w:p w14:paraId="301663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4 949,4</w:t>
            </w:r>
          </w:p>
        </w:tc>
        <w:tc>
          <w:tcPr>
            <w:tcW w:w="1570" w:type="dxa"/>
            <w:tcBorders>
              <w:top w:val="nil"/>
              <w:left w:val="nil"/>
              <w:bottom w:val="single" w:sz="4" w:space="0" w:color="auto"/>
              <w:right w:val="single" w:sz="4" w:space="0" w:color="auto"/>
            </w:tcBorders>
            <w:shd w:val="clear" w:color="000000" w:fill="FFFFFF"/>
            <w:noWrap/>
            <w:vAlign w:val="bottom"/>
            <w:hideMark/>
          </w:tcPr>
          <w:p w14:paraId="65FCD2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650,8</w:t>
            </w:r>
          </w:p>
        </w:tc>
        <w:tc>
          <w:tcPr>
            <w:tcW w:w="2002" w:type="dxa"/>
            <w:tcBorders>
              <w:top w:val="nil"/>
              <w:left w:val="nil"/>
              <w:bottom w:val="single" w:sz="4" w:space="0" w:color="auto"/>
              <w:right w:val="single" w:sz="4" w:space="0" w:color="auto"/>
            </w:tcBorders>
            <w:shd w:val="clear" w:color="000000" w:fill="FFFFFF"/>
            <w:noWrap/>
            <w:vAlign w:val="bottom"/>
            <w:hideMark/>
          </w:tcPr>
          <w:p w14:paraId="2F1EA3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568F4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847,8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683A1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w:t>
            </w:r>
          </w:p>
        </w:tc>
      </w:tr>
      <w:tr w:rsidR="00761800" w:rsidRPr="00761800" w14:paraId="3EDF53A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72AC6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Xаджидимово</w:t>
            </w:r>
          </w:p>
        </w:tc>
        <w:tc>
          <w:tcPr>
            <w:tcW w:w="146" w:type="dxa"/>
            <w:tcBorders>
              <w:top w:val="nil"/>
              <w:left w:val="nil"/>
              <w:bottom w:val="single" w:sz="4" w:space="0" w:color="auto"/>
              <w:right w:val="nil"/>
            </w:tcBorders>
            <w:shd w:val="clear" w:color="000000" w:fill="FFFFFF"/>
          </w:tcPr>
          <w:p w14:paraId="0F1A987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A580B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7 009,0</w:t>
            </w:r>
          </w:p>
        </w:tc>
        <w:tc>
          <w:tcPr>
            <w:tcW w:w="1406" w:type="dxa"/>
            <w:tcBorders>
              <w:top w:val="nil"/>
              <w:left w:val="nil"/>
              <w:bottom w:val="single" w:sz="4" w:space="0" w:color="auto"/>
              <w:right w:val="single" w:sz="4" w:space="0" w:color="auto"/>
            </w:tcBorders>
            <w:shd w:val="clear" w:color="000000" w:fill="FFFFFF"/>
            <w:noWrap/>
            <w:vAlign w:val="bottom"/>
            <w:hideMark/>
          </w:tcPr>
          <w:p w14:paraId="6EB1F0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5 510,3</w:t>
            </w:r>
          </w:p>
        </w:tc>
        <w:tc>
          <w:tcPr>
            <w:tcW w:w="1570" w:type="dxa"/>
            <w:tcBorders>
              <w:top w:val="nil"/>
              <w:left w:val="nil"/>
              <w:bottom w:val="single" w:sz="4" w:space="0" w:color="auto"/>
              <w:right w:val="single" w:sz="4" w:space="0" w:color="auto"/>
            </w:tcBorders>
            <w:shd w:val="clear" w:color="000000" w:fill="FFFFFF"/>
            <w:noWrap/>
            <w:vAlign w:val="bottom"/>
            <w:hideMark/>
          </w:tcPr>
          <w:p w14:paraId="3B72A3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802,1</w:t>
            </w:r>
          </w:p>
        </w:tc>
        <w:tc>
          <w:tcPr>
            <w:tcW w:w="2002" w:type="dxa"/>
            <w:tcBorders>
              <w:top w:val="nil"/>
              <w:left w:val="nil"/>
              <w:bottom w:val="single" w:sz="4" w:space="0" w:color="auto"/>
              <w:right w:val="single" w:sz="4" w:space="0" w:color="auto"/>
            </w:tcBorders>
            <w:shd w:val="clear" w:color="000000" w:fill="FFFFFF"/>
            <w:noWrap/>
            <w:vAlign w:val="bottom"/>
            <w:hideMark/>
          </w:tcPr>
          <w:p w14:paraId="37EFD0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62892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639,3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D7A7B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27,6</w:t>
            </w:r>
          </w:p>
        </w:tc>
      </w:tr>
      <w:tr w:rsidR="00761800" w:rsidRPr="00761800" w14:paraId="22F7ED6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8991C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Якоруда</w:t>
            </w:r>
          </w:p>
        </w:tc>
        <w:tc>
          <w:tcPr>
            <w:tcW w:w="146" w:type="dxa"/>
            <w:tcBorders>
              <w:top w:val="nil"/>
              <w:left w:val="nil"/>
              <w:bottom w:val="single" w:sz="4" w:space="0" w:color="auto"/>
              <w:right w:val="nil"/>
            </w:tcBorders>
            <w:shd w:val="clear" w:color="000000" w:fill="FFFFFF"/>
          </w:tcPr>
          <w:p w14:paraId="44DB343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86E95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7 599,0</w:t>
            </w:r>
          </w:p>
        </w:tc>
        <w:tc>
          <w:tcPr>
            <w:tcW w:w="1406" w:type="dxa"/>
            <w:tcBorders>
              <w:top w:val="nil"/>
              <w:left w:val="nil"/>
              <w:bottom w:val="single" w:sz="4" w:space="0" w:color="auto"/>
              <w:right w:val="single" w:sz="4" w:space="0" w:color="auto"/>
            </w:tcBorders>
            <w:shd w:val="clear" w:color="000000" w:fill="FFFFFF"/>
            <w:noWrap/>
            <w:vAlign w:val="bottom"/>
            <w:hideMark/>
          </w:tcPr>
          <w:p w14:paraId="357469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6 207,6</w:t>
            </w:r>
          </w:p>
        </w:tc>
        <w:tc>
          <w:tcPr>
            <w:tcW w:w="1570" w:type="dxa"/>
            <w:tcBorders>
              <w:top w:val="nil"/>
              <w:left w:val="nil"/>
              <w:bottom w:val="single" w:sz="4" w:space="0" w:color="auto"/>
              <w:right w:val="single" w:sz="4" w:space="0" w:color="auto"/>
            </w:tcBorders>
            <w:shd w:val="clear" w:color="000000" w:fill="FFFFFF"/>
            <w:noWrap/>
            <w:vAlign w:val="bottom"/>
            <w:hideMark/>
          </w:tcPr>
          <w:p w14:paraId="4DF0EF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858,7</w:t>
            </w:r>
          </w:p>
        </w:tc>
        <w:tc>
          <w:tcPr>
            <w:tcW w:w="2002" w:type="dxa"/>
            <w:tcBorders>
              <w:top w:val="nil"/>
              <w:left w:val="nil"/>
              <w:bottom w:val="single" w:sz="4" w:space="0" w:color="auto"/>
              <w:right w:val="single" w:sz="4" w:space="0" w:color="auto"/>
            </w:tcBorders>
            <w:shd w:val="clear" w:color="000000" w:fill="FFFFFF"/>
            <w:noWrap/>
            <w:vAlign w:val="bottom"/>
            <w:hideMark/>
          </w:tcPr>
          <w:p w14:paraId="2F2782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9C78E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474,5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7B557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16,1</w:t>
            </w:r>
          </w:p>
        </w:tc>
      </w:tr>
      <w:tr w:rsidR="00761800" w:rsidRPr="00761800" w14:paraId="52AA170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C5AA25E"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5C13BADA"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BF41A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5EB15F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55AD8C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7DF9F0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88F5F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F3D03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FEA681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2417E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БУРГАС</w:t>
            </w:r>
          </w:p>
        </w:tc>
        <w:tc>
          <w:tcPr>
            <w:tcW w:w="146" w:type="dxa"/>
            <w:tcBorders>
              <w:top w:val="nil"/>
              <w:left w:val="nil"/>
              <w:bottom w:val="single" w:sz="4" w:space="0" w:color="auto"/>
              <w:right w:val="nil"/>
            </w:tcBorders>
            <w:shd w:val="clear" w:color="000000" w:fill="FFFFFF"/>
          </w:tcPr>
          <w:p w14:paraId="058D4F6E"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92CE3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6A2E51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0E08E2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5EF1B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104382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9EACD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F09D4E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EA926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Aйтос   </w:t>
            </w:r>
          </w:p>
        </w:tc>
        <w:tc>
          <w:tcPr>
            <w:tcW w:w="146" w:type="dxa"/>
            <w:tcBorders>
              <w:top w:val="nil"/>
              <w:left w:val="nil"/>
              <w:bottom w:val="single" w:sz="4" w:space="0" w:color="auto"/>
              <w:right w:val="nil"/>
            </w:tcBorders>
            <w:shd w:val="clear" w:color="000000" w:fill="FFFFFF"/>
          </w:tcPr>
          <w:p w14:paraId="3A28BB0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79B92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19 879,3</w:t>
            </w:r>
          </w:p>
        </w:tc>
        <w:tc>
          <w:tcPr>
            <w:tcW w:w="1406" w:type="dxa"/>
            <w:tcBorders>
              <w:top w:val="nil"/>
              <w:left w:val="nil"/>
              <w:bottom w:val="single" w:sz="4" w:space="0" w:color="auto"/>
              <w:right w:val="single" w:sz="4" w:space="0" w:color="auto"/>
            </w:tcBorders>
            <w:shd w:val="clear" w:color="000000" w:fill="FFFFFF"/>
            <w:noWrap/>
            <w:vAlign w:val="bottom"/>
            <w:hideMark/>
          </w:tcPr>
          <w:p w14:paraId="3651D5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16 820,4</w:t>
            </w:r>
          </w:p>
        </w:tc>
        <w:tc>
          <w:tcPr>
            <w:tcW w:w="1570" w:type="dxa"/>
            <w:tcBorders>
              <w:top w:val="nil"/>
              <w:left w:val="nil"/>
              <w:bottom w:val="single" w:sz="4" w:space="0" w:color="auto"/>
              <w:right w:val="single" w:sz="4" w:space="0" w:color="auto"/>
            </w:tcBorders>
            <w:shd w:val="clear" w:color="000000" w:fill="FFFFFF"/>
            <w:noWrap/>
            <w:vAlign w:val="bottom"/>
            <w:hideMark/>
          </w:tcPr>
          <w:p w14:paraId="7C7D7A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1 958,2</w:t>
            </w:r>
          </w:p>
        </w:tc>
        <w:tc>
          <w:tcPr>
            <w:tcW w:w="2002" w:type="dxa"/>
            <w:tcBorders>
              <w:top w:val="nil"/>
              <w:left w:val="nil"/>
              <w:bottom w:val="single" w:sz="4" w:space="0" w:color="auto"/>
              <w:right w:val="single" w:sz="4" w:space="0" w:color="auto"/>
            </w:tcBorders>
            <w:shd w:val="clear" w:color="000000" w:fill="FFFFFF"/>
            <w:noWrap/>
            <w:vAlign w:val="bottom"/>
            <w:hideMark/>
          </w:tcPr>
          <w:p w14:paraId="74CB81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E3984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1 008,9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F9F58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104,7</w:t>
            </w:r>
          </w:p>
        </w:tc>
      </w:tr>
      <w:tr w:rsidR="00761800" w:rsidRPr="00761800" w14:paraId="30DBAD0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739CE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Бургас         </w:t>
            </w:r>
          </w:p>
        </w:tc>
        <w:tc>
          <w:tcPr>
            <w:tcW w:w="146" w:type="dxa"/>
            <w:tcBorders>
              <w:top w:val="nil"/>
              <w:left w:val="nil"/>
              <w:bottom w:val="single" w:sz="4" w:space="0" w:color="auto"/>
              <w:right w:val="nil"/>
            </w:tcBorders>
            <w:shd w:val="clear" w:color="000000" w:fill="FFFFFF"/>
          </w:tcPr>
          <w:p w14:paraId="1FC4439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76214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147 363,9</w:t>
            </w:r>
          </w:p>
        </w:tc>
        <w:tc>
          <w:tcPr>
            <w:tcW w:w="1406" w:type="dxa"/>
            <w:tcBorders>
              <w:top w:val="nil"/>
              <w:left w:val="nil"/>
              <w:bottom w:val="single" w:sz="4" w:space="0" w:color="auto"/>
              <w:right w:val="single" w:sz="4" w:space="0" w:color="auto"/>
            </w:tcBorders>
            <w:shd w:val="clear" w:color="000000" w:fill="FFFFFF"/>
            <w:noWrap/>
            <w:vAlign w:val="bottom"/>
            <w:hideMark/>
          </w:tcPr>
          <w:p w14:paraId="18C5F7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141 990,7</w:t>
            </w:r>
          </w:p>
        </w:tc>
        <w:tc>
          <w:tcPr>
            <w:tcW w:w="1570" w:type="dxa"/>
            <w:tcBorders>
              <w:top w:val="nil"/>
              <w:left w:val="nil"/>
              <w:bottom w:val="single" w:sz="4" w:space="0" w:color="auto"/>
              <w:right w:val="single" w:sz="4" w:space="0" w:color="auto"/>
            </w:tcBorders>
            <w:shd w:val="clear" w:color="000000" w:fill="FFFFFF"/>
            <w:noWrap/>
            <w:vAlign w:val="bottom"/>
            <w:hideMark/>
          </w:tcPr>
          <w:p w14:paraId="7DB339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2 826,1</w:t>
            </w:r>
          </w:p>
        </w:tc>
        <w:tc>
          <w:tcPr>
            <w:tcW w:w="2002" w:type="dxa"/>
            <w:tcBorders>
              <w:top w:val="nil"/>
              <w:left w:val="nil"/>
              <w:bottom w:val="single" w:sz="4" w:space="0" w:color="auto"/>
              <w:right w:val="single" w:sz="4" w:space="0" w:color="auto"/>
            </w:tcBorders>
            <w:shd w:val="clear" w:color="000000" w:fill="FFFFFF"/>
            <w:noWrap/>
            <w:vAlign w:val="bottom"/>
            <w:hideMark/>
          </w:tcPr>
          <w:p w14:paraId="5FB819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93,9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4C0E9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2 453,2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7CFFA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1 009,1</w:t>
            </w:r>
          </w:p>
        </w:tc>
      </w:tr>
      <w:tr w:rsidR="00761800" w:rsidRPr="00761800" w14:paraId="6F97A72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6898A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Kамено</w:t>
            </w:r>
          </w:p>
        </w:tc>
        <w:tc>
          <w:tcPr>
            <w:tcW w:w="146" w:type="dxa"/>
            <w:tcBorders>
              <w:top w:val="nil"/>
              <w:left w:val="nil"/>
              <w:bottom w:val="single" w:sz="4" w:space="0" w:color="auto"/>
              <w:right w:val="nil"/>
            </w:tcBorders>
            <w:shd w:val="clear" w:color="000000" w:fill="FFFFFF"/>
          </w:tcPr>
          <w:p w14:paraId="1584203A"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8D512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8 251,7</w:t>
            </w:r>
          </w:p>
        </w:tc>
        <w:tc>
          <w:tcPr>
            <w:tcW w:w="1406" w:type="dxa"/>
            <w:tcBorders>
              <w:top w:val="nil"/>
              <w:left w:val="nil"/>
              <w:bottom w:val="single" w:sz="4" w:space="0" w:color="auto"/>
              <w:right w:val="single" w:sz="4" w:space="0" w:color="auto"/>
            </w:tcBorders>
            <w:shd w:val="clear" w:color="000000" w:fill="FFFFFF"/>
            <w:noWrap/>
            <w:vAlign w:val="bottom"/>
            <w:hideMark/>
          </w:tcPr>
          <w:p w14:paraId="7138A8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7 171,6</w:t>
            </w:r>
          </w:p>
        </w:tc>
        <w:tc>
          <w:tcPr>
            <w:tcW w:w="1570" w:type="dxa"/>
            <w:tcBorders>
              <w:top w:val="nil"/>
              <w:left w:val="nil"/>
              <w:bottom w:val="single" w:sz="4" w:space="0" w:color="auto"/>
              <w:right w:val="single" w:sz="4" w:space="0" w:color="auto"/>
            </w:tcBorders>
            <w:shd w:val="clear" w:color="000000" w:fill="FFFFFF"/>
            <w:noWrap/>
            <w:vAlign w:val="bottom"/>
            <w:hideMark/>
          </w:tcPr>
          <w:p w14:paraId="259A3E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471,8</w:t>
            </w:r>
          </w:p>
        </w:tc>
        <w:tc>
          <w:tcPr>
            <w:tcW w:w="2002" w:type="dxa"/>
            <w:tcBorders>
              <w:top w:val="nil"/>
              <w:left w:val="nil"/>
              <w:bottom w:val="single" w:sz="4" w:space="0" w:color="auto"/>
              <w:right w:val="single" w:sz="4" w:space="0" w:color="auto"/>
            </w:tcBorders>
            <w:shd w:val="clear" w:color="000000" w:fill="FFFFFF"/>
            <w:noWrap/>
            <w:vAlign w:val="bottom"/>
            <w:hideMark/>
          </w:tcPr>
          <w:p w14:paraId="295298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0B262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576,6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66F86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149,9</w:t>
            </w:r>
          </w:p>
        </w:tc>
      </w:tr>
      <w:tr w:rsidR="00761800" w:rsidRPr="00761800" w14:paraId="45A36A8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7F495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Kарнобат</w:t>
            </w:r>
          </w:p>
        </w:tc>
        <w:tc>
          <w:tcPr>
            <w:tcW w:w="146" w:type="dxa"/>
            <w:tcBorders>
              <w:top w:val="nil"/>
              <w:left w:val="nil"/>
              <w:bottom w:val="single" w:sz="4" w:space="0" w:color="auto"/>
              <w:right w:val="nil"/>
            </w:tcBorders>
            <w:shd w:val="clear" w:color="000000" w:fill="FFFFFF"/>
          </w:tcPr>
          <w:p w14:paraId="6D23C57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05A76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20 759,4</w:t>
            </w:r>
          </w:p>
        </w:tc>
        <w:tc>
          <w:tcPr>
            <w:tcW w:w="1406" w:type="dxa"/>
            <w:tcBorders>
              <w:top w:val="nil"/>
              <w:left w:val="nil"/>
              <w:bottom w:val="single" w:sz="4" w:space="0" w:color="auto"/>
              <w:right w:val="single" w:sz="4" w:space="0" w:color="auto"/>
            </w:tcBorders>
            <w:shd w:val="clear" w:color="000000" w:fill="FFFFFF"/>
            <w:noWrap/>
            <w:vAlign w:val="bottom"/>
            <w:hideMark/>
          </w:tcPr>
          <w:p w14:paraId="797E80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17 617,0</w:t>
            </w:r>
          </w:p>
        </w:tc>
        <w:tc>
          <w:tcPr>
            <w:tcW w:w="1570" w:type="dxa"/>
            <w:tcBorders>
              <w:top w:val="nil"/>
              <w:left w:val="nil"/>
              <w:bottom w:val="single" w:sz="4" w:space="0" w:color="auto"/>
              <w:right w:val="single" w:sz="4" w:space="0" w:color="auto"/>
            </w:tcBorders>
            <w:shd w:val="clear" w:color="000000" w:fill="FFFFFF"/>
            <w:noWrap/>
            <w:vAlign w:val="bottom"/>
            <w:hideMark/>
          </w:tcPr>
          <w:p w14:paraId="050A0D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1 479,7</w:t>
            </w:r>
          </w:p>
        </w:tc>
        <w:tc>
          <w:tcPr>
            <w:tcW w:w="2002" w:type="dxa"/>
            <w:tcBorders>
              <w:top w:val="nil"/>
              <w:left w:val="nil"/>
              <w:bottom w:val="single" w:sz="4" w:space="0" w:color="auto"/>
              <w:right w:val="single" w:sz="4" w:space="0" w:color="auto"/>
            </w:tcBorders>
            <w:shd w:val="clear" w:color="000000" w:fill="FFFFFF"/>
            <w:noWrap/>
            <w:vAlign w:val="bottom"/>
            <w:hideMark/>
          </w:tcPr>
          <w:p w14:paraId="6DAA7A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141,3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028B5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1 521,4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4BB04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204,0</w:t>
            </w:r>
          </w:p>
        </w:tc>
      </w:tr>
      <w:tr w:rsidR="00761800" w:rsidRPr="00761800" w14:paraId="314FA82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939C77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Mалко Tърново</w:t>
            </w:r>
          </w:p>
        </w:tc>
        <w:tc>
          <w:tcPr>
            <w:tcW w:w="146" w:type="dxa"/>
            <w:tcBorders>
              <w:top w:val="nil"/>
              <w:left w:val="nil"/>
              <w:bottom w:val="single" w:sz="4" w:space="0" w:color="auto"/>
              <w:right w:val="nil"/>
            </w:tcBorders>
            <w:shd w:val="clear" w:color="000000" w:fill="FFFFFF"/>
          </w:tcPr>
          <w:p w14:paraId="28A693C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97EEC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4 550,7</w:t>
            </w:r>
          </w:p>
        </w:tc>
        <w:tc>
          <w:tcPr>
            <w:tcW w:w="1406" w:type="dxa"/>
            <w:tcBorders>
              <w:top w:val="nil"/>
              <w:left w:val="nil"/>
              <w:bottom w:val="single" w:sz="4" w:space="0" w:color="auto"/>
              <w:right w:val="single" w:sz="4" w:space="0" w:color="auto"/>
            </w:tcBorders>
            <w:shd w:val="clear" w:color="000000" w:fill="FFFFFF"/>
            <w:noWrap/>
            <w:vAlign w:val="bottom"/>
            <w:hideMark/>
          </w:tcPr>
          <w:p w14:paraId="35558C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3 323,2</w:t>
            </w:r>
          </w:p>
        </w:tc>
        <w:tc>
          <w:tcPr>
            <w:tcW w:w="1570" w:type="dxa"/>
            <w:tcBorders>
              <w:top w:val="nil"/>
              <w:left w:val="nil"/>
              <w:bottom w:val="single" w:sz="4" w:space="0" w:color="auto"/>
              <w:right w:val="single" w:sz="4" w:space="0" w:color="auto"/>
            </w:tcBorders>
            <w:shd w:val="clear" w:color="000000" w:fill="FFFFFF"/>
            <w:noWrap/>
            <w:vAlign w:val="bottom"/>
            <w:hideMark/>
          </w:tcPr>
          <w:p w14:paraId="2E05BD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453,1</w:t>
            </w:r>
          </w:p>
        </w:tc>
        <w:tc>
          <w:tcPr>
            <w:tcW w:w="2002" w:type="dxa"/>
            <w:tcBorders>
              <w:top w:val="nil"/>
              <w:left w:val="nil"/>
              <w:bottom w:val="single" w:sz="4" w:space="0" w:color="auto"/>
              <w:right w:val="single" w:sz="4" w:space="0" w:color="auto"/>
            </w:tcBorders>
            <w:shd w:val="clear" w:color="000000" w:fill="FFFFFF"/>
            <w:noWrap/>
            <w:vAlign w:val="bottom"/>
            <w:hideMark/>
          </w:tcPr>
          <w:p w14:paraId="2D502F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82FB8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700,8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9D090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55,4</w:t>
            </w:r>
          </w:p>
        </w:tc>
      </w:tr>
      <w:tr w:rsidR="00761800" w:rsidRPr="00761800" w14:paraId="4A4C5C3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7F34D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Hесебър</w:t>
            </w:r>
          </w:p>
        </w:tc>
        <w:tc>
          <w:tcPr>
            <w:tcW w:w="146" w:type="dxa"/>
            <w:tcBorders>
              <w:top w:val="nil"/>
              <w:left w:val="nil"/>
              <w:bottom w:val="single" w:sz="4" w:space="0" w:color="auto"/>
              <w:right w:val="nil"/>
            </w:tcBorders>
            <w:shd w:val="clear" w:color="000000" w:fill="FFFFFF"/>
          </w:tcPr>
          <w:p w14:paraId="2BE1528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E2809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18 319,1</w:t>
            </w:r>
          </w:p>
        </w:tc>
        <w:tc>
          <w:tcPr>
            <w:tcW w:w="1406" w:type="dxa"/>
            <w:tcBorders>
              <w:top w:val="nil"/>
              <w:left w:val="nil"/>
              <w:bottom w:val="single" w:sz="4" w:space="0" w:color="auto"/>
              <w:right w:val="single" w:sz="4" w:space="0" w:color="auto"/>
            </w:tcBorders>
            <w:shd w:val="clear" w:color="000000" w:fill="FFFFFF"/>
            <w:noWrap/>
            <w:vAlign w:val="bottom"/>
            <w:hideMark/>
          </w:tcPr>
          <w:p w14:paraId="610D6BA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17 384,4</w:t>
            </w:r>
          </w:p>
        </w:tc>
        <w:tc>
          <w:tcPr>
            <w:tcW w:w="1570" w:type="dxa"/>
            <w:tcBorders>
              <w:top w:val="nil"/>
              <w:left w:val="nil"/>
              <w:bottom w:val="single" w:sz="4" w:space="0" w:color="auto"/>
              <w:right w:val="single" w:sz="4" w:space="0" w:color="auto"/>
            </w:tcBorders>
            <w:shd w:val="clear" w:color="000000" w:fill="FFFFFF"/>
            <w:noWrap/>
            <w:vAlign w:val="bottom"/>
            <w:hideMark/>
          </w:tcPr>
          <w:p w14:paraId="5AE869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212D8A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B16AB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879,8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FBF55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1 087,9</w:t>
            </w:r>
          </w:p>
        </w:tc>
      </w:tr>
      <w:tr w:rsidR="00761800" w:rsidRPr="00761800" w14:paraId="5570587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E7983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Поморие</w:t>
            </w:r>
          </w:p>
        </w:tc>
        <w:tc>
          <w:tcPr>
            <w:tcW w:w="146" w:type="dxa"/>
            <w:tcBorders>
              <w:top w:val="nil"/>
              <w:left w:val="nil"/>
              <w:bottom w:val="single" w:sz="4" w:space="0" w:color="auto"/>
              <w:right w:val="nil"/>
            </w:tcBorders>
            <w:shd w:val="clear" w:color="000000" w:fill="FFFFFF"/>
          </w:tcPr>
          <w:p w14:paraId="46C1BAD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12AB2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17 677,2</w:t>
            </w:r>
          </w:p>
        </w:tc>
        <w:tc>
          <w:tcPr>
            <w:tcW w:w="1406" w:type="dxa"/>
            <w:tcBorders>
              <w:top w:val="nil"/>
              <w:left w:val="nil"/>
              <w:bottom w:val="single" w:sz="4" w:space="0" w:color="auto"/>
              <w:right w:val="single" w:sz="4" w:space="0" w:color="auto"/>
            </w:tcBorders>
            <w:shd w:val="clear" w:color="000000" w:fill="FFFFFF"/>
            <w:noWrap/>
            <w:vAlign w:val="bottom"/>
            <w:hideMark/>
          </w:tcPr>
          <w:p w14:paraId="2E0C39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16 704,3</w:t>
            </w:r>
          </w:p>
        </w:tc>
        <w:tc>
          <w:tcPr>
            <w:tcW w:w="1570" w:type="dxa"/>
            <w:tcBorders>
              <w:top w:val="nil"/>
              <w:left w:val="nil"/>
              <w:bottom w:val="single" w:sz="4" w:space="0" w:color="auto"/>
              <w:right w:val="single" w:sz="4" w:space="0" w:color="auto"/>
            </w:tcBorders>
            <w:shd w:val="clear" w:color="000000" w:fill="FFFFFF"/>
            <w:noWrap/>
            <w:vAlign w:val="bottom"/>
            <w:hideMark/>
          </w:tcPr>
          <w:p w14:paraId="260F29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2EAB7B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3A68F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906,1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7D5F0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245,4</w:t>
            </w:r>
          </w:p>
        </w:tc>
      </w:tr>
      <w:tr w:rsidR="00761800" w:rsidRPr="00761800" w14:paraId="420FD29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1FECA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Приморско</w:t>
            </w:r>
          </w:p>
        </w:tc>
        <w:tc>
          <w:tcPr>
            <w:tcW w:w="146" w:type="dxa"/>
            <w:tcBorders>
              <w:top w:val="nil"/>
              <w:left w:val="nil"/>
              <w:bottom w:val="single" w:sz="4" w:space="0" w:color="auto"/>
              <w:right w:val="nil"/>
            </w:tcBorders>
            <w:shd w:val="clear" w:color="000000" w:fill="FFFFFF"/>
          </w:tcPr>
          <w:p w14:paraId="36B191C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5327E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4 631,5</w:t>
            </w:r>
          </w:p>
        </w:tc>
        <w:tc>
          <w:tcPr>
            <w:tcW w:w="1406" w:type="dxa"/>
            <w:tcBorders>
              <w:top w:val="nil"/>
              <w:left w:val="nil"/>
              <w:bottom w:val="single" w:sz="4" w:space="0" w:color="auto"/>
              <w:right w:val="single" w:sz="4" w:space="0" w:color="auto"/>
            </w:tcBorders>
            <w:shd w:val="clear" w:color="000000" w:fill="FFFFFF"/>
            <w:noWrap/>
            <w:vAlign w:val="bottom"/>
            <w:hideMark/>
          </w:tcPr>
          <w:p w14:paraId="0D1B5F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4 295,6</w:t>
            </w:r>
          </w:p>
        </w:tc>
        <w:tc>
          <w:tcPr>
            <w:tcW w:w="1570" w:type="dxa"/>
            <w:tcBorders>
              <w:top w:val="nil"/>
              <w:left w:val="nil"/>
              <w:bottom w:val="single" w:sz="4" w:space="0" w:color="auto"/>
              <w:right w:val="single" w:sz="4" w:space="0" w:color="auto"/>
            </w:tcBorders>
            <w:shd w:val="clear" w:color="000000" w:fill="FFFFFF"/>
            <w:noWrap/>
            <w:vAlign w:val="bottom"/>
            <w:hideMark/>
          </w:tcPr>
          <w:p w14:paraId="6E228E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3EC7FD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94A82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314,5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A7B2A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345,1</w:t>
            </w:r>
          </w:p>
        </w:tc>
      </w:tr>
      <w:tr w:rsidR="00761800" w:rsidRPr="00761800" w14:paraId="2C25028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40F4E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Pуен</w:t>
            </w:r>
          </w:p>
        </w:tc>
        <w:tc>
          <w:tcPr>
            <w:tcW w:w="146" w:type="dxa"/>
            <w:tcBorders>
              <w:top w:val="nil"/>
              <w:left w:val="nil"/>
              <w:bottom w:val="single" w:sz="4" w:space="0" w:color="auto"/>
              <w:right w:val="nil"/>
            </w:tcBorders>
            <w:shd w:val="clear" w:color="000000" w:fill="FFFFFF"/>
          </w:tcPr>
          <w:p w14:paraId="0A42E48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34513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18 894,8</w:t>
            </w:r>
          </w:p>
        </w:tc>
        <w:tc>
          <w:tcPr>
            <w:tcW w:w="1406" w:type="dxa"/>
            <w:tcBorders>
              <w:top w:val="nil"/>
              <w:left w:val="nil"/>
              <w:bottom w:val="single" w:sz="4" w:space="0" w:color="auto"/>
              <w:right w:val="single" w:sz="4" w:space="0" w:color="auto"/>
            </w:tcBorders>
            <w:shd w:val="clear" w:color="000000" w:fill="FFFFFF"/>
            <w:noWrap/>
            <w:vAlign w:val="bottom"/>
            <w:hideMark/>
          </w:tcPr>
          <w:p w14:paraId="4C0F27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14 904,2</w:t>
            </w:r>
          </w:p>
        </w:tc>
        <w:tc>
          <w:tcPr>
            <w:tcW w:w="1570" w:type="dxa"/>
            <w:tcBorders>
              <w:top w:val="nil"/>
              <w:left w:val="nil"/>
              <w:bottom w:val="single" w:sz="4" w:space="0" w:color="auto"/>
              <w:right w:val="single" w:sz="4" w:space="0" w:color="auto"/>
            </w:tcBorders>
            <w:shd w:val="clear" w:color="000000" w:fill="FFFFFF"/>
            <w:noWrap/>
            <w:vAlign w:val="bottom"/>
            <w:hideMark/>
          </w:tcPr>
          <w:p w14:paraId="7C780B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2 102,5</w:t>
            </w:r>
          </w:p>
        </w:tc>
        <w:tc>
          <w:tcPr>
            <w:tcW w:w="2002" w:type="dxa"/>
            <w:tcBorders>
              <w:top w:val="nil"/>
              <w:left w:val="nil"/>
              <w:bottom w:val="single" w:sz="4" w:space="0" w:color="auto"/>
              <w:right w:val="single" w:sz="4" w:space="0" w:color="auto"/>
            </w:tcBorders>
            <w:shd w:val="clear" w:color="000000" w:fill="FFFFFF"/>
            <w:noWrap/>
            <w:vAlign w:val="bottom"/>
            <w:hideMark/>
          </w:tcPr>
          <w:p w14:paraId="245DB6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135,6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A4011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1 752,5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6E076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56,0</w:t>
            </w:r>
          </w:p>
        </w:tc>
      </w:tr>
      <w:tr w:rsidR="00761800" w:rsidRPr="00761800" w14:paraId="18AF248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2DE3B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Cозопол</w:t>
            </w:r>
          </w:p>
        </w:tc>
        <w:tc>
          <w:tcPr>
            <w:tcW w:w="146" w:type="dxa"/>
            <w:tcBorders>
              <w:top w:val="nil"/>
              <w:left w:val="nil"/>
              <w:bottom w:val="single" w:sz="4" w:space="0" w:color="auto"/>
              <w:right w:val="nil"/>
            </w:tcBorders>
            <w:shd w:val="clear" w:color="000000" w:fill="FFFFFF"/>
          </w:tcPr>
          <w:p w14:paraId="4291E4A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1FE8F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7 739,7</w:t>
            </w:r>
          </w:p>
        </w:tc>
        <w:tc>
          <w:tcPr>
            <w:tcW w:w="1406" w:type="dxa"/>
            <w:tcBorders>
              <w:top w:val="nil"/>
              <w:left w:val="nil"/>
              <w:bottom w:val="single" w:sz="4" w:space="0" w:color="auto"/>
              <w:right w:val="single" w:sz="4" w:space="0" w:color="auto"/>
            </w:tcBorders>
            <w:shd w:val="clear" w:color="000000" w:fill="FFFFFF"/>
            <w:noWrap/>
            <w:vAlign w:val="bottom"/>
            <w:hideMark/>
          </w:tcPr>
          <w:p w14:paraId="4DE056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6 936,4</w:t>
            </w:r>
          </w:p>
        </w:tc>
        <w:tc>
          <w:tcPr>
            <w:tcW w:w="1570" w:type="dxa"/>
            <w:tcBorders>
              <w:top w:val="nil"/>
              <w:left w:val="nil"/>
              <w:bottom w:val="single" w:sz="4" w:space="0" w:color="auto"/>
              <w:right w:val="single" w:sz="4" w:space="0" w:color="auto"/>
            </w:tcBorders>
            <w:shd w:val="clear" w:color="000000" w:fill="FFFFFF"/>
            <w:noWrap/>
            <w:vAlign w:val="bottom"/>
            <w:hideMark/>
          </w:tcPr>
          <w:p w14:paraId="325DF6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59D933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C99D5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728,4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4AAD4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240,7</w:t>
            </w:r>
          </w:p>
        </w:tc>
      </w:tr>
      <w:tr w:rsidR="00761800" w:rsidRPr="00761800" w14:paraId="6821BF2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21A3E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Средец</w:t>
            </w:r>
          </w:p>
        </w:tc>
        <w:tc>
          <w:tcPr>
            <w:tcW w:w="146" w:type="dxa"/>
            <w:tcBorders>
              <w:top w:val="nil"/>
              <w:left w:val="nil"/>
              <w:bottom w:val="single" w:sz="4" w:space="0" w:color="auto"/>
              <w:right w:val="nil"/>
            </w:tcBorders>
            <w:shd w:val="clear" w:color="000000" w:fill="FFFFFF"/>
          </w:tcPr>
          <w:p w14:paraId="13E1F85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F01D9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13 152,7</w:t>
            </w:r>
          </w:p>
        </w:tc>
        <w:tc>
          <w:tcPr>
            <w:tcW w:w="1406" w:type="dxa"/>
            <w:tcBorders>
              <w:top w:val="nil"/>
              <w:left w:val="nil"/>
              <w:bottom w:val="single" w:sz="4" w:space="0" w:color="auto"/>
              <w:right w:val="single" w:sz="4" w:space="0" w:color="auto"/>
            </w:tcBorders>
            <w:shd w:val="clear" w:color="000000" w:fill="FFFFFF"/>
            <w:noWrap/>
            <w:vAlign w:val="bottom"/>
            <w:hideMark/>
          </w:tcPr>
          <w:p w14:paraId="64EEF7A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10 748,9</w:t>
            </w:r>
          </w:p>
        </w:tc>
        <w:tc>
          <w:tcPr>
            <w:tcW w:w="1570" w:type="dxa"/>
            <w:tcBorders>
              <w:top w:val="nil"/>
              <w:left w:val="nil"/>
              <w:bottom w:val="single" w:sz="4" w:space="0" w:color="auto"/>
              <w:right w:val="single" w:sz="4" w:space="0" w:color="auto"/>
            </w:tcBorders>
            <w:shd w:val="clear" w:color="000000" w:fill="FFFFFF"/>
            <w:noWrap/>
            <w:vAlign w:val="bottom"/>
            <w:hideMark/>
          </w:tcPr>
          <w:p w14:paraId="3EA042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896,9</w:t>
            </w:r>
          </w:p>
        </w:tc>
        <w:tc>
          <w:tcPr>
            <w:tcW w:w="2002" w:type="dxa"/>
            <w:tcBorders>
              <w:top w:val="nil"/>
              <w:left w:val="nil"/>
              <w:bottom w:val="single" w:sz="4" w:space="0" w:color="auto"/>
              <w:right w:val="single" w:sz="4" w:space="0" w:color="auto"/>
            </w:tcBorders>
            <w:shd w:val="clear" w:color="000000" w:fill="FFFFFF"/>
            <w:noWrap/>
            <w:vAlign w:val="bottom"/>
            <w:hideMark/>
          </w:tcPr>
          <w:p w14:paraId="25139C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C6422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1 375,9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89B47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270,6</w:t>
            </w:r>
          </w:p>
        </w:tc>
      </w:tr>
      <w:tr w:rsidR="00761800" w:rsidRPr="00761800" w14:paraId="03B84AB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1B041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Cунгурларе</w:t>
            </w:r>
          </w:p>
        </w:tc>
        <w:tc>
          <w:tcPr>
            <w:tcW w:w="146" w:type="dxa"/>
            <w:tcBorders>
              <w:top w:val="nil"/>
              <w:left w:val="nil"/>
              <w:bottom w:val="single" w:sz="4" w:space="0" w:color="auto"/>
              <w:right w:val="nil"/>
            </w:tcBorders>
            <w:shd w:val="clear" w:color="000000" w:fill="FFFFFF"/>
          </w:tcPr>
          <w:p w14:paraId="11C3D93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16FF5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10 999,6</w:t>
            </w:r>
          </w:p>
        </w:tc>
        <w:tc>
          <w:tcPr>
            <w:tcW w:w="1406" w:type="dxa"/>
            <w:tcBorders>
              <w:top w:val="nil"/>
              <w:left w:val="nil"/>
              <w:bottom w:val="single" w:sz="4" w:space="0" w:color="auto"/>
              <w:right w:val="single" w:sz="4" w:space="0" w:color="auto"/>
            </w:tcBorders>
            <w:shd w:val="clear" w:color="000000" w:fill="FFFFFF"/>
            <w:noWrap/>
            <w:vAlign w:val="bottom"/>
            <w:hideMark/>
          </w:tcPr>
          <w:p w14:paraId="5F2670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8 713,0</w:t>
            </w:r>
          </w:p>
        </w:tc>
        <w:tc>
          <w:tcPr>
            <w:tcW w:w="1570" w:type="dxa"/>
            <w:tcBorders>
              <w:top w:val="nil"/>
              <w:left w:val="nil"/>
              <w:bottom w:val="single" w:sz="4" w:space="0" w:color="auto"/>
              <w:right w:val="single" w:sz="4" w:space="0" w:color="auto"/>
            </w:tcBorders>
            <w:shd w:val="clear" w:color="000000" w:fill="FFFFFF"/>
            <w:noWrap/>
            <w:vAlign w:val="bottom"/>
            <w:hideMark/>
          </w:tcPr>
          <w:p w14:paraId="60C9B4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1 033,2</w:t>
            </w:r>
          </w:p>
        </w:tc>
        <w:tc>
          <w:tcPr>
            <w:tcW w:w="2002" w:type="dxa"/>
            <w:tcBorders>
              <w:top w:val="nil"/>
              <w:left w:val="nil"/>
              <w:bottom w:val="single" w:sz="4" w:space="0" w:color="auto"/>
              <w:right w:val="single" w:sz="4" w:space="0" w:color="auto"/>
            </w:tcBorders>
            <w:shd w:val="clear" w:color="000000" w:fill="FFFFFF"/>
            <w:noWrap/>
            <w:vAlign w:val="bottom"/>
            <w:hideMark/>
          </w:tcPr>
          <w:p w14:paraId="35296E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17437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1 158,7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28A6E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90,1</w:t>
            </w:r>
          </w:p>
        </w:tc>
      </w:tr>
      <w:tr w:rsidR="00761800" w:rsidRPr="00761800" w14:paraId="4194E02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017F8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Царево</w:t>
            </w:r>
          </w:p>
        </w:tc>
        <w:tc>
          <w:tcPr>
            <w:tcW w:w="146" w:type="dxa"/>
            <w:tcBorders>
              <w:top w:val="nil"/>
              <w:left w:val="nil"/>
              <w:bottom w:val="single" w:sz="4" w:space="0" w:color="auto"/>
              <w:right w:val="nil"/>
            </w:tcBorders>
            <w:shd w:val="clear" w:color="000000" w:fill="FFFFFF"/>
          </w:tcPr>
          <w:p w14:paraId="42A6DC1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6553D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6 136,5</w:t>
            </w:r>
          </w:p>
        </w:tc>
        <w:tc>
          <w:tcPr>
            <w:tcW w:w="1406" w:type="dxa"/>
            <w:tcBorders>
              <w:top w:val="nil"/>
              <w:left w:val="nil"/>
              <w:bottom w:val="single" w:sz="4" w:space="0" w:color="auto"/>
              <w:right w:val="single" w:sz="4" w:space="0" w:color="auto"/>
            </w:tcBorders>
            <w:shd w:val="clear" w:color="000000" w:fill="FFFFFF"/>
            <w:noWrap/>
            <w:vAlign w:val="bottom"/>
            <w:hideMark/>
          </w:tcPr>
          <w:p w14:paraId="5F21B8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5 540,6</w:t>
            </w:r>
          </w:p>
        </w:tc>
        <w:tc>
          <w:tcPr>
            <w:tcW w:w="1570" w:type="dxa"/>
            <w:tcBorders>
              <w:top w:val="nil"/>
              <w:left w:val="nil"/>
              <w:bottom w:val="single" w:sz="4" w:space="0" w:color="auto"/>
              <w:right w:val="single" w:sz="4" w:space="0" w:color="auto"/>
            </w:tcBorders>
            <w:shd w:val="clear" w:color="000000" w:fill="FFFFFF"/>
            <w:noWrap/>
            <w:vAlign w:val="bottom"/>
            <w:hideMark/>
          </w:tcPr>
          <w:p w14:paraId="2BB726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2C3CCD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3B485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556,4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F71F3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240,2</w:t>
            </w:r>
          </w:p>
        </w:tc>
      </w:tr>
      <w:tr w:rsidR="00761800" w:rsidRPr="00761800" w14:paraId="5C82FC7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76861E2"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4A7FDE89"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68919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74B31D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168A9F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5F1CB3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B136EF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394BF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A57034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81B79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ВАРНА</w:t>
            </w:r>
          </w:p>
        </w:tc>
        <w:tc>
          <w:tcPr>
            <w:tcW w:w="146" w:type="dxa"/>
            <w:tcBorders>
              <w:top w:val="nil"/>
              <w:left w:val="nil"/>
              <w:bottom w:val="single" w:sz="4" w:space="0" w:color="auto"/>
              <w:right w:val="nil"/>
            </w:tcBorders>
            <w:shd w:val="clear" w:color="000000" w:fill="FFFFFF"/>
          </w:tcPr>
          <w:p w14:paraId="4117E100"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C1FA0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7451D79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02C96B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41B4F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6BDDE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CFE14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AA9F26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7258F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Aврен</w:t>
            </w:r>
          </w:p>
        </w:tc>
        <w:tc>
          <w:tcPr>
            <w:tcW w:w="146" w:type="dxa"/>
            <w:tcBorders>
              <w:top w:val="nil"/>
              <w:left w:val="nil"/>
              <w:bottom w:val="single" w:sz="4" w:space="0" w:color="auto"/>
              <w:right w:val="nil"/>
            </w:tcBorders>
            <w:shd w:val="clear" w:color="000000" w:fill="FFFFFF"/>
          </w:tcPr>
          <w:p w14:paraId="16F7C5B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A687B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5 601,7</w:t>
            </w:r>
          </w:p>
        </w:tc>
        <w:tc>
          <w:tcPr>
            <w:tcW w:w="1406" w:type="dxa"/>
            <w:tcBorders>
              <w:top w:val="nil"/>
              <w:left w:val="nil"/>
              <w:bottom w:val="single" w:sz="4" w:space="0" w:color="auto"/>
              <w:right w:val="single" w:sz="4" w:space="0" w:color="auto"/>
            </w:tcBorders>
            <w:shd w:val="clear" w:color="000000" w:fill="FFFFFF"/>
            <w:noWrap/>
            <w:vAlign w:val="bottom"/>
            <w:hideMark/>
          </w:tcPr>
          <w:p w14:paraId="556374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4 486,8</w:t>
            </w:r>
          </w:p>
        </w:tc>
        <w:tc>
          <w:tcPr>
            <w:tcW w:w="1570" w:type="dxa"/>
            <w:tcBorders>
              <w:top w:val="nil"/>
              <w:left w:val="nil"/>
              <w:bottom w:val="single" w:sz="4" w:space="0" w:color="auto"/>
              <w:right w:val="single" w:sz="4" w:space="0" w:color="auto"/>
            </w:tcBorders>
            <w:shd w:val="clear" w:color="000000" w:fill="FFFFFF"/>
            <w:noWrap/>
            <w:vAlign w:val="bottom"/>
            <w:hideMark/>
          </w:tcPr>
          <w:p w14:paraId="637419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341,7</w:t>
            </w:r>
          </w:p>
        </w:tc>
        <w:tc>
          <w:tcPr>
            <w:tcW w:w="2002" w:type="dxa"/>
            <w:tcBorders>
              <w:top w:val="nil"/>
              <w:left w:val="nil"/>
              <w:bottom w:val="single" w:sz="4" w:space="0" w:color="auto"/>
              <w:right w:val="single" w:sz="4" w:space="0" w:color="auto"/>
            </w:tcBorders>
            <w:shd w:val="clear" w:color="000000" w:fill="FFFFFF"/>
            <w:noWrap/>
            <w:vAlign w:val="bottom"/>
            <w:hideMark/>
          </w:tcPr>
          <w:p w14:paraId="780CF8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4AAE1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713,5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A8A67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67,1</w:t>
            </w:r>
          </w:p>
        </w:tc>
      </w:tr>
      <w:tr w:rsidR="00761800" w:rsidRPr="00761800" w14:paraId="0ADCC4B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4C535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Aксаково</w:t>
            </w:r>
          </w:p>
        </w:tc>
        <w:tc>
          <w:tcPr>
            <w:tcW w:w="146" w:type="dxa"/>
            <w:tcBorders>
              <w:top w:val="nil"/>
              <w:left w:val="nil"/>
              <w:bottom w:val="single" w:sz="4" w:space="0" w:color="auto"/>
              <w:right w:val="nil"/>
            </w:tcBorders>
            <w:shd w:val="clear" w:color="000000" w:fill="FFFFFF"/>
          </w:tcPr>
          <w:p w14:paraId="3CADF84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91995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12 707,1</w:t>
            </w:r>
          </w:p>
        </w:tc>
        <w:tc>
          <w:tcPr>
            <w:tcW w:w="1406" w:type="dxa"/>
            <w:tcBorders>
              <w:top w:val="nil"/>
              <w:left w:val="nil"/>
              <w:bottom w:val="single" w:sz="4" w:space="0" w:color="auto"/>
              <w:right w:val="single" w:sz="4" w:space="0" w:color="auto"/>
            </w:tcBorders>
            <w:shd w:val="clear" w:color="000000" w:fill="FFFFFF"/>
            <w:noWrap/>
            <w:vAlign w:val="bottom"/>
            <w:hideMark/>
          </w:tcPr>
          <w:p w14:paraId="659B72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10 879,6</w:t>
            </w:r>
          </w:p>
        </w:tc>
        <w:tc>
          <w:tcPr>
            <w:tcW w:w="1570" w:type="dxa"/>
            <w:tcBorders>
              <w:top w:val="nil"/>
              <w:left w:val="nil"/>
              <w:bottom w:val="single" w:sz="4" w:space="0" w:color="auto"/>
              <w:right w:val="single" w:sz="4" w:space="0" w:color="auto"/>
            </w:tcBorders>
            <w:shd w:val="clear" w:color="000000" w:fill="FFFFFF"/>
            <w:noWrap/>
            <w:vAlign w:val="bottom"/>
            <w:hideMark/>
          </w:tcPr>
          <w:p w14:paraId="178F50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555,2</w:t>
            </w:r>
          </w:p>
        </w:tc>
        <w:tc>
          <w:tcPr>
            <w:tcW w:w="2002" w:type="dxa"/>
            <w:tcBorders>
              <w:top w:val="nil"/>
              <w:left w:val="nil"/>
              <w:bottom w:val="single" w:sz="4" w:space="0" w:color="auto"/>
              <w:right w:val="single" w:sz="4" w:space="0" w:color="auto"/>
            </w:tcBorders>
            <w:shd w:val="clear" w:color="000000" w:fill="FFFFFF"/>
            <w:noWrap/>
            <w:vAlign w:val="bottom"/>
            <w:hideMark/>
          </w:tcPr>
          <w:p w14:paraId="700783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B5302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1 138,3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A9C57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77,9</w:t>
            </w:r>
          </w:p>
        </w:tc>
      </w:tr>
      <w:tr w:rsidR="00761800" w:rsidRPr="00761800" w14:paraId="2958741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27483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Белослав</w:t>
            </w:r>
          </w:p>
        </w:tc>
        <w:tc>
          <w:tcPr>
            <w:tcW w:w="146" w:type="dxa"/>
            <w:tcBorders>
              <w:top w:val="nil"/>
              <w:left w:val="nil"/>
              <w:bottom w:val="single" w:sz="4" w:space="0" w:color="auto"/>
              <w:right w:val="nil"/>
            </w:tcBorders>
            <w:shd w:val="clear" w:color="000000" w:fill="FFFFFF"/>
          </w:tcPr>
          <w:p w14:paraId="5AEB038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4F2D0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9 766,3</w:t>
            </w:r>
          </w:p>
        </w:tc>
        <w:tc>
          <w:tcPr>
            <w:tcW w:w="1406" w:type="dxa"/>
            <w:tcBorders>
              <w:top w:val="nil"/>
              <w:left w:val="nil"/>
              <w:bottom w:val="single" w:sz="4" w:space="0" w:color="auto"/>
              <w:right w:val="single" w:sz="4" w:space="0" w:color="auto"/>
            </w:tcBorders>
            <w:shd w:val="clear" w:color="000000" w:fill="FFFFFF"/>
            <w:noWrap/>
            <w:vAlign w:val="bottom"/>
            <w:hideMark/>
          </w:tcPr>
          <w:p w14:paraId="72260D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9 132,1</w:t>
            </w:r>
          </w:p>
        </w:tc>
        <w:tc>
          <w:tcPr>
            <w:tcW w:w="1570" w:type="dxa"/>
            <w:tcBorders>
              <w:top w:val="nil"/>
              <w:left w:val="nil"/>
              <w:bottom w:val="single" w:sz="4" w:space="0" w:color="auto"/>
              <w:right w:val="single" w:sz="4" w:space="0" w:color="auto"/>
            </w:tcBorders>
            <w:shd w:val="clear" w:color="000000" w:fill="FFFFFF"/>
            <w:noWrap/>
            <w:vAlign w:val="bottom"/>
            <w:hideMark/>
          </w:tcPr>
          <w:p w14:paraId="38D527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327,3</w:t>
            </w:r>
          </w:p>
        </w:tc>
        <w:tc>
          <w:tcPr>
            <w:tcW w:w="2002" w:type="dxa"/>
            <w:tcBorders>
              <w:top w:val="nil"/>
              <w:left w:val="nil"/>
              <w:bottom w:val="single" w:sz="4" w:space="0" w:color="auto"/>
              <w:right w:val="single" w:sz="4" w:space="0" w:color="auto"/>
            </w:tcBorders>
            <w:shd w:val="clear" w:color="000000" w:fill="FFFFFF"/>
            <w:noWrap/>
            <w:vAlign w:val="bottom"/>
            <w:hideMark/>
          </w:tcPr>
          <w:p w14:paraId="644FDE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71C7D2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284,7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AFB64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44,6</w:t>
            </w:r>
          </w:p>
        </w:tc>
      </w:tr>
      <w:tr w:rsidR="00761800" w:rsidRPr="00761800" w14:paraId="017FEFF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16B0E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Бяла</w:t>
            </w:r>
          </w:p>
        </w:tc>
        <w:tc>
          <w:tcPr>
            <w:tcW w:w="146" w:type="dxa"/>
            <w:tcBorders>
              <w:top w:val="nil"/>
              <w:left w:val="nil"/>
              <w:bottom w:val="single" w:sz="4" w:space="0" w:color="auto"/>
              <w:right w:val="nil"/>
            </w:tcBorders>
            <w:shd w:val="clear" w:color="000000" w:fill="FFFFFF"/>
          </w:tcPr>
          <w:p w14:paraId="430A6F3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2597F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3 395,8</w:t>
            </w:r>
          </w:p>
        </w:tc>
        <w:tc>
          <w:tcPr>
            <w:tcW w:w="1406" w:type="dxa"/>
            <w:tcBorders>
              <w:top w:val="nil"/>
              <w:left w:val="nil"/>
              <w:bottom w:val="single" w:sz="4" w:space="0" w:color="auto"/>
              <w:right w:val="single" w:sz="4" w:space="0" w:color="auto"/>
            </w:tcBorders>
            <w:shd w:val="clear" w:color="000000" w:fill="FFFFFF"/>
            <w:noWrap/>
            <w:vAlign w:val="bottom"/>
            <w:hideMark/>
          </w:tcPr>
          <w:p w14:paraId="3E82E8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3 129,6</w:t>
            </w:r>
          </w:p>
        </w:tc>
        <w:tc>
          <w:tcPr>
            <w:tcW w:w="1570" w:type="dxa"/>
            <w:tcBorders>
              <w:top w:val="nil"/>
              <w:left w:val="nil"/>
              <w:bottom w:val="single" w:sz="4" w:space="0" w:color="auto"/>
              <w:right w:val="single" w:sz="4" w:space="0" w:color="auto"/>
            </w:tcBorders>
            <w:shd w:val="clear" w:color="000000" w:fill="FFFFFF"/>
            <w:noWrap/>
            <w:vAlign w:val="bottom"/>
            <w:hideMark/>
          </w:tcPr>
          <w:p w14:paraId="3F0B735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355591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EAB5B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248,8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ECFB5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78,4</w:t>
            </w:r>
          </w:p>
        </w:tc>
      </w:tr>
      <w:tr w:rsidR="00761800" w:rsidRPr="00761800" w14:paraId="2654783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424CD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Bарна</w:t>
            </w:r>
          </w:p>
        </w:tc>
        <w:tc>
          <w:tcPr>
            <w:tcW w:w="146" w:type="dxa"/>
            <w:tcBorders>
              <w:top w:val="nil"/>
              <w:left w:val="nil"/>
              <w:bottom w:val="single" w:sz="4" w:space="0" w:color="auto"/>
              <w:right w:val="nil"/>
            </w:tcBorders>
            <w:shd w:val="clear" w:color="000000" w:fill="FFFFFF"/>
          </w:tcPr>
          <w:p w14:paraId="32F3AA5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8D988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197 253,4</w:t>
            </w:r>
          </w:p>
        </w:tc>
        <w:tc>
          <w:tcPr>
            <w:tcW w:w="1406" w:type="dxa"/>
            <w:tcBorders>
              <w:top w:val="nil"/>
              <w:left w:val="nil"/>
              <w:bottom w:val="single" w:sz="4" w:space="0" w:color="auto"/>
              <w:right w:val="single" w:sz="4" w:space="0" w:color="auto"/>
            </w:tcBorders>
            <w:shd w:val="clear" w:color="000000" w:fill="FFFFFF"/>
            <w:noWrap/>
            <w:vAlign w:val="bottom"/>
            <w:hideMark/>
          </w:tcPr>
          <w:p w14:paraId="5C4654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193 564,0</w:t>
            </w:r>
          </w:p>
        </w:tc>
        <w:tc>
          <w:tcPr>
            <w:tcW w:w="1570" w:type="dxa"/>
            <w:tcBorders>
              <w:top w:val="nil"/>
              <w:left w:val="nil"/>
              <w:bottom w:val="single" w:sz="4" w:space="0" w:color="auto"/>
              <w:right w:val="single" w:sz="4" w:space="0" w:color="auto"/>
            </w:tcBorders>
            <w:shd w:val="clear" w:color="000000" w:fill="FFFFFF"/>
            <w:noWrap/>
            <w:vAlign w:val="bottom"/>
            <w:hideMark/>
          </w:tcPr>
          <w:p w14:paraId="112948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77D8EA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136,6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7AF01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3 552,8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FC652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1 860,3</w:t>
            </w:r>
          </w:p>
        </w:tc>
      </w:tr>
      <w:tr w:rsidR="00761800" w:rsidRPr="00761800" w14:paraId="02BC86A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1938E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Bетрино</w:t>
            </w:r>
          </w:p>
        </w:tc>
        <w:tc>
          <w:tcPr>
            <w:tcW w:w="146" w:type="dxa"/>
            <w:tcBorders>
              <w:top w:val="nil"/>
              <w:left w:val="nil"/>
              <w:bottom w:val="single" w:sz="4" w:space="0" w:color="auto"/>
              <w:right w:val="nil"/>
            </w:tcBorders>
            <w:shd w:val="clear" w:color="000000" w:fill="FFFFFF"/>
          </w:tcPr>
          <w:p w14:paraId="64D2502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35A00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4 332,1</w:t>
            </w:r>
          </w:p>
        </w:tc>
        <w:tc>
          <w:tcPr>
            <w:tcW w:w="1406" w:type="dxa"/>
            <w:tcBorders>
              <w:top w:val="nil"/>
              <w:left w:val="nil"/>
              <w:bottom w:val="single" w:sz="4" w:space="0" w:color="auto"/>
              <w:right w:val="single" w:sz="4" w:space="0" w:color="auto"/>
            </w:tcBorders>
            <w:shd w:val="clear" w:color="000000" w:fill="FFFFFF"/>
            <w:noWrap/>
            <w:vAlign w:val="bottom"/>
            <w:hideMark/>
          </w:tcPr>
          <w:p w14:paraId="5EDD6C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3 323,8</w:t>
            </w:r>
          </w:p>
        </w:tc>
        <w:tc>
          <w:tcPr>
            <w:tcW w:w="1570" w:type="dxa"/>
            <w:tcBorders>
              <w:top w:val="nil"/>
              <w:left w:val="nil"/>
              <w:bottom w:val="single" w:sz="4" w:space="0" w:color="auto"/>
              <w:right w:val="single" w:sz="4" w:space="0" w:color="auto"/>
            </w:tcBorders>
            <w:shd w:val="clear" w:color="000000" w:fill="FFFFFF"/>
            <w:noWrap/>
            <w:vAlign w:val="bottom"/>
            <w:hideMark/>
          </w:tcPr>
          <w:p w14:paraId="6F85FA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415,9</w:t>
            </w:r>
          </w:p>
        </w:tc>
        <w:tc>
          <w:tcPr>
            <w:tcW w:w="2002" w:type="dxa"/>
            <w:tcBorders>
              <w:top w:val="nil"/>
              <w:left w:val="nil"/>
              <w:bottom w:val="single" w:sz="4" w:space="0" w:color="auto"/>
              <w:right w:val="single" w:sz="4" w:space="0" w:color="auto"/>
            </w:tcBorders>
            <w:shd w:val="clear" w:color="000000" w:fill="FFFFFF"/>
            <w:noWrap/>
            <w:vAlign w:val="bottom"/>
            <w:hideMark/>
          </w:tcPr>
          <w:p w14:paraId="01F41F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D6B7F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527,4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00ECC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47,0</w:t>
            </w:r>
          </w:p>
        </w:tc>
      </w:tr>
      <w:tr w:rsidR="00761800" w:rsidRPr="00761800" w14:paraId="201BBA5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586DB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Bълчи дол</w:t>
            </w:r>
          </w:p>
        </w:tc>
        <w:tc>
          <w:tcPr>
            <w:tcW w:w="146" w:type="dxa"/>
            <w:tcBorders>
              <w:top w:val="nil"/>
              <w:left w:val="nil"/>
              <w:bottom w:val="single" w:sz="4" w:space="0" w:color="auto"/>
              <w:right w:val="nil"/>
            </w:tcBorders>
            <w:shd w:val="clear" w:color="000000" w:fill="FFFFFF"/>
          </w:tcPr>
          <w:p w14:paraId="71AC5D6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C8961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8 741,4</w:t>
            </w:r>
          </w:p>
        </w:tc>
        <w:tc>
          <w:tcPr>
            <w:tcW w:w="1406" w:type="dxa"/>
            <w:tcBorders>
              <w:top w:val="nil"/>
              <w:left w:val="nil"/>
              <w:bottom w:val="single" w:sz="4" w:space="0" w:color="auto"/>
              <w:right w:val="single" w:sz="4" w:space="0" w:color="auto"/>
            </w:tcBorders>
            <w:shd w:val="clear" w:color="000000" w:fill="FFFFFF"/>
            <w:noWrap/>
            <w:vAlign w:val="bottom"/>
            <w:hideMark/>
          </w:tcPr>
          <w:p w14:paraId="3D5F5D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7 233,7</w:t>
            </w:r>
          </w:p>
        </w:tc>
        <w:tc>
          <w:tcPr>
            <w:tcW w:w="1570" w:type="dxa"/>
            <w:tcBorders>
              <w:top w:val="nil"/>
              <w:left w:val="nil"/>
              <w:bottom w:val="single" w:sz="4" w:space="0" w:color="auto"/>
              <w:right w:val="single" w:sz="4" w:space="0" w:color="auto"/>
            </w:tcBorders>
            <w:shd w:val="clear" w:color="000000" w:fill="FFFFFF"/>
            <w:noWrap/>
            <w:vAlign w:val="bottom"/>
            <w:hideMark/>
          </w:tcPr>
          <w:p w14:paraId="0E9A26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530,3</w:t>
            </w:r>
          </w:p>
        </w:tc>
        <w:tc>
          <w:tcPr>
            <w:tcW w:w="2002" w:type="dxa"/>
            <w:tcBorders>
              <w:top w:val="nil"/>
              <w:left w:val="nil"/>
              <w:bottom w:val="single" w:sz="4" w:space="0" w:color="auto"/>
              <w:right w:val="single" w:sz="4" w:space="0" w:color="auto"/>
            </w:tcBorders>
            <w:shd w:val="clear" w:color="000000" w:fill="FFFFFF"/>
            <w:noWrap/>
            <w:vAlign w:val="bottom"/>
            <w:hideMark/>
          </w:tcPr>
          <w:p w14:paraId="4AB620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819E2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890,3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413A1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98,3</w:t>
            </w:r>
          </w:p>
        </w:tc>
      </w:tr>
      <w:tr w:rsidR="00761800" w:rsidRPr="00761800" w14:paraId="255094E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2C8071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Девня</w:t>
            </w:r>
          </w:p>
        </w:tc>
        <w:tc>
          <w:tcPr>
            <w:tcW w:w="146" w:type="dxa"/>
            <w:tcBorders>
              <w:top w:val="nil"/>
              <w:left w:val="nil"/>
              <w:bottom w:val="single" w:sz="4" w:space="0" w:color="auto"/>
              <w:right w:val="nil"/>
            </w:tcBorders>
            <w:shd w:val="clear" w:color="000000" w:fill="FFFFFF"/>
          </w:tcPr>
          <w:p w14:paraId="2EC4469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AD4A4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5 762,8</w:t>
            </w:r>
          </w:p>
        </w:tc>
        <w:tc>
          <w:tcPr>
            <w:tcW w:w="1406" w:type="dxa"/>
            <w:tcBorders>
              <w:top w:val="nil"/>
              <w:left w:val="nil"/>
              <w:bottom w:val="single" w:sz="4" w:space="0" w:color="auto"/>
              <w:right w:val="single" w:sz="4" w:space="0" w:color="auto"/>
            </w:tcBorders>
            <w:shd w:val="clear" w:color="000000" w:fill="FFFFFF"/>
            <w:noWrap/>
            <w:vAlign w:val="bottom"/>
            <w:hideMark/>
          </w:tcPr>
          <w:p w14:paraId="0AB51C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5 459,2</w:t>
            </w:r>
          </w:p>
        </w:tc>
        <w:tc>
          <w:tcPr>
            <w:tcW w:w="1570" w:type="dxa"/>
            <w:tcBorders>
              <w:top w:val="nil"/>
              <w:left w:val="nil"/>
              <w:bottom w:val="single" w:sz="4" w:space="0" w:color="auto"/>
              <w:right w:val="single" w:sz="4" w:space="0" w:color="auto"/>
            </w:tcBorders>
            <w:shd w:val="clear" w:color="000000" w:fill="FFFFFF"/>
            <w:noWrap/>
            <w:vAlign w:val="bottom"/>
            <w:hideMark/>
          </w:tcPr>
          <w:p w14:paraId="6105D8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38456E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AA77C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262,7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66E02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34,8</w:t>
            </w:r>
          </w:p>
        </w:tc>
      </w:tr>
      <w:tr w:rsidR="00761800" w:rsidRPr="00761800" w14:paraId="5A5BEFF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F6DD51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Долни чифлик</w:t>
            </w:r>
          </w:p>
        </w:tc>
        <w:tc>
          <w:tcPr>
            <w:tcW w:w="146" w:type="dxa"/>
            <w:tcBorders>
              <w:top w:val="nil"/>
              <w:left w:val="nil"/>
              <w:bottom w:val="single" w:sz="4" w:space="0" w:color="auto"/>
              <w:right w:val="nil"/>
            </w:tcBorders>
            <w:shd w:val="clear" w:color="000000" w:fill="FFFFFF"/>
          </w:tcPr>
          <w:p w14:paraId="53938A8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E36FE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15 232,8</w:t>
            </w:r>
          </w:p>
        </w:tc>
        <w:tc>
          <w:tcPr>
            <w:tcW w:w="1406" w:type="dxa"/>
            <w:tcBorders>
              <w:top w:val="nil"/>
              <w:left w:val="nil"/>
              <w:bottom w:val="single" w:sz="4" w:space="0" w:color="auto"/>
              <w:right w:val="single" w:sz="4" w:space="0" w:color="auto"/>
            </w:tcBorders>
            <w:shd w:val="clear" w:color="000000" w:fill="FFFFFF"/>
            <w:noWrap/>
            <w:vAlign w:val="bottom"/>
            <w:hideMark/>
          </w:tcPr>
          <w:p w14:paraId="7ECDF5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13 088,9</w:t>
            </w:r>
          </w:p>
        </w:tc>
        <w:tc>
          <w:tcPr>
            <w:tcW w:w="1570" w:type="dxa"/>
            <w:tcBorders>
              <w:top w:val="nil"/>
              <w:left w:val="nil"/>
              <w:bottom w:val="single" w:sz="4" w:space="0" w:color="auto"/>
              <w:right w:val="single" w:sz="4" w:space="0" w:color="auto"/>
            </w:tcBorders>
            <w:shd w:val="clear" w:color="000000" w:fill="FFFFFF"/>
            <w:noWrap/>
            <w:vAlign w:val="bottom"/>
            <w:hideMark/>
          </w:tcPr>
          <w:p w14:paraId="3E466B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1 208,0</w:t>
            </w:r>
          </w:p>
        </w:tc>
        <w:tc>
          <w:tcPr>
            <w:tcW w:w="2002" w:type="dxa"/>
            <w:tcBorders>
              <w:top w:val="nil"/>
              <w:left w:val="nil"/>
              <w:bottom w:val="single" w:sz="4" w:space="0" w:color="auto"/>
              <w:right w:val="single" w:sz="4" w:space="0" w:color="auto"/>
            </w:tcBorders>
            <w:shd w:val="clear" w:color="000000" w:fill="FFFFFF"/>
            <w:noWrap/>
            <w:vAlign w:val="bottom"/>
            <w:hideMark/>
          </w:tcPr>
          <w:p w14:paraId="2E857A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1B01A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845,2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BE564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w:t>
            </w:r>
          </w:p>
        </w:tc>
      </w:tr>
      <w:tr w:rsidR="00761800" w:rsidRPr="00761800" w14:paraId="6347F36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412BE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Дългопол</w:t>
            </w:r>
          </w:p>
        </w:tc>
        <w:tc>
          <w:tcPr>
            <w:tcW w:w="146" w:type="dxa"/>
            <w:tcBorders>
              <w:top w:val="nil"/>
              <w:left w:val="nil"/>
              <w:bottom w:val="single" w:sz="4" w:space="0" w:color="auto"/>
              <w:right w:val="nil"/>
            </w:tcBorders>
            <w:shd w:val="clear" w:color="000000" w:fill="FFFFFF"/>
          </w:tcPr>
          <w:p w14:paraId="2E27509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54CB7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10 794,0</w:t>
            </w:r>
          </w:p>
        </w:tc>
        <w:tc>
          <w:tcPr>
            <w:tcW w:w="1406" w:type="dxa"/>
            <w:tcBorders>
              <w:top w:val="nil"/>
              <w:left w:val="nil"/>
              <w:bottom w:val="single" w:sz="4" w:space="0" w:color="auto"/>
              <w:right w:val="single" w:sz="4" w:space="0" w:color="auto"/>
            </w:tcBorders>
            <w:shd w:val="clear" w:color="000000" w:fill="FFFFFF"/>
            <w:noWrap/>
            <w:vAlign w:val="bottom"/>
            <w:hideMark/>
          </w:tcPr>
          <w:p w14:paraId="5B26D9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8 929,0</w:t>
            </w:r>
          </w:p>
        </w:tc>
        <w:tc>
          <w:tcPr>
            <w:tcW w:w="1570" w:type="dxa"/>
            <w:tcBorders>
              <w:top w:val="nil"/>
              <w:left w:val="nil"/>
              <w:bottom w:val="single" w:sz="4" w:space="0" w:color="auto"/>
              <w:right w:val="single" w:sz="4" w:space="0" w:color="auto"/>
            </w:tcBorders>
            <w:shd w:val="clear" w:color="000000" w:fill="FFFFFF"/>
            <w:noWrap/>
            <w:vAlign w:val="bottom"/>
            <w:hideMark/>
          </w:tcPr>
          <w:p w14:paraId="7C6831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1 020,6</w:t>
            </w:r>
          </w:p>
        </w:tc>
        <w:tc>
          <w:tcPr>
            <w:tcW w:w="2002" w:type="dxa"/>
            <w:tcBorders>
              <w:top w:val="nil"/>
              <w:left w:val="nil"/>
              <w:bottom w:val="single" w:sz="4" w:space="0" w:color="auto"/>
              <w:right w:val="single" w:sz="4" w:space="0" w:color="auto"/>
            </w:tcBorders>
            <w:shd w:val="clear" w:color="000000" w:fill="FFFFFF"/>
            <w:noWrap/>
            <w:vAlign w:val="bottom"/>
            <w:hideMark/>
          </w:tcPr>
          <w:p w14:paraId="44498E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4FF13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770,1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894E5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37,7</w:t>
            </w:r>
          </w:p>
        </w:tc>
      </w:tr>
      <w:tr w:rsidR="00761800" w:rsidRPr="00761800" w14:paraId="2340BC2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A517D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Провадия</w:t>
            </w:r>
          </w:p>
        </w:tc>
        <w:tc>
          <w:tcPr>
            <w:tcW w:w="146" w:type="dxa"/>
            <w:tcBorders>
              <w:top w:val="nil"/>
              <w:left w:val="nil"/>
              <w:bottom w:val="single" w:sz="4" w:space="0" w:color="auto"/>
              <w:right w:val="nil"/>
            </w:tcBorders>
            <w:shd w:val="clear" w:color="000000" w:fill="FFFFFF"/>
          </w:tcPr>
          <w:p w14:paraId="0352059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CAD5F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16 891,5</w:t>
            </w:r>
          </w:p>
        </w:tc>
        <w:tc>
          <w:tcPr>
            <w:tcW w:w="1406" w:type="dxa"/>
            <w:tcBorders>
              <w:top w:val="nil"/>
              <w:left w:val="nil"/>
              <w:bottom w:val="single" w:sz="4" w:space="0" w:color="auto"/>
              <w:right w:val="single" w:sz="4" w:space="0" w:color="auto"/>
            </w:tcBorders>
            <w:shd w:val="clear" w:color="000000" w:fill="FFFFFF"/>
            <w:noWrap/>
            <w:vAlign w:val="bottom"/>
            <w:hideMark/>
          </w:tcPr>
          <w:p w14:paraId="223D3A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14 324,2</w:t>
            </w:r>
          </w:p>
        </w:tc>
        <w:tc>
          <w:tcPr>
            <w:tcW w:w="1570" w:type="dxa"/>
            <w:tcBorders>
              <w:top w:val="nil"/>
              <w:left w:val="nil"/>
              <w:bottom w:val="single" w:sz="4" w:space="0" w:color="auto"/>
              <w:right w:val="single" w:sz="4" w:space="0" w:color="auto"/>
            </w:tcBorders>
            <w:shd w:val="clear" w:color="000000" w:fill="FFFFFF"/>
            <w:noWrap/>
            <w:vAlign w:val="bottom"/>
            <w:hideMark/>
          </w:tcPr>
          <w:p w14:paraId="2205ED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1 280,6</w:t>
            </w:r>
          </w:p>
        </w:tc>
        <w:tc>
          <w:tcPr>
            <w:tcW w:w="2002" w:type="dxa"/>
            <w:tcBorders>
              <w:top w:val="nil"/>
              <w:left w:val="nil"/>
              <w:bottom w:val="single" w:sz="4" w:space="0" w:color="auto"/>
              <w:right w:val="single" w:sz="4" w:space="0" w:color="auto"/>
            </w:tcBorders>
            <w:shd w:val="clear" w:color="000000" w:fill="FFFFFF"/>
            <w:noWrap/>
            <w:vAlign w:val="bottom"/>
            <w:hideMark/>
          </w:tcPr>
          <w:p w14:paraId="5872E4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AB554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1 158,8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989B7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82,9</w:t>
            </w:r>
          </w:p>
        </w:tc>
      </w:tr>
      <w:tr w:rsidR="00761800" w:rsidRPr="00761800" w14:paraId="406C039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57EE7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Cуворово</w:t>
            </w:r>
          </w:p>
        </w:tc>
        <w:tc>
          <w:tcPr>
            <w:tcW w:w="146" w:type="dxa"/>
            <w:tcBorders>
              <w:top w:val="nil"/>
              <w:left w:val="nil"/>
              <w:bottom w:val="single" w:sz="4" w:space="0" w:color="auto"/>
              <w:right w:val="nil"/>
            </w:tcBorders>
            <w:shd w:val="clear" w:color="000000" w:fill="FFFFFF"/>
          </w:tcPr>
          <w:p w14:paraId="708DAAC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5DE9C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6 649,2</w:t>
            </w:r>
          </w:p>
        </w:tc>
        <w:tc>
          <w:tcPr>
            <w:tcW w:w="1406" w:type="dxa"/>
            <w:tcBorders>
              <w:top w:val="nil"/>
              <w:left w:val="nil"/>
              <w:bottom w:val="single" w:sz="4" w:space="0" w:color="auto"/>
              <w:right w:val="single" w:sz="4" w:space="0" w:color="auto"/>
            </w:tcBorders>
            <w:shd w:val="clear" w:color="000000" w:fill="FFFFFF"/>
            <w:noWrap/>
            <w:vAlign w:val="bottom"/>
            <w:hideMark/>
          </w:tcPr>
          <w:p w14:paraId="4836B5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5 610,9</w:t>
            </w:r>
          </w:p>
        </w:tc>
        <w:tc>
          <w:tcPr>
            <w:tcW w:w="1570" w:type="dxa"/>
            <w:tcBorders>
              <w:top w:val="nil"/>
              <w:left w:val="nil"/>
              <w:bottom w:val="single" w:sz="4" w:space="0" w:color="auto"/>
              <w:right w:val="single" w:sz="4" w:space="0" w:color="auto"/>
            </w:tcBorders>
            <w:shd w:val="clear" w:color="000000" w:fill="FFFFFF"/>
            <w:noWrap/>
            <w:vAlign w:val="bottom"/>
            <w:hideMark/>
          </w:tcPr>
          <w:p w14:paraId="75DA9F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496,7</w:t>
            </w:r>
          </w:p>
        </w:tc>
        <w:tc>
          <w:tcPr>
            <w:tcW w:w="2002" w:type="dxa"/>
            <w:tcBorders>
              <w:top w:val="nil"/>
              <w:left w:val="nil"/>
              <w:bottom w:val="single" w:sz="4" w:space="0" w:color="auto"/>
              <w:right w:val="single" w:sz="4" w:space="0" w:color="auto"/>
            </w:tcBorders>
            <w:shd w:val="clear" w:color="000000" w:fill="FFFFFF"/>
            <w:noWrap/>
            <w:vAlign w:val="bottom"/>
            <w:hideMark/>
          </w:tcPr>
          <w:p w14:paraId="5F2EF5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79288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485,2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B90E3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56,8</w:t>
            </w:r>
          </w:p>
        </w:tc>
      </w:tr>
      <w:tr w:rsidR="00761800" w:rsidRPr="00761800" w14:paraId="54DB574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AD3A2A9"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7413F433"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C8C3B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6ACC76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40F4AC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581AB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A8E15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7CAA9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730422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DAF9F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ВЕЛИКО ТЪРНОВО</w:t>
            </w:r>
          </w:p>
        </w:tc>
        <w:tc>
          <w:tcPr>
            <w:tcW w:w="146" w:type="dxa"/>
            <w:tcBorders>
              <w:top w:val="nil"/>
              <w:left w:val="nil"/>
              <w:bottom w:val="single" w:sz="4" w:space="0" w:color="auto"/>
              <w:right w:val="nil"/>
            </w:tcBorders>
            <w:shd w:val="clear" w:color="000000" w:fill="FFFFFF"/>
          </w:tcPr>
          <w:p w14:paraId="557D2208"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C8F67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647C7E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16FB8A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4B0EF6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824C4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5966F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5A9B9A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165F3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Bелико Tърново    </w:t>
            </w:r>
          </w:p>
        </w:tc>
        <w:tc>
          <w:tcPr>
            <w:tcW w:w="146" w:type="dxa"/>
            <w:tcBorders>
              <w:top w:val="nil"/>
              <w:left w:val="nil"/>
              <w:bottom w:val="single" w:sz="4" w:space="0" w:color="auto"/>
              <w:right w:val="nil"/>
            </w:tcBorders>
            <w:shd w:val="clear" w:color="000000" w:fill="FFFFFF"/>
          </w:tcPr>
          <w:p w14:paraId="1F39B8E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4784B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68 368,8</w:t>
            </w:r>
          </w:p>
        </w:tc>
        <w:tc>
          <w:tcPr>
            <w:tcW w:w="1406" w:type="dxa"/>
            <w:tcBorders>
              <w:top w:val="nil"/>
              <w:left w:val="nil"/>
              <w:bottom w:val="single" w:sz="4" w:space="0" w:color="auto"/>
              <w:right w:val="single" w:sz="4" w:space="0" w:color="auto"/>
            </w:tcBorders>
            <w:shd w:val="clear" w:color="000000" w:fill="FFFFFF"/>
            <w:noWrap/>
            <w:vAlign w:val="bottom"/>
            <w:hideMark/>
          </w:tcPr>
          <w:p w14:paraId="15FE84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64 170,9</w:t>
            </w:r>
          </w:p>
        </w:tc>
        <w:tc>
          <w:tcPr>
            <w:tcW w:w="1570" w:type="dxa"/>
            <w:tcBorders>
              <w:top w:val="nil"/>
              <w:left w:val="nil"/>
              <w:bottom w:val="single" w:sz="4" w:space="0" w:color="auto"/>
              <w:right w:val="single" w:sz="4" w:space="0" w:color="auto"/>
            </w:tcBorders>
            <w:shd w:val="clear" w:color="000000" w:fill="FFFFFF"/>
            <w:noWrap/>
            <w:vAlign w:val="bottom"/>
            <w:hideMark/>
          </w:tcPr>
          <w:p w14:paraId="602374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1 418,5</w:t>
            </w:r>
          </w:p>
        </w:tc>
        <w:tc>
          <w:tcPr>
            <w:tcW w:w="2002" w:type="dxa"/>
            <w:tcBorders>
              <w:top w:val="nil"/>
              <w:left w:val="nil"/>
              <w:bottom w:val="single" w:sz="4" w:space="0" w:color="auto"/>
              <w:right w:val="single" w:sz="4" w:space="0" w:color="auto"/>
            </w:tcBorders>
            <w:shd w:val="clear" w:color="000000" w:fill="FFFFFF"/>
            <w:noWrap/>
            <w:vAlign w:val="bottom"/>
            <w:hideMark/>
          </w:tcPr>
          <w:p w14:paraId="4B38F4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250,7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300B8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2 528,7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DA031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573,7</w:t>
            </w:r>
          </w:p>
        </w:tc>
      </w:tr>
      <w:tr w:rsidR="00761800" w:rsidRPr="00761800" w14:paraId="15A6867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B433A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Горна Oряховица</w:t>
            </w:r>
          </w:p>
        </w:tc>
        <w:tc>
          <w:tcPr>
            <w:tcW w:w="146" w:type="dxa"/>
            <w:tcBorders>
              <w:top w:val="nil"/>
              <w:left w:val="nil"/>
              <w:bottom w:val="single" w:sz="4" w:space="0" w:color="auto"/>
              <w:right w:val="nil"/>
            </w:tcBorders>
            <w:shd w:val="clear" w:color="000000" w:fill="FFFFFF"/>
          </w:tcPr>
          <w:p w14:paraId="2D30679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50379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26 166,4</w:t>
            </w:r>
          </w:p>
        </w:tc>
        <w:tc>
          <w:tcPr>
            <w:tcW w:w="1406" w:type="dxa"/>
            <w:tcBorders>
              <w:top w:val="nil"/>
              <w:left w:val="nil"/>
              <w:bottom w:val="single" w:sz="4" w:space="0" w:color="auto"/>
              <w:right w:val="single" w:sz="4" w:space="0" w:color="auto"/>
            </w:tcBorders>
            <w:shd w:val="clear" w:color="000000" w:fill="FFFFFF"/>
            <w:noWrap/>
            <w:vAlign w:val="bottom"/>
            <w:hideMark/>
          </w:tcPr>
          <w:p w14:paraId="6148D0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23 441,4</w:t>
            </w:r>
          </w:p>
        </w:tc>
        <w:tc>
          <w:tcPr>
            <w:tcW w:w="1570" w:type="dxa"/>
            <w:tcBorders>
              <w:top w:val="nil"/>
              <w:left w:val="nil"/>
              <w:bottom w:val="single" w:sz="4" w:space="0" w:color="auto"/>
              <w:right w:val="single" w:sz="4" w:space="0" w:color="auto"/>
            </w:tcBorders>
            <w:shd w:val="clear" w:color="000000" w:fill="FFFFFF"/>
            <w:noWrap/>
            <w:vAlign w:val="bottom"/>
            <w:hideMark/>
          </w:tcPr>
          <w:p w14:paraId="4184EE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1 752,6</w:t>
            </w:r>
          </w:p>
        </w:tc>
        <w:tc>
          <w:tcPr>
            <w:tcW w:w="2002" w:type="dxa"/>
            <w:tcBorders>
              <w:top w:val="nil"/>
              <w:left w:val="nil"/>
              <w:bottom w:val="single" w:sz="4" w:space="0" w:color="auto"/>
              <w:right w:val="single" w:sz="4" w:space="0" w:color="auto"/>
            </w:tcBorders>
            <w:shd w:val="clear" w:color="000000" w:fill="FFFFFF"/>
            <w:noWrap/>
            <w:vAlign w:val="bottom"/>
            <w:hideMark/>
          </w:tcPr>
          <w:p w14:paraId="23C106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F3341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912,1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C7167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244,1</w:t>
            </w:r>
          </w:p>
        </w:tc>
      </w:tr>
      <w:tr w:rsidR="00761800" w:rsidRPr="00761800" w14:paraId="6577764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0809E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Eлена</w:t>
            </w:r>
          </w:p>
        </w:tc>
        <w:tc>
          <w:tcPr>
            <w:tcW w:w="146" w:type="dxa"/>
            <w:tcBorders>
              <w:top w:val="nil"/>
              <w:left w:val="nil"/>
              <w:bottom w:val="single" w:sz="4" w:space="0" w:color="auto"/>
              <w:right w:val="nil"/>
            </w:tcBorders>
            <w:shd w:val="clear" w:color="000000" w:fill="FFFFFF"/>
          </w:tcPr>
          <w:p w14:paraId="515715B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4E847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11 680,1</w:t>
            </w:r>
          </w:p>
        </w:tc>
        <w:tc>
          <w:tcPr>
            <w:tcW w:w="1406" w:type="dxa"/>
            <w:tcBorders>
              <w:top w:val="nil"/>
              <w:left w:val="nil"/>
              <w:bottom w:val="single" w:sz="4" w:space="0" w:color="auto"/>
              <w:right w:val="single" w:sz="4" w:space="0" w:color="auto"/>
            </w:tcBorders>
            <w:shd w:val="clear" w:color="000000" w:fill="FFFFFF"/>
            <w:noWrap/>
            <w:vAlign w:val="bottom"/>
            <w:hideMark/>
          </w:tcPr>
          <w:p w14:paraId="2E1459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8 668,1</w:t>
            </w:r>
          </w:p>
        </w:tc>
        <w:tc>
          <w:tcPr>
            <w:tcW w:w="1570" w:type="dxa"/>
            <w:tcBorders>
              <w:top w:val="nil"/>
              <w:left w:val="nil"/>
              <w:bottom w:val="single" w:sz="4" w:space="0" w:color="auto"/>
              <w:right w:val="single" w:sz="4" w:space="0" w:color="auto"/>
            </w:tcBorders>
            <w:shd w:val="clear" w:color="000000" w:fill="FFFFFF"/>
            <w:noWrap/>
            <w:vAlign w:val="bottom"/>
            <w:hideMark/>
          </w:tcPr>
          <w:p w14:paraId="5DCAAB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917,2</w:t>
            </w:r>
          </w:p>
        </w:tc>
        <w:tc>
          <w:tcPr>
            <w:tcW w:w="2002" w:type="dxa"/>
            <w:tcBorders>
              <w:top w:val="nil"/>
              <w:left w:val="nil"/>
              <w:bottom w:val="single" w:sz="4" w:space="0" w:color="auto"/>
              <w:right w:val="single" w:sz="4" w:space="0" w:color="auto"/>
            </w:tcBorders>
            <w:shd w:val="clear" w:color="000000" w:fill="FFFFFF"/>
            <w:noWrap/>
            <w:vAlign w:val="bottom"/>
            <w:hideMark/>
          </w:tcPr>
          <w:p w14:paraId="431480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298,0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48B36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1 796,8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BBDA5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67,3</w:t>
            </w:r>
          </w:p>
        </w:tc>
      </w:tr>
      <w:tr w:rsidR="00761800" w:rsidRPr="00761800" w14:paraId="5C73E71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300AF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Златарица</w:t>
            </w:r>
          </w:p>
        </w:tc>
        <w:tc>
          <w:tcPr>
            <w:tcW w:w="146" w:type="dxa"/>
            <w:tcBorders>
              <w:top w:val="nil"/>
              <w:left w:val="nil"/>
              <w:bottom w:val="single" w:sz="4" w:space="0" w:color="auto"/>
              <w:right w:val="nil"/>
            </w:tcBorders>
            <w:shd w:val="clear" w:color="000000" w:fill="FFFFFF"/>
          </w:tcPr>
          <w:p w14:paraId="3C46517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0B114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5 605,4</w:t>
            </w:r>
          </w:p>
        </w:tc>
        <w:tc>
          <w:tcPr>
            <w:tcW w:w="1406" w:type="dxa"/>
            <w:tcBorders>
              <w:top w:val="nil"/>
              <w:left w:val="nil"/>
              <w:bottom w:val="single" w:sz="4" w:space="0" w:color="auto"/>
              <w:right w:val="single" w:sz="4" w:space="0" w:color="auto"/>
            </w:tcBorders>
            <w:shd w:val="clear" w:color="000000" w:fill="FFFFFF"/>
            <w:noWrap/>
            <w:vAlign w:val="bottom"/>
            <w:hideMark/>
          </w:tcPr>
          <w:p w14:paraId="547EC2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4 489,1</w:t>
            </w:r>
          </w:p>
        </w:tc>
        <w:tc>
          <w:tcPr>
            <w:tcW w:w="1570" w:type="dxa"/>
            <w:tcBorders>
              <w:top w:val="nil"/>
              <w:left w:val="nil"/>
              <w:bottom w:val="single" w:sz="4" w:space="0" w:color="auto"/>
              <w:right w:val="single" w:sz="4" w:space="0" w:color="auto"/>
            </w:tcBorders>
            <w:shd w:val="clear" w:color="000000" w:fill="FFFFFF"/>
            <w:noWrap/>
            <w:vAlign w:val="bottom"/>
            <w:hideMark/>
          </w:tcPr>
          <w:p w14:paraId="1DFBF9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434,4</w:t>
            </w:r>
          </w:p>
        </w:tc>
        <w:tc>
          <w:tcPr>
            <w:tcW w:w="2002" w:type="dxa"/>
            <w:tcBorders>
              <w:top w:val="nil"/>
              <w:left w:val="nil"/>
              <w:bottom w:val="single" w:sz="4" w:space="0" w:color="auto"/>
              <w:right w:val="single" w:sz="4" w:space="0" w:color="auto"/>
            </w:tcBorders>
            <w:shd w:val="clear" w:color="000000" w:fill="FFFFFF"/>
            <w:noWrap/>
            <w:vAlign w:val="bottom"/>
            <w:hideMark/>
          </w:tcPr>
          <w:p w14:paraId="66AA99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9D137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611,1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A3F60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26,7</w:t>
            </w:r>
          </w:p>
        </w:tc>
      </w:tr>
      <w:tr w:rsidR="00761800" w:rsidRPr="00761800" w14:paraId="26B23BC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575FB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Лясковец</w:t>
            </w:r>
          </w:p>
        </w:tc>
        <w:tc>
          <w:tcPr>
            <w:tcW w:w="146" w:type="dxa"/>
            <w:tcBorders>
              <w:top w:val="nil"/>
              <w:left w:val="nil"/>
              <w:bottom w:val="single" w:sz="4" w:space="0" w:color="auto"/>
              <w:right w:val="nil"/>
            </w:tcBorders>
            <w:shd w:val="clear" w:color="000000" w:fill="FFFFFF"/>
          </w:tcPr>
          <w:p w14:paraId="7A3B982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B481C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6 922,1</w:t>
            </w:r>
          </w:p>
        </w:tc>
        <w:tc>
          <w:tcPr>
            <w:tcW w:w="1406" w:type="dxa"/>
            <w:tcBorders>
              <w:top w:val="nil"/>
              <w:left w:val="nil"/>
              <w:bottom w:val="single" w:sz="4" w:space="0" w:color="auto"/>
              <w:right w:val="single" w:sz="4" w:space="0" w:color="auto"/>
            </w:tcBorders>
            <w:shd w:val="clear" w:color="000000" w:fill="FFFFFF"/>
            <w:noWrap/>
            <w:vAlign w:val="bottom"/>
            <w:hideMark/>
          </w:tcPr>
          <w:p w14:paraId="7884E2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5 853,8</w:t>
            </w:r>
          </w:p>
        </w:tc>
        <w:tc>
          <w:tcPr>
            <w:tcW w:w="1570" w:type="dxa"/>
            <w:tcBorders>
              <w:top w:val="nil"/>
              <w:left w:val="nil"/>
              <w:bottom w:val="single" w:sz="4" w:space="0" w:color="auto"/>
              <w:right w:val="single" w:sz="4" w:space="0" w:color="auto"/>
            </w:tcBorders>
            <w:shd w:val="clear" w:color="000000" w:fill="FFFFFF"/>
            <w:noWrap/>
            <w:vAlign w:val="bottom"/>
            <w:hideMark/>
          </w:tcPr>
          <w:p w14:paraId="1CF6CF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579,5</w:t>
            </w:r>
          </w:p>
        </w:tc>
        <w:tc>
          <w:tcPr>
            <w:tcW w:w="2002" w:type="dxa"/>
            <w:tcBorders>
              <w:top w:val="nil"/>
              <w:left w:val="nil"/>
              <w:bottom w:val="single" w:sz="4" w:space="0" w:color="auto"/>
              <w:right w:val="single" w:sz="4" w:space="0" w:color="auto"/>
            </w:tcBorders>
            <w:shd w:val="clear" w:color="000000" w:fill="FFFFFF"/>
            <w:noWrap/>
            <w:vAlign w:val="bottom"/>
            <w:hideMark/>
          </w:tcPr>
          <w:p w14:paraId="439342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367A0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447,6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9810B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62,1</w:t>
            </w:r>
          </w:p>
        </w:tc>
      </w:tr>
      <w:tr w:rsidR="00761800" w:rsidRPr="00761800" w14:paraId="2AE5E74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EAC87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Павликени</w:t>
            </w:r>
          </w:p>
        </w:tc>
        <w:tc>
          <w:tcPr>
            <w:tcW w:w="146" w:type="dxa"/>
            <w:tcBorders>
              <w:top w:val="nil"/>
              <w:left w:val="nil"/>
              <w:bottom w:val="single" w:sz="4" w:space="0" w:color="auto"/>
              <w:right w:val="nil"/>
            </w:tcBorders>
            <w:shd w:val="clear" w:color="000000" w:fill="FFFFFF"/>
          </w:tcPr>
          <w:p w14:paraId="5BE77D3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ABC8D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16 718,3</w:t>
            </w:r>
          </w:p>
        </w:tc>
        <w:tc>
          <w:tcPr>
            <w:tcW w:w="1406" w:type="dxa"/>
            <w:tcBorders>
              <w:top w:val="nil"/>
              <w:left w:val="nil"/>
              <w:bottom w:val="single" w:sz="4" w:space="0" w:color="auto"/>
              <w:right w:val="single" w:sz="4" w:space="0" w:color="auto"/>
            </w:tcBorders>
            <w:shd w:val="clear" w:color="000000" w:fill="FFFFFF"/>
            <w:noWrap/>
            <w:vAlign w:val="bottom"/>
            <w:hideMark/>
          </w:tcPr>
          <w:p w14:paraId="0E9939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14 438,3</w:t>
            </w:r>
          </w:p>
        </w:tc>
        <w:tc>
          <w:tcPr>
            <w:tcW w:w="1570" w:type="dxa"/>
            <w:tcBorders>
              <w:top w:val="nil"/>
              <w:left w:val="nil"/>
              <w:bottom w:val="single" w:sz="4" w:space="0" w:color="auto"/>
              <w:right w:val="single" w:sz="4" w:space="0" w:color="auto"/>
            </w:tcBorders>
            <w:shd w:val="clear" w:color="000000" w:fill="FFFFFF"/>
            <w:noWrap/>
            <w:vAlign w:val="bottom"/>
            <w:hideMark/>
          </w:tcPr>
          <w:p w14:paraId="2746AF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1 141,4</w:t>
            </w:r>
          </w:p>
        </w:tc>
        <w:tc>
          <w:tcPr>
            <w:tcW w:w="2002" w:type="dxa"/>
            <w:tcBorders>
              <w:top w:val="nil"/>
              <w:left w:val="nil"/>
              <w:bottom w:val="single" w:sz="4" w:space="0" w:color="auto"/>
              <w:right w:val="single" w:sz="4" w:space="0" w:color="auto"/>
            </w:tcBorders>
            <w:shd w:val="clear" w:color="000000" w:fill="FFFFFF"/>
            <w:noWrap/>
            <w:vAlign w:val="bottom"/>
            <w:hideMark/>
          </w:tcPr>
          <w:p w14:paraId="5DBD87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93,9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B092E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1 044,7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A56B1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178,2</w:t>
            </w:r>
          </w:p>
        </w:tc>
      </w:tr>
      <w:tr w:rsidR="00761800" w:rsidRPr="00761800" w14:paraId="16BD0E4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0E586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Полски Tръмбеш</w:t>
            </w:r>
          </w:p>
        </w:tc>
        <w:tc>
          <w:tcPr>
            <w:tcW w:w="146" w:type="dxa"/>
            <w:tcBorders>
              <w:top w:val="nil"/>
              <w:left w:val="nil"/>
              <w:bottom w:val="single" w:sz="4" w:space="0" w:color="auto"/>
              <w:right w:val="nil"/>
            </w:tcBorders>
            <w:shd w:val="clear" w:color="000000" w:fill="FFFFFF"/>
          </w:tcPr>
          <w:p w14:paraId="106886B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5045D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7 945,6</w:t>
            </w:r>
          </w:p>
        </w:tc>
        <w:tc>
          <w:tcPr>
            <w:tcW w:w="1406" w:type="dxa"/>
            <w:tcBorders>
              <w:top w:val="nil"/>
              <w:left w:val="nil"/>
              <w:bottom w:val="single" w:sz="4" w:space="0" w:color="auto"/>
              <w:right w:val="single" w:sz="4" w:space="0" w:color="auto"/>
            </w:tcBorders>
            <w:shd w:val="clear" w:color="000000" w:fill="FFFFFF"/>
            <w:noWrap/>
            <w:vAlign w:val="bottom"/>
            <w:hideMark/>
          </w:tcPr>
          <w:p w14:paraId="6394A3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6 516,3</w:t>
            </w:r>
          </w:p>
        </w:tc>
        <w:tc>
          <w:tcPr>
            <w:tcW w:w="1570" w:type="dxa"/>
            <w:tcBorders>
              <w:top w:val="nil"/>
              <w:left w:val="nil"/>
              <w:bottom w:val="single" w:sz="4" w:space="0" w:color="auto"/>
              <w:right w:val="single" w:sz="4" w:space="0" w:color="auto"/>
            </w:tcBorders>
            <w:shd w:val="clear" w:color="000000" w:fill="FFFFFF"/>
            <w:noWrap/>
            <w:vAlign w:val="bottom"/>
            <w:hideMark/>
          </w:tcPr>
          <w:p w14:paraId="583EC0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702,9</w:t>
            </w:r>
          </w:p>
        </w:tc>
        <w:tc>
          <w:tcPr>
            <w:tcW w:w="2002" w:type="dxa"/>
            <w:tcBorders>
              <w:top w:val="nil"/>
              <w:left w:val="nil"/>
              <w:bottom w:val="single" w:sz="4" w:space="0" w:color="auto"/>
              <w:right w:val="single" w:sz="4" w:space="0" w:color="auto"/>
            </w:tcBorders>
            <w:shd w:val="clear" w:color="000000" w:fill="FFFFFF"/>
            <w:noWrap/>
            <w:vAlign w:val="bottom"/>
            <w:hideMark/>
          </w:tcPr>
          <w:p w14:paraId="7A734A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3F44E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684,7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E63D3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144,1</w:t>
            </w:r>
          </w:p>
        </w:tc>
      </w:tr>
      <w:tr w:rsidR="00761800" w:rsidRPr="00761800" w14:paraId="00C5126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DD8D5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Cвищов</w:t>
            </w:r>
          </w:p>
        </w:tc>
        <w:tc>
          <w:tcPr>
            <w:tcW w:w="146" w:type="dxa"/>
            <w:tcBorders>
              <w:top w:val="nil"/>
              <w:left w:val="nil"/>
              <w:bottom w:val="single" w:sz="4" w:space="0" w:color="auto"/>
              <w:right w:val="nil"/>
            </w:tcBorders>
            <w:shd w:val="clear" w:color="000000" w:fill="FFFFFF"/>
          </w:tcPr>
          <w:p w14:paraId="328207C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17042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20 050,7</w:t>
            </w:r>
          </w:p>
        </w:tc>
        <w:tc>
          <w:tcPr>
            <w:tcW w:w="1406" w:type="dxa"/>
            <w:tcBorders>
              <w:top w:val="nil"/>
              <w:left w:val="nil"/>
              <w:bottom w:val="single" w:sz="4" w:space="0" w:color="auto"/>
              <w:right w:val="single" w:sz="4" w:space="0" w:color="auto"/>
            </w:tcBorders>
            <w:shd w:val="clear" w:color="000000" w:fill="FFFFFF"/>
            <w:noWrap/>
            <w:vAlign w:val="bottom"/>
            <w:hideMark/>
          </w:tcPr>
          <w:p w14:paraId="0AB68B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17 490,0</w:t>
            </w:r>
          </w:p>
        </w:tc>
        <w:tc>
          <w:tcPr>
            <w:tcW w:w="1570" w:type="dxa"/>
            <w:tcBorders>
              <w:top w:val="nil"/>
              <w:left w:val="nil"/>
              <w:bottom w:val="single" w:sz="4" w:space="0" w:color="auto"/>
              <w:right w:val="single" w:sz="4" w:space="0" w:color="auto"/>
            </w:tcBorders>
            <w:shd w:val="clear" w:color="000000" w:fill="FFFFFF"/>
            <w:noWrap/>
            <w:vAlign w:val="bottom"/>
            <w:hideMark/>
          </w:tcPr>
          <w:p w14:paraId="1804D5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1 600,3</w:t>
            </w:r>
          </w:p>
        </w:tc>
        <w:tc>
          <w:tcPr>
            <w:tcW w:w="2002" w:type="dxa"/>
            <w:tcBorders>
              <w:top w:val="nil"/>
              <w:left w:val="nil"/>
              <w:bottom w:val="single" w:sz="4" w:space="0" w:color="auto"/>
              <w:right w:val="single" w:sz="4" w:space="0" w:color="auto"/>
            </w:tcBorders>
            <w:shd w:val="clear" w:color="000000" w:fill="FFFFFF"/>
            <w:noWrap/>
            <w:vAlign w:val="bottom"/>
            <w:hideMark/>
          </w:tcPr>
          <w:p w14:paraId="0C7D49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D770B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899,5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AEFE8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207,0</w:t>
            </w:r>
          </w:p>
        </w:tc>
      </w:tr>
      <w:tr w:rsidR="00761800" w:rsidRPr="00761800" w14:paraId="5CE2808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3606C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Cтражица</w:t>
            </w:r>
          </w:p>
        </w:tc>
        <w:tc>
          <w:tcPr>
            <w:tcW w:w="146" w:type="dxa"/>
            <w:tcBorders>
              <w:top w:val="nil"/>
              <w:left w:val="nil"/>
              <w:bottom w:val="single" w:sz="4" w:space="0" w:color="auto"/>
              <w:right w:val="nil"/>
            </w:tcBorders>
            <w:shd w:val="clear" w:color="000000" w:fill="FFFFFF"/>
          </w:tcPr>
          <w:p w14:paraId="452334B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2A96C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10 756,4</w:t>
            </w:r>
          </w:p>
        </w:tc>
        <w:tc>
          <w:tcPr>
            <w:tcW w:w="1406" w:type="dxa"/>
            <w:tcBorders>
              <w:top w:val="nil"/>
              <w:left w:val="nil"/>
              <w:bottom w:val="single" w:sz="4" w:space="0" w:color="auto"/>
              <w:right w:val="single" w:sz="4" w:space="0" w:color="auto"/>
            </w:tcBorders>
            <w:shd w:val="clear" w:color="000000" w:fill="FFFFFF"/>
            <w:noWrap/>
            <w:vAlign w:val="bottom"/>
            <w:hideMark/>
          </w:tcPr>
          <w:p w14:paraId="68A295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8 890,4</w:t>
            </w:r>
          </w:p>
        </w:tc>
        <w:tc>
          <w:tcPr>
            <w:tcW w:w="1570" w:type="dxa"/>
            <w:tcBorders>
              <w:top w:val="nil"/>
              <w:left w:val="nil"/>
              <w:bottom w:val="single" w:sz="4" w:space="0" w:color="auto"/>
              <w:right w:val="single" w:sz="4" w:space="0" w:color="auto"/>
            </w:tcBorders>
            <w:shd w:val="clear" w:color="000000" w:fill="FFFFFF"/>
            <w:noWrap/>
            <w:vAlign w:val="bottom"/>
            <w:hideMark/>
          </w:tcPr>
          <w:p w14:paraId="405B73F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863,7</w:t>
            </w:r>
          </w:p>
        </w:tc>
        <w:tc>
          <w:tcPr>
            <w:tcW w:w="2002" w:type="dxa"/>
            <w:tcBorders>
              <w:top w:val="nil"/>
              <w:left w:val="nil"/>
              <w:bottom w:val="single" w:sz="4" w:space="0" w:color="auto"/>
              <w:right w:val="single" w:sz="4" w:space="0" w:color="auto"/>
            </w:tcBorders>
            <w:shd w:val="clear" w:color="000000" w:fill="FFFFFF"/>
            <w:noWrap/>
            <w:vAlign w:val="bottom"/>
            <w:hideMark/>
          </w:tcPr>
          <w:p w14:paraId="0F7D4F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5593F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913,3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BF83A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83,7</w:t>
            </w:r>
          </w:p>
        </w:tc>
      </w:tr>
      <w:tr w:rsidR="00761800" w:rsidRPr="00761800" w14:paraId="3A44C61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86AB1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Cухиндол</w:t>
            </w:r>
          </w:p>
        </w:tc>
        <w:tc>
          <w:tcPr>
            <w:tcW w:w="146" w:type="dxa"/>
            <w:tcBorders>
              <w:top w:val="nil"/>
              <w:left w:val="nil"/>
              <w:bottom w:val="single" w:sz="4" w:space="0" w:color="auto"/>
              <w:right w:val="nil"/>
            </w:tcBorders>
            <w:shd w:val="clear" w:color="000000" w:fill="FFFFFF"/>
          </w:tcPr>
          <w:p w14:paraId="303527F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24A5A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3 468,4</w:t>
            </w:r>
          </w:p>
        </w:tc>
        <w:tc>
          <w:tcPr>
            <w:tcW w:w="1406" w:type="dxa"/>
            <w:tcBorders>
              <w:top w:val="nil"/>
              <w:left w:val="nil"/>
              <w:bottom w:val="single" w:sz="4" w:space="0" w:color="auto"/>
              <w:right w:val="single" w:sz="4" w:space="0" w:color="auto"/>
            </w:tcBorders>
            <w:shd w:val="clear" w:color="000000" w:fill="FFFFFF"/>
            <w:noWrap/>
            <w:vAlign w:val="bottom"/>
            <w:hideMark/>
          </w:tcPr>
          <w:p w14:paraId="798207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2 782,4</w:t>
            </w:r>
          </w:p>
        </w:tc>
        <w:tc>
          <w:tcPr>
            <w:tcW w:w="1570" w:type="dxa"/>
            <w:tcBorders>
              <w:top w:val="nil"/>
              <w:left w:val="nil"/>
              <w:bottom w:val="single" w:sz="4" w:space="0" w:color="auto"/>
              <w:right w:val="single" w:sz="4" w:space="0" w:color="auto"/>
            </w:tcBorders>
            <w:shd w:val="clear" w:color="000000" w:fill="FFFFFF"/>
            <w:noWrap/>
            <w:vAlign w:val="bottom"/>
            <w:hideMark/>
          </w:tcPr>
          <w:p w14:paraId="0C539B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373,3</w:t>
            </w:r>
          </w:p>
        </w:tc>
        <w:tc>
          <w:tcPr>
            <w:tcW w:w="2002" w:type="dxa"/>
            <w:tcBorders>
              <w:top w:val="nil"/>
              <w:left w:val="nil"/>
              <w:bottom w:val="single" w:sz="4" w:space="0" w:color="auto"/>
              <w:right w:val="single" w:sz="4" w:space="0" w:color="auto"/>
            </w:tcBorders>
            <w:shd w:val="clear" w:color="000000" w:fill="FFFFFF"/>
            <w:noWrap/>
            <w:vAlign w:val="bottom"/>
            <w:hideMark/>
          </w:tcPr>
          <w:p w14:paraId="7E7D16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FDA0D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290,9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B403B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30,0</w:t>
            </w:r>
          </w:p>
        </w:tc>
      </w:tr>
      <w:tr w:rsidR="00761800" w:rsidRPr="00761800" w14:paraId="2E0563E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B70BE37"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2F3E3DF7"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1DBFB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6F4B73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3CA847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1ED325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5505F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76F90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D07A6C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FD613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ВИДИН</w:t>
            </w:r>
          </w:p>
        </w:tc>
        <w:tc>
          <w:tcPr>
            <w:tcW w:w="146" w:type="dxa"/>
            <w:tcBorders>
              <w:top w:val="nil"/>
              <w:left w:val="nil"/>
              <w:bottom w:val="single" w:sz="4" w:space="0" w:color="auto"/>
              <w:right w:val="nil"/>
            </w:tcBorders>
            <w:shd w:val="clear" w:color="000000" w:fill="FFFFFF"/>
          </w:tcPr>
          <w:p w14:paraId="72A57871"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10A73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18EB7D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1D31ED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1F697B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CA10C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9632E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81FA34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996B3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Белоградчик</w:t>
            </w:r>
          </w:p>
        </w:tc>
        <w:tc>
          <w:tcPr>
            <w:tcW w:w="146" w:type="dxa"/>
            <w:tcBorders>
              <w:top w:val="nil"/>
              <w:left w:val="nil"/>
              <w:bottom w:val="single" w:sz="4" w:space="0" w:color="auto"/>
              <w:right w:val="nil"/>
            </w:tcBorders>
            <w:shd w:val="clear" w:color="000000" w:fill="FFFFFF"/>
          </w:tcPr>
          <w:p w14:paraId="4576FBD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0A734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7 203,1</w:t>
            </w:r>
          </w:p>
        </w:tc>
        <w:tc>
          <w:tcPr>
            <w:tcW w:w="1406" w:type="dxa"/>
            <w:tcBorders>
              <w:top w:val="nil"/>
              <w:left w:val="nil"/>
              <w:bottom w:val="single" w:sz="4" w:space="0" w:color="auto"/>
              <w:right w:val="single" w:sz="4" w:space="0" w:color="auto"/>
            </w:tcBorders>
            <w:shd w:val="clear" w:color="000000" w:fill="FFFFFF"/>
            <w:noWrap/>
            <w:vAlign w:val="bottom"/>
            <w:hideMark/>
          </w:tcPr>
          <w:p w14:paraId="29A364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6 565,3</w:t>
            </w:r>
          </w:p>
        </w:tc>
        <w:tc>
          <w:tcPr>
            <w:tcW w:w="1570" w:type="dxa"/>
            <w:tcBorders>
              <w:top w:val="nil"/>
              <w:left w:val="nil"/>
              <w:bottom w:val="single" w:sz="4" w:space="0" w:color="auto"/>
              <w:right w:val="single" w:sz="4" w:space="0" w:color="auto"/>
            </w:tcBorders>
            <w:shd w:val="clear" w:color="000000" w:fill="FFFFFF"/>
            <w:noWrap/>
            <w:vAlign w:val="bottom"/>
            <w:hideMark/>
          </w:tcPr>
          <w:p w14:paraId="7C4C381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1310A6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0C9D0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575,0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9449B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39,6</w:t>
            </w:r>
          </w:p>
        </w:tc>
      </w:tr>
      <w:tr w:rsidR="00761800" w:rsidRPr="00761800" w14:paraId="7FF3285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0C8A7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Бойница</w:t>
            </w:r>
          </w:p>
        </w:tc>
        <w:tc>
          <w:tcPr>
            <w:tcW w:w="146" w:type="dxa"/>
            <w:tcBorders>
              <w:top w:val="nil"/>
              <w:left w:val="nil"/>
              <w:bottom w:val="single" w:sz="4" w:space="0" w:color="auto"/>
              <w:right w:val="nil"/>
            </w:tcBorders>
            <w:shd w:val="clear" w:color="000000" w:fill="FFFFFF"/>
          </w:tcPr>
          <w:p w14:paraId="1CBF5A0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3ED80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3 431,7</w:t>
            </w:r>
          </w:p>
        </w:tc>
        <w:tc>
          <w:tcPr>
            <w:tcW w:w="1406" w:type="dxa"/>
            <w:tcBorders>
              <w:top w:val="nil"/>
              <w:left w:val="nil"/>
              <w:bottom w:val="single" w:sz="4" w:space="0" w:color="auto"/>
              <w:right w:val="single" w:sz="4" w:space="0" w:color="auto"/>
            </w:tcBorders>
            <w:shd w:val="clear" w:color="000000" w:fill="FFFFFF"/>
            <w:noWrap/>
            <w:vAlign w:val="bottom"/>
            <w:hideMark/>
          </w:tcPr>
          <w:p w14:paraId="795E22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2 828,4</w:t>
            </w:r>
          </w:p>
        </w:tc>
        <w:tc>
          <w:tcPr>
            <w:tcW w:w="1570" w:type="dxa"/>
            <w:tcBorders>
              <w:top w:val="nil"/>
              <w:left w:val="nil"/>
              <w:bottom w:val="single" w:sz="4" w:space="0" w:color="auto"/>
              <w:right w:val="single" w:sz="4" w:space="0" w:color="auto"/>
            </w:tcBorders>
            <w:shd w:val="clear" w:color="000000" w:fill="FFFFFF"/>
            <w:noWrap/>
            <w:vAlign w:val="bottom"/>
            <w:hideMark/>
          </w:tcPr>
          <w:p w14:paraId="2B6E5B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308,5</w:t>
            </w:r>
          </w:p>
        </w:tc>
        <w:tc>
          <w:tcPr>
            <w:tcW w:w="2002" w:type="dxa"/>
            <w:tcBorders>
              <w:top w:val="nil"/>
              <w:left w:val="nil"/>
              <w:bottom w:val="single" w:sz="4" w:space="0" w:color="auto"/>
              <w:right w:val="single" w:sz="4" w:space="0" w:color="auto"/>
            </w:tcBorders>
            <w:shd w:val="clear" w:color="000000" w:fill="FFFFFF"/>
            <w:noWrap/>
            <w:vAlign w:val="bottom"/>
            <w:hideMark/>
          </w:tcPr>
          <w:p w14:paraId="43A6E4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4911F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269,2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E7C41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21,6</w:t>
            </w:r>
          </w:p>
        </w:tc>
      </w:tr>
      <w:tr w:rsidR="00761800" w:rsidRPr="00761800" w14:paraId="56CD1D3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E60218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Брегово</w:t>
            </w:r>
          </w:p>
        </w:tc>
        <w:tc>
          <w:tcPr>
            <w:tcW w:w="146" w:type="dxa"/>
            <w:tcBorders>
              <w:top w:val="nil"/>
              <w:left w:val="nil"/>
              <w:bottom w:val="single" w:sz="4" w:space="0" w:color="auto"/>
              <w:right w:val="nil"/>
            </w:tcBorders>
            <w:shd w:val="clear" w:color="000000" w:fill="FFFFFF"/>
          </w:tcPr>
          <w:p w14:paraId="38F2CBE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58515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5 780,8</w:t>
            </w:r>
          </w:p>
        </w:tc>
        <w:tc>
          <w:tcPr>
            <w:tcW w:w="1406" w:type="dxa"/>
            <w:tcBorders>
              <w:top w:val="nil"/>
              <w:left w:val="nil"/>
              <w:bottom w:val="single" w:sz="4" w:space="0" w:color="auto"/>
              <w:right w:val="single" w:sz="4" w:space="0" w:color="auto"/>
            </w:tcBorders>
            <w:shd w:val="clear" w:color="000000" w:fill="FFFFFF"/>
            <w:noWrap/>
            <w:vAlign w:val="bottom"/>
            <w:hideMark/>
          </w:tcPr>
          <w:p w14:paraId="6D991B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4 797,3</w:t>
            </w:r>
          </w:p>
        </w:tc>
        <w:tc>
          <w:tcPr>
            <w:tcW w:w="1570" w:type="dxa"/>
            <w:tcBorders>
              <w:top w:val="nil"/>
              <w:left w:val="nil"/>
              <w:bottom w:val="single" w:sz="4" w:space="0" w:color="auto"/>
              <w:right w:val="single" w:sz="4" w:space="0" w:color="auto"/>
            </w:tcBorders>
            <w:shd w:val="clear" w:color="000000" w:fill="FFFFFF"/>
            <w:noWrap/>
            <w:vAlign w:val="bottom"/>
            <w:hideMark/>
          </w:tcPr>
          <w:p w14:paraId="25BE87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491,9</w:t>
            </w:r>
          </w:p>
        </w:tc>
        <w:tc>
          <w:tcPr>
            <w:tcW w:w="2002" w:type="dxa"/>
            <w:tcBorders>
              <w:top w:val="nil"/>
              <w:left w:val="nil"/>
              <w:bottom w:val="single" w:sz="4" w:space="0" w:color="auto"/>
              <w:right w:val="single" w:sz="4" w:space="0" w:color="auto"/>
            </w:tcBorders>
            <w:shd w:val="clear" w:color="000000" w:fill="FFFFFF"/>
            <w:noWrap/>
            <w:vAlign w:val="bottom"/>
            <w:hideMark/>
          </w:tcPr>
          <w:p w14:paraId="196613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C0F20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455,2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B592A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27,7</w:t>
            </w:r>
          </w:p>
        </w:tc>
      </w:tr>
      <w:tr w:rsidR="00761800" w:rsidRPr="00761800" w14:paraId="05B8068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5E7DB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Bидин</w:t>
            </w:r>
          </w:p>
        </w:tc>
        <w:tc>
          <w:tcPr>
            <w:tcW w:w="146" w:type="dxa"/>
            <w:tcBorders>
              <w:top w:val="nil"/>
              <w:left w:val="nil"/>
              <w:bottom w:val="single" w:sz="4" w:space="0" w:color="auto"/>
              <w:right w:val="nil"/>
            </w:tcBorders>
            <w:shd w:val="clear" w:color="000000" w:fill="FFFFFF"/>
          </w:tcPr>
          <w:p w14:paraId="7ACC0B9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0E4A5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33 584,6</w:t>
            </w:r>
          </w:p>
        </w:tc>
        <w:tc>
          <w:tcPr>
            <w:tcW w:w="1406" w:type="dxa"/>
            <w:tcBorders>
              <w:top w:val="nil"/>
              <w:left w:val="nil"/>
              <w:bottom w:val="single" w:sz="4" w:space="0" w:color="auto"/>
              <w:right w:val="single" w:sz="4" w:space="0" w:color="auto"/>
            </w:tcBorders>
            <w:shd w:val="clear" w:color="000000" w:fill="FFFFFF"/>
            <w:noWrap/>
            <w:vAlign w:val="bottom"/>
            <w:hideMark/>
          </w:tcPr>
          <w:p w14:paraId="5EA262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29 457,9</w:t>
            </w:r>
          </w:p>
        </w:tc>
        <w:tc>
          <w:tcPr>
            <w:tcW w:w="1570" w:type="dxa"/>
            <w:tcBorders>
              <w:top w:val="nil"/>
              <w:left w:val="nil"/>
              <w:bottom w:val="single" w:sz="4" w:space="0" w:color="auto"/>
              <w:right w:val="single" w:sz="4" w:space="0" w:color="auto"/>
            </w:tcBorders>
            <w:shd w:val="clear" w:color="000000" w:fill="FFFFFF"/>
            <w:noWrap/>
            <w:vAlign w:val="bottom"/>
            <w:hideMark/>
          </w:tcPr>
          <w:p w14:paraId="169D51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2 404,7</w:t>
            </w:r>
          </w:p>
        </w:tc>
        <w:tc>
          <w:tcPr>
            <w:tcW w:w="2002" w:type="dxa"/>
            <w:tcBorders>
              <w:top w:val="nil"/>
              <w:left w:val="nil"/>
              <w:bottom w:val="single" w:sz="4" w:space="0" w:color="auto"/>
              <w:right w:val="single" w:sz="4" w:space="0" w:color="auto"/>
            </w:tcBorders>
            <w:shd w:val="clear" w:color="000000" w:fill="FFFFFF"/>
            <w:noWrap/>
            <w:vAlign w:val="bottom"/>
            <w:hideMark/>
          </w:tcPr>
          <w:p w14:paraId="2C4FA2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61580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1 621,0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20144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435,6</w:t>
            </w:r>
          </w:p>
        </w:tc>
      </w:tr>
      <w:tr w:rsidR="00761800" w:rsidRPr="00761800" w14:paraId="4E089EE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FDEE4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Грамада</w:t>
            </w:r>
          </w:p>
        </w:tc>
        <w:tc>
          <w:tcPr>
            <w:tcW w:w="146" w:type="dxa"/>
            <w:tcBorders>
              <w:top w:val="nil"/>
              <w:left w:val="nil"/>
              <w:bottom w:val="single" w:sz="4" w:space="0" w:color="auto"/>
              <w:right w:val="nil"/>
            </w:tcBorders>
            <w:shd w:val="clear" w:color="000000" w:fill="FFFFFF"/>
          </w:tcPr>
          <w:p w14:paraId="24F8835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CD316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1 913,4</w:t>
            </w:r>
          </w:p>
        </w:tc>
        <w:tc>
          <w:tcPr>
            <w:tcW w:w="1406" w:type="dxa"/>
            <w:tcBorders>
              <w:top w:val="nil"/>
              <w:left w:val="nil"/>
              <w:bottom w:val="single" w:sz="4" w:space="0" w:color="auto"/>
              <w:right w:val="single" w:sz="4" w:space="0" w:color="auto"/>
            </w:tcBorders>
            <w:shd w:val="clear" w:color="000000" w:fill="FFFFFF"/>
            <w:noWrap/>
            <w:vAlign w:val="bottom"/>
            <w:hideMark/>
          </w:tcPr>
          <w:p w14:paraId="790726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1 278,3</w:t>
            </w:r>
          </w:p>
        </w:tc>
        <w:tc>
          <w:tcPr>
            <w:tcW w:w="1570" w:type="dxa"/>
            <w:tcBorders>
              <w:top w:val="nil"/>
              <w:left w:val="nil"/>
              <w:bottom w:val="single" w:sz="4" w:space="0" w:color="auto"/>
              <w:right w:val="single" w:sz="4" w:space="0" w:color="auto"/>
            </w:tcBorders>
            <w:shd w:val="clear" w:color="000000" w:fill="FFFFFF"/>
            <w:noWrap/>
            <w:vAlign w:val="bottom"/>
            <w:hideMark/>
          </w:tcPr>
          <w:p w14:paraId="224E68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288,8</w:t>
            </w:r>
          </w:p>
        </w:tc>
        <w:tc>
          <w:tcPr>
            <w:tcW w:w="2002" w:type="dxa"/>
            <w:tcBorders>
              <w:top w:val="nil"/>
              <w:left w:val="nil"/>
              <w:bottom w:val="single" w:sz="4" w:space="0" w:color="auto"/>
              <w:right w:val="single" w:sz="4" w:space="0" w:color="auto"/>
            </w:tcBorders>
            <w:shd w:val="clear" w:color="000000" w:fill="FFFFFF"/>
            <w:noWrap/>
            <w:vAlign w:val="bottom"/>
            <w:hideMark/>
          </w:tcPr>
          <w:p w14:paraId="351280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1DC5F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321,3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E58C1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w:t>
            </w:r>
          </w:p>
        </w:tc>
      </w:tr>
      <w:tr w:rsidR="00761800" w:rsidRPr="00761800" w14:paraId="25D0DCA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BC573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Димово</w:t>
            </w:r>
          </w:p>
        </w:tc>
        <w:tc>
          <w:tcPr>
            <w:tcW w:w="146" w:type="dxa"/>
            <w:tcBorders>
              <w:top w:val="nil"/>
              <w:left w:val="nil"/>
              <w:bottom w:val="single" w:sz="4" w:space="0" w:color="auto"/>
              <w:right w:val="nil"/>
            </w:tcBorders>
            <w:shd w:val="clear" w:color="000000" w:fill="FFFFFF"/>
          </w:tcPr>
          <w:p w14:paraId="20DA2B8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CC4DA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6 992,6</w:t>
            </w:r>
          </w:p>
        </w:tc>
        <w:tc>
          <w:tcPr>
            <w:tcW w:w="1406" w:type="dxa"/>
            <w:tcBorders>
              <w:top w:val="nil"/>
              <w:left w:val="nil"/>
              <w:bottom w:val="single" w:sz="4" w:space="0" w:color="auto"/>
              <w:right w:val="single" w:sz="4" w:space="0" w:color="auto"/>
            </w:tcBorders>
            <w:shd w:val="clear" w:color="000000" w:fill="FFFFFF"/>
            <w:noWrap/>
            <w:vAlign w:val="bottom"/>
            <w:hideMark/>
          </w:tcPr>
          <w:p w14:paraId="56FB34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5 379,8</w:t>
            </w:r>
          </w:p>
        </w:tc>
        <w:tc>
          <w:tcPr>
            <w:tcW w:w="1570" w:type="dxa"/>
            <w:tcBorders>
              <w:top w:val="nil"/>
              <w:left w:val="nil"/>
              <w:bottom w:val="single" w:sz="4" w:space="0" w:color="auto"/>
              <w:right w:val="single" w:sz="4" w:space="0" w:color="auto"/>
            </w:tcBorders>
            <w:shd w:val="clear" w:color="000000" w:fill="FFFFFF"/>
            <w:noWrap/>
            <w:vAlign w:val="bottom"/>
            <w:hideMark/>
          </w:tcPr>
          <w:p w14:paraId="7E123F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665,0</w:t>
            </w:r>
          </w:p>
        </w:tc>
        <w:tc>
          <w:tcPr>
            <w:tcW w:w="2002" w:type="dxa"/>
            <w:tcBorders>
              <w:top w:val="nil"/>
              <w:left w:val="nil"/>
              <w:bottom w:val="single" w:sz="4" w:space="0" w:color="auto"/>
              <w:right w:val="single" w:sz="4" w:space="0" w:color="auto"/>
            </w:tcBorders>
            <w:shd w:val="clear" w:color="000000" w:fill="FFFFFF"/>
            <w:noWrap/>
            <w:vAlign w:val="bottom"/>
            <w:hideMark/>
          </w:tcPr>
          <w:p w14:paraId="1D0C57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D7B84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875,4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6848A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28,8</w:t>
            </w:r>
          </w:p>
        </w:tc>
      </w:tr>
      <w:tr w:rsidR="00761800" w:rsidRPr="00761800" w14:paraId="2C83987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8AD3F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Kула</w:t>
            </w:r>
          </w:p>
        </w:tc>
        <w:tc>
          <w:tcPr>
            <w:tcW w:w="146" w:type="dxa"/>
            <w:tcBorders>
              <w:top w:val="nil"/>
              <w:left w:val="nil"/>
              <w:bottom w:val="single" w:sz="4" w:space="0" w:color="auto"/>
              <w:right w:val="nil"/>
            </w:tcBorders>
            <w:shd w:val="clear" w:color="000000" w:fill="FFFFFF"/>
          </w:tcPr>
          <w:p w14:paraId="096C7C2A"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1E40C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4 872,4</w:t>
            </w:r>
          </w:p>
        </w:tc>
        <w:tc>
          <w:tcPr>
            <w:tcW w:w="1406" w:type="dxa"/>
            <w:tcBorders>
              <w:top w:val="nil"/>
              <w:left w:val="nil"/>
              <w:bottom w:val="single" w:sz="4" w:space="0" w:color="auto"/>
              <w:right w:val="single" w:sz="4" w:space="0" w:color="auto"/>
            </w:tcBorders>
            <w:shd w:val="clear" w:color="000000" w:fill="FFFFFF"/>
            <w:noWrap/>
            <w:vAlign w:val="bottom"/>
            <w:hideMark/>
          </w:tcPr>
          <w:p w14:paraId="44C47C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3 927,6</w:t>
            </w:r>
          </w:p>
        </w:tc>
        <w:tc>
          <w:tcPr>
            <w:tcW w:w="1570" w:type="dxa"/>
            <w:tcBorders>
              <w:top w:val="nil"/>
              <w:left w:val="nil"/>
              <w:bottom w:val="single" w:sz="4" w:space="0" w:color="auto"/>
              <w:right w:val="single" w:sz="4" w:space="0" w:color="auto"/>
            </w:tcBorders>
            <w:shd w:val="clear" w:color="000000" w:fill="FFFFFF"/>
            <w:noWrap/>
            <w:vAlign w:val="bottom"/>
            <w:hideMark/>
          </w:tcPr>
          <w:p w14:paraId="40F21D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426,0</w:t>
            </w:r>
          </w:p>
        </w:tc>
        <w:tc>
          <w:tcPr>
            <w:tcW w:w="2002" w:type="dxa"/>
            <w:tcBorders>
              <w:top w:val="nil"/>
              <w:left w:val="nil"/>
              <w:bottom w:val="single" w:sz="4" w:space="0" w:color="auto"/>
              <w:right w:val="single" w:sz="4" w:space="0" w:color="auto"/>
            </w:tcBorders>
            <w:shd w:val="clear" w:color="000000" w:fill="FFFFFF"/>
            <w:noWrap/>
            <w:vAlign w:val="bottom"/>
            <w:hideMark/>
          </w:tcPr>
          <w:p w14:paraId="236C26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707BE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473,4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F207D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90,4</w:t>
            </w:r>
          </w:p>
        </w:tc>
      </w:tr>
      <w:tr w:rsidR="00761800" w:rsidRPr="00761800" w14:paraId="2659A1F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F7CF5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Mакреш</w:t>
            </w:r>
          </w:p>
        </w:tc>
        <w:tc>
          <w:tcPr>
            <w:tcW w:w="146" w:type="dxa"/>
            <w:tcBorders>
              <w:top w:val="nil"/>
              <w:left w:val="nil"/>
              <w:bottom w:val="single" w:sz="4" w:space="0" w:color="auto"/>
              <w:right w:val="nil"/>
            </w:tcBorders>
            <w:shd w:val="clear" w:color="000000" w:fill="FFFFFF"/>
          </w:tcPr>
          <w:p w14:paraId="07F2959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0622A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1 832,2</w:t>
            </w:r>
          </w:p>
        </w:tc>
        <w:tc>
          <w:tcPr>
            <w:tcW w:w="1406" w:type="dxa"/>
            <w:tcBorders>
              <w:top w:val="nil"/>
              <w:left w:val="nil"/>
              <w:bottom w:val="single" w:sz="4" w:space="0" w:color="auto"/>
              <w:right w:val="single" w:sz="4" w:space="0" w:color="auto"/>
            </w:tcBorders>
            <w:shd w:val="clear" w:color="000000" w:fill="FFFFFF"/>
            <w:noWrap/>
            <w:vAlign w:val="bottom"/>
            <w:hideMark/>
          </w:tcPr>
          <w:p w14:paraId="50FFD7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1 260,7</w:t>
            </w:r>
          </w:p>
        </w:tc>
        <w:tc>
          <w:tcPr>
            <w:tcW w:w="1570" w:type="dxa"/>
            <w:tcBorders>
              <w:top w:val="nil"/>
              <w:left w:val="nil"/>
              <w:bottom w:val="single" w:sz="4" w:space="0" w:color="auto"/>
              <w:right w:val="single" w:sz="4" w:space="0" w:color="auto"/>
            </w:tcBorders>
            <w:shd w:val="clear" w:color="000000" w:fill="FFFFFF"/>
            <w:noWrap/>
            <w:vAlign w:val="bottom"/>
            <w:hideMark/>
          </w:tcPr>
          <w:p w14:paraId="01EBC5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263,6</w:t>
            </w:r>
          </w:p>
        </w:tc>
        <w:tc>
          <w:tcPr>
            <w:tcW w:w="2002" w:type="dxa"/>
            <w:tcBorders>
              <w:top w:val="nil"/>
              <w:left w:val="nil"/>
              <w:bottom w:val="single" w:sz="4" w:space="0" w:color="auto"/>
              <w:right w:val="single" w:sz="4" w:space="0" w:color="auto"/>
            </w:tcBorders>
            <w:shd w:val="clear" w:color="000000" w:fill="FFFFFF"/>
            <w:noWrap/>
            <w:vAlign w:val="bottom"/>
            <w:hideMark/>
          </w:tcPr>
          <w:p w14:paraId="4D02E6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352BE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292,0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86CF0A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w:t>
            </w:r>
          </w:p>
        </w:tc>
      </w:tr>
      <w:tr w:rsidR="00761800" w:rsidRPr="00761800" w14:paraId="7209DF0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7A698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Hово село</w:t>
            </w:r>
          </w:p>
        </w:tc>
        <w:tc>
          <w:tcPr>
            <w:tcW w:w="146" w:type="dxa"/>
            <w:tcBorders>
              <w:top w:val="nil"/>
              <w:left w:val="nil"/>
              <w:bottom w:val="single" w:sz="4" w:space="0" w:color="auto"/>
              <w:right w:val="nil"/>
            </w:tcBorders>
            <w:shd w:val="clear" w:color="000000" w:fill="FFFFFF"/>
          </w:tcPr>
          <w:p w14:paraId="2D43D30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E0334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3 632,6</w:t>
            </w:r>
          </w:p>
        </w:tc>
        <w:tc>
          <w:tcPr>
            <w:tcW w:w="1406" w:type="dxa"/>
            <w:tcBorders>
              <w:top w:val="nil"/>
              <w:left w:val="nil"/>
              <w:bottom w:val="single" w:sz="4" w:space="0" w:color="auto"/>
              <w:right w:val="single" w:sz="4" w:space="0" w:color="auto"/>
            </w:tcBorders>
            <w:shd w:val="clear" w:color="000000" w:fill="FFFFFF"/>
            <w:noWrap/>
            <w:vAlign w:val="bottom"/>
            <w:hideMark/>
          </w:tcPr>
          <w:p w14:paraId="7BF434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3 002,7</w:t>
            </w:r>
          </w:p>
        </w:tc>
        <w:tc>
          <w:tcPr>
            <w:tcW w:w="1570" w:type="dxa"/>
            <w:tcBorders>
              <w:top w:val="nil"/>
              <w:left w:val="nil"/>
              <w:bottom w:val="single" w:sz="4" w:space="0" w:color="auto"/>
              <w:right w:val="single" w:sz="4" w:space="0" w:color="auto"/>
            </w:tcBorders>
            <w:shd w:val="clear" w:color="000000" w:fill="FFFFFF"/>
            <w:noWrap/>
            <w:vAlign w:val="bottom"/>
            <w:hideMark/>
          </w:tcPr>
          <w:p w14:paraId="628745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384,6</w:t>
            </w:r>
          </w:p>
        </w:tc>
        <w:tc>
          <w:tcPr>
            <w:tcW w:w="2002" w:type="dxa"/>
            <w:tcBorders>
              <w:top w:val="nil"/>
              <w:left w:val="nil"/>
              <w:bottom w:val="single" w:sz="4" w:space="0" w:color="auto"/>
              <w:right w:val="single" w:sz="4" w:space="0" w:color="auto"/>
            </w:tcBorders>
            <w:shd w:val="clear" w:color="000000" w:fill="FFFFFF"/>
            <w:noWrap/>
            <w:vAlign w:val="bottom"/>
            <w:hideMark/>
          </w:tcPr>
          <w:p w14:paraId="7A706D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618F0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232,4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5E15F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24,0</w:t>
            </w:r>
          </w:p>
        </w:tc>
      </w:tr>
      <w:tr w:rsidR="00761800" w:rsidRPr="00761800" w14:paraId="72E2257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FBD07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Pужинци</w:t>
            </w:r>
          </w:p>
        </w:tc>
        <w:tc>
          <w:tcPr>
            <w:tcW w:w="146" w:type="dxa"/>
            <w:tcBorders>
              <w:top w:val="nil"/>
              <w:left w:val="nil"/>
              <w:bottom w:val="single" w:sz="4" w:space="0" w:color="auto"/>
              <w:right w:val="nil"/>
            </w:tcBorders>
            <w:shd w:val="clear" w:color="000000" w:fill="FFFFFF"/>
          </w:tcPr>
          <w:p w14:paraId="11D76C2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05C52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4 688,5</w:t>
            </w:r>
          </w:p>
        </w:tc>
        <w:tc>
          <w:tcPr>
            <w:tcW w:w="1406" w:type="dxa"/>
            <w:tcBorders>
              <w:top w:val="nil"/>
              <w:left w:val="nil"/>
              <w:bottom w:val="single" w:sz="4" w:space="0" w:color="auto"/>
              <w:right w:val="single" w:sz="4" w:space="0" w:color="auto"/>
            </w:tcBorders>
            <w:shd w:val="clear" w:color="000000" w:fill="FFFFFF"/>
            <w:noWrap/>
            <w:vAlign w:val="bottom"/>
            <w:hideMark/>
          </w:tcPr>
          <w:p w14:paraId="40CE61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3 722,5</w:t>
            </w:r>
          </w:p>
        </w:tc>
        <w:tc>
          <w:tcPr>
            <w:tcW w:w="1570" w:type="dxa"/>
            <w:tcBorders>
              <w:top w:val="nil"/>
              <w:left w:val="nil"/>
              <w:bottom w:val="single" w:sz="4" w:space="0" w:color="auto"/>
              <w:right w:val="single" w:sz="4" w:space="0" w:color="auto"/>
            </w:tcBorders>
            <w:shd w:val="clear" w:color="000000" w:fill="FFFFFF"/>
            <w:noWrap/>
            <w:vAlign w:val="bottom"/>
            <w:hideMark/>
          </w:tcPr>
          <w:p w14:paraId="48715D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511,8</w:t>
            </w:r>
          </w:p>
        </w:tc>
        <w:tc>
          <w:tcPr>
            <w:tcW w:w="2002" w:type="dxa"/>
            <w:tcBorders>
              <w:top w:val="nil"/>
              <w:left w:val="nil"/>
              <w:bottom w:val="single" w:sz="4" w:space="0" w:color="auto"/>
              <w:right w:val="single" w:sz="4" w:space="0" w:color="auto"/>
            </w:tcBorders>
            <w:shd w:val="clear" w:color="000000" w:fill="FFFFFF"/>
            <w:noWrap/>
            <w:vAlign w:val="bottom"/>
            <w:hideMark/>
          </w:tcPr>
          <w:p w14:paraId="40226C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3A13B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420,8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B76AD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w:t>
            </w:r>
          </w:p>
        </w:tc>
      </w:tr>
      <w:tr w:rsidR="00761800" w:rsidRPr="00761800" w14:paraId="280D0B2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8C4AB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Чупрене</w:t>
            </w:r>
          </w:p>
        </w:tc>
        <w:tc>
          <w:tcPr>
            <w:tcW w:w="146" w:type="dxa"/>
            <w:tcBorders>
              <w:top w:val="nil"/>
              <w:left w:val="nil"/>
              <w:bottom w:val="single" w:sz="4" w:space="0" w:color="auto"/>
              <w:right w:val="nil"/>
            </w:tcBorders>
            <w:shd w:val="clear" w:color="000000" w:fill="FFFFFF"/>
          </w:tcPr>
          <w:p w14:paraId="5BEED3F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445B7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3 696,1</w:t>
            </w:r>
          </w:p>
        </w:tc>
        <w:tc>
          <w:tcPr>
            <w:tcW w:w="1406" w:type="dxa"/>
            <w:tcBorders>
              <w:top w:val="nil"/>
              <w:left w:val="nil"/>
              <w:bottom w:val="single" w:sz="4" w:space="0" w:color="auto"/>
              <w:right w:val="single" w:sz="4" w:space="0" w:color="auto"/>
            </w:tcBorders>
            <w:shd w:val="clear" w:color="000000" w:fill="FFFFFF"/>
            <w:noWrap/>
            <w:vAlign w:val="bottom"/>
            <w:hideMark/>
          </w:tcPr>
          <w:p w14:paraId="319D28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2 817,7</w:t>
            </w:r>
          </w:p>
        </w:tc>
        <w:tc>
          <w:tcPr>
            <w:tcW w:w="1570" w:type="dxa"/>
            <w:tcBorders>
              <w:top w:val="nil"/>
              <w:left w:val="nil"/>
              <w:bottom w:val="single" w:sz="4" w:space="0" w:color="auto"/>
              <w:right w:val="single" w:sz="4" w:space="0" w:color="auto"/>
            </w:tcBorders>
            <w:shd w:val="clear" w:color="000000" w:fill="FFFFFF"/>
            <w:noWrap/>
            <w:vAlign w:val="bottom"/>
            <w:hideMark/>
          </w:tcPr>
          <w:p w14:paraId="752E4E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467,9</w:t>
            </w:r>
          </w:p>
        </w:tc>
        <w:tc>
          <w:tcPr>
            <w:tcW w:w="2002" w:type="dxa"/>
            <w:tcBorders>
              <w:top w:val="nil"/>
              <w:left w:val="nil"/>
              <w:bottom w:val="single" w:sz="4" w:space="0" w:color="auto"/>
              <w:right w:val="single" w:sz="4" w:space="0" w:color="auto"/>
            </w:tcBorders>
            <w:shd w:val="clear" w:color="000000" w:fill="FFFFFF"/>
            <w:noWrap/>
            <w:vAlign w:val="bottom"/>
            <w:hideMark/>
          </w:tcPr>
          <w:p w14:paraId="0C9347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92518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381,3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F36E5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10,2</w:t>
            </w:r>
          </w:p>
        </w:tc>
      </w:tr>
      <w:tr w:rsidR="00761800" w:rsidRPr="00761800" w14:paraId="2C765FA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77093D5"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54E4179D"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D6AB5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11C4DC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485BB0E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09F95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54825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BD66F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EB5D3A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440076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ВРАЦА</w:t>
            </w:r>
          </w:p>
        </w:tc>
        <w:tc>
          <w:tcPr>
            <w:tcW w:w="146" w:type="dxa"/>
            <w:tcBorders>
              <w:top w:val="nil"/>
              <w:left w:val="nil"/>
              <w:bottom w:val="single" w:sz="4" w:space="0" w:color="auto"/>
              <w:right w:val="nil"/>
            </w:tcBorders>
            <w:shd w:val="clear" w:color="000000" w:fill="FFFFFF"/>
          </w:tcPr>
          <w:p w14:paraId="376982D7"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5CD4C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0FF5B3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6004E9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377858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EE1E2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AAC4A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60045E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08576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Борован</w:t>
            </w:r>
          </w:p>
        </w:tc>
        <w:tc>
          <w:tcPr>
            <w:tcW w:w="146" w:type="dxa"/>
            <w:tcBorders>
              <w:top w:val="nil"/>
              <w:left w:val="nil"/>
              <w:bottom w:val="single" w:sz="4" w:space="0" w:color="auto"/>
              <w:right w:val="nil"/>
            </w:tcBorders>
            <w:shd w:val="clear" w:color="000000" w:fill="FFFFFF"/>
          </w:tcPr>
          <w:p w14:paraId="5B2E349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6A518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5 110,2</w:t>
            </w:r>
          </w:p>
        </w:tc>
        <w:tc>
          <w:tcPr>
            <w:tcW w:w="1406" w:type="dxa"/>
            <w:tcBorders>
              <w:top w:val="nil"/>
              <w:left w:val="nil"/>
              <w:bottom w:val="single" w:sz="4" w:space="0" w:color="auto"/>
              <w:right w:val="single" w:sz="4" w:space="0" w:color="auto"/>
            </w:tcBorders>
            <w:shd w:val="clear" w:color="000000" w:fill="FFFFFF"/>
            <w:noWrap/>
            <w:vAlign w:val="bottom"/>
            <w:hideMark/>
          </w:tcPr>
          <w:p w14:paraId="569EE4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4 087,6</w:t>
            </w:r>
          </w:p>
        </w:tc>
        <w:tc>
          <w:tcPr>
            <w:tcW w:w="1570" w:type="dxa"/>
            <w:tcBorders>
              <w:top w:val="nil"/>
              <w:left w:val="nil"/>
              <w:bottom w:val="single" w:sz="4" w:space="0" w:color="auto"/>
              <w:right w:val="single" w:sz="4" w:space="0" w:color="auto"/>
            </w:tcBorders>
            <w:shd w:val="clear" w:color="000000" w:fill="FFFFFF"/>
            <w:noWrap/>
            <w:vAlign w:val="bottom"/>
            <w:hideMark/>
          </w:tcPr>
          <w:p w14:paraId="28A279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623,6</w:t>
            </w:r>
          </w:p>
        </w:tc>
        <w:tc>
          <w:tcPr>
            <w:tcW w:w="2002" w:type="dxa"/>
            <w:tcBorders>
              <w:top w:val="nil"/>
              <w:left w:val="nil"/>
              <w:bottom w:val="single" w:sz="4" w:space="0" w:color="auto"/>
              <w:right w:val="single" w:sz="4" w:space="0" w:color="auto"/>
            </w:tcBorders>
            <w:shd w:val="clear" w:color="000000" w:fill="FFFFFF"/>
            <w:noWrap/>
            <w:vAlign w:val="bottom"/>
            <w:hideMark/>
          </w:tcPr>
          <w:p w14:paraId="7C2BDB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98241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361,0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51D74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41,7</w:t>
            </w:r>
          </w:p>
        </w:tc>
      </w:tr>
      <w:tr w:rsidR="00761800" w:rsidRPr="00761800" w14:paraId="0295516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387C7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Бяла Cлатина</w:t>
            </w:r>
          </w:p>
        </w:tc>
        <w:tc>
          <w:tcPr>
            <w:tcW w:w="146" w:type="dxa"/>
            <w:tcBorders>
              <w:top w:val="nil"/>
              <w:left w:val="nil"/>
              <w:bottom w:val="single" w:sz="4" w:space="0" w:color="auto"/>
              <w:right w:val="nil"/>
            </w:tcBorders>
            <w:shd w:val="clear" w:color="000000" w:fill="FFFFFF"/>
          </w:tcPr>
          <w:p w14:paraId="7AFD65F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63EC2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19 547,7</w:t>
            </w:r>
          </w:p>
        </w:tc>
        <w:tc>
          <w:tcPr>
            <w:tcW w:w="1406" w:type="dxa"/>
            <w:tcBorders>
              <w:top w:val="nil"/>
              <w:left w:val="nil"/>
              <w:bottom w:val="single" w:sz="4" w:space="0" w:color="auto"/>
              <w:right w:val="single" w:sz="4" w:space="0" w:color="auto"/>
            </w:tcBorders>
            <w:shd w:val="clear" w:color="000000" w:fill="FFFFFF"/>
            <w:noWrap/>
            <w:vAlign w:val="bottom"/>
            <w:hideMark/>
          </w:tcPr>
          <w:p w14:paraId="10A836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17 224,1</w:t>
            </w:r>
          </w:p>
        </w:tc>
        <w:tc>
          <w:tcPr>
            <w:tcW w:w="1570" w:type="dxa"/>
            <w:tcBorders>
              <w:top w:val="nil"/>
              <w:left w:val="nil"/>
              <w:bottom w:val="single" w:sz="4" w:space="0" w:color="auto"/>
              <w:right w:val="single" w:sz="4" w:space="0" w:color="auto"/>
            </w:tcBorders>
            <w:shd w:val="clear" w:color="000000" w:fill="FFFFFF"/>
            <w:noWrap/>
            <w:vAlign w:val="bottom"/>
            <w:hideMark/>
          </w:tcPr>
          <w:p w14:paraId="202DB6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1 482,1</w:t>
            </w:r>
          </w:p>
        </w:tc>
        <w:tc>
          <w:tcPr>
            <w:tcW w:w="2002" w:type="dxa"/>
            <w:tcBorders>
              <w:top w:val="nil"/>
              <w:left w:val="nil"/>
              <w:bottom w:val="single" w:sz="4" w:space="0" w:color="auto"/>
              <w:right w:val="single" w:sz="4" w:space="0" w:color="auto"/>
            </w:tcBorders>
            <w:shd w:val="clear" w:color="000000" w:fill="FFFFFF"/>
            <w:noWrap/>
            <w:vAlign w:val="bottom"/>
            <w:hideMark/>
          </w:tcPr>
          <w:p w14:paraId="14C53E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DFB64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786,3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04999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180,9</w:t>
            </w:r>
          </w:p>
        </w:tc>
      </w:tr>
      <w:tr w:rsidR="00761800" w:rsidRPr="00761800" w14:paraId="6FED569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55FB9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Bраца</w:t>
            </w:r>
          </w:p>
        </w:tc>
        <w:tc>
          <w:tcPr>
            <w:tcW w:w="146" w:type="dxa"/>
            <w:tcBorders>
              <w:top w:val="nil"/>
              <w:left w:val="nil"/>
              <w:bottom w:val="single" w:sz="4" w:space="0" w:color="auto"/>
              <w:right w:val="nil"/>
            </w:tcBorders>
            <w:shd w:val="clear" w:color="000000" w:fill="FFFFFF"/>
          </w:tcPr>
          <w:p w14:paraId="3468A75A"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DE8EE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52 150,1</w:t>
            </w:r>
          </w:p>
        </w:tc>
        <w:tc>
          <w:tcPr>
            <w:tcW w:w="1406" w:type="dxa"/>
            <w:tcBorders>
              <w:top w:val="nil"/>
              <w:left w:val="nil"/>
              <w:bottom w:val="single" w:sz="4" w:space="0" w:color="auto"/>
              <w:right w:val="single" w:sz="4" w:space="0" w:color="auto"/>
            </w:tcBorders>
            <w:shd w:val="clear" w:color="000000" w:fill="FFFFFF"/>
            <w:noWrap/>
            <w:vAlign w:val="bottom"/>
            <w:hideMark/>
          </w:tcPr>
          <w:p w14:paraId="5C0158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47 443,1</w:t>
            </w:r>
          </w:p>
        </w:tc>
        <w:tc>
          <w:tcPr>
            <w:tcW w:w="1570" w:type="dxa"/>
            <w:tcBorders>
              <w:top w:val="nil"/>
              <w:left w:val="nil"/>
              <w:bottom w:val="single" w:sz="4" w:space="0" w:color="auto"/>
              <w:right w:val="single" w:sz="4" w:space="0" w:color="auto"/>
            </w:tcBorders>
            <w:shd w:val="clear" w:color="000000" w:fill="FFFFFF"/>
            <w:noWrap/>
            <w:vAlign w:val="bottom"/>
            <w:hideMark/>
          </w:tcPr>
          <w:p w14:paraId="3A9C5A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3 036,0</w:t>
            </w:r>
          </w:p>
        </w:tc>
        <w:tc>
          <w:tcPr>
            <w:tcW w:w="2002" w:type="dxa"/>
            <w:tcBorders>
              <w:top w:val="nil"/>
              <w:left w:val="nil"/>
              <w:bottom w:val="single" w:sz="4" w:space="0" w:color="auto"/>
              <w:right w:val="single" w:sz="4" w:space="0" w:color="auto"/>
            </w:tcBorders>
            <w:shd w:val="clear" w:color="000000" w:fill="FFFFFF"/>
            <w:noWrap/>
            <w:vAlign w:val="bottom"/>
            <w:hideMark/>
          </w:tcPr>
          <w:p w14:paraId="1B56D6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115,5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D71F2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1 555,5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77509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460,5</w:t>
            </w:r>
          </w:p>
        </w:tc>
      </w:tr>
      <w:tr w:rsidR="00761800" w:rsidRPr="00761800" w14:paraId="24D5694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F20B46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Kозлодуй</w:t>
            </w:r>
          </w:p>
        </w:tc>
        <w:tc>
          <w:tcPr>
            <w:tcW w:w="146" w:type="dxa"/>
            <w:tcBorders>
              <w:top w:val="nil"/>
              <w:left w:val="nil"/>
              <w:bottom w:val="single" w:sz="4" w:space="0" w:color="auto"/>
              <w:right w:val="nil"/>
            </w:tcBorders>
            <w:shd w:val="clear" w:color="000000" w:fill="FFFFFF"/>
          </w:tcPr>
          <w:p w14:paraId="24B4C41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5D3212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15 817,5</w:t>
            </w:r>
          </w:p>
        </w:tc>
        <w:tc>
          <w:tcPr>
            <w:tcW w:w="1406" w:type="dxa"/>
            <w:tcBorders>
              <w:top w:val="nil"/>
              <w:left w:val="nil"/>
              <w:bottom w:val="single" w:sz="4" w:space="0" w:color="auto"/>
              <w:right w:val="single" w:sz="4" w:space="0" w:color="auto"/>
            </w:tcBorders>
            <w:shd w:val="clear" w:color="000000" w:fill="FFFFFF"/>
            <w:noWrap/>
            <w:vAlign w:val="bottom"/>
            <w:hideMark/>
          </w:tcPr>
          <w:p w14:paraId="4FACF3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15 449,1</w:t>
            </w:r>
          </w:p>
        </w:tc>
        <w:tc>
          <w:tcPr>
            <w:tcW w:w="1570" w:type="dxa"/>
            <w:tcBorders>
              <w:top w:val="nil"/>
              <w:left w:val="nil"/>
              <w:bottom w:val="single" w:sz="4" w:space="0" w:color="auto"/>
              <w:right w:val="single" w:sz="4" w:space="0" w:color="auto"/>
            </w:tcBorders>
            <w:shd w:val="clear" w:color="000000" w:fill="FFFFFF"/>
            <w:noWrap/>
            <w:vAlign w:val="bottom"/>
            <w:hideMark/>
          </w:tcPr>
          <w:p w14:paraId="3912A0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1AAE8B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52955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354,8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DC6F5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199,1</w:t>
            </w:r>
          </w:p>
        </w:tc>
      </w:tr>
      <w:tr w:rsidR="00761800" w:rsidRPr="00761800" w14:paraId="6778697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A349D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Kриводол</w:t>
            </w:r>
          </w:p>
        </w:tc>
        <w:tc>
          <w:tcPr>
            <w:tcW w:w="146" w:type="dxa"/>
            <w:tcBorders>
              <w:top w:val="nil"/>
              <w:left w:val="nil"/>
              <w:bottom w:val="single" w:sz="4" w:space="0" w:color="auto"/>
              <w:right w:val="nil"/>
            </w:tcBorders>
            <w:shd w:val="clear" w:color="000000" w:fill="FFFFFF"/>
          </w:tcPr>
          <w:p w14:paraId="3F785C3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776D2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6 569,0</w:t>
            </w:r>
          </w:p>
        </w:tc>
        <w:tc>
          <w:tcPr>
            <w:tcW w:w="1406" w:type="dxa"/>
            <w:tcBorders>
              <w:top w:val="nil"/>
              <w:left w:val="nil"/>
              <w:bottom w:val="single" w:sz="4" w:space="0" w:color="auto"/>
              <w:right w:val="single" w:sz="4" w:space="0" w:color="auto"/>
            </w:tcBorders>
            <w:shd w:val="clear" w:color="000000" w:fill="FFFFFF"/>
            <w:noWrap/>
            <w:vAlign w:val="bottom"/>
            <w:hideMark/>
          </w:tcPr>
          <w:p w14:paraId="746D79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5 169,1</w:t>
            </w:r>
          </w:p>
        </w:tc>
        <w:tc>
          <w:tcPr>
            <w:tcW w:w="1570" w:type="dxa"/>
            <w:tcBorders>
              <w:top w:val="nil"/>
              <w:left w:val="nil"/>
              <w:bottom w:val="single" w:sz="4" w:space="0" w:color="auto"/>
              <w:right w:val="single" w:sz="4" w:space="0" w:color="auto"/>
            </w:tcBorders>
            <w:shd w:val="clear" w:color="000000" w:fill="FFFFFF"/>
            <w:noWrap/>
            <w:vAlign w:val="bottom"/>
            <w:hideMark/>
          </w:tcPr>
          <w:p w14:paraId="26DD2A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753,0</w:t>
            </w:r>
          </w:p>
        </w:tc>
        <w:tc>
          <w:tcPr>
            <w:tcW w:w="2002" w:type="dxa"/>
            <w:tcBorders>
              <w:top w:val="nil"/>
              <w:left w:val="nil"/>
              <w:bottom w:val="single" w:sz="4" w:space="0" w:color="auto"/>
              <w:right w:val="single" w:sz="4" w:space="0" w:color="auto"/>
            </w:tcBorders>
            <w:shd w:val="clear" w:color="000000" w:fill="FFFFFF"/>
            <w:noWrap/>
            <w:vAlign w:val="bottom"/>
            <w:hideMark/>
          </w:tcPr>
          <w:p w14:paraId="0DABE3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6303E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612,5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3D9D9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28,0</w:t>
            </w:r>
          </w:p>
        </w:tc>
      </w:tr>
      <w:tr w:rsidR="00761800" w:rsidRPr="00761800" w14:paraId="44DDD49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17306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Mездра</w:t>
            </w:r>
          </w:p>
        </w:tc>
        <w:tc>
          <w:tcPr>
            <w:tcW w:w="146" w:type="dxa"/>
            <w:tcBorders>
              <w:top w:val="nil"/>
              <w:left w:val="nil"/>
              <w:bottom w:val="single" w:sz="4" w:space="0" w:color="auto"/>
              <w:right w:val="nil"/>
            </w:tcBorders>
            <w:shd w:val="clear" w:color="000000" w:fill="FFFFFF"/>
          </w:tcPr>
          <w:p w14:paraId="04BEB1D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2B8A7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16 279,3</w:t>
            </w:r>
          </w:p>
        </w:tc>
        <w:tc>
          <w:tcPr>
            <w:tcW w:w="1406" w:type="dxa"/>
            <w:tcBorders>
              <w:top w:val="nil"/>
              <w:left w:val="nil"/>
              <w:bottom w:val="single" w:sz="4" w:space="0" w:color="auto"/>
              <w:right w:val="single" w:sz="4" w:space="0" w:color="auto"/>
            </w:tcBorders>
            <w:shd w:val="clear" w:color="000000" w:fill="FFFFFF"/>
            <w:noWrap/>
            <w:vAlign w:val="bottom"/>
            <w:hideMark/>
          </w:tcPr>
          <w:p w14:paraId="2110B7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13 513,0</w:t>
            </w:r>
          </w:p>
        </w:tc>
        <w:tc>
          <w:tcPr>
            <w:tcW w:w="1570" w:type="dxa"/>
            <w:tcBorders>
              <w:top w:val="nil"/>
              <w:left w:val="nil"/>
              <w:bottom w:val="single" w:sz="4" w:space="0" w:color="auto"/>
              <w:right w:val="single" w:sz="4" w:space="0" w:color="auto"/>
            </w:tcBorders>
            <w:shd w:val="clear" w:color="000000" w:fill="FFFFFF"/>
            <w:noWrap/>
            <w:vAlign w:val="bottom"/>
            <w:hideMark/>
          </w:tcPr>
          <w:p w14:paraId="1958A9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1 335,3</w:t>
            </w:r>
          </w:p>
        </w:tc>
        <w:tc>
          <w:tcPr>
            <w:tcW w:w="2002" w:type="dxa"/>
            <w:tcBorders>
              <w:top w:val="nil"/>
              <w:left w:val="nil"/>
              <w:bottom w:val="single" w:sz="4" w:space="0" w:color="auto"/>
              <w:right w:val="single" w:sz="4" w:space="0" w:color="auto"/>
            </w:tcBorders>
            <w:shd w:val="clear" w:color="000000" w:fill="FFFFFF"/>
            <w:noWrap/>
            <w:vAlign w:val="bottom"/>
            <w:hideMark/>
          </w:tcPr>
          <w:p w14:paraId="797A17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BD7C5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1 303,2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FB459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205,5</w:t>
            </w:r>
          </w:p>
        </w:tc>
      </w:tr>
      <w:tr w:rsidR="00761800" w:rsidRPr="00761800" w14:paraId="70B3597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D3088E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Mизия</w:t>
            </w:r>
          </w:p>
        </w:tc>
        <w:tc>
          <w:tcPr>
            <w:tcW w:w="146" w:type="dxa"/>
            <w:tcBorders>
              <w:top w:val="nil"/>
              <w:left w:val="nil"/>
              <w:bottom w:val="single" w:sz="4" w:space="0" w:color="auto"/>
              <w:right w:val="nil"/>
            </w:tcBorders>
            <w:shd w:val="clear" w:color="000000" w:fill="FFFFFF"/>
          </w:tcPr>
          <w:p w14:paraId="1A01EC8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6DBB7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4 988,0</w:t>
            </w:r>
          </w:p>
        </w:tc>
        <w:tc>
          <w:tcPr>
            <w:tcW w:w="1406" w:type="dxa"/>
            <w:tcBorders>
              <w:top w:val="nil"/>
              <w:left w:val="nil"/>
              <w:bottom w:val="single" w:sz="4" w:space="0" w:color="auto"/>
              <w:right w:val="single" w:sz="4" w:space="0" w:color="auto"/>
            </w:tcBorders>
            <w:shd w:val="clear" w:color="000000" w:fill="FFFFFF"/>
            <w:noWrap/>
            <w:vAlign w:val="bottom"/>
            <w:hideMark/>
          </w:tcPr>
          <w:p w14:paraId="46122C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4 175,8</w:t>
            </w:r>
          </w:p>
        </w:tc>
        <w:tc>
          <w:tcPr>
            <w:tcW w:w="1570" w:type="dxa"/>
            <w:tcBorders>
              <w:top w:val="nil"/>
              <w:left w:val="nil"/>
              <w:bottom w:val="single" w:sz="4" w:space="0" w:color="auto"/>
              <w:right w:val="single" w:sz="4" w:space="0" w:color="auto"/>
            </w:tcBorders>
            <w:shd w:val="clear" w:color="000000" w:fill="FFFFFF"/>
            <w:noWrap/>
            <w:vAlign w:val="bottom"/>
            <w:hideMark/>
          </w:tcPr>
          <w:p w14:paraId="422EF1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495,2</w:t>
            </w:r>
          </w:p>
        </w:tc>
        <w:tc>
          <w:tcPr>
            <w:tcW w:w="2002" w:type="dxa"/>
            <w:tcBorders>
              <w:top w:val="nil"/>
              <w:left w:val="nil"/>
              <w:bottom w:val="single" w:sz="4" w:space="0" w:color="auto"/>
              <w:right w:val="single" w:sz="4" w:space="0" w:color="auto"/>
            </w:tcBorders>
            <w:shd w:val="clear" w:color="000000" w:fill="FFFFFF"/>
            <w:noWrap/>
            <w:vAlign w:val="bottom"/>
            <w:hideMark/>
          </w:tcPr>
          <w:p w14:paraId="1DFBBA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D350D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302,0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740EC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45,3</w:t>
            </w:r>
          </w:p>
        </w:tc>
      </w:tr>
      <w:tr w:rsidR="00761800" w:rsidRPr="00761800" w14:paraId="275F421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B7D0A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Oряхово</w:t>
            </w:r>
          </w:p>
        </w:tc>
        <w:tc>
          <w:tcPr>
            <w:tcW w:w="146" w:type="dxa"/>
            <w:tcBorders>
              <w:top w:val="nil"/>
              <w:left w:val="nil"/>
              <w:bottom w:val="single" w:sz="4" w:space="0" w:color="auto"/>
              <w:right w:val="nil"/>
            </w:tcBorders>
            <w:shd w:val="clear" w:color="000000" w:fill="FFFFFF"/>
          </w:tcPr>
          <w:p w14:paraId="76FED3D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91218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7 366,9</w:t>
            </w:r>
          </w:p>
        </w:tc>
        <w:tc>
          <w:tcPr>
            <w:tcW w:w="1406" w:type="dxa"/>
            <w:tcBorders>
              <w:top w:val="nil"/>
              <w:left w:val="nil"/>
              <w:bottom w:val="single" w:sz="4" w:space="0" w:color="auto"/>
              <w:right w:val="single" w:sz="4" w:space="0" w:color="auto"/>
            </w:tcBorders>
            <w:shd w:val="clear" w:color="000000" w:fill="FFFFFF"/>
            <w:noWrap/>
            <w:vAlign w:val="bottom"/>
            <w:hideMark/>
          </w:tcPr>
          <w:p w14:paraId="363669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6 153,6</w:t>
            </w:r>
          </w:p>
        </w:tc>
        <w:tc>
          <w:tcPr>
            <w:tcW w:w="1570" w:type="dxa"/>
            <w:tcBorders>
              <w:top w:val="nil"/>
              <w:left w:val="nil"/>
              <w:bottom w:val="single" w:sz="4" w:space="0" w:color="auto"/>
              <w:right w:val="single" w:sz="4" w:space="0" w:color="auto"/>
            </w:tcBorders>
            <w:shd w:val="clear" w:color="000000" w:fill="FFFFFF"/>
            <w:noWrap/>
            <w:vAlign w:val="bottom"/>
            <w:hideMark/>
          </w:tcPr>
          <w:p w14:paraId="6074E7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733,9</w:t>
            </w:r>
          </w:p>
        </w:tc>
        <w:tc>
          <w:tcPr>
            <w:tcW w:w="2002" w:type="dxa"/>
            <w:tcBorders>
              <w:top w:val="nil"/>
              <w:left w:val="nil"/>
              <w:bottom w:val="single" w:sz="4" w:space="0" w:color="auto"/>
              <w:right w:val="single" w:sz="4" w:space="0" w:color="auto"/>
            </w:tcBorders>
            <w:shd w:val="clear" w:color="000000" w:fill="FFFFFF"/>
            <w:noWrap/>
            <w:vAlign w:val="bottom"/>
            <w:hideMark/>
          </w:tcPr>
          <w:p w14:paraId="7FE7ED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F9B90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435,9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E09C1D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92,1</w:t>
            </w:r>
          </w:p>
        </w:tc>
      </w:tr>
      <w:tr w:rsidR="00761800" w:rsidRPr="00761800" w14:paraId="479DE28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C76F0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Pоман</w:t>
            </w:r>
          </w:p>
        </w:tc>
        <w:tc>
          <w:tcPr>
            <w:tcW w:w="146" w:type="dxa"/>
            <w:tcBorders>
              <w:top w:val="nil"/>
              <w:left w:val="nil"/>
              <w:bottom w:val="single" w:sz="4" w:space="0" w:color="auto"/>
              <w:right w:val="nil"/>
            </w:tcBorders>
            <w:shd w:val="clear" w:color="000000" w:fill="FFFFFF"/>
          </w:tcPr>
          <w:p w14:paraId="49FCF16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7C59E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7 072,0</w:t>
            </w:r>
          </w:p>
        </w:tc>
        <w:tc>
          <w:tcPr>
            <w:tcW w:w="1406" w:type="dxa"/>
            <w:tcBorders>
              <w:top w:val="nil"/>
              <w:left w:val="nil"/>
              <w:bottom w:val="single" w:sz="4" w:space="0" w:color="auto"/>
              <w:right w:val="single" w:sz="4" w:space="0" w:color="auto"/>
            </w:tcBorders>
            <w:shd w:val="clear" w:color="000000" w:fill="FFFFFF"/>
            <w:noWrap/>
            <w:vAlign w:val="bottom"/>
            <w:hideMark/>
          </w:tcPr>
          <w:p w14:paraId="436D33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5 778,0</w:t>
            </w:r>
          </w:p>
        </w:tc>
        <w:tc>
          <w:tcPr>
            <w:tcW w:w="1570" w:type="dxa"/>
            <w:tcBorders>
              <w:top w:val="nil"/>
              <w:left w:val="nil"/>
              <w:bottom w:val="single" w:sz="4" w:space="0" w:color="auto"/>
              <w:right w:val="single" w:sz="4" w:space="0" w:color="auto"/>
            </w:tcBorders>
            <w:shd w:val="clear" w:color="000000" w:fill="FFFFFF"/>
            <w:noWrap/>
            <w:vAlign w:val="bottom"/>
            <w:hideMark/>
          </w:tcPr>
          <w:p w14:paraId="4F52D3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618,1</w:t>
            </w:r>
          </w:p>
        </w:tc>
        <w:tc>
          <w:tcPr>
            <w:tcW w:w="2002" w:type="dxa"/>
            <w:tcBorders>
              <w:top w:val="nil"/>
              <w:left w:val="nil"/>
              <w:bottom w:val="single" w:sz="4" w:space="0" w:color="auto"/>
              <w:right w:val="single" w:sz="4" w:space="0" w:color="auto"/>
            </w:tcBorders>
            <w:shd w:val="clear" w:color="000000" w:fill="FFFFFF"/>
            <w:noWrap/>
            <w:vAlign w:val="bottom"/>
            <w:hideMark/>
          </w:tcPr>
          <w:p w14:paraId="378875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8FF12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607,7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C84A4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20,6</w:t>
            </w:r>
          </w:p>
        </w:tc>
      </w:tr>
      <w:tr w:rsidR="00761800" w:rsidRPr="00761800" w14:paraId="0EBA41B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F08F0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Xайредин</w:t>
            </w:r>
          </w:p>
        </w:tc>
        <w:tc>
          <w:tcPr>
            <w:tcW w:w="146" w:type="dxa"/>
            <w:tcBorders>
              <w:top w:val="nil"/>
              <w:left w:val="nil"/>
              <w:bottom w:val="single" w:sz="4" w:space="0" w:color="auto"/>
              <w:right w:val="nil"/>
            </w:tcBorders>
            <w:shd w:val="clear" w:color="000000" w:fill="FFFFFF"/>
          </w:tcPr>
          <w:p w14:paraId="6504D75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5C5DF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4 909,7</w:t>
            </w:r>
          </w:p>
        </w:tc>
        <w:tc>
          <w:tcPr>
            <w:tcW w:w="1406" w:type="dxa"/>
            <w:tcBorders>
              <w:top w:val="nil"/>
              <w:left w:val="nil"/>
              <w:bottom w:val="single" w:sz="4" w:space="0" w:color="auto"/>
              <w:right w:val="single" w:sz="4" w:space="0" w:color="auto"/>
            </w:tcBorders>
            <w:shd w:val="clear" w:color="000000" w:fill="FFFFFF"/>
            <w:noWrap/>
            <w:vAlign w:val="bottom"/>
            <w:hideMark/>
          </w:tcPr>
          <w:p w14:paraId="131EE2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4 058,9</w:t>
            </w:r>
          </w:p>
        </w:tc>
        <w:tc>
          <w:tcPr>
            <w:tcW w:w="1570" w:type="dxa"/>
            <w:tcBorders>
              <w:top w:val="nil"/>
              <w:left w:val="nil"/>
              <w:bottom w:val="single" w:sz="4" w:space="0" w:color="auto"/>
              <w:right w:val="single" w:sz="4" w:space="0" w:color="auto"/>
            </w:tcBorders>
            <w:shd w:val="clear" w:color="000000" w:fill="FFFFFF"/>
            <w:noWrap/>
            <w:vAlign w:val="bottom"/>
            <w:hideMark/>
          </w:tcPr>
          <w:p w14:paraId="22DF13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496,7</w:t>
            </w:r>
          </w:p>
        </w:tc>
        <w:tc>
          <w:tcPr>
            <w:tcW w:w="2002" w:type="dxa"/>
            <w:tcBorders>
              <w:top w:val="nil"/>
              <w:left w:val="nil"/>
              <w:bottom w:val="single" w:sz="4" w:space="0" w:color="auto"/>
              <w:right w:val="single" w:sz="4" w:space="0" w:color="auto"/>
            </w:tcBorders>
            <w:shd w:val="clear" w:color="000000" w:fill="FFFFFF"/>
            <w:noWrap/>
            <w:vAlign w:val="bottom"/>
            <w:hideMark/>
          </w:tcPr>
          <w:p w14:paraId="62F930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CBE4B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327,7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B6C8F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26,4</w:t>
            </w:r>
          </w:p>
        </w:tc>
      </w:tr>
      <w:tr w:rsidR="00761800" w:rsidRPr="00761800" w14:paraId="1C0A9CC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A78EE84"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2C630549"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DCE98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29B7EF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1062E8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3D835C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36E55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ADF85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5B4E3E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E2DD0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ГАБРОВО</w:t>
            </w:r>
          </w:p>
        </w:tc>
        <w:tc>
          <w:tcPr>
            <w:tcW w:w="146" w:type="dxa"/>
            <w:tcBorders>
              <w:top w:val="nil"/>
              <w:left w:val="nil"/>
              <w:bottom w:val="single" w:sz="4" w:space="0" w:color="auto"/>
              <w:right w:val="nil"/>
            </w:tcBorders>
            <w:shd w:val="clear" w:color="000000" w:fill="FFFFFF"/>
          </w:tcPr>
          <w:p w14:paraId="1EB4918D"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040A1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1A798B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43DB17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4718D1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E303C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B8FC6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CFEE4A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7981B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Габрово</w:t>
            </w:r>
          </w:p>
        </w:tc>
        <w:tc>
          <w:tcPr>
            <w:tcW w:w="146" w:type="dxa"/>
            <w:tcBorders>
              <w:top w:val="nil"/>
              <w:left w:val="nil"/>
              <w:bottom w:val="single" w:sz="4" w:space="0" w:color="auto"/>
              <w:right w:val="nil"/>
            </w:tcBorders>
            <w:shd w:val="clear" w:color="000000" w:fill="FFFFFF"/>
          </w:tcPr>
          <w:p w14:paraId="01692CB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AE401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37 960,9</w:t>
            </w:r>
          </w:p>
        </w:tc>
        <w:tc>
          <w:tcPr>
            <w:tcW w:w="1406" w:type="dxa"/>
            <w:tcBorders>
              <w:top w:val="nil"/>
              <w:left w:val="nil"/>
              <w:bottom w:val="single" w:sz="4" w:space="0" w:color="auto"/>
              <w:right w:val="single" w:sz="4" w:space="0" w:color="auto"/>
            </w:tcBorders>
            <w:shd w:val="clear" w:color="000000" w:fill="FFFFFF"/>
            <w:noWrap/>
            <w:vAlign w:val="bottom"/>
            <w:hideMark/>
          </w:tcPr>
          <w:p w14:paraId="58221E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32 143,2</w:t>
            </w:r>
          </w:p>
        </w:tc>
        <w:tc>
          <w:tcPr>
            <w:tcW w:w="1570" w:type="dxa"/>
            <w:tcBorders>
              <w:top w:val="nil"/>
              <w:left w:val="nil"/>
              <w:bottom w:val="single" w:sz="4" w:space="0" w:color="auto"/>
              <w:right w:val="single" w:sz="4" w:space="0" w:color="auto"/>
            </w:tcBorders>
            <w:shd w:val="clear" w:color="000000" w:fill="FFFFFF"/>
            <w:noWrap/>
            <w:vAlign w:val="bottom"/>
            <w:hideMark/>
          </w:tcPr>
          <w:p w14:paraId="300642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1 776,9</w:t>
            </w:r>
          </w:p>
        </w:tc>
        <w:tc>
          <w:tcPr>
            <w:tcW w:w="2002" w:type="dxa"/>
            <w:tcBorders>
              <w:top w:val="nil"/>
              <w:left w:val="nil"/>
              <w:bottom w:val="single" w:sz="4" w:space="0" w:color="auto"/>
              <w:right w:val="single" w:sz="4" w:space="0" w:color="auto"/>
            </w:tcBorders>
            <w:shd w:val="clear" w:color="000000" w:fill="FFFFFF"/>
            <w:noWrap/>
            <w:vAlign w:val="bottom"/>
            <w:hideMark/>
          </w:tcPr>
          <w:p w14:paraId="7B34CF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379,7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413DEF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3 661,1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95E2D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479,6</w:t>
            </w:r>
          </w:p>
        </w:tc>
      </w:tr>
      <w:tr w:rsidR="00761800" w:rsidRPr="00761800" w14:paraId="6113AFA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996F0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Дряново</w:t>
            </w:r>
          </w:p>
        </w:tc>
        <w:tc>
          <w:tcPr>
            <w:tcW w:w="146" w:type="dxa"/>
            <w:tcBorders>
              <w:top w:val="nil"/>
              <w:left w:val="nil"/>
              <w:bottom w:val="single" w:sz="4" w:space="0" w:color="auto"/>
              <w:right w:val="nil"/>
            </w:tcBorders>
            <w:shd w:val="clear" w:color="000000" w:fill="FFFFFF"/>
          </w:tcPr>
          <w:p w14:paraId="3E9EC8E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C8ED1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11 334,9</w:t>
            </w:r>
          </w:p>
        </w:tc>
        <w:tc>
          <w:tcPr>
            <w:tcW w:w="1406" w:type="dxa"/>
            <w:tcBorders>
              <w:top w:val="nil"/>
              <w:left w:val="nil"/>
              <w:bottom w:val="single" w:sz="4" w:space="0" w:color="auto"/>
              <w:right w:val="single" w:sz="4" w:space="0" w:color="auto"/>
            </w:tcBorders>
            <w:shd w:val="clear" w:color="000000" w:fill="FFFFFF"/>
            <w:noWrap/>
            <w:vAlign w:val="bottom"/>
            <w:hideMark/>
          </w:tcPr>
          <w:p w14:paraId="3DF635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9 517,0</w:t>
            </w:r>
          </w:p>
        </w:tc>
        <w:tc>
          <w:tcPr>
            <w:tcW w:w="1570" w:type="dxa"/>
            <w:tcBorders>
              <w:top w:val="nil"/>
              <w:left w:val="nil"/>
              <w:bottom w:val="single" w:sz="4" w:space="0" w:color="auto"/>
              <w:right w:val="single" w:sz="4" w:space="0" w:color="auto"/>
            </w:tcBorders>
            <w:shd w:val="clear" w:color="000000" w:fill="FFFFFF"/>
            <w:noWrap/>
            <w:vAlign w:val="bottom"/>
            <w:hideMark/>
          </w:tcPr>
          <w:p w14:paraId="29625F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633,4</w:t>
            </w:r>
          </w:p>
        </w:tc>
        <w:tc>
          <w:tcPr>
            <w:tcW w:w="2002" w:type="dxa"/>
            <w:tcBorders>
              <w:top w:val="nil"/>
              <w:left w:val="nil"/>
              <w:bottom w:val="single" w:sz="4" w:space="0" w:color="auto"/>
              <w:right w:val="single" w:sz="4" w:space="0" w:color="auto"/>
            </w:tcBorders>
            <w:shd w:val="clear" w:color="000000" w:fill="FFFFFF"/>
            <w:noWrap/>
            <w:vAlign w:val="bottom"/>
            <w:hideMark/>
          </w:tcPr>
          <w:p w14:paraId="3DF6AA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AE9C5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1 053,7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53C30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49,0</w:t>
            </w:r>
          </w:p>
        </w:tc>
      </w:tr>
      <w:tr w:rsidR="00761800" w:rsidRPr="00761800" w14:paraId="0F7D337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B45D66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Cевлиево</w:t>
            </w:r>
          </w:p>
        </w:tc>
        <w:tc>
          <w:tcPr>
            <w:tcW w:w="146" w:type="dxa"/>
            <w:tcBorders>
              <w:top w:val="nil"/>
              <w:left w:val="nil"/>
              <w:bottom w:val="single" w:sz="4" w:space="0" w:color="auto"/>
              <w:right w:val="nil"/>
            </w:tcBorders>
            <w:shd w:val="clear" w:color="000000" w:fill="FFFFFF"/>
          </w:tcPr>
          <w:p w14:paraId="513E431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CA0D3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25 104,5</w:t>
            </w:r>
          </w:p>
        </w:tc>
        <w:tc>
          <w:tcPr>
            <w:tcW w:w="1406" w:type="dxa"/>
            <w:tcBorders>
              <w:top w:val="nil"/>
              <w:left w:val="nil"/>
              <w:bottom w:val="single" w:sz="4" w:space="0" w:color="auto"/>
              <w:right w:val="single" w:sz="4" w:space="0" w:color="auto"/>
            </w:tcBorders>
            <w:shd w:val="clear" w:color="000000" w:fill="FFFFFF"/>
            <w:noWrap/>
            <w:vAlign w:val="bottom"/>
            <w:hideMark/>
          </w:tcPr>
          <w:p w14:paraId="20D413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21 358,8</w:t>
            </w:r>
          </w:p>
        </w:tc>
        <w:tc>
          <w:tcPr>
            <w:tcW w:w="1570" w:type="dxa"/>
            <w:tcBorders>
              <w:top w:val="nil"/>
              <w:left w:val="nil"/>
              <w:bottom w:val="single" w:sz="4" w:space="0" w:color="auto"/>
              <w:right w:val="single" w:sz="4" w:space="0" w:color="auto"/>
            </w:tcBorders>
            <w:shd w:val="clear" w:color="000000" w:fill="FFFFFF"/>
            <w:noWrap/>
            <w:vAlign w:val="bottom"/>
            <w:hideMark/>
          </w:tcPr>
          <w:p w14:paraId="030DBD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1 134,9</w:t>
            </w:r>
          </w:p>
        </w:tc>
        <w:tc>
          <w:tcPr>
            <w:tcW w:w="2002" w:type="dxa"/>
            <w:tcBorders>
              <w:top w:val="nil"/>
              <w:left w:val="nil"/>
              <w:bottom w:val="single" w:sz="4" w:space="0" w:color="auto"/>
              <w:right w:val="single" w:sz="4" w:space="0" w:color="auto"/>
            </w:tcBorders>
            <w:shd w:val="clear" w:color="000000" w:fill="FFFFFF"/>
            <w:noWrap/>
            <w:vAlign w:val="bottom"/>
            <w:hideMark/>
          </w:tcPr>
          <w:p w14:paraId="411A4D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301,8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91DEC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2 309,0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BF560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126,3</w:t>
            </w:r>
          </w:p>
        </w:tc>
      </w:tr>
      <w:tr w:rsidR="00761800" w:rsidRPr="00761800" w14:paraId="7A7399E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12AF6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Tрявна</w:t>
            </w:r>
          </w:p>
        </w:tc>
        <w:tc>
          <w:tcPr>
            <w:tcW w:w="146" w:type="dxa"/>
            <w:tcBorders>
              <w:top w:val="nil"/>
              <w:left w:val="nil"/>
              <w:bottom w:val="single" w:sz="4" w:space="0" w:color="auto"/>
              <w:right w:val="nil"/>
            </w:tcBorders>
            <w:shd w:val="clear" w:color="000000" w:fill="FFFFFF"/>
          </w:tcPr>
          <w:p w14:paraId="7848096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E9D60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8 618,3</w:t>
            </w:r>
          </w:p>
        </w:tc>
        <w:tc>
          <w:tcPr>
            <w:tcW w:w="1406" w:type="dxa"/>
            <w:tcBorders>
              <w:top w:val="nil"/>
              <w:left w:val="nil"/>
              <w:bottom w:val="single" w:sz="4" w:space="0" w:color="auto"/>
              <w:right w:val="single" w:sz="4" w:space="0" w:color="auto"/>
            </w:tcBorders>
            <w:shd w:val="clear" w:color="000000" w:fill="FFFFFF"/>
            <w:noWrap/>
            <w:vAlign w:val="bottom"/>
            <w:hideMark/>
          </w:tcPr>
          <w:p w14:paraId="769F19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6 146,8</w:t>
            </w:r>
          </w:p>
        </w:tc>
        <w:tc>
          <w:tcPr>
            <w:tcW w:w="1570" w:type="dxa"/>
            <w:tcBorders>
              <w:top w:val="nil"/>
              <w:left w:val="nil"/>
              <w:bottom w:val="single" w:sz="4" w:space="0" w:color="auto"/>
              <w:right w:val="single" w:sz="4" w:space="0" w:color="auto"/>
            </w:tcBorders>
            <w:shd w:val="clear" w:color="000000" w:fill="FFFFFF"/>
            <w:noWrap/>
            <w:vAlign w:val="bottom"/>
            <w:hideMark/>
          </w:tcPr>
          <w:p w14:paraId="50AF02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789,2</w:t>
            </w:r>
          </w:p>
        </w:tc>
        <w:tc>
          <w:tcPr>
            <w:tcW w:w="2002" w:type="dxa"/>
            <w:tcBorders>
              <w:top w:val="nil"/>
              <w:left w:val="nil"/>
              <w:bottom w:val="single" w:sz="4" w:space="0" w:color="auto"/>
              <w:right w:val="single" w:sz="4" w:space="0" w:color="auto"/>
            </w:tcBorders>
            <w:shd w:val="clear" w:color="000000" w:fill="FFFFFF"/>
            <w:noWrap/>
            <w:vAlign w:val="bottom"/>
            <w:hideMark/>
          </w:tcPr>
          <w:p w14:paraId="6506A2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378,3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A8B77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1 304,0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37AD6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76,4</w:t>
            </w:r>
          </w:p>
        </w:tc>
      </w:tr>
      <w:tr w:rsidR="00761800" w:rsidRPr="00761800" w14:paraId="69845F5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FE313B2"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05776E1B"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1C7BE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76E413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26C4A8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618A56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33728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6208B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DC5F64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64BA8F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ДОБРИЧ</w:t>
            </w:r>
          </w:p>
        </w:tc>
        <w:tc>
          <w:tcPr>
            <w:tcW w:w="146" w:type="dxa"/>
            <w:tcBorders>
              <w:top w:val="nil"/>
              <w:left w:val="nil"/>
              <w:bottom w:val="single" w:sz="4" w:space="0" w:color="auto"/>
              <w:right w:val="nil"/>
            </w:tcBorders>
            <w:shd w:val="clear" w:color="000000" w:fill="FFFFFF"/>
          </w:tcPr>
          <w:p w14:paraId="6F9CC877"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CC36F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20A4B49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69B193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5C82AB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BFEFC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0202F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593A84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E84CB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Балчик</w:t>
            </w:r>
          </w:p>
        </w:tc>
        <w:tc>
          <w:tcPr>
            <w:tcW w:w="146" w:type="dxa"/>
            <w:tcBorders>
              <w:top w:val="nil"/>
              <w:left w:val="nil"/>
              <w:bottom w:val="single" w:sz="4" w:space="0" w:color="auto"/>
              <w:right w:val="nil"/>
            </w:tcBorders>
            <w:shd w:val="clear" w:color="000000" w:fill="FFFFFF"/>
          </w:tcPr>
          <w:p w14:paraId="47825D1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F3AB0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12 457,4</w:t>
            </w:r>
          </w:p>
        </w:tc>
        <w:tc>
          <w:tcPr>
            <w:tcW w:w="1406" w:type="dxa"/>
            <w:tcBorders>
              <w:top w:val="nil"/>
              <w:left w:val="nil"/>
              <w:bottom w:val="single" w:sz="4" w:space="0" w:color="auto"/>
              <w:right w:val="single" w:sz="4" w:space="0" w:color="auto"/>
            </w:tcBorders>
            <w:shd w:val="clear" w:color="000000" w:fill="FFFFFF"/>
            <w:noWrap/>
            <w:vAlign w:val="bottom"/>
            <w:hideMark/>
          </w:tcPr>
          <w:p w14:paraId="398465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11 285,9</w:t>
            </w:r>
          </w:p>
        </w:tc>
        <w:tc>
          <w:tcPr>
            <w:tcW w:w="1570" w:type="dxa"/>
            <w:tcBorders>
              <w:top w:val="nil"/>
              <w:left w:val="nil"/>
              <w:bottom w:val="single" w:sz="4" w:space="0" w:color="auto"/>
              <w:right w:val="single" w:sz="4" w:space="0" w:color="auto"/>
            </w:tcBorders>
            <w:shd w:val="clear" w:color="000000" w:fill="FFFFFF"/>
            <w:noWrap/>
            <w:vAlign w:val="bottom"/>
            <w:hideMark/>
          </w:tcPr>
          <w:p w14:paraId="273281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579258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45F55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1 040,5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85B67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243,0</w:t>
            </w:r>
          </w:p>
        </w:tc>
      </w:tr>
      <w:tr w:rsidR="00761800" w:rsidRPr="00761800" w14:paraId="732C88E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CABC3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Генерал Тошево</w:t>
            </w:r>
          </w:p>
        </w:tc>
        <w:tc>
          <w:tcPr>
            <w:tcW w:w="146" w:type="dxa"/>
            <w:tcBorders>
              <w:top w:val="nil"/>
              <w:left w:val="nil"/>
              <w:bottom w:val="single" w:sz="4" w:space="0" w:color="auto"/>
              <w:right w:val="nil"/>
            </w:tcBorders>
            <w:shd w:val="clear" w:color="000000" w:fill="FFFFFF"/>
          </w:tcPr>
          <w:p w14:paraId="1472FEF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AABE9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10 288,2</w:t>
            </w:r>
          </w:p>
        </w:tc>
        <w:tc>
          <w:tcPr>
            <w:tcW w:w="1406" w:type="dxa"/>
            <w:tcBorders>
              <w:top w:val="nil"/>
              <w:left w:val="nil"/>
              <w:bottom w:val="single" w:sz="4" w:space="0" w:color="auto"/>
              <w:right w:val="single" w:sz="4" w:space="0" w:color="auto"/>
            </w:tcBorders>
            <w:shd w:val="clear" w:color="000000" w:fill="FFFFFF"/>
            <w:noWrap/>
            <w:vAlign w:val="bottom"/>
            <w:hideMark/>
          </w:tcPr>
          <w:p w14:paraId="501B4E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7 883,3</w:t>
            </w:r>
          </w:p>
        </w:tc>
        <w:tc>
          <w:tcPr>
            <w:tcW w:w="1570" w:type="dxa"/>
            <w:tcBorders>
              <w:top w:val="nil"/>
              <w:left w:val="nil"/>
              <w:bottom w:val="single" w:sz="4" w:space="0" w:color="auto"/>
              <w:right w:val="single" w:sz="4" w:space="0" w:color="auto"/>
            </w:tcBorders>
            <w:shd w:val="clear" w:color="000000" w:fill="FFFFFF"/>
            <w:noWrap/>
            <w:vAlign w:val="bottom"/>
            <w:hideMark/>
          </w:tcPr>
          <w:p w14:paraId="42A2A1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799,9</w:t>
            </w:r>
          </w:p>
        </w:tc>
        <w:tc>
          <w:tcPr>
            <w:tcW w:w="2002" w:type="dxa"/>
            <w:tcBorders>
              <w:top w:val="nil"/>
              <w:left w:val="nil"/>
              <w:bottom w:val="single" w:sz="4" w:space="0" w:color="auto"/>
              <w:right w:val="single" w:sz="4" w:space="0" w:color="auto"/>
            </w:tcBorders>
            <w:shd w:val="clear" w:color="000000" w:fill="FFFFFF"/>
            <w:noWrap/>
            <w:vAlign w:val="bottom"/>
            <w:hideMark/>
          </w:tcPr>
          <w:p w14:paraId="74259F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129,8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25CE3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1 475,2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08040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62,5</w:t>
            </w:r>
          </w:p>
        </w:tc>
      </w:tr>
      <w:tr w:rsidR="00761800" w:rsidRPr="00761800" w14:paraId="35785EF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E8CB0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Добрич </w:t>
            </w:r>
          </w:p>
        </w:tc>
        <w:tc>
          <w:tcPr>
            <w:tcW w:w="146" w:type="dxa"/>
            <w:tcBorders>
              <w:top w:val="nil"/>
              <w:left w:val="nil"/>
              <w:bottom w:val="single" w:sz="4" w:space="0" w:color="auto"/>
              <w:right w:val="nil"/>
            </w:tcBorders>
            <w:shd w:val="clear" w:color="000000" w:fill="FFFFFF"/>
          </w:tcPr>
          <w:p w14:paraId="4652793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50117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50 991,9</w:t>
            </w:r>
          </w:p>
        </w:tc>
        <w:tc>
          <w:tcPr>
            <w:tcW w:w="1406" w:type="dxa"/>
            <w:tcBorders>
              <w:top w:val="nil"/>
              <w:left w:val="nil"/>
              <w:bottom w:val="single" w:sz="4" w:space="0" w:color="auto"/>
              <w:right w:val="single" w:sz="4" w:space="0" w:color="auto"/>
            </w:tcBorders>
            <w:shd w:val="clear" w:color="000000" w:fill="FFFFFF"/>
            <w:noWrap/>
            <w:vAlign w:val="bottom"/>
            <w:hideMark/>
          </w:tcPr>
          <w:p w14:paraId="75EAF3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47 221,8</w:t>
            </w:r>
          </w:p>
        </w:tc>
        <w:tc>
          <w:tcPr>
            <w:tcW w:w="1570" w:type="dxa"/>
            <w:tcBorders>
              <w:top w:val="nil"/>
              <w:left w:val="nil"/>
              <w:bottom w:val="single" w:sz="4" w:space="0" w:color="auto"/>
              <w:right w:val="single" w:sz="4" w:space="0" w:color="auto"/>
            </w:tcBorders>
            <w:shd w:val="clear" w:color="000000" w:fill="FFFFFF"/>
            <w:noWrap/>
            <w:vAlign w:val="bottom"/>
            <w:hideMark/>
          </w:tcPr>
          <w:p w14:paraId="5194FA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2 985,9</w:t>
            </w:r>
          </w:p>
        </w:tc>
        <w:tc>
          <w:tcPr>
            <w:tcW w:w="2002" w:type="dxa"/>
            <w:tcBorders>
              <w:top w:val="nil"/>
              <w:left w:val="nil"/>
              <w:bottom w:val="single" w:sz="4" w:space="0" w:color="auto"/>
              <w:right w:val="single" w:sz="4" w:space="0" w:color="auto"/>
            </w:tcBorders>
            <w:shd w:val="clear" w:color="000000" w:fill="FFFFFF"/>
            <w:noWrap/>
            <w:vAlign w:val="bottom"/>
            <w:hideMark/>
          </w:tcPr>
          <w:p w14:paraId="5B54B8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C34A2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754,8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A5AB9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440,1</w:t>
            </w:r>
          </w:p>
        </w:tc>
      </w:tr>
      <w:tr w:rsidR="00761800" w:rsidRPr="00761800" w14:paraId="72E1F3B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5DEF5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Добричка</w:t>
            </w:r>
          </w:p>
        </w:tc>
        <w:tc>
          <w:tcPr>
            <w:tcW w:w="146" w:type="dxa"/>
            <w:tcBorders>
              <w:top w:val="nil"/>
              <w:left w:val="nil"/>
              <w:bottom w:val="single" w:sz="4" w:space="0" w:color="auto"/>
              <w:right w:val="nil"/>
            </w:tcBorders>
            <w:shd w:val="clear" w:color="000000" w:fill="FFFFFF"/>
          </w:tcPr>
          <w:p w14:paraId="357E1BC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1FD66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17 600,4</w:t>
            </w:r>
          </w:p>
        </w:tc>
        <w:tc>
          <w:tcPr>
            <w:tcW w:w="1406" w:type="dxa"/>
            <w:tcBorders>
              <w:top w:val="nil"/>
              <w:left w:val="nil"/>
              <w:bottom w:val="single" w:sz="4" w:space="0" w:color="auto"/>
              <w:right w:val="single" w:sz="4" w:space="0" w:color="auto"/>
            </w:tcBorders>
            <w:shd w:val="clear" w:color="000000" w:fill="FFFFFF"/>
            <w:noWrap/>
            <w:vAlign w:val="bottom"/>
            <w:hideMark/>
          </w:tcPr>
          <w:p w14:paraId="315442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13 088,7</w:t>
            </w:r>
          </w:p>
        </w:tc>
        <w:tc>
          <w:tcPr>
            <w:tcW w:w="1570" w:type="dxa"/>
            <w:tcBorders>
              <w:top w:val="nil"/>
              <w:left w:val="nil"/>
              <w:bottom w:val="single" w:sz="4" w:space="0" w:color="auto"/>
              <w:right w:val="single" w:sz="4" w:space="0" w:color="auto"/>
            </w:tcBorders>
            <w:shd w:val="clear" w:color="000000" w:fill="FFFFFF"/>
            <w:noWrap/>
            <w:vAlign w:val="bottom"/>
            <w:hideMark/>
          </w:tcPr>
          <w:p w14:paraId="088EF9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1 651,7</w:t>
            </w:r>
          </w:p>
        </w:tc>
        <w:tc>
          <w:tcPr>
            <w:tcW w:w="2002" w:type="dxa"/>
            <w:tcBorders>
              <w:top w:val="nil"/>
              <w:left w:val="nil"/>
              <w:bottom w:val="single" w:sz="4" w:space="0" w:color="auto"/>
              <w:right w:val="single" w:sz="4" w:space="0" w:color="auto"/>
            </w:tcBorders>
            <w:shd w:val="clear" w:color="000000" w:fill="FFFFFF"/>
            <w:noWrap/>
            <w:vAlign w:val="bottom"/>
            <w:hideMark/>
          </w:tcPr>
          <w:p w14:paraId="6FF490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262,8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452D4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2 597,2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8BC17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148,5</w:t>
            </w:r>
          </w:p>
        </w:tc>
      </w:tr>
      <w:tr w:rsidR="00761800" w:rsidRPr="00761800" w14:paraId="580CBE0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1508B7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Kаварна</w:t>
            </w:r>
          </w:p>
        </w:tc>
        <w:tc>
          <w:tcPr>
            <w:tcW w:w="146" w:type="dxa"/>
            <w:tcBorders>
              <w:top w:val="nil"/>
              <w:left w:val="nil"/>
              <w:bottom w:val="single" w:sz="4" w:space="0" w:color="auto"/>
              <w:right w:val="nil"/>
            </w:tcBorders>
            <w:shd w:val="clear" w:color="000000" w:fill="FFFFFF"/>
          </w:tcPr>
          <w:p w14:paraId="6A039DD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7CBF9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11 291,1</w:t>
            </w:r>
          </w:p>
        </w:tc>
        <w:tc>
          <w:tcPr>
            <w:tcW w:w="1406" w:type="dxa"/>
            <w:tcBorders>
              <w:top w:val="nil"/>
              <w:left w:val="nil"/>
              <w:bottom w:val="single" w:sz="4" w:space="0" w:color="auto"/>
              <w:right w:val="single" w:sz="4" w:space="0" w:color="auto"/>
            </w:tcBorders>
            <w:shd w:val="clear" w:color="000000" w:fill="FFFFFF"/>
            <w:noWrap/>
            <w:vAlign w:val="bottom"/>
            <w:hideMark/>
          </w:tcPr>
          <w:p w14:paraId="572627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9 800,3</w:t>
            </w:r>
          </w:p>
        </w:tc>
        <w:tc>
          <w:tcPr>
            <w:tcW w:w="1570" w:type="dxa"/>
            <w:tcBorders>
              <w:top w:val="nil"/>
              <w:left w:val="nil"/>
              <w:bottom w:val="single" w:sz="4" w:space="0" w:color="auto"/>
              <w:right w:val="single" w:sz="4" w:space="0" w:color="auto"/>
            </w:tcBorders>
            <w:shd w:val="clear" w:color="000000" w:fill="FFFFFF"/>
            <w:noWrap/>
            <w:vAlign w:val="bottom"/>
            <w:hideMark/>
          </w:tcPr>
          <w:p w14:paraId="6DD4A0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533,4</w:t>
            </w:r>
          </w:p>
        </w:tc>
        <w:tc>
          <w:tcPr>
            <w:tcW w:w="2002" w:type="dxa"/>
            <w:tcBorders>
              <w:top w:val="nil"/>
              <w:left w:val="nil"/>
              <w:bottom w:val="single" w:sz="4" w:space="0" w:color="auto"/>
              <w:right w:val="single" w:sz="4" w:space="0" w:color="auto"/>
            </w:tcBorders>
            <w:shd w:val="clear" w:color="000000" w:fill="FFFFFF"/>
            <w:noWrap/>
            <w:vAlign w:val="bottom"/>
            <w:hideMark/>
          </w:tcPr>
          <w:p w14:paraId="111D5B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E5CC4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860,1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7DDEE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123,0</w:t>
            </w:r>
          </w:p>
        </w:tc>
      </w:tr>
      <w:tr w:rsidR="00761800" w:rsidRPr="00761800" w14:paraId="6182DF7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BE388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Kрушари</w:t>
            </w:r>
          </w:p>
        </w:tc>
        <w:tc>
          <w:tcPr>
            <w:tcW w:w="146" w:type="dxa"/>
            <w:tcBorders>
              <w:top w:val="nil"/>
              <w:left w:val="nil"/>
              <w:bottom w:val="single" w:sz="4" w:space="0" w:color="auto"/>
              <w:right w:val="nil"/>
            </w:tcBorders>
            <w:shd w:val="clear" w:color="000000" w:fill="FFFFFF"/>
          </w:tcPr>
          <w:p w14:paraId="62F1102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50546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4 893,9</w:t>
            </w:r>
          </w:p>
        </w:tc>
        <w:tc>
          <w:tcPr>
            <w:tcW w:w="1406" w:type="dxa"/>
            <w:tcBorders>
              <w:top w:val="nil"/>
              <w:left w:val="nil"/>
              <w:bottom w:val="single" w:sz="4" w:space="0" w:color="auto"/>
              <w:right w:val="single" w:sz="4" w:space="0" w:color="auto"/>
            </w:tcBorders>
            <w:shd w:val="clear" w:color="000000" w:fill="FFFFFF"/>
            <w:noWrap/>
            <w:vAlign w:val="bottom"/>
            <w:hideMark/>
          </w:tcPr>
          <w:p w14:paraId="46693F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3 632,9</w:t>
            </w:r>
          </w:p>
        </w:tc>
        <w:tc>
          <w:tcPr>
            <w:tcW w:w="1570" w:type="dxa"/>
            <w:tcBorders>
              <w:top w:val="nil"/>
              <w:left w:val="nil"/>
              <w:bottom w:val="single" w:sz="4" w:space="0" w:color="auto"/>
              <w:right w:val="single" w:sz="4" w:space="0" w:color="auto"/>
            </w:tcBorders>
            <w:shd w:val="clear" w:color="000000" w:fill="FFFFFF"/>
            <w:noWrap/>
            <w:vAlign w:val="bottom"/>
            <w:hideMark/>
          </w:tcPr>
          <w:p w14:paraId="4EAFD9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495,6</w:t>
            </w:r>
          </w:p>
        </w:tc>
        <w:tc>
          <w:tcPr>
            <w:tcW w:w="2002" w:type="dxa"/>
            <w:tcBorders>
              <w:top w:val="nil"/>
              <w:left w:val="nil"/>
              <w:bottom w:val="single" w:sz="4" w:space="0" w:color="auto"/>
              <w:right w:val="single" w:sz="4" w:space="0" w:color="auto"/>
            </w:tcBorders>
            <w:shd w:val="clear" w:color="000000" w:fill="FFFFFF"/>
            <w:noWrap/>
            <w:vAlign w:val="bottom"/>
            <w:hideMark/>
          </w:tcPr>
          <w:p w14:paraId="4B36F4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64496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690,2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052BF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w:t>
            </w:r>
          </w:p>
        </w:tc>
      </w:tr>
      <w:tr w:rsidR="00761800" w:rsidRPr="00761800" w14:paraId="03F1977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4C4C6C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Tервел</w:t>
            </w:r>
          </w:p>
        </w:tc>
        <w:tc>
          <w:tcPr>
            <w:tcW w:w="146" w:type="dxa"/>
            <w:tcBorders>
              <w:top w:val="nil"/>
              <w:left w:val="nil"/>
              <w:bottom w:val="single" w:sz="4" w:space="0" w:color="auto"/>
              <w:right w:val="nil"/>
            </w:tcBorders>
            <w:shd w:val="clear" w:color="000000" w:fill="FFFFFF"/>
          </w:tcPr>
          <w:p w14:paraId="3C0AB09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12635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10 276,7</w:t>
            </w:r>
          </w:p>
        </w:tc>
        <w:tc>
          <w:tcPr>
            <w:tcW w:w="1406" w:type="dxa"/>
            <w:tcBorders>
              <w:top w:val="nil"/>
              <w:left w:val="nil"/>
              <w:bottom w:val="single" w:sz="4" w:space="0" w:color="auto"/>
              <w:right w:val="single" w:sz="4" w:space="0" w:color="auto"/>
            </w:tcBorders>
            <w:shd w:val="clear" w:color="000000" w:fill="FFFFFF"/>
            <w:noWrap/>
            <w:vAlign w:val="bottom"/>
            <w:hideMark/>
          </w:tcPr>
          <w:p w14:paraId="31D7A2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8 152,9</w:t>
            </w:r>
          </w:p>
        </w:tc>
        <w:tc>
          <w:tcPr>
            <w:tcW w:w="1570" w:type="dxa"/>
            <w:tcBorders>
              <w:top w:val="nil"/>
              <w:left w:val="nil"/>
              <w:bottom w:val="single" w:sz="4" w:space="0" w:color="auto"/>
              <w:right w:val="single" w:sz="4" w:space="0" w:color="auto"/>
            </w:tcBorders>
            <w:shd w:val="clear" w:color="000000" w:fill="FFFFFF"/>
            <w:noWrap/>
            <w:vAlign w:val="bottom"/>
            <w:hideMark/>
          </w:tcPr>
          <w:p w14:paraId="388734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1 048,5</w:t>
            </w:r>
          </w:p>
        </w:tc>
        <w:tc>
          <w:tcPr>
            <w:tcW w:w="2002" w:type="dxa"/>
            <w:tcBorders>
              <w:top w:val="nil"/>
              <w:left w:val="nil"/>
              <w:bottom w:val="single" w:sz="4" w:space="0" w:color="auto"/>
              <w:right w:val="single" w:sz="4" w:space="0" w:color="auto"/>
            </w:tcBorders>
            <w:shd w:val="clear" w:color="000000" w:fill="FFFFFF"/>
            <w:noWrap/>
            <w:vAlign w:val="bottom"/>
            <w:hideMark/>
          </w:tcPr>
          <w:p w14:paraId="360890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1AA19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978,4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5B035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102,5</w:t>
            </w:r>
          </w:p>
        </w:tc>
      </w:tr>
      <w:tr w:rsidR="00761800" w:rsidRPr="00761800" w14:paraId="08A25EC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64C62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Шабла</w:t>
            </w:r>
          </w:p>
        </w:tc>
        <w:tc>
          <w:tcPr>
            <w:tcW w:w="146" w:type="dxa"/>
            <w:tcBorders>
              <w:top w:val="nil"/>
              <w:left w:val="nil"/>
              <w:bottom w:val="single" w:sz="4" w:space="0" w:color="auto"/>
              <w:right w:val="nil"/>
            </w:tcBorders>
            <w:shd w:val="clear" w:color="000000" w:fill="FFFFFF"/>
          </w:tcPr>
          <w:p w14:paraId="1B71AA3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29CAC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4 049,9</w:t>
            </w:r>
          </w:p>
        </w:tc>
        <w:tc>
          <w:tcPr>
            <w:tcW w:w="1406" w:type="dxa"/>
            <w:tcBorders>
              <w:top w:val="nil"/>
              <w:left w:val="nil"/>
              <w:bottom w:val="single" w:sz="4" w:space="0" w:color="auto"/>
              <w:right w:val="single" w:sz="4" w:space="0" w:color="auto"/>
            </w:tcBorders>
            <w:shd w:val="clear" w:color="000000" w:fill="FFFFFF"/>
            <w:noWrap/>
            <w:vAlign w:val="bottom"/>
            <w:hideMark/>
          </w:tcPr>
          <w:p w14:paraId="7F9333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3 129,9</w:t>
            </w:r>
          </w:p>
        </w:tc>
        <w:tc>
          <w:tcPr>
            <w:tcW w:w="1570" w:type="dxa"/>
            <w:tcBorders>
              <w:top w:val="nil"/>
              <w:left w:val="nil"/>
              <w:bottom w:val="single" w:sz="4" w:space="0" w:color="auto"/>
              <w:right w:val="single" w:sz="4" w:space="0" w:color="auto"/>
            </w:tcBorders>
            <w:shd w:val="clear" w:color="000000" w:fill="FFFFFF"/>
            <w:noWrap/>
            <w:vAlign w:val="bottom"/>
            <w:hideMark/>
          </w:tcPr>
          <w:p w14:paraId="4D23C1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303,2</w:t>
            </w:r>
          </w:p>
        </w:tc>
        <w:tc>
          <w:tcPr>
            <w:tcW w:w="2002" w:type="dxa"/>
            <w:tcBorders>
              <w:top w:val="nil"/>
              <w:left w:val="nil"/>
              <w:bottom w:val="single" w:sz="4" w:space="0" w:color="auto"/>
              <w:right w:val="single" w:sz="4" w:space="0" w:color="auto"/>
            </w:tcBorders>
            <w:shd w:val="clear" w:color="000000" w:fill="FFFFFF"/>
            <w:noWrap/>
            <w:vAlign w:val="bottom"/>
            <w:hideMark/>
          </w:tcPr>
          <w:p w14:paraId="6FC146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4C206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551,9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27CCB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77,8</w:t>
            </w:r>
          </w:p>
        </w:tc>
      </w:tr>
      <w:tr w:rsidR="00761800" w:rsidRPr="00761800" w14:paraId="5A96AB8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81A7E5D"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46" w:type="dxa"/>
            <w:tcBorders>
              <w:top w:val="nil"/>
              <w:left w:val="nil"/>
              <w:bottom w:val="single" w:sz="4" w:space="0" w:color="auto"/>
              <w:right w:val="nil"/>
            </w:tcBorders>
            <w:shd w:val="clear" w:color="000000" w:fill="FFFFFF"/>
          </w:tcPr>
          <w:p w14:paraId="0B6E9B9B"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D544E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1644BE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665938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7D6D2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75124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EE0367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09F1CD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1403A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КЪРДЖАЛИ</w:t>
            </w:r>
          </w:p>
        </w:tc>
        <w:tc>
          <w:tcPr>
            <w:tcW w:w="146" w:type="dxa"/>
            <w:tcBorders>
              <w:top w:val="nil"/>
              <w:left w:val="nil"/>
              <w:bottom w:val="single" w:sz="4" w:space="0" w:color="auto"/>
              <w:right w:val="nil"/>
            </w:tcBorders>
            <w:shd w:val="clear" w:color="000000" w:fill="FFFFFF"/>
          </w:tcPr>
          <w:p w14:paraId="7802F221"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40FDC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0F9054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2F10F7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38F61B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49026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91333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9C74C5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3232A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Aрдино</w:t>
            </w:r>
          </w:p>
        </w:tc>
        <w:tc>
          <w:tcPr>
            <w:tcW w:w="146" w:type="dxa"/>
            <w:tcBorders>
              <w:top w:val="nil"/>
              <w:left w:val="nil"/>
              <w:bottom w:val="single" w:sz="4" w:space="0" w:color="auto"/>
              <w:right w:val="nil"/>
            </w:tcBorders>
            <w:shd w:val="clear" w:color="000000" w:fill="FFFFFF"/>
          </w:tcPr>
          <w:p w14:paraId="5713A6F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7F8A1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9 736,9</w:t>
            </w:r>
          </w:p>
        </w:tc>
        <w:tc>
          <w:tcPr>
            <w:tcW w:w="1406" w:type="dxa"/>
            <w:tcBorders>
              <w:top w:val="nil"/>
              <w:left w:val="nil"/>
              <w:bottom w:val="single" w:sz="4" w:space="0" w:color="auto"/>
              <w:right w:val="single" w:sz="4" w:space="0" w:color="auto"/>
            </w:tcBorders>
            <w:shd w:val="clear" w:color="000000" w:fill="FFFFFF"/>
            <w:noWrap/>
            <w:vAlign w:val="bottom"/>
            <w:hideMark/>
          </w:tcPr>
          <w:p w14:paraId="084F00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6 561,7</w:t>
            </w:r>
          </w:p>
        </w:tc>
        <w:tc>
          <w:tcPr>
            <w:tcW w:w="1570" w:type="dxa"/>
            <w:tcBorders>
              <w:top w:val="nil"/>
              <w:left w:val="nil"/>
              <w:bottom w:val="single" w:sz="4" w:space="0" w:color="auto"/>
              <w:right w:val="single" w:sz="4" w:space="0" w:color="auto"/>
            </w:tcBorders>
            <w:shd w:val="clear" w:color="000000" w:fill="FFFFFF"/>
            <w:noWrap/>
            <w:vAlign w:val="bottom"/>
            <w:hideMark/>
          </w:tcPr>
          <w:p w14:paraId="59D0FA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1 164,6</w:t>
            </w:r>
          </w:p>
        </w:tc>
        <w:tc>
          <w:tcPr>
            <w:tcW w:w="2002" w:type="dxa"/>
            <w:tcBorders>
              <w:top w:val="nil"/>
              <w:left w:val="nil"/>
              <w:bottom w:val="single" w:sz="4" w:space="0" w:color="auto"/>
              <w:right w:val="single" w:sz="4" w:space="0" w:color="auto"/>
            </w:tcBorders>
            <w:shd w:val="clear" w:color="000000" w:fill="FFFFFF"/>
            <w:noWrap/>
            <w:vAlign w:val="bottom"/>
            <w:hideMark/>
          </w:tcPr>
          <w:p w14:paraId="4120CF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212,3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2B79B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1 798,3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8DE0D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62,9</w:t>
            </w:r>
          </w:p>
        </w:tc>
      </w:tr>
      <w:tr w:rsidR="00761800" w:rsidRPr="00761800" w14:paraId="01DDA9E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DC9DE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Джебел</w:t>
            </w:r>
          </w:p>
        </w:tc>
        <w:tc>
          <w:tcPr>
            <w:tcW w:w="146" w:type="dxa"/>
            <w:tcBorders>
              <w:top w:val="nil"/>
              <w:left w:val="nil"/>
              <w:bottom w:val="single" w:sz="4" w:space="0" w:color="auto"/>
              <w:right w:val="nil"/>
            </w:tcBorders>
            <w:shd w:val="clear" w:color="000000" w:fill="FFFFFF"/>
          </w:tcPr>
          <w:p w14:paraId="74662C6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EC21F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7 821,0</w:t>
            </w:r>
          </w:p>
        </w:tc>
        <w:tc>
          <w:tcPr>
            <w:tcW w:w="1406" w:type="dxa"/>
            <w:tcBorders>
              <w:top w:val="nil"/>
              <w:left w:val="nil"/>
              <w:bottom w:val="single" w:sz="4" w:space="0" w:color="auto"/>
              <w:right w:val="single" w:sz="4" w:space="0" w:color="auto"/>
            </w:tcBorders>
            <w:shd w:val="clear" w:color="000000" w:fill="FFFFFF"/>
            <w:noWrap/>
            <w:vAlign w:val="bottom"/>
            <w:hideMark/>
          </w:tcPr>
          <w:p w14:paraId="483388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5 486,5</w:t>
            </w:r>
          </w:p>
        </w:tc>
        <w:tc>
          <w:tcPr>
            <w:tcW w:w="1570" w:type="dxa"/>
            <w:tcBorders>
              <w:top w:val="nil"/>
              <w:left w:val="nil"/>
              <w:bottom w:val="single" w:sz="4" w:space="0" w:color="auto"/>
              <w:right w:val="single" w:sz="4" w:space="0" w:color="auto"/>
            </w:tcBorders>
            <w:shd w:val="clear" w:color="000000" w:fill="FFFFFF"/>
            <w:noWrap/>
            <w:vAlign w:val="bottom"/>
            <w:hideMark/>
          </w:tcPr>
          <w:p w14:paraId="7C0567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800,8</w:t>
            </w:r>
          </w:p>
        </w:tc>
        <w:tc>
          <w:tcPr>
            <w:tcW w:w="2002" w:type="dxa"/>
            <w:tcBorders>
              <w:top w:val="nil"/>
              <w:left w:val="nil"/>
              <w:bottom w:val="single" w:sz="4" w:space="0" w:color="auto"/>
              <w:right w:val="single" w:sz="4" w:space="0" w:color="auto"/>
            </w:tcBorders>
            <w:shd w:val="clear" w:color="000000" w:fill="FFFFFF"/>
            <w:noWrap/>
            <w:vAlign w:val="bottom"/>
            <w:hideMark/>
          </w:tcPr>
          <w:p w14:paraId="765168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C2D58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1 439,7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2A57D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41,2</w:t>
            </w:r>
          </w:p>
        </w:tc>
      </w:tr>
      <w:tr w:rsidR="00761800" w:rsidRPr="00761800" w14:paraId="3EE6C34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FCB8F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Kирково</w:t>
            </w:r>
          </w:p>
        </w:tc>
        <w:tc>
          <w:tcPr>
            <w:tcW w:w="146" w:type="dxa"/>
            <w:tcBorders>
              <w:top w:val="nil"/>
              <w:left w:val="nil"/>
              <w:bottom w:val="single" w:sz="4" w:space="0" w:color="auto"/>
              <w:right w:val="nil"/>
            </w:tcBorders>
            <w:shd w:val="clear" w:color="000000" w:fill="FFFFFF"/>
          </w:tcPr>
          <w:p w14:paraId="2F3ED62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8A9AB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15 688,8</w:t>
            </w:r>
          </w:p>
        </w:tc>
        <w:tc>
          <w:tcPr>
            <w:tcW w:w="1406" w:type="dxa"/>
            <w:tcBorders>
              <w:top w:val="nil"/>
              <w:left w:val="nil"/>
              <w:bottom w:val="single" w:sz="4" w:space="0" w:color="auto"/>
              <w:right w:val="single" w:sz="4" w:space="0" w:color="auto"/>
            </w:tcBorders>
            <w:shd w:val="clear" w:color="000000" w:fill="FFFFFF"/>
            <w:noWrap/>
            <w:vAlign w:val="bottom"/>
            <w:hideMark/>
          </w:tcPr>
          <w:p w14:paraId="402401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11 003,6</w:t>
            </w:r>
          </w:p>
        </w:tc>
        <w:tc>
          <w:tcPr>
            <w:tcW w:w="1570" w:type="dxa"/>
            <w:tcBorders>
              <w:top w:val="nil"/>
              <w:left w:val="nil"/>
              <w:bottom w:val="single" w:sz="4" w:space="0" w:color="auto"/>
              <w:right w:val="single" w:sz="4" w:space="0" w:color="auto"/>
            </w:tcBorders>
            <w:shd w:val="clear" w:color="000000" w:fill="FFFFFF"/>
            <w:noWrap/>
            <w:vAlign w:val="bottom"/>
            <w:hideMark/>
          </w:tcPr>
          <w:p w14:paraId="405F01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1 905,5</w:t>
            </w:r>
          </w:p>
        </w:tc>
        <w:tc>
          <w:tcPr>
            <w:tcW w:w="2002" w:type="dxa"/>
            <w:tcBorders>
              <w:top w:val="nil"/>
              <w:left w:val="nil"/>
              <w:bottom w:val="single" w:sz="4" w:space="0" w:color="auto"/>
              <w:right w:val="single" w:sz="4" w:space="0" w:color="auto"/>
            </w:tcBorders>
            <w:shd w:val="clear" w:color="000000" w:fill="FFFFFF"/>
            <w:noWrap/>
            <w:vAlign w:val="bottom"/>
            <w:hideMark/>
          </w:tcPr>
          <w:p w14:paraId="17BF37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216,3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DCBDD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2 563,4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0FB97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54,3</w:t>
            </w:r>
          </w:p>
        </w:tc>
      </w:tr>
      <w:tr w:rsidR="00761800" w:rsidRPr="00761800" w14:paraId="71FFEC4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5DF32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Kрумовград</w:t>
            </w:r>
          </w:p>
        </w:tc>
        <w:tc>
          <w:tcPr>
            <w:tcW w:w="146" w:type="dxa"/>
            <w:tcBorders>
              <w:top w:val="nil"/>
              <w:left w:val="nil"/>
              <w:bottom w:val="single" w:sz="4" w:space="0" w:color="auto"/>
              <w:right w:val="nil"/>
            </w:tcBorders>
            <w:shd w:val="clear" w:color="000000" w:fill="FFFFFF"/>
          </w:tcPr>
          <w:p w14:paraId="4E985DFA"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65A22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17 540,5</w:t>
            </w:r>
          </w:p>
        </w:tc>
        <w:tc>
          <w:tcPr>
            <w:tcW w:w="1406" w:type="dxa"/>
            <w:tcBorders>
              <w:top w:val="nil"/>
              <w:left w:val="nil"/>
              <w:bottom w:val="single" w:sz="4" w:space="0" w:color="auto"/>
              <w:right w:val="single" w:sz="4" w:space="0" w:color="auto"/>
            </w:tcBorders>
            <w:shd w:val="clear" w:color="000000" w:fill="FFFFFF"/>
            <w:noWrap/>
            <w:vAlign w:val="bottom"/>
            <w:hideMark/>
          </w:tcPr>
          <w:p w14:paraId="0AF02A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12 932,2</w:t>
            </w:r>
          </w:p>
        </w:tc>
        <w:tc>
          <w:tcPr>
            <w:tcW w:w="1570" w:type="dxa"/>
            <w:tcBorders>
              <w:top w:val="nil"/>
              <w:left w:val="nil"/>
              <w:bottom w:val="single" w:sz="4" w:space="0" w:color="auto"/>
              <w:right w:val="single" w:sz="4" w:space="0" w:color="auto"/>
            </w:tcBorders>
            <w:shd w:val="clear" w:color="000000" w:fill="FFFFFF"/>
            <w:noWrap/>
            <w:vAlign w:val="bottom"/>
            <w:hideMark/>
          </w:tcPr>
          <w:p w14:paraId="3A9D1A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1 577,6</w:t>
            </w:r>
          </w:p>
        </w:tc>
        <w:tc>
          <w:tcPr>
            <w:tcW w:w="2002" w:type="dxa"/>
            <w:tcBorders>
              <w:top w:val="nil"/>
              <w:left w:val="nil"/>
              <w:bottom w:val="single" w:sz="4" w:space="0" w:color="auto"/>
              <w:right w:val="single" w:sz="4" w:space="0" w:color="auto"/>
            </w:tcBorders>
            <w:shd w:val="clear" w:color="000000" w:fill="FFFFFF"/>
            <w:noWrap/>
            <w:vAlign w:val="bottom"/>
            <w:hideMark/>
          </w:tcPr>
          <w:p w14:paraId="380C5C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269,6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D3B34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2 761,1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36B2F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183,3</w:t>
            </w:r>
          </w:p>
        </w:tc>
      </w:tr>
      <w:tr w:rsidR="00761800" w:rsidRPr="00761800" w14:paraId="02F9359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2187E1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Kърджали</w:t>
            </w:r>
          </w:p>
        </w:tc>
        <w:tc>
          <w:tcPr>
            <w:tcW w:w="146" w:type="dxa"/>
            <w:tcBorders>
              <w:top w:val="nil"/>
              <w:left w:val="nil"/>
              <w:bottom w:val="single" w:sz="4" w:space="0" w:color="auto"/>
              <w:right w:val="nil"/>
            </w:tcBorders>
            <w:shd w:val="clear" w:color="000000" w:fill="FFFFFF"/>
          </w:tcPr>
          <w:p w14:paraId="00AB176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EAD57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54 179,7</w:t>
            </w:r>
          </w:p>
        </w:tc>
        <w:tc>
          <w:tcPr>
            <w:tcW w:w="1406" w:type="dxa"/>
            <w:tcBorders>
              <w:top w:val="nil"/>
              <w:left w:val="nil"/>
              <w:bottom w:val="single" w:sz="4" w:space="0" w:color="auto"/>
              <w:right w:val="single" w:sz="4" w:space="0" w:color="auto"/>
            </w:tcBorders>
            <w:shd w:val="clear" w:color="000000" w:fill="FFFFFF"/>
            <w:noWrap/>
            <w:vAlign w:val="bottom"/>
            <w:hideMark/>
          </w:tcPr>
          <w:p w14:paraId="1AEFC5F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46 635,5</w:t>
            </w:r>
          </w:p>
        </w:tc>
        <w:tc>
          <w:tcPr>
            <w:tcW w:w="1570" w:type="dxa"/>
            <w:tcBorders>
              <w:top w:val="nil"/>
              <w:left w:val="nil"/>
              <w:bottom w:val="single" w:sz="4" w:space="0" w:color="auto"/>
              <w:right w:val="single" w:sz="4" w:space="0" w:color="auto"/>
            </w:tcBorders>
            <w:shd w:val="clear" w:color="000000" w:fill="FFFFFF"/>
            <w:noWrap/>
            <w:vAlign w:val="bottom"/>
            <w:hideMark/>
          </w:tcPr>
          <w:p w14:paraId="7B8B08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3 388,9</w:t>
            </w:r>
          </w:p>
        </w:tc>
        <w:tc>
          <w:tcPr>
            <w:tcW w:w="2002" w:type="dxa"/>
            <w:tcBorders>
              <w:top w:val="nil"/>
              <w:left w:val="nil"/>
              <w:bottom w:val="single" w:sz="4" w:space="0" w:color="auto"/>
              <w:right w:val="single" w:sz="4" w:space="0" w:color="auto"/>
            </w:tcBorders>
            <w:shd w:val="clear" w:color="000000" w:fill="FFFFFF"/>
            <w:noWrap/>
            <w:vAlign w:val="bottom"/>
            <w:hideMark/>
          </w:tcPr>
          <w:p w14:paraId="1FC83F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03785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3 899,6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D02E4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170,3</w:t>
            </w:r>
          </w:p>
        </w:tc>
      </w:tr>
      <w:tr w:rsidR="00761800" w:rsidRPr="00761800" w14:paraId="397D157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D89E3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Mомчилград</w:t>
            </w:r>
          </w:p>
        </w:tc>
        <w:tc>
          <w:tcPr>
            <w:tcW w:w="146" w:type="dxa"/>
            <w:tcBorders>
              <w:top w:val="nil"/>
              <w:left w:val="nil"/>
              <w:bottom w:val="single" w:sz="4" w:space="0" w:color="auto"/>
              <w:right w:val="nil"/>
            </w:tcBorders>
            <w:shd w:val="clear" w:color="000000" w:fill="FFFFFF"/>
          </w:tcPr>
          <w:p w14:paraId="1DE8C8A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66710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12 213,5</w:t>
            </w:r>
          </w:p>
        </w:tc>
        <w:tc>
          <w:tcPr>
            <w:tcW w:w="1406" w:type="dxa"/>
            <w:tcBorders>
              <w:top w:val="nil"/>
              <w:left w:val="nil"/>
              <w:bottom w:val="single" w:sz="4" w:space="0" w:color="auto"/>
              <w:right w:val="single" w:sz="4" w:space="0" w:color="auto"/>
            </w:tcBorders>
            <w:shd w:val="clear" w:color="000000" w:fill="FFFFFF"/>
            <w:noWrap/>
            <w:vAlign w:val="bottom"/>
            <w:hideMark/>
          </w:tcPr>
          <w:p w14:paraId="3AF3CA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9 173,9</w:t>
            </w:r>
          </w:p>
        </w:tc>
        <w:tc>
          <w:tcPr>
            <w:tcW w:w="1570" w:type="dxa"/>
            <w:tcBorders>
              <w:top w:val="nil"/>
              <w:left w:val="nil"/>
              <w:bottom w:val="single" w:sz="4" w:space="0" w:color="auto"/>
              <w:right w:val="single" w:sz="4" w:space="0" w:color="auto"/>
            </w:tcBorders>
            <w:shd w:val="clear" w:color="000000" w:fill="FFFFFF"/>
            <w:noWrap/>
            <w:vAlign w:val="bottom"/>
            <w:hideMark/>
          </w:tcPr>
          <w:p w14:paraId="359ADE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1 176,5</w:t>
            </w:r>
          </w:p>
        </w:tc>
        <w:tc>
          <w:tcPr>
            <w:tcW w:w="2002" w:type="dxa"/>
            <w:tcBorders>
              <w:top w:val="nil"/>
              <w:left w:val="nil"/>
              <w:bottom w:val="single" w:sz="4" w:space="0" w:color="auto"/>
              <w:right w:val="single" w:sz="4" w:space="0" w:color="auto"/>
            </w:tcBorders>
            <w:shd w:val="clear" w:color="000000" w:fill="FFFFFF"/>
            <w:noWrap/>
            <w:vAlign w:val="bottom"/>
            <w:hideMark/>
          </w:tcPr>
          <w:p w14:paraId="115266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153,0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12DD4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1 710,1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64E6B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46,7</w:t>
            </w:r>
          </w:p>
        </w:tc>
      </w:tr>
      <w:tr w:rsidR="00761800" w:rsidRPr="00761800" w14:paraId="537C96C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EAC2A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Черноочене</w:t>
            </w:r>
          </w:p>
        </w:tc>
        <w:tc>
          <w:tcPr>
            <w:tcW w:w="146" w:type="dxa"/>
            <w:tcBorders>
              <w:top w:val="nil"/>
              <w:left w:val="nil"/>
              <w:bottom w:val="single" w:sz="4" w:space="0" w:color="auto"/>
              <w:right w:val="nil"/>
            </w:tcBorders>
            <w:shd w:val="clear" w:color="000000" w:fill="FFFFFF"/>
          </w:tcPr>
          <w:p w14:paraId="7DE74EE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DCB15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7 743,3</w:t>
            </w:r>
          </w:p>
        </w:tc>
        <w:tc>
          <w:tcPr>
            <w:tcW w:w="1406" w:type="dxa"/>
            <w:tcBorders>
              <w:top w:val="nil"/>
              <w:left w:val="nil"/>
              <w:bottom w:val="single" w:sz="4" w:space="0" w:color="auto"/>
              <w:right w:val="single" w:sz="4" w:space="0" w:color="auto"/>
            </w:tcBorders>
            <w:shd w:val="clear" w:color="000000" w:fill="FFFFFF"/>
            <w:noWrap/>
            <w:vAlign w:val="bottom"/>
            <w:hideMark/>
          </w:tcPr>
          <w:p w14:paraId="630061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5 202,3</w:t>
            </w:r>
          </w:p>
        </w:tc>
        <w:tc>
          <w:tcPr>
            <w:tcW w:w="1570" w:type="dxa"/>
            <w:tcBorders>
              <w:top w:val="nil"/>
              <w:left w:val="nil"/>
              <w:bottom w:val="single" w:sz="4" w:space="0" w:color="auto"/>
              <w:right w:val="single" w:sz="4" w:space="0" w:color="auto"/>
            </w:tcBorders>
            <w:shd w:val="clear" w:color="000000" w:fill="FFFFFF"/>
            <w:noWrap/>
            <w:vAlign w:val="bottom"/>
            <w:hideMark/>
          </w:tcPr>
          <w:p w14:paraId="20ACA3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860,4</w:t>
            </w:r>
          </w:p>
        </w:tc>
        <w:tc>
          <w:tcPr>
            <w:tcW w:w="2002" w:type="dxa"/>
            <w:tcBorders>
              <w:top w:val="nil"/>
              <w:left w:val="nil"/>
              <w:bottom w:val="single" w:sz="4" w:space="0" w:color="auto"/>
              <w:right w:val="single" w:sz="4" w:space="0" w:color="auto"/>
            </w:tcBorders>
            <w:shd w:val="clear" w:color="000000" w:fill="FFFFFF"/>
            <w:noWrap/>
            <w:vAlign w:val="bottom"/>
            <w:hideMark/>
          </w:tcPr>
          <w:p w14:paraId="1A0ABC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156,6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8DFED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1 524,0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1959B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22,8</w:t>
            </w:r>
          </w:p>
        </w:tc>
      </w:tr>
      <w:tr w:rsidR="00761800" w:rsidRPr="00761800" w14:paraId="6F5AA0D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DB06EF5"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46" w:type="dxa"/>
            <w:tcBorders>
              <w:top w:val="nil"/>
              <w:left w:val="nil"/>
              <w:bottom w:val="single" w:sz="4" w:space="0" w:color="auto"/>
              <w:right w:val="nil"/>
            </w:tcBorders>
            <w:shd w:val="clear" w:color="000000" w:fill="FFFFFF"/>
          </w:tcPr>
          <w:p w14:paraId="249DAF15"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05278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06ED03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4DB5DA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549412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F8AC3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983C6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B6B3C6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2D8DB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КЮСТЕНДИЛ</w:t>
            </w:r>
          </w:p>
        </w:tc>
        <w:tc>
          <w:tcPr>
            <w:tcW w:w="146" w:type="dxa"/>
            <w:tcBorders>
              <w:top w:val="nil"/>
              <w:left w:val="nil"/>
              <w:bottom w:val="single" w:sz="4" w:space="0" w:color="auto"/>
              <w:right w:val="nil"/>
            </w:tcBorders>
            <w:shd w:val="clear" w:color="000000" w:fill="FFFFFF"/>
          </w:tcPr>
          <w:p w14:paraId="54715770"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B3455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41C9C2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744899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204315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88FC5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E987FC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31EF59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BF820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Бобовдол</w:t>
            </w:r>
          </w:p>
        </w:tc>
        <w:tc>
          <w:tcPr>
            <w:tcW w:w="146" w:type="dxa"/>
            <w:tcBorders>
              <w:top w:val="nil"/>
              <w:left w:val="nil"/>
              <w:bottom w:val="single" w:sz="4" w:space="0" w:color="auto"/>
              <w:right w:val="nil"/>
            </w:tcBorders>
            <w:shd w:val="clear" w:color="000000" w:fill="FFFFFF"/>
          </w:tcPr>
          <w:p w14:paraId="29025D2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ABC9E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5 454,6</w:t>
            </w:r>
          </w:p>
        </w:tc>
        <w:tc>
          <w:tcPr>
            <w:tcW w:w="1406" w:type="dxa"/>
            <w:tcBorders>
              <w:top w:val="nil"/>
              <w:left w:val="nil"/>
              <w:bottom w:val="single" w:sz="4" w:space="0" w:color="auto"/>
              <w:right w:val="single" w:sz="4" w:space="0" w:color="auto"/>
            </w:tcBorders>
            <w:shd w:val="clear" w:color="000000" w:fill="FFFFFF"/>
            <w:noWrap/>
            <w:vAlign w:val="bottom"/>
            <w:hideMark/>
          </w:tcPr>
          <w:p w14:paraId="112B8F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4 221,8</w:t>
            </w:r>
          </w:p>
        </w:tc>
        <w:tc>
          <w:tcPr>
            <w:tcW w:w="1570" w:type="dxa"/>
            <w:tcBorders>
              <w:top w:val="nil"/>
              <w:left w:val="nil"/>
              <w:bottom w:val="single" w:sz="4" w:space="0" w:color="auto"/>
              <w:right w:val="single" w:sz="4" w:space="0" w:color="auto"/>
            </w:tcBorders>
            <w:shd w:val="clear" w:color="000000" w:fill="FFFFFF"/>
            <w:noWrap/>
            <w:vAlign w:val="bottom"/>
            <w:hideMark/>
          </w:tcPr>
          <w:p w14:paraId="4F2626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493,1</w:t>
            </w:r>
          </w:p>
        </w:tc>
        <w:tc>
          <w:tcPr>
            <w:tcW w:w="2002" w:type="dxa"/>
            <w:tcBorders>
              <w:top w:val="nil"/>
              <w:left w:val="nil"/>
              <w:bottom w:val="single" w:sz="4" w:space="0" w:color="auto"/>
              <w:right w:val="single" w:sz="4" w:space="0" w:color="auto"/>
            </w:tcBorders>
            <w:shd w:val="clear" w:color="000000" w:fill="FFFFFF"/>
            <w:noWrap/>
            <w:vAlign w:val="bottom"/>
            <w:hideMark/>
          </w:tcPr>
          <w:p w14:paraId="05B193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8865A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659,8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548C0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94,4</w:t>
            </w:r>
          </w:p>
        </w:tc>
      </w:tr>
      <w:tr w:rsidR="00761800" w:rsidRPr="00761800" w14:paraId="13EE331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5C01D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Бобошево</w:t>
            </w:r>
          </w:p>
        </w:tc>
        <w:tc>
          <w:tcPr>
            <w:tcW w:w="146" w:type="dxa"/>
            <w:tcBorders>
              <w:top w:val="nil"/>
              <w:left w:val="nil"/>
              <w:bottom w:val="single" w:sz="4" w:space="0" w:color="auto"/>
              <w:right w:val="nil"/>
            </w:tcBorders>
            <w:shd w:val="clear" w:color="000000" w:fill="FFFFFF"/>
          </w:tcPr>
          <w:p w14:paraId="363EAFA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DE4F8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2 323,0</w:t>
            </w:r>
          </w:p>
        </w:tc>
        <w:tc>
          <w:tcPr>
            <w:tcW w:w="1406" w:type="dxa"/>
            <w:tcBorders>
              <w:top w:val="nil"/>
              <w:left w:val="nil"/>
              <w:bottom w:val="single" w:sz="4" w:space="0" w:color="auto"/>
              <w:right w:val="single" w:sz="4" w:space="0" w:color="auto"/>
            </w:tcBorders>
            <w:shd w:val="clear" w:color="000000" w:fill="FFFFFF"/>
            <w:noWrap/>
            <w:vAlign w:val="bottom"/>
            <w:hideMark/>
          </w:tcPr>
          <w:p w14:paraId="742B87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1 446,1</w:t>
            </w:r>
          </w:p>
        </w:tc>
        <w:tc>
          <w:tcPr>
            <w:tcW w:w="1570" w:type="dxa"/>
            <w:tcBorders>
              <w:top w:val="nil"/>
              <w:left w:val="nil"/>
              <w:bottom w:val="single" w:sz="4" w:space="0" w:color="auto"/>
              <w:right w:val="single" w:sz="4" w:space="0" w:color="auto"/>
            </w:tcBorders>
            <w:shd w:val="clear" w:color="000000" w:fill="FFFFFF"/>
            <w:noWrap/>
            <w:vAlign w:val="bottom"/>
            <w:hideMark/>
          </w:tcPr>
          <w:p w14:paraId="44FE18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367,5</w:t>
            </w:r>
          </w:p>
        </w:tc>
        <w:tc>
          <w:tcPr>
            <w:tcW w:w="2002" w:type="dxa"/>
            <w:tcBorders>
              <w:top w:val="nil"/>
              <w:left w:val="nil"/>
              <w:bottom w:val="single" w:sz="4" w:space="0" w:color="auto"/>
              <w:right w:val="single" w:sz="4" w:space="0" w:color="auto"/>
            </w:tcBorders>
            <w:shd w:val="clear" w:color="000000" w:fill="FFFFFF"/>
            <w:noWrap/>
            <w:vAlign w:val="bottom"/>
            <w:hideMark/>
          </w:tcPr>
          <w:p w14:paraId="630F31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8DFBA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461,3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A0D86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19,0</w:t>
            </w:r>
          </w:p>
        </w:tc>
      </w:tr>
      <w:tr w:rsidR="00761800" w:rsidRPr="00761800" w14:paraId="04642BA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42B01F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Дупница</w:t>
            </w:r>
          </w:p>
        </w:tc>
        <w:tc>
          <w:tcPr>
            <w:tcW w:w="146" w:type="dxa"/>
            <w:tcBorders>
              <w:top w:val="nil"/>
              <w:left w:val="nil"/>
              <w:bottom w:val="single" w:sz="4" w:space="0" w:color="auto"/>
              <w:right w:val="nil"/>
            </w:tcBorders>
            <w:shd w:val="clear" w:color="000000" w:fill="FFFFFF"/>
          </w:tcPr>
          <w:p w14:paraId="70F6A62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15064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25 463,8</w:t>
            </w:r>
          </w:p>
        </w:tc>
        <w:tc>
          <w:tcPr>
            <w:tcW w:w="1406" w:type="dxa"/>
            <w:tcBorders>
              <w:top w:val="nil"/>
              <w:left w:val="nil"/>
              <w:bottom w:val="single" w:sz="4" w:space="0" w:color="auto"/>
              <w:right w:val="single" w:sz="4" w:space="0" w:color="auto"/>
            </w:tcBorders>
            <w:shd w:val="clear" w:color="000000" w:fill="FFFFFF"/>
            <w:noWrap/>
            <w:vAlign w:val="bottom"/>
            <w:hideMark/>
          </w:tcPr>
          <w:p w14:paraId="443BEA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22 583,7</w:t>
            </w:r>
          </w:p>
        </w:tc>
        <w:tc>
          <w:tcPr>
            <w:tcW w:w="1570" w:type="dxa"/>
            <w:tcBorders>
              <w:top w:val="nil"/>
              <w:left w:val="nil"/>
              <w:bottom w:val="single" w:sz="4" w:space="0" w:color="auto"/>
              <w:right w:val="single" w:sz="4" w:space="0" w:color="auto"/>
            </w:tcBorders>
            <w:shd w:val="clear" w:color="000000" w:fill="FFFFFF"/>
            <w:noWrap/>
            <w:vAlign w:val="bottom"/>
            <w:hideMark/>
          </w:tcPr>
          <w:p w14:paraId="4993AE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1 770,1</w:t>
            </w:r>
          </w:p>
        </w:tc>
        <w:tc>
          <w:tcPr>
            <w:tcW w:w="2002" w:type="dxa"/>
            <w:tcBorders>
              <w:top w:val="nil"/>
              <w:left w:val="nil"/>
              <w:bottom w:val="single" w:sz="4" w:space="0" w:color="auto"/>
              <w:right w:val="single" w:sz="4" w:space="0" w:color="auto"/>
            </w:tcBorders>
            <w:shd w:val="clear" w:color="000000" w:fill="FFFFFF"/>
            <w:noWrap/>
            <w:vAlign w:val="bottom"/>
            <w:hideMark/>
          </w:tcPr>
          <w:p w14:paraId="419FB1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99,8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674F8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1 010,2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07645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180,4</w:t>
            </w:r>
          </w:p>
        </w:tc>
      </w:tr>
      <w:tr w:rsidR="00761800" w:rsidRPr="00761800" w14:paraId="68914C3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1EA4C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Kочериново</w:t>
            </w:r>
          </w:p>
        </w:tc>
        <w:tc>
          <w:tcPr>
            <w:tcW w:w="146" w:type="dxa"/>
            <w:tcBorders>
              <w:top w:val="nil"/>
              <w:left w:val="nil"/>
              <w:bottom w:val="single" w:sz="4" w:space="0" w:color="auto"/>
              <w:right w:val="nil"/>
            </w:tcBorders>
            <w:shd w:val="clear" w:color="000000" w:fill="FFFFFF"/>
          </w:tcPr>
          <w:p w14:paraId="6495011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3580B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4 194,9</w:t>
            </w:r>
          </w:p>
        </w:tc>
        <w:tc>
          <w:tcPr>
            <w:tcW w:w="1406" w:type="dxa"/>
            <w:tcBorders>
              <w:top w:val="nil"/>
              <w:left w:val="nil"/>
              <w:bottom w:val="single" w:sz="4" w:space="0" w:color="auto"/>
              <w:right w:val="single" w:sz="4" w:space="0" w:color="auto"/>
            </w:tcBorders>
            <w:shd w:val="clear" w:color="000000" w:fill="FFFFFF"/>
            <w:noWrap/>
            <w:vAlign w:val="bottom"/>
            <w:hideMark/>
          </w:tcPr>
          <w:p w14:paraId="23B84B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3 087,3</w:t>
            </w:r>
          </w:p>
        </w:tc>
        <w:tc>
          <w:tcPr>
            <w:tcW w:w="1570" w:type="dxa"/>
            <w:tcBorders>
              <w:top w:val="nil"/>
              <w:left w:val="nil"/>
              <w:bottom w:val="single" w:sz="4" w:space="0" w:color="auto"/>
              <w:right w:val="single" w:sz="4" w:space="0" w:color="auto"/>
            </w:tcBorders>
            <w:shd w:val="clear" w:color="000000" w:fill="FFFFFF"/>
            <w:noWrap/>
            <w:vAlign w:val="bottom"/>
            <w:hideMark/>
          </w:tcPr>
          <w:p w14:paraId="70322B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510,8</w:t>
            </w:r>
          </w:p>
        </w:tc>
        <w:tc>
          <w:tcPr>
            <w:tcW w:w="2002" w:type="dxa"/>
            <w:tcBorders>
              <w:top w:val="nil"/>
              <w:left w:val="nil"/>
              <w:bottom w:val="single" w:sz="4" w:space="0" w:color="auto"/>
              <w:right w:val="single" w:sz="4" w:space="0" w:color="auto"/>
            </w:tcBorders>
            <w:shd w:val="clear" w:color="000000" w:fill="FFFFFF"/>
            <w:noWrap/>
            <w:vAlign w:val="bottom"/>
            <w:hideMark/>
          </w:tcPr>
          <w:p w14:paraId="4FCB03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A46A4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539,2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3106F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46,0</w:t>
            </w:r>
          </w:p>
        </w:tc>
      </w:tr>
      <w:tr w:rsidR="00761800" w:rsidRPr="00761800" w14:paraId="325AEDB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926FE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Kюстендил</w:t>
            </w:r>
          </w:p>
        </w:tc>
        <w:tc>
          <w:tcPr>
            <w:tcW w:w="146" w:type="dxa"/>
            <w:tcBorders>
              <w:top w:val="nil"/>
              <w:left w:val="nil"/>
              <w:bottom w:val="single" w:sz="4" w:space="0" w:color="auto"/>
              <w:right w:val="nil"/>
            </w:tcBorders>
            <w:shd w:val="clear" w:color="000000" w:fill="FFFFFF"/>
          </w:tcPr>
          <w:p w14:paraId="57F1F6C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8947E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39 674,5</w:t>
            </w:r>
          </w:p>
        </w:tc>
        <w:tc>
          <w:tcPr>
            <w:tcW w:w="1406" w:type="dxa"/>
            <w:tcBorders>
              <w:top w:val="nil"/>
              <w:left w:val="nil"/>
              <w:bottom w:val="single" w:sz="4" w:space="0" w:color="auto"/>
              <w:right w:val="single" w:sz="4" w:space="0" w:color="auto"/>
            </w:tcBorders>
            <w:shd w:val="clear" w:color="000000" w:fill="FFFFFF"/>
            <w:noWrap/>
            <w:vAlign w:val="bottom"/>
            <w:hideMark/>
          </w:tcPr>
          <w:p w14:paraId="73CD1C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34 767,5</w:t>
            </w:r>
          </w:p>
        </w:tc>
        <w:tc>
          <w:tcPr>
            <w:tcW w:w="1570" w:type="dxa"/>
            <w:tcBorders>
              <w:top w:val="nil"/>
              <w:left w:val="nil"/>
              <w:bottom w:val="single" w:sz="4" w:space="0" w:color="auto"/>
              <w:right w:val="single" w:sz="4" w:space="0" w:color="auto"/>
            </w:tcBorders>
            <w:shd w:val="clear" w:color="000000" w:fill="FFFFFF"/>
            <w:noWrap/>
            <w:vAlign w:val="bottom"/>
            <w:hideMark/>
          </w:tcPr>
          <w:p w14:paraId="1ED2D5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1 906,0</w:t>
            </w:r>
          </w:p>
        </w:tc>
        <w:tc>
          <w:tcPr>
            <w:tcW w:w="2002" w:type="dxa"/>
            <w:tcBorders>
              <w:top w:val="nil"/>
              <w:left w:val="nil"/>
              <w:bottom w:val="single" w:sz="4" w:space="0" w:color="auto"/>
              <w:right w:val="single" w:sz="4" w:space="0" w:color="auto"/>
            </w:tcBorders>
            <w:shd w:val="clear" w:color="000000" w:fill="FFFFFF"/>
            <w:noWrap/>
            <w:vAlign w:val="bottom"/>
            <w:hideMark/>
          </w:tcPr>
          <w:p w14:paraId="1946D4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389,6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D60EA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2 611,4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A11A7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606,3</w:t>
            </w:r>
          </w:p>
        </w:tc>
      </w:tr>
      <w:tr w:rsidR="00761800" w:rsidRPr="00761800" w14:paraId="204F3E6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55D88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Hевестино</w:t>
            </w:r>
          </w:p>
        </w:tc>
        <w:tc>
          <w:tcPr>
            <w:tcW w:w="146" w:type="dxa"/>
            <w:tcBorders>
              <w:top w:val="nil"/>
              <w:left w:val="nil"/>
              <w:bottom w:val="single" w:sz="4" w:space="0" w:color="auto"/>
              <w:right w:val="nil"/>
            </w:tcBorders>
            <w:shd w:val="clear" w:color="000000" w:fill="FFFFFF"/>
          </w:tcPr>
          <w:p w14:paraId="504D511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12D73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3 021,4</w:t>
            </w:r>
          </w:p>
        </w:tc>
        <w:tc>
          <w:tcPr>
            <w:tcW w:w="1406" w:type="dxa"/>
            <w:tcBorders>
              <w:top w:val="nil"/>
              <w:left w:val="nil"/>
              <w:bottom w:val="single" w:sz="4" w:space="0" w:color="auto"/>
              <w:right w:val="single" w:sz="4" w:space="0" w:color="auto"/>
            </w:tcBorders>
            <w:shd w:val="clear" w:color="000000" w:fill="FFFFFF"/>
            <w:noWrap/>
            <w:vAlign w:val="bottom"/>
            <w:hideMark/>
          </w:tcPr>
          <w:p w14:paraId="07B943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1 760,5</w:t>
            </w:r>
          </w:p>
        </w:tc>
        <w:tc>
          <w:tcPr>
            <w:tcW w:w="1570" w:type="dxa"/>
            <w:tcBorders>
              <w:top w:val="nil"/>
              <w:left w:val="nil"/>
              <w:bottom w:val="single" w:sz="4" w:space="0" w:color="auto"/>
              <w:right w:val="single" w:sz="4" w:space="0" w:color="auto"/>
            </w:tcBorders>
            <w:shd w:val="clear" w:color="000000" w:fill="FFFFFF"/>
            <w:noWrap/>
            <w:vAlign w:val="bottom"/>
            <w:hideMark/>
          </w:tcPr>
          <w:p w14:paraId="694EFF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407,7</w:t>
            </w:r>
          </w:p>
        </w:tc>
        <w:tc>
          <w:tcPr>
            <w:tcW w:w="2002" w:type="dxa"/>
            <w:tcBorders>
              <w:top w:val="nil"/>
              <w:left w:val="nil"/>
              <w:bottom w:val="single" w:sz="4" w:space="0" w:color="auto"/>
              <w:right w:val="single" w:sz="4" w:space="0" w:color="auto"/>
            </w:tcBorders>
            <w:shd w:val="clear" w:color="000000" w:fill="FFFFFF"/>
            <w:noWrap/>
            <w:vAlign w:val="bottom"/>
            <w:hideMark/>
          </w:tcPr>
          <w:p w14:paraId="169D62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93,3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EC7BC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759,9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F9A5F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29,9</w:t>
            </w:r>
          </w:p>
        </w:tc>
      </w:tr>
      <w:tr w:rsidR="00761800" w:rsidRPr="00761800" w14:paraId="3A3DBE2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B1A65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Pила</w:t>
            </w:r>
          </w:p>
        </w:tc>
        <w:tc>
          <w:tcPr>
            <w:tcW w:w="146" w:type="dxa"/>
            <w:tcBorders>
              <w:top w:val="nil"/>
              <w:left w:val="nil"/>
              <w:bottom w:val="single" w:sz="4" w:space="0" w:color="auto"/>
              <w:right w:val="nil"/>
            </w:tcBorders>
            <w:shd w:val="clear" w:color="000000" w:fill="FFFFFF"/>
          </w:tcPr>
          <w:p w14:paraId="5EA8C5D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BBBB0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2 935,9</w:t>
            </w:r>
          </w:p>
        </w:tc>
        <w:tc>
          <w:tcPr>
            <w:tcW w:w="1406" w:type="dxa"/>
            <w:tcBorders>
              <w:top w:val="nil"/>
              <w:left w:val="nil"/>
              <w:bottom w:val="single" w:sz="4" w:space="0" w:color="auto"/>
              <w:right w:val="single" w:sz="4" w:space="0" w:color="auto"/>
            </w:tcBorders>
            <w:shd w:val="clear" w:color="000000" w:fill="FFFFFF"/>
            <w:noWrap/>
            <w:vAlign w:val="bottom"/>
            <w:hideMark/>
          </w:tcPr>
          <w:p w14:paraId="3A7EBD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2 317,6</w:t>
            </w:r>
          </w:p>
        </w:tc>
        <w:tc>
          <w:tcPr>
            <w:tcW w:w="1570" w:type="dxa"/>
            <w:tcBorders>
              <w:top w:val="nil"/>
              <w:left w:val="nil"/>
              <w:bottom w:val="single" w:sz="4" w:space="0" w:color="auto"/>
              <w:right w:val="single" w:sz="4" w:space="0" w:color="auto"/>
            </w:tcBorders>
            <w:shd w:val="clear" w:color="000000" w:fill="FFFFFF"/>
            <w:noWrap/>
            <w:vAlign w:val="bottom"/>
            <w:hideMark/>
          </w:tcPr>
          <w:p w14:paraId="2B3D7A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332,4</w:t>
            </w:r>
          </w:p>
        </w:tc>
        <w:tc>
          <w:tcPr>
            <w:tcW w:w="2002" w:type="dxa"/>
            <w:tcBorders>
              <w:top w:val="nil"/>
              <w:left w:val="nil"/>
              <w:bottom w:val="single" w:sz="4" w:space="0" w:color="auto"/>
              <w:right w:val="single" w:sz="4" w:space="0" w:color="auto"/>
            </w:tcBorders>
            <w:shd w:val="clear" w:color="000000" w:fill="FFFFFF"/>
            <w:noWrap/>
            <w:vAlign w:val="bottom"/>
            <w:hideMark/>
          </w:tcPr>
          <w:p w14:paraId="70A244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C39DA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263,8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28A2F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40,9</w:t>
            </w:r>
          </w:p>
        </w:tc>
      </w:tr>
      <w:tr w:rsidR="00761800" w:rsidRPr="00761800" w14:paraId="4CF9CA5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DB3CF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Cапарева баня</w:t>
            </w:r>
          </w:p>
        </w:tc>
        <w:tc>
          <w:tcPr>
            <w:tcW w:w="146" w:type="dxa"/>
            <w:tcBorders>
              <w:top w:val="nil"/>
              <w:left w:val="nil"/>
              <w:bottom w:val="single" w:sz="4" w:space="0" w:color="auto"/>
              <w:right w:val="nil"/>
            </w:tcBorders>
            <w:shd w:val="clear" w:color="000000" w:fill="FFFFFF"/>
          </w:tcPr>
          <w:p w14:paraId="261E085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932EC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4 382,2</w:t>
            </w:r>
          </w:p>
        </w:tc>
        <w:tc>
          <w:tcPr>
            <w:tcW w:w="1406" w:type="dxa"/>
            <w:tcBorders>
              <w:top w:val="nil"/>
              <w:left w:val="nil"/>
              <w:bottom w:val="single" w:sz="4" w:space="0" w:color="auto"/>
              <w:right w:val="single" w:sz="4" w:space="0" w:color="auto"/>
            </w:tcBorders>
            <w:shd w:val="clear" w:color="000000" w:fill="FFFFFF"/>
            <w:noWrap/>
            <w:vAlign w:val="bottom"/>
            <w:hideMark/>
          </w:tcPr>
          <w:p w14:paraId="61A46D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3 718,9</w:t>
            </w:r>
          </w:p>
        </w:tc>
        <w:tc>
          <w:tcPr>
            <w:tcW w:w="1570" w:type="dxa"/>
            <w:tcBorders>
              <w:top w:val="nil"/>
              <w:left w:val="nil"/>
              <w:bottom w:val="single" w:sz="4" w:space="0" w:color="auto"/>
              <w:right w:val="single" w:sz="4" w:space="0" w:color="auto"/>
            </w:tcBorders>
            <w:shd w:val="clear" w:color="000000" w:fill="FFFFFF"/>
            <w:noWrap/>
            <w:vAlign w:val="bottom"/>
            <w:hideMark/>
          </w:tcPr>
          <w:p w14:paraId="7BFD73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344,6</w:t>
            </w:r>
          </w:p>
        </w:tc>
        <w:tc>
          <w:tcPr>
            <w:tcW w:w="2002" w:type="dxa"/>
            <w:tcBorders>
              <w:top w:val="nil"/>
              <w:left w:val="nil"/>
              <w:bottom w:val="single" w:sz="4" w:space="0" w:color="auto"/>
              <w:right w:val="single" w:sz="4" w:space="0" w:color="auto"/>
            </w:tcBorders>
            <w:shd w:val="clear" w:color="000000" w:fill="FFFFFF"/>
            <w:noWrap/>
            <w:vAlign w:val="bottom"/>
            <w:hideMark/>
          </w:tcPr>
          <w:p w14:paraId="453C1E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E596F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284,4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80904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87,2</w:t>
            </w:r>
          </w:p>
        </w:tc>
      </w:tr>
      <w:tr w:rsidR="00761800" w:rsidRPr="00761800" w14:paraId="4CB6709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5D441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Tрекляно</w:t>
            </w:r>
          </w:p>
        </w:tc>
        <w:tc>
          <w:tcPr>
            <w:tcW w:w="146" w:type="dxa"/>
            <w:tcBorders>
              <w:top w:val="nil"/>
              <w:left w:val="nil"/>
              <w:bottom w:val="single" w:sz="4" w:space="0" w:color="auto"/>
              <w:right w:val="nil"/>
            </w:tcBorders>
            <w:shd w:val="clear" w:color="000000" w:fill="FFFFFF"/>
          </w:tcPr>
          <w:p w14:paraId="5AF1DE2A"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BE4CC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2 179,2</w:t>
            </w:r>
          </w:p>
        </w:tc>
        <w:tc>
          <w:tcPr>
            <w:tcW w:w="1406" w:type="dxa"/>
            <w:tcBorders>
              <w:top w:val="nil"/>
              <w:left w:val="nil"/>
              <w:bottom w:val="single" w:sz="4" w:space="0" w:color="auto"/>
              <w:right w:val="single" w:sz="4" w:space="0" w:color="auto"/>
            </w:tcBorders>
            <w:shd w:val="clear" w:color="000000" w:fill="FFFFFF"/>
            <w:noWrap/>
            <w:vAlign w:val="bottom"/>
            <w:hideMark/>
          </w:tcPr>
          <w:p w14:paraId="6386ED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1 093,2</w:t>
            </w:r>
          </w:p>
        </w:tc>
        <w:tc>
          <w:tcPr>
            <w:tcW w:w="1570" w:type="dxa"/>
            <w:tcBorders>
              <w:top w:val="nil"/>
              <w:left w:val="nil"/>
              <w:bottom w:val="single" w:sz="4" w:space="0" w:color="auto"/>
              <w:right w:val="single" w:sz="4" w:space="0" w:color="auto"/>
            </w:tcBorders>
            <w:shd w:val="clear" w:color="000000" w:fill="FFFFFF"/>
            <w:noWrap/>
            <w:vAlign w:val="bottom"/>
            <w:hideMark/>
          </w:tcPr>
          <w:p w14:paraId="4A4A54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423,4</w:t>
            </w:r>
          </w:p>
        </w:tc>
        <w:tc>
          <w:tcPr>
            <w:tcW w:w="2002" w:type="dxa"/>
            <w:tcBorders>
              <w:top w:val="nil"/>
              <w:left w:val="nil"/>
              <w:bottom w:val="single" w:sz="4" w:space="0" w:color="auto"/>
              <w:right w:val="single" w:sz="4" w:space="0" w:color="auto"/>
            </w:tcBorders>
            <w:shd w:val="clear" w:color="000000" w:fill="FFFFFF"/>
            <w:noWrap/>
            <w:vAlign w:val="bottom"/>
            <w:hideMark/>
          </w:tcPr>
          <w:p w14:paraId="2095AE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107,4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96529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555,2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8E74E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w:t>
            </w:r>
          </w:p>
        </w:tc>
      </w:tr>
      <w:tr w:rsidR="00761800" w:rsidRPr="00761800" w14:paraId="4162078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E0B6300"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65E1A54E"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C8F84E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48EAEE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77C141F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4C0D85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DD457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62FC3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10BAE1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8C69B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ЛОВЕЧ</w:t>
            </w:r>
          </w:p>
        </w:tc>
        <w:tc>
          <w:tcPr>
            <w:tcW w:w="146" w:type="dxa"/>
            <w:tcBorders>
              <w:top w:val="nil"/>
              <w:left w:val="nil"/>
              <w:bottom w:val="single" w:sz="4" w:space="0" w:color="auto"/>
              <w:right w:val="nil"/>
            </w:tcBorders>
            <w:shd w:val="clear" w:color="000000" w:fill="FFFFFF"/>
          </w:tcPr>
          <w:p w14:paraId="2648942F"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9698D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715D3A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20964CF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4112BD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6F6EC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9DEBD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1DC978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822FDF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Aприлци</w:t>
            </w:r>
          </w:p>
        </w:tc>
        <w:tc>
          <w:tcPr>
            <w:tcW w:w="146" w:type="dxa"/>
            <w:tcBorders>
              <w:top w:val="nil"/>
              <w:left w:val="nil"/>
              <w:bottom w:val="single" w:sz="4" w:space="0" w:color="auto"/>
              <w:right w:val="nil"/>
            </w:tcBorders>
            <w:shd w:val="clear" w:color="000000" w:fill="FFFFFF"/>
          </w:tcPr>
          <w:p w14:paraId="3176343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EBD0E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3 342,7</w:t>
            </w:r>
          </w:p>
        </w:tc>
        <w:tc>
          <w:tcPr>
            <w:tcW w:w="1406" w:type="dxa"/>
            <w:tcBorders>
              <w:top w:val="nil"/>
              <w:left w:val="nil"/>
              <w:bottom w:val="single" w:sz="4" w:space="0" w:color="auto"/>
              <w:right w:val="single" w:sz="4" w:space="0" w:color="auto"/>
            </w:tcBorders>
            <w:shd w:val="clear" w:color="000000" w:fill="FFFFFF"/>
            <w:noWrap/>
            <w:vAlign w:val="bottom"/>
            <w:hideMark/>
          </w:tcPr>
          <w:p w14:paraId="55F431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2 714,8</w:t>
            </w:r>
          </w:p>
        </w:tc>
        <w:tc>
          <w:tcPr>
            <w:tcW w:w="1570" w:type="dxa"/>
            <w:tcBorders>
              <w:top w:val="nil"/>
              <w:left w:val="nil"/>
              <w:bottom w:val="single" w:sz="4" w:space="0" w:color="auto"/>
              <w:right w:val="single" w:sz="4" w:space="0" w:color="auto"/>
            </w:tcBorders>
            <w:shd w:val="clear" w:color="000000" w:fill="FFFFFF"/>
            <w:noWrap/>
            <w:vAlign w:val="bottom"/>
            <w:hideMark/>
          </w:tcPr>
          <w:p w14:paraId="1425CE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299,2</w:t>
            </w:r>
          </w:p>
        </w:tc>
        <w:tc>
          <w:tcPr>
            <w:tcW w:w="2002" w:type="dxa"/>
            <w:tcBorders>
              <w:top w:val="nil"/>
              <w:left w:val="nil"/>
              <w:bottom w:val="single" w:sz="4" w:space="0" w:color="auto"/>
              <w:right w:val="single" w:sz="4" w:space="0" w:color="auto"/>
            </w:tcBorders>
            <w:shd w:val="clear" w:color="000000" w:fill="FFFFFF"/>
            <w:noWrap/>
            <w:vAlign w:val="bottom"/>
            <w:hideMark/>
          </w:tcPr>
          <w:p w14:paraId="096AE5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4FD15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285,6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C382B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22,3</w:t>
            </w:r>
          </w:p>
        </w:tc>
      </w:tr>
      <w:tr w:rsidR="00761800" w:rsidRPr="00761800" w14:paraId="5F651AA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6AD71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Летница</w:t>
            </w:r>
          </w:p>
        </w:tc>
        <w:tc>
          <w:tcPr>
            <w:tcW w:w="146" w:type="dxa"/>
            <w:tcBorders>
              <w:top w:val="nil"/>
              <w:left w:val="nil"/>
              <w:bottom w:val="single" w:sz="4" w:space="0" w:color="auto"/>
              <w:right w:val="nil"/>
            </w:tcBorders>
            <w:shd w:val="clear" w:color="000000" w:fill="FFFFFF"/>
          </w:tcPr>
          <w:p w14:paraId="36EFDCA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AF00F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3 708,6</w:t>
            </w:r>
          </w:p>
        </w:tc>
        <w:tc>
          <w:tcPr>
            <w:tcW w:w="1406" w:type="dxa"/>
            <w:tcBorders>
              <w:top w:val="nil"/>
              <w:left w:val="nil"/>
              <w:bottom w:val="single" w:sz="4" w:space="0" w:color="auto"/>
              <w:right w:val="single" w:sz="4" w:space="0" w:color="auto"/>
            </w:tcBorders>
            <w:shd w:val="clear" w:color="000000" w:fill="FFFFFF"/>
            <w:noWrap/>
            <w:vAlign w:val="bottom"/>
            <w:hideMark/>
          </w:tcPr>
          <w:p w14:paraId="56884F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3 017,7</w:t>
            </w:r>
          </w:p>
        </w:tc>
        <w:tc>
          <w:tcPr>
            <w:tcW w:w="1570" w:type="dxa"/>
            <w:tcBorders>
              <w:top w:val="nil"/>
              <w:left w:val="nil"/>
              <w:bottom w:val="single" w:sz="4" w:space="0" w:color="auto"/>
              <w:right w:val="single" w:sz="4" w:space="0" w:color="auto"/>
            </w:tcBorders>
            <w:shd w:val="clear" w:color="000000" w:fill="FFFFFF"/>
            <w:noWrap/>
            <w:vAlign w:val="bottom"/>
            <w:hideMark/>
          </w:tcPr>
          <w:p w14:paraId="465CAB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353,5</w:t>
            </w:r>
          </w:p>
        </w:tc>
        <w:tc>
          <w:tcPr>
            <w:tcW w:w="2002" w:type="dxa"/>
            <w:tcBorders>
              <w:top w:val="nil"/>
              <w:left w:val="nil"/>
              <w:bottom w:val="single" w:sz="4" w:space="0" w:color="auto"/>
              <w:right w:val="single" w:sz="4" w:space="0" w:color="auto"/>
            </w:tcBorders>
            <w:shd w:val="clear" w:color="000000" w:fill="FFFFFF"/>
            <w:noWrap/>
            <w:vAlign w:val="bottom"/>
            <w:hideMark/>
          </w:tcPr>
          <w:p w14:paraId="6C19BA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20754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304,5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E32D6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34,5</w:t>
            </w:r>
          </w:p>
        </w:tc>
      </w:tr>
      <w:tr w:rsidR="00761800" w:rsidRPr="00761800" w14:paraId="32364AB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4BD4F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Ловеч</w:t>
            </w:r>
          </w:p>
        </w:tc>
        <w:tc>
          <w:tcPr>
            <w:tcW w:w="146" w:type="dxa"/>
            <w:tcBorders>
              <w:top w:val="nil"/>
              <w:left w:val="nil"/>
              <w:bottom w:val="single" w:sz="4" w:space="0" w:color="auto"/>
              <w:right w:val="nil"/>
            </w:tcBorders>
            <w:shd w:val="clear" w:color="000000" w:fill="FFFFFF"/>
          </w:tcPr>
          <w:p w14:paraId="2D8D231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A8742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32 306,4</w:t>
            </w:r>
          </w:p>
        </w:tc>
        <w:tc>
          <w:tcPr>
            <w:tcW w:w="1406" w:type="dxa"/>
            <w:tcBorders>
              <w:top w:val="nil"/>
              <w:left w:val="nil"/>
              <w:bottom w:val="single" w:sz="4" w:space="0" w:color="auto"/>
              <w:right w:val="single" w:sz="4" w:space="0" w:color="auto"/>
            </w:tcBorders>
            <w:shd w:val="clear" w:color="000000" w:fill="FFFFFF"/>
            <w:noWrap/>
            <w:vAlign w:val="bottom"/>
            <w:hideMark/>
          </w:tcPr>
          <w:p w14:paraId="520E33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27 925,5</w:t>
            </w:r>
          </w:p>
        </w:tc>
        <w:tc>
          <w:tcPr>
            <w:tcW w:w="1570" w:type="dxa"/>
            <w:tcBorders>
              <w:top w:val="nil"/>
              <w:left w:val="nil"/>
              <w:bottom w:val="single" w:sz="4" w:space="0" w:color="auto"/>
              <w:right w:val="single" w:sz="4" w:space="0" w:color="auto"/>
            </w:tcBorders>
            <w:shd w:val="clear" w:color="000000" w:fill="FFFFFF"/>
            <w:noWrap/>
            <w:vAlign w:val="bottom"/>
            <w:hideMark/>
          </w:tcPr>
          <w:p w14:paraId="05D91A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2 266,4</w:t>
            </w:r>
          </w:p>
        </w:tc>
        <w:tc>
          <w:tcPr>
            <w:tcW w:w="2002" w:type="dxa"/>
            <w:tcBorders>
              <w:top w:val="nil"/>
              <w:left w:val="nil"/>
              <w:bottom w:val="single" w:sz="4" w:space="0" w:color="auto"/>
              <w:right w:val="single" w:sz="4" w:space="0" w:color="auto"/>
            </w:tcBorders>
            <w:shd w:val="clear" w:color="000000" w:fill="FFFFFF"/>
            <w:noWrap/>
            <w:vAlign w:val="bottom"/>
            <w:hideMark/>
          </w:tcPr>
          <w:p w14:paraId="74D492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193,5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9F43F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1 921,0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A336F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194,8</w:t>
            </w:r>
          </w:p>
        </w:tc>
      </w:tr>
      <w:tr w:rsidR="00761800" w:rsidRPr="00761800" w14:paraId="318EE38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7DDF2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Луковит</w:t>
            </w:r>
          </w:p>
        </w:tc>
        <w:tc>
          <w:tcPr>
            <w:tcW w:w="146" w:type="dxa"/>
            <w:tcBorders>
              <w:top w:val="nil"/>
              <w:left w:val="nil"/>
              <w:bottom w:val="single" w:sz="4" w:space="0" w:color="auto"/>
              <w:right w:val="nil"/>
            </w:tcBorders>
            <w:shd w:val="clear" w:color="000000" w:fill="FFFFFF"/>
          </w:tcPr>
          <w:p w14:paraId="48A0870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16A14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15 251,9</w:t>
            </w:r>
          </w:p>
        </w:tc>
        <w:tc>
          <w:tcPr>
            <w:tcW w:w="1406" w:type="dxa"/>
            <w:tcBorders>
              <w:top w:val="nil"/>
              <w:left w:val="nil"/>
              <w:bottom w:val="single" w:sz="4" w:space="0" w:color="auto"/>
              <w:right w:val="single" w:sz="4" w:space="0" w:color="auto"/>
            </w:tcBorders>
            <w:shd w:val="clear" w:color="000000" w:fill="FFFFFF"/>
            <w:noWrap/>
            <w:vAlign w:val="bottom"/>
            <w:hideMark/>
          </w:tcPr>
          <w:p w14:paraId="6DA917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13 178,0</w:t>
            </w:r>
          </w:p>
        </w:tc>
        <w:tc>
          <w:tcPr>
            <w:tcW w:w="1570" w:type="dxa"/>
            <w:tcBorders>
              <w:top w:val="nil"/>
              <w:left w:val="nil"/>
              <w:bottom w:val="single" w:sz="4" w:space="0" w:color="auto"/>
              <w:right w:val="single" w:sz="4" w:space="0" w:color="auto"/>
            </w:tcBorders>
            <w:shd w:val="clear" w:color="000000" w:fill="FFFFFF"/>
            <w:noWrap/>
            <w:vAlign w:val="bottom"/>
            <w:hideMark/>
          </w:tcPr>
          <w:p w14:paraId="0AF5A3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1 312,0</w:t>
            </w:r>
          </w:p>
        </w:tc>
        <w:tc>
          <w:tcPr>
            <w:tcW w:w="2002" w:type="dxa"/>
            <w:tcBorders>
              <w:top w:val="nil"/>
              <w:left w:val="nil"/>
              <w:bottom w:val="single" w:sz="4" w:space="0" w:color="auto"/>
              <w:right w:val="single" w:sz="4" w:space="0" w:color="auto"/>
            </w:tcBorders>
            <w:shd w:val="clear" w:color="000000" w:fill="FFFFFF"/>
            <w:noWrap/>
            <w:vAlign w:val="bottom"/>
            <w:hideMark/>
          </w:tcPr>
          <w:p w14:paraId="0C9696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82998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699,8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EC1F2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81,5</w:t>
            </w:r>
          </w:p>
        </w:tc>
      </w:tr>
      <w:tr w:rsidR="00761800" w:rsidRPr="00761800" w14:paraId="4FD5EB5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1BC54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Tетевен</w:t>
            </w:r>
          </w:p>
        </w:tc>
        <w:tc>
          <w:tcPr>
            <w:tcW w:w="146" w:type="dxa"/>
            <w:tcBorders>
              <w:top w:val="nil"/>
              <w:left w:val="nil"/>
              <w:bottom w:val="single" w:sz="4" w:space="0" w:color="auto"/>
              <w:right w:val="nil"/>
            </w:tcBorders>
            <w:shd w:val="clear" w:color="000000" w:fill="FFFFFF"/>
          </w:tcPr>
          <w:p w14:paraId="410F93E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DAA9A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14 884,6</w:t>
            </w:r>
          </w:p>
        </w:tc>
        <w:tc>
          <w:tcPr>
            <w:tcW w:w="1406" w:type="dxa"/>
            <w:tcBorders>
              <w:top w:val="nil"/>
              <w:left w:val="nil"/>
              <w:bottom w:val="single" w:sz="4" w:space="0" w:color="auto"/>
              <w:right w:val="single" w:sz="4" w:space="0" w:color="auto"/>
            </w:tcBorders>
            <w:shd w:val="clear" w:color="000000" w:fill="FFFFFF"/>
            <w:noWrap/>
            <w:vAlign w:val="bottom"/>
            <w:hideMark/>
          </w:tcPr>
          <w:p w14:paraId="64E5C6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12 705,2</w:t>
            </w:r>
          </w:p>
        </w:tc>
        <w:tc>
          <w:tcPr>
            <w:tcW w:w="1570" w:type="dxa"/>
            <w:tcBorders>
              <w:top w:val="nil"/>
              <w:left w:val="nil"/>
              <w:bottom w:val="single" w:sz="4" w:space="0" w:color="auto"/>
              <w:right w:val="single" w:sz="4" w:space="0" w:color="auto"/>
            </w:tcBorders>
            <w:shd w:val="clear" w:color="000000" w:fill="FFFFFF"/>
            <w:noWrap/>
            <w:vAlign w:val="bottom"/>
            <w:hideMark/>
          </w:tcPr>
          <w:p w14:paraId="5E09C3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1 303,1</w:t>
            </w:r>
          </w:p>
        </w:tc>
        <w:tc>
          <w:tcPr>
            <w:tcW w:w="2002" w:type="dxa"/>
            <w:tcBorders>
              <w:top w:val="nil"/>
              <w:left w:val="nil"/>
              <w:bottom w:val="single" w:sz="4" w:space="0" w:color="auto"/>
              <w:right w:val="single" w:sz="4" w:space="0" w:color="auto"/>
            </w:tcBorders>
            <w:shd w:val="clear" w:color="000000" w:fill="FFFFFF"/>
            <w:noWrap/>
            <w:vAlign w:val="bottom"/>
            <w:hideMark/>
          </w:tcPr>
          <w:p w14:paraId="37AB60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49A6F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788,3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3B708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85,4</w:t>
            </w:r>
          </w:p>
        </w:tc>
      </w:tr>
      <w:tr w:rsidR="00761800" w:rsidRPr="00761800" w14:paraId="344EC7B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CB205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Tроян</w:t>
            </w:r>
          </w:p>
        </w:tc>
        <w:tc>
          <w:tcPr>
            <w:tcW w:w="146" w:type="dxa"/>
            <w:tcBorders>
              <w:top w:val="nil"/>
              <w:left w:val="nil"/>
              <w:bottom w:val="single" w:sz="4" w:space="0" w:color="auto"/>
              <w:right w:val="nil"/>
            </w:tcBorders>
            <w:shd w:val="clear" w:color="000000" w:fill="FFFFFF"/>
          </w:tcPr>
          <w:p w14:paraId="347C8AE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8E887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21 172,2</w:t>
            </w:r>
          </w:p>
        </w:tc>
        <w:tc>
          <w:tcPr>
            <w:tcW w:w="1406" w:type="dxa"/>
            <w:tcBorders>
              <w:top w:val="nil"/>
              <w:left w:val="nil"/>
              <w:bottom w:val="single" w:sz="4" w:space="0" w:color="auto"/>
              <w:right w:val="single" w:sz="4" w:space="0" w:color="auto"/>
            </w:tcBorders>
            <w:shd w:val="clear" w:color="000000" w:fill="FFFFFF"/>
            <w:noWrap/>
            <w:vAlign w:val="bottom"/>
            <w:hideMark/>
          </w:tcPr>
          <w:p w14:paraId="7BAF51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18 113,3</w:t>
            </w:r>
          </w:p>
        </w:tc>
        <w:tc>
          <w:tcPr>
            <w:tcW w:w="1570" w:type="dxa"/>
            <w:tcBorders>
              <w:top w:val="nil"/>
              <w:left w:val="nil"/>
              <w:bottom w:val="single" w:sz="4" w:space="0" w:color="auto"/>
              <w:right w:val="single" w:sz="4" w:space="0" w:color="auto"/>
            </w:tcBorders>
            <w:shd w:val="clear" w:color="000000" w:fill="FFFFFF"/>
            <w:noWrap/>
            <w:vAlign w:val="bottom"/>
            <w:hideMark/>
          </w:tcPr>
          <w:p w14:paraId="0FE83F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1 298,9</w:t>
            </w:r>
          </w:p>
        </w:tc>
        <w:tc>
          <w:tcPr>
            <w:tcW w:w="2002" w:type="dxa"/>
            <w:tcBorders>
              <w:top w:val="nil"/>
              <w:left w:val="nil"/>
              <w:bottom w:val="single" w:sz="4" w:space="0" w:color="auto"/>
              <w:right w:val="single" w:sz="4" w:space="0" w:color="auto"/>
            </w:tcBorders>
            <w:shd w:val="clear" w:color="000000" w:fill="FFFFFF"/>
            <w:noWrap/>
            <w:vAlign w:val="bottom"/>
            <w:hideMark/>
          </w:tcPr>
          <w:p w14:paraId="5BE967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241,9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42706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1 518,1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840AD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246,8</w:t>
            </w:r>
          </w:p>
        </w:tc>
      </w:tr>
      <w:tr w:rsidR="00761800" w:rsidRPr="00761800" w14:paraId="228D75E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D4FF0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Угърчин</w:t>
            </w:r>
          </w:p>
        </w:tc>
        <w:tc>
          <w:tcPr>
            <w:tcW w:w="146" w:type="dxa"/>
            <w:tcBorders>
              <w:top w:val="nil"/>
              <w:left w:val="nil"/>
              <w:bottom w:val="single" w:sz="4" w:space="0" w:color="auto"/>
              <w:right w:val="nil"/>
            </w:tcBorders>
            <w:shd w:val="clear" w:color="000000" w:fill="FFFFFF"/>
          </w:tcPr>
          <w:p w14:paraId="0ED69D7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A642E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5 975,3</w:t>
            </w:r>
          </w:p>
        </w:tc>
        <w:tc>
          <w:tcPr>
            <w:tcW w:w="1406" w:type="dxa"/>
            <w:tcBorders>
              <w:top w:val="nil"/>
              <w:left w:val="nil"/>
              <w:bottom w:val="single" w:sz="4" w:space="0" w:color="auto"/>
              <w:right w:val="single" w:sz="4" w:space="0" w:color="auto"/>
            </w:tcBorders>
            <w:shd w:val="clear" w:color="000000" w:fill="FFFFFF"/>
            <w:noWrap/>
            <w:vAlign w:val="bottom"/>
            <w:hideMark/>
          </w:tcPr>
          <w:p w14:paraId="50570F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4 541,7</w:t>
            </w:r>
          </w:p>
        </w:tc>
        <w:tc>
          <w:tcPr>
            <w:tcW w:w="1570" w:type="dxa"/>
            <w:tcBorders>
              <w:top w:val="nil"/>
              <w:left w:val="nil"/>
              <w:bottom w:val="single" w:sz="4" w:space="0" w:color="auto"/>
              <w:right w:val="single" w:sz="4" w:space="0" w:color="auto"/>
            </w:tcBorders>
            <w:shd w:val="clear" w:color="000000" w:fill="FFFFFF"/>
            <w:noWrap/>
            <w:vAlign w:val="bottom"/>
            <w:hideMark/>
          </w:tcPr>
          <w:p w14:paraId="3708E8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726,5</w:t>
            </w:r>
          </w:p>
        </w:tc>
        <w:tc>
          <w:tcPr>
            <w:tcW w:w="2002" w:type="dxa"/>
            <w:tcBorders>
              <w:top w:val="nil"/>
              <w:left w:val="nil"/>
              <w:bottom w:val="single" w:sz="4" w:space="0" w:color="auto"/>
              <w:right w:val="single" w:sz="4" w:space="0" w:color="auto"/>
            </w:tcBorders>
            <w:shd w:val="clear" w:color="000000" w:fill="FFFFFF"/>
            <w:noWrap/>
            <w:vAlign w:val="bottom"/>
            <w:hideMark/>
          </w:tcPr>
          <w:p w14:paraId="6BC2E4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EBE0E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641,6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C3B85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w:t>
            </w:r>
          </w:p>
        </w:tc>
      </w:tr>
      <w:tr w:rsidR="00761800" w:rsidRPr="00761800" w14:paraId="0C174D6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7F181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Ябланица</w:t>
            </w:r>
          </w:p>
        </w:tc>
        <w:tc>
          <w:tcPr>
            <w:tcW w:w="146" w:type="dxa"/>
            <w:tcBorders>
              <w:top w:val="nil"/>
              <w:left w:val="nil"/>
              <w:bottom w:val="single" w:sz="4" w:space="0" w:color="auto"/>
              <w:right w:val="nil"/>
            </w:tcBorders>
            <w:shd w:val="clear" w:color="000000" w:fill="FFFFFF"/>
          </w:tcPr>
          <w:p w14:paraId="76F9508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592BB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6 637,1</w:t>
            </w:r>
          </w:p>
        </w:tc>
        <w:tc>
          <w:tcPr>
            <w:tcW w:w="1406" w:type="dxa"/>
            <w:tcBorders>
              <w:top w:val="nil"/>
              <w:left w:val="nil"/>
              <w:bottom w:val="single" w:sz="4" w:space="0" w:color="auto"/>
              <w:right w:val="single" w:sz="4" w:space="0" w:color="auto"/>
            </w:tcBorders>
            <w:shd w:val="clear" w:color="000000" w:fill="FFFFFF"/>
            <w:noWrap/>
            <w:vAlign w:val="bottom"/>
            <w:hideMark/>
          </w:tcPr>
          <w:p w14:paraId="794278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5 369,2</w:t>
            </w:r>
          </w:p>
        </w:tc>
        <w:tc>
          <w:tcPr>
            <w:tcW w:w="1570" w:type="dxa"/>
            <w:tcBorders>
              <w:top w:val="nil"/>
              <w:left w:val="nil"/>
              <w:bottom w:val="single" w:sz="4" w:space="0" w:color="auto"/>
              <w:right w:val="single" w:sz="4" w:space="0" w:color="auto"/>
            </w:tcBorders>
            <w:shd w:val="clear" w:color="000000" w:fill="FFFFFF"/>
            <w:noWrap/>
            <w:vAlign w:val="bottom"/>
            <w:hideMark/>
          </w:tcPr>
          <w:p w14:paraId="062525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594,2</w:t>
            </w:r>
          </w:p>
        </w:tc>
        <w:tc>
          <w:tcPr>
            <w:tcW w:w="2002" w:type="dxa"/>
            <w:tcBorders>
              <w:top w:val="nil"/>
              <w:left w:val="nil"/>
              <w:bottom w:val="single" w:sz="4" w:space="0" w:color="auto"/>
              <w:right w:val="single" w:sz="4" w:space="0" w:color="auto"/>
            </w:tcBorders>
            <w:shd w:val="clear" w:color="000000" w:fill="FFFFFF"/>
            <w:noWrap/>
            <w:vAlign w:val="bottom"/>
            <w:hideMark/>
          </w:tcPr>
          <w:p w14:paraId="5A1352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2449C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590,1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D36D8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w:t>
            </w:r>
          </w:p>
        </w:tc>
      </w:tr>
      <w:tr w:rsidR="00761800" w:rsidRPr="00761800" w14:paraId="059296F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500B47D"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46" w:type="dxa"/>
            <w:tcBorders>
              <w:top w:val="nil"/>
              <w:left w:val="nil"/>
              <w:bottom w:val="single" w:sz="4" w:space="0" w:color="auto"/>
              <w:right w:val="nil"/>
            </w:tcBorders>
            <w:shd w:val="clear" w:color="000000" w:fill="FFFFFF"/>
          </w:tcPr>
          <w:p w14:paraId="37192455"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A93B3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6F6216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211912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59DCE9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AFA8B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8B5E8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E06EDB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3B5DC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МОНТАНА</w:t>
            </w:r>
          </w:p>
        </w:tc>
        <w:tc>
          <w:tcPr>
            <w:tcW w:w="146" w:type="dxa"/>
            <w:tcBorders>
              <w:top w:val="nil"/>
              <w:left w:val="nil"/>
              <w:bottom w:val="single" w:sz="4" w:space="0" w:color="auto"/>
              <w:right w:val="nil"/>
            </w:tcBorders>
            <w:shd w:val="clear" w:color="000000" w:fill="FFFFFF"/>
          </w:tcPr>
          <w:p w14:paraId="52DE5CCA"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79A89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3EA25D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75FBAB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52FB37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A9313D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76D7A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19AB1E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ADAAD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Берковица</w:t>
            </w:r>
          </w:p>
        </w:tc>
        <w:tc>
          <w:tcPr>
            <w:tcW w:w="146" w:type="dxa"/>
            <w:tcBorders>
              <w:top w:val="nil"/>
              <w:left w:val="nil"/>
              <w:bottom w:val="single" w:sz="4" w:space="0" w:color="auto"/>
              <w:right w:val="nil"/>
            </w:tcBorders>
            <w:shd w:val="clear" w:color="000000" w:fill="FFFFFF"/>
          </w:tcPr>
          <w:p w14:paraId="3243775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1452E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16 159,8</w:t>
            </w:r>
          </w:p>
        </w:tc>
        <w:tc>
          <w:tcPr>
            <w:tcW w:w="1406" w:type="dxa"/>
            <w:tcBorders>
              <w:top w:val="nil"/>
              <w:left w:val="nil"/>
              <w:bottom w:val="single" w:sz="4" w:space="0" w:color="auto"/>
              <w:right w:val="single" w:sz="4" w:space="0" w:color="auto"/>
            </w:tcBorders>
            <w:shd w:val="clear" w:color="000000" w:fill="FFFFFF"/>
            <w:noWrap/>
            <w:vAlign w:val="bottom"/>
            <w:hideMark/>
          </w:tcPr>
          <w:p w14:paraId="36056B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13 748,6</w:t>
            </w:r>
          </w:p>
        </w:tc>
        <w:tc>
          <w:tcPr>
            <w:tcW w:w="1570" w:type="dxa"/>
            <w:tcBorders>
              <w:top w:val="nil"/>
              <w:left w:val="nil"/>
              <w:bottom w:val="single" w:sz="4" w:space="0" w:color="auto"/>
              <w:right w:val="single" w:sz="4" w:space="0" w:color="auto"/>
            </w:tcBorders>
            <w:shd w:val="clear" w:color="000000" w:fill="FFFFFF"/>
            <w:noWrap/>
            <w:vAlign w:val="bottom"/>
            <w:hideMark/>
          </w:tcPr>
          <w:p w14:paraId="090BAD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1 248,4</w:t>
            </w:r>
          </w:p>
        </w:tc>
        <w:tc>
          <w:tcPr>
            <w:tcW w:w="2002" w:type="dxa"/>
            <w:tcBorders>
              <w:top w:val="nil"/>
              <w:left w:val="nil"/>
              <w:bottom w:val="single" w:sz="4" w:space="0" w:color="auto"/>
              <w:right w:val="single" w:sz="4" w:space="0" w:color="auto"/>
            </w:tcBorders>
            <w:shd w:val="clear" w:color="000000" w:fill="FFFFFF"/>
            <w:noWrap/>
            <w:vAlign w:val="bottom"/>
            <w:hideMark/>
          </w:tcPr>
          <w:p w14:paraId="1FFDD9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118,2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88830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1 044,6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BA770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72,7</w:t>
            </w:r>
          </w:p>
        </w:tc>
      </w:tr>
      <w:tr w:rsidR="00761800" w:rsidRPr="00761800" w14:paraId="597F7F8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6A6E9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Бойчиновци</w:t>
            </w:r>
          </w:p>
        </w:tc>
        <w:tc>
          <w:tcPr>
            <w:tcW w:w="146" w:type="dxa"/>
            <w:tcBorders>
              <w:top w:val="nil"/>
              <w:left w:val="nil"/>
              <w:bottom w:val="single" w:sz="4" w:space="0" w:color="auto"/>
              <w:right w:val="nil"/>
            </w:tcBorders>
            <w:shd w:val="clear" w:color="000000" w:fill="FFFFFF"/>
          </w:tcPr>
          <w:p w14:paraId="5C5672A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B7A8D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6 252,1</w:t>
            </w:r>
          </w:p>
        </w:tc>
        <w:tc>
          <w:tcPr>
            <w:tcW w:w="1406" w:type="dxa"/>
            <w:tcBorders>
              <w:top w:val="nil"/>
              <w:left w:val="nil"/>
              <w:bottom w:val="single" w:sz="4" w:space="0" w:color="auto"/>
              <w:right w:val="single" w:sz="4" w:space="0" w:color="auto"/>
            </w:tcBorders>
            <w:shd w:val="clear" w:color="000000" w:fill="FFFFFF"/>
            <w:noWrap/>
            <w:vAlign w:val="bottom"/>
            <w:hideMark/>
          </w:tcPr>
          <w:p w14:paraId="2788A1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4 909,7</w:t>
            </w:r>
          </w:p>
        </w:tc>
        <w:tc>
          <w:tcPr>
            <w:tcW w:w="1570" w:type="dxa"/>
            <w:tcBorders>
              <w:top w:val="nil"/>
              <w:left w:val="nil"/>
              <w:bottom w:val="single" w:sz="4" w:space="0" w:color="auto"/>
              <w:right w:val="single" w:sz="4" w:space="0" w:color="auto"/>
            </w:tcBorders>
            <w:shd w:val="clear" w:color="000000" w:fill="FFFFFF"/>
            <w:noWrap/>
            <w:vAlign w:val="bottom"/>
            <w:hideMark/>
          </w:tcPr>
          <w:p w14:paraId="3FB78E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768,5</w:t>
            </w:r>
          </w:p>
        </w:tc>
        <w:tc>
          <w:tcPr>
            <w:tcW w:w="2002" w:type="dxa"/>
            <w:tcBorders>
              <w:top w:val="nil"/>
              <w:left w:val="nil"/>
              <w:bottom w:val="single" w:sz="4" w:space="0" w:color="auto"/>
              <w:right w:val="single" w:sz="4" w:space="0" w:color="auto"/>
            </w:tcBorders>
            <w:shd w:val="clear" w:color="000000" w:fill="FFFFFF"/>
            <w:noWrap/>
            <w:vAlign w:val="bottom"/>
            <w:hideMark/>
          </w:tcPr>
          <w:p w14:paraId="7FD379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EE244F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544,8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97D5D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40,4</w:t>
            </w:r>
          </w:p>
        </w:tc>
      </w:tr>
      <w:tr w:rsidR="00761800" w:rsidRPr="00761800" w14:paraId="16305CB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B4B409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Брусарци</w:t>
            </w:r>
          </w:p>
        </w:tc>
        <w:tc>
          <w:tcPr>
            <w:tcW w:w="146" w:type="dxa"/>
            <w:tcBorders>
              <w:top w:val="nil"/>
              <w:left w:val="nil"/>
              <w:bottom w:val="single" w:sz="4" w:space="0" w:color="auto"/>
              <w:right w:val="nil"/>
            </w:tcBorders>
            <w:shd w:val="clear" w:color="000000" w:fill="FFFFFF"/>
          </w:tcPr>
          <w:p w14:paraId="60FAD58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1DF48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4 110,3</w:t>
            </w:r>
          </w:p>
        </w:tc>
        <w:tc>
          <w:tcPr>
            <w:tcW w:w="1406" w:type="dxa"/>
            <w:tcBorders>
              <w:top w:val="nil"/>
              <w:left w:val="nil"/>
              <w:bottom w:val="single" w:sz="4" w:space="0" w:color="auto"/>
              <w:right w:val="single" w:sz="4" w:space="0" w:color="auto"/>
            </w:tcBorders>
            <w:shd w:val="clear" w:color="000000" w:fill="FFFFFF"/>
            <w:noWrap/>
            <w:vAlign w:val="bottom"/>
            <w:hideMark/>
          </w:tcPr>
          <w:p w14:paraId="3DDF05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3 105,9</w:t>
            </w:r>
          </w:p>
        </w:tc>
        <w:tc>
          <w:tcPr>
            <w:tcW w:w="1570" w:type="dxa"/>
            <w:tcBorders>
              <w:top w:val="nil"/>
              <w:left w:val="nil"/>
              <w:bottom w:val="single" w:sz="4" w:space="0" w:color="auto"/>
              <w:right w:val="single" w:sz="4" w:space="0" w:color="auto"/>
            </w:tcBorders>
            <w:shd w:val="clear" w:color="000000" w:fill="FFFFFF"/>
            <w:noWrap/>
            <w:vAlign w:val="bottom"/>
            <w:hideMark/>
          </w:tcPr>
          <w:p w14:paraId="2FF19E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571,7</w:t>
            </w:r>
          </w:p>
        </w:tc>
        <w:tc>
          <w:tcPr>
            <w:tcW w:w="2002" w:type="dxa"/>
            <w:tcBorders>
              <w:top w:val="nil"/>
              <w:left w:val="nil"/>
              <w:bottom w:val="single" w:sz="4" w:space="0" w:color="auto"/>
              <w:right w:val="single" w:sz="4" w:space="0" w:color="auto"/>
            </w:tcBorders>
            <w:shd w:val="clear" w:color="000000" w:fill="FFFFFF"/>
            <w:noWrap/>
            <w:vAlign w:val="bottom"/>
            <w:hideMark/>
          </w:tcPr>
          <w:p w14:paraId="635B31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C991F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404,4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95E6A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24,8</w:t>
            </w:r>
          </w:p>
        </w:tc>
      </w:tr>
      <w:tr w:rsidR="00761800" w:rsidRPr="00761800" w14:paraId="70F7DA1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861FD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Bълчедръм</w:t>
            </w:r>
          </w:p>
        </w:tc>
        <w:tc>
          <w:tcPr>
            <w:tcW w:w="146" w:type="dxa"/>
            <w:tcBorders>
              <w:top w:val="nil"/>
              <w:left w:val="nil"/>
              <w:bottom w:val="single" w:sz="4" w:space="0" w:color="auto"/>
              <w:right w:val="nil"/>
            </w:tcBorders>
            <w:shd w:val="clear" w:color="000000" w:fill="FFFFFF"/>
          </w:tcPr>
          <w:p w14:paraId="423A644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52552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7 297,8</w:t>
            </w:r>
          </w:p>
        </w:tc>
        <w:tc>
          <w:tcPr>
            <w:tcW w:w="1406" w:type="dxa"/>
            <w:tcBorders>
              <w:top w:val="nil"/>
              <w:left w:val="nil"/>
              <w:bottom w:val="single" w:sz="4" w:space="0" w:color="auto"/>
              <w:right w:val="single" w:sz="4" w:space="0" w:color="auto"/>
            </w:tcBorders>
            <w:shd w:val="clear" w:color="000000" w:fill="FFFFFF"/>
            <w:noWrap/>
            <w:vAlign w:val="bottom"/>
            <w:hideMark/>
          </w:tcPr>
          <w:p w14:paraId="13C8C1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6 021,8</w:t>
            </w:r>
          </w:p>
        </w:tc>
        <w:tc>
          <w:tcPr>
            <w:tcW w:w="1570" w:type="dxa"/>
            <w:tcBorders>
              <w:top w:val="nil"/>
              <w:left w:val="nil"/>
              <w:bottom w:val="single" w:sz="4" w:space="0" w:color="auto"/>
              <w:right w:val="single" w:sz="4" w:space="0" w:color="auto"/>
            </w:tcBorders>
            <w:shd w:val="clear" w:color="000000" w:fill="FFFFFF"/>
            <w:noWrap/>
            <w:vAlign w:val="bottom"/>
            <w:hideMark/>
          </w:tcPr>
          <w:p w14:paraId="17BE53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757,0</w:t>
            </w:r>
          </w:p>
        </w:tc>
        <w:tc>
          <w:tcPr>
            <w:tcW w:w="2002" w:type="dxa"/>
            <w:tcBorders>
              <w:top w:val="nil"/>
              <w:left w:val="nil"/>
              <w:bottom w:val="single" w:sz="4" w:space="0" w:color="auto"/>
              <w:right w:val="single" w:sz="4" w:space="0" w:color="auto"/>
            </w:tcBorders>
            <w:shd w:val="clear" w:color="000000" w:fill="FFFFFF"/>
            <w:noWrap/>
            <w:vAlign w:val="bottom"/>
            <w:hideMark/>
          </w:tcPr>
          <w:p w14:paraId="7B8D5A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8D3EC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494,4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526EA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47,0</w:t>
            </w:r>
          </w:p>
        </w:tc>
      </w:tr>
      <w:tr w:rsidR="00761800" w:rsidRPr="00761800" w14:paraId="0A577FF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F76E5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Bършец</w:t>
            </w:r>
          </w:p>
        </w:tc>
        <w:tc>
          <w:tcPr>
            <w:tcW w:w="146" w:type="dxa"/>
            <w:tcBorders>
              <w:top w:val="nil"/>
              <w:left w:val="nil"/>
              <w:bottom w:val="single" w:sz="4" w:space="0" w:color="auto"/>
              <w:right w:val="nil"/>
            </w:tcBorders>
            <w:shd w:val="clear" w:color="000000" w:fill="FFFFFF"/>
          </w:tcPr>
          <w:p w14:paraId="3F52E37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9EC3D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5 736,7</w:t>
            </w:r>
          </w:p>
        </w:tc>
        <w:tc>
          <w:tcPr>
            <w:tcW w:w="1406" w:type="dxa"/>
            <w:tcBorders>
              <w:top w:val="nil"/>
              <w:left w:val="nil"/>
              <w:bottom w:val="single" w:sz="4" w:space="0" w:color="auto"/>
              <w:right w:val="single" w:sz="4" w:space="0" w:color="auto"/>
            </w:tcBorders>
            <w:shd w:val="clear" w:color="000000" w:fill="FFFFFF"/>
            <w:noWrap/>
            <w:vAlign w:val="bottom"/>
            <w:hideMark/>
          </w:tcPr>
          <w:p w14:paraId="26F464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4 572,1</w:t>
            </w:r>
          </w:p>
        </w:tc>
        <w:tc>
          <w:tcPr>
            <w:tcW w:w="1570" w:type="dxa"/>
            <w:tcBorders>
              <w:top w:val="nil"/>
              <w:left w:val="nil"/>
              <w:bottom w:val="single" w:sz="4" w:space="0" w:color="auto"/>
              <w:right w:val="single" w:sz="4" w:space="0" w:color="auto"/>
            </w:tcBorders>
            <w:shd w:val="clear" w:color="000000" w:fill="FFFFFF"/>
            <w:noWrap/>
            <w:vAlign w:val="bottom"/>
            <w:hideMark/>
          </w:tcPr>
          <w:p w14:paraId="08B326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589,2</w:t>
            </w:r>
          </w:p>
        </w:tc>
        <w:tc>
          <w:tcPr>
            <w:tcW w:w="2002" w:type="dxa"/>
            <w:tcBorders>
              <w:top w:val="nil"/>
              <w:left w:val="nil"/>
              <w:bottom w:val="single" w:sz="4" w:space="0" w:color="auto"/>
              <w:right w:val="single" w:sz="4" w:space="0" w:color="auto"/>
            </w:tcBorders>
            <w:shd w:val="clear" w:color="000000" w:fill="FFFFFF"/>
            <w:noWrap/>
            <w:vAlign w:val="bottom"/>
            <w:hideMark/>
          </w:tcPr>
          <w:p w14:paraId="5BE553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7CAEA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526,2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E9522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82,3</w:t>
            </w:r>
          </w:p>
        </w:tc>
      </w:tr>
      <w:tr w:rsidR="00761800" w:rsidRPr="00761800" w14:paraId="5E91843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9D475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Георги Дамяново</w:t>
            </w:r>
          </w:p>
        </w:tc>
        <w:tc>
          <w:tcPr>
            <w:tcW w:w="146" w:type="dxa"/>
            <w:tcBorders>
              <w:top w:val="nil"/>
              <w:left w:val="nil"/>
              <w:bottom w:val="single" w:sz="4" w:space="0" w:color="auto"/>
              <w:right w:val="nil"/>
            </w:tcBorders>
            <w:shd w:val="clear" w:color="000000" w:fill="FFFFFF"/>
          </w:tcPr>
          <w:p w14:paraId="46BB021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F4C25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3 059,0</w:t>
            </w:r>
          </w:p>
        </w:tc>
        <w:tc>
          <w:tcPr>
            <w:tcW w:w="1406" w:type="dxa"/>
            <w:tcBorders>
              <w:top w:val="nil"/>
              <w:left w:val="nil"/>
              <w:bottom w:val="single" w:sz="4" w:space="0" w:color="auto"/>
              <w:right w:val="single" w:sz="4" w:space="0" w:color="auto"/>
            </w:tcBorders>
            <w:shd w:val="clear" w:color="000000" w:fill="FFFFFF"/>
            <w:noWrap/>
            <w:vAlign w:val="bottom"/>
            <w:hideMark/>
          </w:tcPr>
          <w:p w14:paraId="775667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2 082,4</w:t>
            </w:r>
          </w:p>
        </w:tc>
        <w:tc>
          <w:tcPr>
            <w:tcW w:w="1570" w:type="dxa"/>
            <w:tcBorders>
              <w:top w:val="nil"/>
              <w:left w:val="nil"/>
              <w:bottom w:val="single" w:sz="4" w:space="0" w:color="auto"/>
              <w:right w:val="single" w:sz="4" w:space="0" w:color="auto"/>
            </w:tcBorders>
            <w:shd w:val="clear" w:color="000000" w:fill="FFFFFF"/>
            <w:noWrap/>
            <w:vAlign w:val="bottom"/>
            <w:hideMark/>
          </w:tcPr>
          <w:p w14:paraId="48BF4B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456,2</w:t>
            </w:r>
          </w:p>
        </w:tc>
        <w:tc>
          <w:tcPr>
            <w:tcW w:w="2002" w:type="dxa"/>
            <w:tcBorders>
              <w:top w:val="nil"/>
              <w:left w:val="nil"/>
              <w:bottom w:val="single" w:sz="4" w:space="0" w:color="auto"/>
              <w:right w:val="single" w:sz="4" w:space="0" w:color="auto"/>
            </w:tcBorders>
            <w:shd w:val="clear" w:color="000000" w:fill="FFFFFF"/>
            <w:noWrap/>
            <w:vAlign w:val="bottom"/>
            <w:hideMark/>
          </w:tcPr>
          <w:p w14:paraId="6DCEF0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6E758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484,3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43EF6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25,7</w:t>
            </w:r>
          </w:p>
        </w:tc>
      </w:tr>
      <w:tr w:rsidR="00761800" w:rsidRPr="00761800" w14:paraId="36A37AA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F89AB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Лом</w:t>
            </w:r>
          </w:p>
        </w:tc>
        <w:tc>
          <w:tcPr>
            <w:tcW w:w="146" w:type="dxa"/>
            <w:tcBorders>
              <w:top w:val="nil"/>
              <w:left w:val="nil"/>
              <w:bottom w:val="single" w:sz="4" w:space="0" w:color="auto"/>
              <w:right w:val="nil"/>
            </w:tcBorders>
            <w:shd w:val="clear" w:color="000000" w:fill="FFFFFF"/>
          </w:tcPr>
          <w:p w14:paraId="2F8F2EC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30196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19 798,7</w:t>
            </w:r>
          </w:p>
        </w:tc>
        <w:tc>
          <w:tcPr>
            <w:tcW w:w="1406" w:type="dxa"/>
            <w:tcBorders>
              <w:top w:val="nil"/>
              <w:left w:val="nil"/>
              <w:bottom w:val="single" w:sz="4" w:space="0" w:color="auto"/>
              <w:right w:val="single" w:sz="4" w:space="0" w:color="auto"/>
            </w:tcBorders>
            <w:shd w:val="clear" w:color="000000" w:fill="FFFFFF"/>
            <w:noWrap/>
            <w:vAlign w:val="bottom"/>
            <w:hideMark/>
          </w:tcPr>
          <w:p w14:paraId="0F07E2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17 641,9</w:t>
            </w:r>
          </w:p>
        </w:tc>
        <w:tc>
          <w:tcPr>
            <w:tcW w:w="1570" w:type="dxa"/>
            <w:tcBorders>
              <w:top w:val="nil"/>
              <w:left w:val="nil"/>
              <w:bottom w:val="single" w:sz="4" w:space="0" w:color="auto"/>
              <w:right w:val="single" w:sz="4" w:space="0" w:color="auto"/>
            </w:tcBorders>
            <w:shd w:val="clear" w:color="000000" w:fill="FFFFFF"/>
            <w:noWrap/>
            <w:vAlign w:val="bottom"/>
            <w:hideMark/>
          </w:tcPr>
          <w:p w14:paraId="3C92EC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1 445,6</w:t>
            </w:r>
          </w:p>
        </w:tc>
        <w:tc>
          <w:tcPr>
            <w:tcW w:w="2002" w:type="dxa"/>
            <w:tcBorders>
              <w:top w:val="nil"/>
              <w:left w:val="nil"/>
              <w:bottom w:val="single" w:sz="4" w:space="0" w:color="auto"/>
              <w:right w:val="single" w:sz="4" w:space="0" w:color="auto"/>
            </w:tcBorders>
            <w:shd w:val="clear" w:color="000000" w:fill="FFFFFF"/>
            <w:noWrap/>
            <w:vAlign w:val="bottom"/>
            <w:hideMark/>
          </w:tcPr>
          <w:p w14:paraId="6B7810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81889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655,5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068FC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140,1</w:t>
            </w:r>
          </w:p>
        </w:tc>
      </w:tr>
      <w:tr w:rsidR="00761800" w:rsidRPr="00761800" w14:paraId="19A8B5B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8A41A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Mедковец</w:t>
            </w:r>
          </w:p>
        </w:tc>
        <w:tc>
          <w:tcPr>
            <w:tcW w:w="146" w:type="dxa"/>
            <w:tcBorders>
              <w:top w:val="nil"/>
              <w:left w:val="nil"/>
              <w:bottom w:val="single" w:sz="4" w:space="0" w:color="auto"/>
              <w:right w:val="nil"/>
            </w:tcBorders>
            <w:shd w:val="clear" w:color="000000" w:fill="FFFFFF"/>
          </w:tcPr>
          <w:p w14:paraId="0A997A3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CF16D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3 416,2</w:t>
            </w:r>
          </w:p>
        </w:tc>
        <w:tc>
          <w:tcPr>
            <w:tcW w:w="1406" w:type="dxa"/>
            <w:tcBorders>
              <w:top w:val="nil"/>
              <w:left w:val="nil"/>
              <w:bottom w:val="single" w:sz="4" w:space="0" w:color="auto"/>
              <w:right w:val="single" w:sz="4" w:space="0" w:color="auto"/>
            </w:tcBorders>
            <w:shd w:val="clear" w:color="000000" w:fill="FFFFFF"/>
            <w:noWrap/>
            <w:vAlign w:val="bottom"/>
            <w:hideMark/>
          </w:tcPr>
          <w:p w14:paraId="150402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2 653,4</w:t>
            </w:r>
          </w:p>
        </w:tc>
        <w:tc>
          <w:tcPr>
            <w:tcW w:w="1570" w:type="dxa"/>
            <w:tcBorders>
              <w:top w:val="nil"/>
              <w:left w:val="nil"/>
              <w:bottom w:val="single" w:sz="4" w:space="0" w:color="auto"/>
              <w:right w:val="single" w:sz="4" w:space="0" w:color="auto"/>
            </w:tcBorders>
            <w:shd w:val="clear" w:color="000000" w:fill="FFFFFF"/>
            <w:noWrap/>
            <w:vAlign w:val="bottom"/>
            <w:hideMark/>
          </w:tcPr>
          <w:p w14:paraId="55DCF6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497,3</w:t>
            </w:r>
          </w:p>
        </w:tc>
        <w:tc>
          <w:tcPr>
            <w:tcW w:w="2002" w:type="dxa"/>
            <w:tcBorders>
              <w:top w:val="nil"/>
              <w:left w:val="nil"/>
              <w:bottom w:val="single" w:sz="4" w:space="0" w:color="auto"/>
              <w:right w:val="single" w:sz="4" w:space="0" w:color="auto"/>
            </w:tcBorders>
            <w:shd w:val="clear" w:color="000000" w:fill="FFFFFF"/>
            <w:noWrap/>
            <w:vAlign w:val="bottom"/>
            <w:hideMark/>
          </w:tcPr>
          <w:p w14:paraId="18F881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09F95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251,5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5402A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33,5</w:t>
            </w:r>
          </w:p>
        </w:tc>
      </w:tr>
      <w:tr w:rsidR="00761800" w:rsidRPr="00761800" w14:paraId="21835FF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84F51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Mонтана</w:t>
            </w:r>
          </w:p>
        </w:tc>
        <w:tc>
          <w:tcPr>
            <w:tcW w:w="146" w:type="dxa"/>
            <w:tcBorders>
              <w:top w:val="nil"/>
              <w:left w:val="nil"/>
              <w:bottom w:val="single" w:sz="4" w:space="0" w:color="auto"/>
              <w:right w:val="nil"/>
            </w:tcBorders>
            <w:shd w:val="clear" w:color="000000" w:fill="FFFFFF"/>
          </w:tcPr>
          <w:p w14:paraId="15F8203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AF85B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34 194,8</w:t>
            </w:r>
          </w:p>
        </w:tc>
        <w:tc>
          <w:tcPr>
            <w:tcW w:w="1406" w:type="dxa"/>
            <w:tcBorders>
              <w:top w:val="nil"/>
              <w:left w:val="nil"/>
              <w:bottom w:val="single" w:sz="4" w:space="0" w:color="auto"/>
              <w:right w:val="single" w:sz="4" w:space="0" w:color="auto"/>
            </w:tcBorders>
            <w:shd w:val="clear" w:color="000000" w:fill="FFFFFF"/>
            <w:noWrap/>
            <w:vAlign w:val="bottom"/>
            <w:hideMark/>
          </w:tcPr>
          <w:p w14:paraId="54DB64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30 440,2</w:t>
            </w:r>
          </w:p>
        </w:tc>
        <w:tc>
          <w:tcPr>
            <w:tcW w:w="1570" w:type="dxa"/>
            <w:tcBorders>
              <w:top w:val="nil"/>
              <w:left w:val="nil"/>
              <w:bottom w:val="single" w:sz="4" w:space="0" w:color="auto"/>
              <w:right w:val="single" w:sz="4" w:space="0" w:color="auto"/>
            </w:tcBorders>
            <w:shd w:val="clear" w:color="000000" w:fill="FFFFFF"/>
            <w:noWrap/>
            <w:vAlign w:val="bottom"/>
            <w:hideMark/>
          </w:tcPr>
          <w:p w14:paraId="7FA351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2 429,8</w:t>
            </w:r>
          </w:p>
        </w:tc>
        <w:tc>
          <w:tcPr>
            <w:tcW w:w="2002" w:type="dxa"/>
            <w:tcBorders>
              <w:top w:val="nil"/>
              <w:left w:val="nil"/>
              <w:bottom w:val="single" w:sz="4" w:space="0" w:color="auto"/>
              <w:right w:val="single" w:sz="4" w:space="0" w:color="auto"/>
            </w:tcBorders>
            <w:shd w:val="clear" w:color="000000" w:fill="FFFFFF"/>
            <w:noWrap/>
            <w:vAlign w:val="bottom"/>
            <w:hideMark/>
          </w:tcPr>
          <w:p w14:paraId="377EA8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1183C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1 260,2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9D4BD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251,4</w:t>
            </w:r>
          </w:p>
        </w:tc>
      </w:tr>
      <w:tr w:rsidR="00761800" w:rsidRPr="00761800" w14:paraId="5602A3B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80604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Чипровци</w:t>
            </w:r>
          </w:p>
        </w:tc>
        <w:tc>
          <w:tcPr>
            <w:tcW w:w="146" w:type="dxa"/>
            <w:tcBorders>
              <w:top w:val="nil"/>
              <w:left w:val="nil"/>
              <w:bottom w:val="single" w:sz="4" w:space="0" w:color="auto"/>
              <w:right w:val="nil"/>
            </w:tcBorders>
            <w:shd w:val="clear" w:color="000000" w:fill="FFFFFF"/>
          </w:tcPr>
          <w:p w14:paraId="29EAD79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15E9C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2 466,7</w:t>
            </w:r>
          </w:p>
        </w:tc>
        <w:tc>
          <w:tcPr>
            <w:tcW w:w="1406" w:type="dxa"/>
            <w:tcBorders>
              <w:top w:val="nil"/>
              <w:left w:val="nil"/>
              <w:bottom w:val="single" w:sz="4" w:space="0" w:color="auto"/>
              <w:right w:val="single" w:sz="4" w:space="0" w:color="auto"/>
            </w:tcBorders>
            <w:shd w:val="clear" w:color="000000" w:fill="FFFFFF"/>
            <w:noWrap/>
            <w:vAlign w:val="bottom"/>
            <w:hideMark/>
          </w:tcPr>
          <w:p w14:paraId="1599FA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1 666,5</w:t>
            </w:r>
          </w:p>
        </w:tc>
        <w:tc>
          <w:tcPr>
            <w:tcW w:w="1570" w:type="dxa"/>
            <w:tcBorders>
              <w:top w:val="nil"/>
              <w:left w:val="nil"/>
              <w:bottom w:val="single" w:sz="4" w:space="0" w:color="auto"/>
              <w:right w:val="single" w:sz="4" w:space="0" w:color="auto"/>
            </w:tcBorders>
            <w:shd w:val="clear" w:color="000000" w:fill="FFFFFF"/>
            <w:noWrap/>
            <w:vAlign w:val="bottom"/>
            <w:hideMark/>
          </w:tcPr>
          <w:p w14:paraId="4F2476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395,4</w:t>
            </w:r>
          </w:p>
        </w:tc>
        <w:tc>
          <w:tcPr>
            <w:tcW w:w="2002" w:type="dxa"/>
            <w:tcBorders>
              <w:top w:val="nil"/>
              <w:left w:val="nil"/>
              <w:bottom w:val="single" w:sz="4" w:space="0" w:color="auto"/>
              <w:right w:val="single" w:sz="4" w:space="0" w:color="auto"/>
            </w:tcBorders>
            <w:shd w:val="clear" w:color="000000" w:fill="FFFFFF"/>
            <w:noWrap/>
            <w:vAlign w:val="bottom"/>
            <w:hideMark/>
          </w:tcPr>
          <w:p w14:paraId="44E7AE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71928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385,8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B37C8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23,3</w:t>
            </w:r>
          </w:p>
        </w:tc>
      </w:tr>
      <w:tr w:rsidR="00761800" w:rsidRPr="00761800" w14:paraId="2D56E04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E4E98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Якимово</w:t>
            </w:r>
          </w:p>
        </w:tc>
        <w:tc>
          <w:tcPr>
            <w:tcW w:w="146" w:type="dxa"/>
            <w:tcBorders>
              <w:top w:val="nil"/>
              <w:left w:val="nil"/>
              <w:bottom w:val="single" w:sz="4" w:space="0" w:color="auto"/>
              <w:right w:val="nil"/>
            </w:tcBorders>
            <w:shd w:val="clear" w:color="000000" w:fill="FFFFFF"/>
          </w:tcPr>
          <w:p w14:paraId="68428F2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C7B11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2 904,9</w:t>
            </w:r>
          </w:p>
        </w:tc>
        <w:tc>
          <w:tcPr>
            <w:tcW w:w="1406" w:type="dxa"/>
            <w:tcBorders>
              <w:top w:val="nil"/>
              <w:left w:val="nil"/>
              <w:bottom w:val="single" w:sz="4" w:space="0" w:color="auto"/>
              <w:right w:val="single" w:sz="4" w:space="0" w:color="auto"/>
            </w:tcBorders>
            <w:shd w:val="clear" w:color="000000" w:fill="FFFFFF"/>
            <w:noWrap/>
            <w:vAlign w:val="bottom"/>
            <w:hideMark/>
          </w:tcPr>
          <w:p w14:paraId="786C93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2 067,0</w:t>
            </w:r>
          </w:p>
        </w:tc>
        <w:tc>
          <w:tcPr>
            <w:tcW w:w="1570" w:type="dxa"/>
            <w:tcBorders>
              <w:top w:val="nil"/>
              <w:left w:val="nil"/>
              <w:bottom w:val="single" w:sz="4" w:space="0" w:color="auto"/>
              <w:right w:val="single" w:sz="4" w:space="0" w:color="auto"/>
            </w:tcBorders>
            <w:shd w:val="clear" w:color="000000" w:fill="FFFFFF"/>
            <w:noWrap/>
            <w:vAlign w:val="bottom"/>
            <w:hideMark/>
          </w:tcPr>
          <w:p w14:paraId="785E02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542,7</w:t>
            </w:r>
          </w:p>
        </w:tc>
        <w:tc>
          <w:tcPr>
            <w:tcW w:w="2002" w:type="dxa"/>
            <w:tcBorders>
              <w:top w:val="nil"/>
              <w:left w:val="nil"/>
              <w:bottom w:val="single" w:sz="4" w:space="0" w:color="auto"/>
              <w:right w:val="single" w:sz="4" w:space="0" w:color="auto"/>
            </w:tcBorders>
            <w:shd w:val="clear" w:color="000000" w:fill="FFFFFF"/>
            <w:noWrap/>
            <w:vAlign w:val="bottom"/>
            <w:hideMark/>
          </w:tcPr>
          <w:p w14:paraId="49918B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FA2ED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271,9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8897B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w:t>
            </w:r>
          </w:p>
        </w:tc>
      </w:tr>
      <w:tr w:rsidR="00761800" w:rsidRPr="00761800" w14:paraId="7A3F5ED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8E66212"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394D56C8"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70715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15CE61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2976906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448D73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19365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EB2BE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3A00B9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C2659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ОБЛАСТ ПАЗАРДЖИК</w:t>
            </w:r>
          </w:p>
        </w:tc>
        <w:tc>
          <w:tcPr>
            <w:tcW w:w="146" w:type="dxa"/>
            <w:tcBorders>
              <w:top w:val="nil"/>
              <w:left w:val="nil"/>
              <w:bottom w:val="single" w:sz="4" w:space="0" w:color="auto"/>
              <w:right w:val="nil"/>
            </w:tcBorders>
            <w:shd w:val="clear" w:color="000000" w:fill="FFFFFF"/>
          </w:tcPr>
          <w:p w14:paraId="163AC724"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7F670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743EBA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257CDE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427B5FE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21B9C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8453F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9084B0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DE8D6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Батак</w:t>
            </w:r>
          </w:p>
        </w:tc>
        <w:tc>
          <w:tcPr>
            <w:tcW w:w="146" w:type="dxa"/>
            <w:tcBorders>
              <w:top w:val="nil"/>
              <w:left w:val="nil"/>
              <w:bottom w:val="single" w:sz="4" w:space="0" w:color="auto"/>
              <w:right w:val="nil"/>
            </w:tcBorders>
            <w:shd w:val="clear" w:color="000000" w:fill="FFFFFF"/>
          </w:tcPr>
          <w:p w14:paraId="78740D4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72DC9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6 323,7</w:t>
            </w:r>
          </w:p>
        </w:tc>
        <w:tc>
          <w:tcPr>
            <w:tcW w:w="1406" w:type="dxa"/>
            <w:tcBorders>
              <w:top w:val="nil"/>
              <w:left w:val="nil"/>
              <w:bottom w:val="single" w:sz="4" w:space="0" w:color="auto"/>
              <w:right w:val="single" w:sz="4" w:space="0" w:color="auto"/>
            </w:tcBorders>
            <w:shd w:val="clear" w:color="000000" w:fill="FFFFFF"/>
            <w:noWrap/>
            <w:vAlign w:val="bottom"/>
            <w:hideMark/>
          </w:tcPr>
          <w:p w14:paraId="52AAB2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5 477,2</w:t>
            </w:r>
          </w:p>
        </w:tc>
        <w:tc>
          <w:tcPr>
            <w:tcW w:w="1570" w:type="dxa"/>
            <w:tcBorders>
              <w:top w:val="nil"/>
              <w:left w:val="nil"/>
              <w:bottom w:val="single" w:sz="4" w:space="0" w:color="auto"/>
              <w:right w:val="single" w:sz="4" w:space="0" w:color="auto"/>
            </w:tcBorders>
            <w:shd w:val="clear" w:color="000000" w:fill="FFFFFF"/>
            <w:noWrap/>
            <w:vAlign w:val="bottom"/>
            <w:hideMark/>
          </w:tcPr>
          <w:p w14:paraId="798026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450,7</w:t>
            </w:r>
          </w:p>
        </w:tc>
        <w:tc>
          <w:tcPr>
            <w:tcW w:w="2002" w:type="dxa"/>
            <w:tcBorders>
              <w:top w:val="nil"/>
              <w:left w:val="nil"/>
              <w:bottom w:val="single" w:sz="4" w:space="0" w:color="auto"/>
              <w:right w:val="single" w:sz="4" w:space="0" w:color="auto"/>
            </w:tcBorders>
            <w:shd w:val="clear" w:color="000000" w:fill="FFFFFF"/>
            <w:noWrap/>
            <w:vAlign w:val="bottom"/>
            <w:hideMark/>
          </w:tcPr>
          <w:p w14:paraId="445100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2928A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342,3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ACC41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25,9</w:t>
            </w:r>
          </w:p>
        </w:tc>
      </w:tr>
      <w:tr w:rsidR="00761800" w:rsidRPr="00761800" w14:paraId="054E312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E3404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Белово</w:t>
            </w:r>
          </w:p>
        </w:tc>
        <w:tc>
          <w:tcPr>
            <w:tcW w:w="146" w:type="dxa"/>
            <w:tcBorders>
              <w:top w:val="nil"/>
              <w:left w:val="nil"/>
              <w:bottom w:val="single" w:sz="4" w:space="0" w:color="auto"/>
              <w:right w:val="nil"/>
            </w:tcBorders>
            <w:shd w:val="clear" w:color="000000" w:fill="FFFFFF"/>
          </w:tcPr>
          <w:p w14:paraId="4C98716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F433B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5 832,7</w:t>
            </w:r>
          </w:p>
        </w:tc>
        <w:tc>
          <w:tcPr>
            <w:tcW w:w="1406" w:type="dxa"/>
            <w:tcBorders>
              <w:top w:val="nil"/>
              <w:left w:val="nil"/>
              <w:bottom w:val="single" w:sz="4" w:space="0" w:color="auto"/>
              <w:right w:val="single" w:sz="4" w:space="0" w:color="auto"/>
            </w:tcBorders>
            <w:shd w:val="clear" w:color="000000" w:fill="FFFFFF"/>
            <w:noWrap/>
            <w:vAlign w:val="bottom"/>
            <w:hideMark/>
          </w:tcPr>
          <w:p w14:paraId="214BE1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4 758,9</w:t>
            </w:r>
          </w:p>
        </w:tc>
        <w:tc>
          <w:tcPr>
            <w:tcW w:w="1570" w:type="dxa"/>
            <w:tcBorders>
              <w:top w:val="nil"/>
              <w:left w:val="nil"/>
              <w:bottom w:val="single" w:sz="4" w:space="0" w:color="auto"/>
              <w:right w:val="single" w:sz="4" w:space="0" w:color="auto"/>
            </w:tcBorders>
            <w:shd w:val="clear" w:color="000000" w:fill="FFFFFF"/>
            <w:noWrap/>
            <w:vAlign w:val="bottom"/>
            <w:hideMark/>
          </w:tcPr>
          <w:p w14:paraId="7727EB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663,6</w:t>
            </w:r>
          </w:p>
        </w:tc>
        <w:tc>
          <w:tcPr>
            <w:tcW w:w="2002" w:type="dxa"/>
            <w:tcBorders>
              <w:top w:val="nil"/>
              <w:left w:val="nil"/>
              <w:bottom w:val="single" w:sz="4" w:space="0" w:color="auto"/>
              <w:right w:val="single" w:sz="4" w:space="0" w:color="auto"/>
            </w:tcBorders>
            <w:shd w:val="clear" w:color="000000" w:fill="FFFFFF"/>
            <w:noWrap/>
            <w:vAlign w:val="bottom"/>
            <w:hideMark/>
          </w:tcPr>
          <w:p w14:paraId="518F52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2551A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389,3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5EB77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32,4</w:t>
            </w:r>
          </w:p>
        </w:tc>
      </w:tr>
      <w:tr w:rsidR="00761800" w:rsidRPr="00761800" w14:paraId="4656F8E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3C183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Брацигово</w:t>
            </w:r>
          </w:p>
        </w:tc>
        <w:tc>
          <w:tcPr>
            <w:tcW w:w="146" w:type="dxa"/>
            <w:tcBorders>
              <w:top w:val="nil"/>
              <w:left w:val="nil"/>
              <w:bottom w:val="single" w:sz="4" w:space="0" w:color="auto"/>
              <w:right w:val="nil"/>
            </w:tcBorders>
            <w:shd w:val="clear" w:color="000000" w:fill="FFFFFF"/>
          </w:tcPr>
          <w:p w14:paraId="51E87F5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F6A32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6 444,3</w:t>
            </w:r>
          </w:p>
        </w:tc>
        <w:tc>
          <w:tcPr>
            <w:tcW w:w="1406" w:type="dxa"/>
            <w:tcBorders>
              <w:top w:val="nil"/>
              <w:left w:val="nil"/>
              <w:bottom w:val="single" w:sz="4" w:space="0" w:color="auto"/>
              <w:right w:val="single" w:sz="4" w:space="0" w:color="auto"/>
            </w:tcBorders>
            <w:shd w:val="clear" w:color="000000" w:fill="FFFFFF"/>
            <w:noWrap/>
            <w:vAlign w:val="bottom"/>
            <w:hideMark/>
          </w:tcPr>
          <w:p w14:paraId="083188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5 254,5</w:t>
            </w:r>
          </w:p>
        </w:tc>
        <w:tc>
          <w:tcPr>
            <w:tcW w:w="1570" w:type="dxa"/>
            <w:tcBorders>
              <w:top w:val="nil"/>
              <w:left w:val="nil"/>
              <w:bottom w:val="single" w:sz="4" w:space="0" w:color="auto"/>
              <w:right w:val="single" w:sz="4" w:space="0" w:color="auto"/>
            </w:tcBorders>
            <w:shd w:val="clear" w:color="000000" w:fill="FFFFFF"/>
            <w:noWrap/>
            <w:vAlign w:val="bottom"/>
            <w:hideMark/>
          </w:tcPr>
          <w:p w14:paraId="6F4579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695,9</w:t>
            </w:r>
          </w:p>
        </w:tc>
        <w:tc>
          <w:tcPr>
            <w:tcW w:w="2002" w:type="dxa"/>
            <w:tcBorders>
              <w:top w:val="nil"/>
              <w:left w:val="nil"/>
              <w:bottom w:val="single" w:sz="4" w:space="0" w:color="auto"/>
              <w:right w:val="single" w:sz="4" w:space="0" w:color="auto"/>
            </w:tcBorders>
            <w:shd w:val="clear" w:color="000000" w:fill="FFFFFF"/>
            <w:noWrap/>
            <w:vAlign w:val="bottom"/>
            <w:hideMark/>
          </w:tcPr>
          <w:p w14:paraId="575084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6EF29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441,3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008A2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35,6</w:t>
            </w:r>
          </w:p>
        </w:tc>
      </w:tr>
      <w:tr w:rsidR="00761800" w:rsidRPr="00761800" w14:paraId="7DE2820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197BF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Bелинград</w:t>
            </w:r>
          </w:p>
        </w:tc>
        <w:tc>
          <w:tcPr>
            <w:tcW w:w="146" w:type="dxa"/>
            <w:tcBorders>
              <w:top w:val="nil"/>
              <w:left w:val="nil"/>
              <w:bottom w:val="single" w:sz="4" w:space="0" w:color="auto"/>
              <w:right w:val="nil"/>
            </w:tcBorders>
            <w:shd w:val="clear" w:color="000000" w:fill="FFFFFF"/>
          </w:tcPr>
          <w:p w14:paraId="0599E4C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BEA22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26 229,3</w:t>
            </w:r>
          </w:p>
        </w:tc>
        <w:tc>
          <w:tcPr>
            <w:tcW w:w="1406" w:type="dxa"/>
            <w:tcBorders>
              <w:top w:val="nil"/>
              <w:left w:val="nil"/>
              <w:bottom w:val="single" w:sz="4" w:space="0" w:color="auto"/>
              <w:right w:val="single" w:sz="4" w:space="0" w:color="auto"/>
            </w:tcBorders>
            <w:shd w:val="clear" w:color="000000" w:fill="FFFFFF"/>
            <w:noWrap/>
            <w:vAlign w:val="bottom"/>
            <w:hideMark/>
          </w:tcPr>
          <w:p w14:paraId="603C2B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23 917,4</w:t>
            </w:r>
          </w:p>
        </w:tc>
        <w:tc>
          <w:tcPr>
            <w:tcW w:w="1570" w:type="dxa"/>
            <w:tcBorders>
              <w:top w:val="nil"/>
              <w:left w:val="nil"/>
              <w:bottom w:val="single" w:sz="4" w:space="0" w:color="auto"/>
              <w:right w:val="single" w:sz="4" w:space="0" w:color="auto"/>
            </w:tcBorders>
            <w:shd w:val="clear" w:color="000000" w:fill="FFFFFF"/>
            <w:noWrap/>
            <w:vAlign w:val="bottom"/>
            <w:hideMark/>
          </w:tcPr>
          <w:p w14:paraId="7F5FA0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1 290,8</w:t>
            </w:r>
          </w:p>
        </w:tc>
        <w:tc>
          <w:tcPr>
            <w:tcW w:w="2002" w:type="dxa"/>
            <w:tcBorders>
              <w:top w:val="nil"/>
              <w:left w:val="nil"/>
              <w:bottom w:val="single" w:sz="4" w:space="0" w:color="auto"/>
              <w:right w:val="single" w:sz="4" w:space="0" w:color="auto"/>
            </w:tcBorders>
            <w:shd w:val="clear" w:color="000000" w:fill="FFFFFF"/>
            <w:noWrap/>
            <w:vAlign w:val="bottom"/>
            <w:hideMark/>
          </w:tcPr>
          <w:p w14:paraId="1291DE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1203E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963,5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D096E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100,0</w:t>
            </w:r>
          </w:p>
        </w:tc>
      </w:tr>
      <w:tr w:rsidR="00761800" w:rsidRPr="00761800" w14:paraId="4EDDDB5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5A2CF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Лесичово</w:t>
            </w:r>
          </w:p>
        </w:tc>
        <w:tc>
          <w:tcPr>
            <w:tcW w:w="146" w:type="dxa"/>
            <w:tcBorders>
              <w:top w:val="nil"/>
              <w:left w:val="nil"/>
              <w:bottom w:val="single" w:sz="4" w:space="0" w:color="auto"/>
              <w:right w:val="nil"/>
            </w:tcBorders>
            <w:shd w:val="clear" w:color="000000" w:fill="FFFFFF"/>
          </w:tcPr>
          <w:p w14:paraId="02036CC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8704D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5 306,9</w:t>
            </w:r>
          </w:p>
        </w:tc>
        <w:tc>
          <w:tcPr>
            <w:tcW w:w="1406" w:type="dxa"/>
            <w:tcBorders>
              <w:top w:val="nil"/>
              <w:left w:val="nil"/>
              <w:bottom w:val="single" w:sz="4" w:space="0" w:color="auto"/>
              <w:right w:val="single" w:sz="4" w:space="0" w:color="auto"/>
            </w:tcBorders>
            <w:shd w:val="clear" w:color="000000" w:fill="FFFFFF"/>
            <w:noWrap/>
            <w:vAlign w:val="bottom"/>
            <w:hideMark/>
          </w:tcPr>
          <w:p w14:paraId="675EFC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4 266,1</w:t>
            </w:r>
          </w:p>
        </w:tc>
        <w:tc>
          <w:tcPr>
            <w:tcW w:w="1570" w:type="dxa"/>
            <w:tcBorders>
              <w:top w:val="nil"/>
              <w:left w:val="nil"/>
              <w:bottom w:val="single" w:sz="4" w:space="0" w:color="auto"/>
              <w:right w:val="single" w:sz="4" w:space="0" w:color="auto"/>
            </w:tcBorders>
            <w:shd w:val="clear" w:color="000000" w:fill="FFFFFF"/>
            <w:noWrap/>
            <w:vAlign w:val="bottom"/>
            <w:hideMark/>
          </w:tcPr>
          <w:p w14:paraId="421116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575,0</w:t>
            </w:r>
          </w:p>
        </w:tc>
        <w:tc>
          <w:tcPr>
            <w:tcW w:w="2002" w:type="dxa"/>
            <w:tcBorders>
              <w:top w:val="nil"/>
              <w:left w:val="nil"/>
              <w:bottom w:val="single" w:sz="4" w:space="0" w:color="auto"/>
              <w:right w:val="single" w:sz="4" w:space="0" w:color="auto"/>
            </w:tcBorders>
            <w:shd w:val="clear" w:color="000000" w:fill="FFFFFF"/>
            <w:noWrap/>
            <w:vAlign w:val="bottom"/>
            <w:hideMark/>
          </w:tcPr>
          <w:p w14:paraId="2486CA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211C2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420,2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E4D19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13,3</w:t>
            </w:r>
          </w:p>
        </w:tc>
      </w:tr>
      <w:tr w:rsidR="00761800" w:rsidRPr="00761800" w14:paraId="30562A1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0351B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Пазарджик</w:t>
            </w:r>
          </w:p>
        </w:tc>
        <w:tc>
          <w:tcPr>
            <w:tcW w:w="146" w:type="dxa"/>
            <w:tcBorders>
              <w:top w:val="nil"/>
              <w:left w:val="nil"/>
              <w:bottom w:val="single" w:sz="4" w:space="0" w:color="auto"/>
              <w:right w:val="nil"/>
            </w:tcBorders>
            <w:shd w:val="clear" w:color="000000" w:fill="FFFFFF"/>
          </w:tcPr>
          <w:p w14:paraId="005AEE1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B6D40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68 270,3</w:t>
            </w:r>
          </w:p>
        </w:tc>
        <w:tc>
          <w:tcPr>
            <w:tcW w:w="1406" w:type="dxa"/>
            <w:tcBorders>
              <w:top w:val="nil"/>
              <w:left w:val="nil"/>
              <w:bottom w:val="single" w:sz="4" w:space="0" w:color="auto"/>
              <w:right w:val="single" w:sz="4" w:space="0" w:color="auto"/>
            </w:tcBorders>
            <w:shd w:val="clear" w:color="000000" w:fill="FFFFFF"/>
            <w:noWrap/>
            <w:vAlign w:val="bottom"/>
            <w:hideMark/>
          </w:tcPr>
          <w:p w14:paraId="694B70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61 933,4</w:t>
            </w:r>
          </w:p>
        </w:tc>
        <w:tc>
          <w:tcPr>
            <w:tcW w:w="1570" w:type="dxa"/>
            <w:tcBorders>
              <w:top w:val="nil"/>
              <w:left w:val="nil"/>
              <w:bottom w:val="single" w:sz="4" w:space="0" w:color="auto"/>
              <w:right w:val="single" w:sz="4" w:space="0" w:color="auto"/>
            </w:tcBorders>
            <w:shd w:val="clear" w:color="000000" w:fill="FFFFFF"/>
            <w:noWrap/>
            <w:vAlign w:val="bottom"/>
            <w:hideMark/>
          </w:tcPr>
          <w:p w14:paraId="0E168E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4 096,1</w:t>
            </w:r>
          </w:p>
        </w:tc>
        <w:tc>
          <w:tcPr>
            <w:tcW w:w="2002" w:type="dxa"/>
            <w:tcBorders>
              <w:top w:val="nil"/>
              <w:left w:val="nil"/>
              <w:bottom w:val="single" w:sz="4" w:space="0" w:color="auto"/>
              <w:right w:val="single" w:sz="4" w:space="0" w:color="auto"/>
            </w:tcBorders>
            <w:shd w:val="clear" w:color="000000" w:fill="FFFFFF"/>
            <w:noWrap/>
            <w:vAlign w:val="bottom"/>
            <w:hideMark/>
          </w:tcPr>
          <w:p w14:paraId="126193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133,1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4591B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2 107,7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990BA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365,4</w:t>
            </w:r>
          </w:p>
        </w:tc>
      </w:tr>
      <w:tr w:rsidR="00761800" w:rsidRPr="00761800" w14:paraId="6B8A130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4993A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Панагюрище</w:t>
            </w:r>
          </w:p>
        </w:tc>
        <w:tc>
          <w:tcPr>
            <w:tcW w:w="146" w:type="dxa"/>
            <w:tcBorders>
              <w:top w:val="nil"/>
              <w:left w:val="nil"/>
              <w:bottom w:val="single" w:sz="4" w:space="0" w:color="auto"/>
              <w:right w:val="nil"/>
            </w:tcBorders>
            <w:shd w:val="clear" w:color="000000" w:fill="FFFFFF"/>
          </w:tcPr>
          <w:p w14:paraId="3554D71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2CB98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14 251,8</w:t>
            </w:r>
          </w:p>
        </w:tc>
        <w:tc>
          <w:tcPr>
            <w:tcW w:w="1406" w:type="dxa"/>
            <w:tcBorders>
              <w:top w:val="nil"/>
              <w:left w:val="nil"/>
              <w:bottom w:val="single" w:sz="4" w:space="0" w:color="auto"/>
              <w:right w:val="single" w:sz="4" w:space="0" w:color="auto"/>
            </w:tcBorders>
            <w:shd w:val="clear" w:color="000000" w:fill="FFFFFF"/>
            <w:noWrap/>
            <w:vAlign w:val="bottom"/>
            <w:hideMark/>
          </w:tcPr>
          <w:p w14:paraId="27B91E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12 347,4</w:t>
            </w:r>
          </w:p>
        </w:tc>
        <w:tc>
          <w:tcPr>
            <w:tcW w:w="1570" w:type="dxa"/>
            <w:tcBorders>
              <w:top w:val="nil"/>
              <w:left w:val="nil"/>
              <w:bottom w:val="single" w:sz="4" w:space="0" w:color="auto"/>
              <w:right w:val="single" w:sz="4" w:space="0" w:color="auto"/>
            </w:tcBorders>
            <w:shd w:val="clear" w:color="000000" w:fill="FFFFFF"/>
            <w:noWrap/>
            <w:vAlign w:val="bottom"/>
            <w:hideMark/>
          </w:tcPr>
          <w:p w14:paraId="03DD2A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1 226,4</w:t>
            </w:r>
          </w:p>
        </w:tc>
        <w:tc>
          <w:tcPr>
            <w:tcW w:w="2002" w:type="dxa"/>
            <w:tcBorders>
              <w:top w:val="nil"/>
              <w:left w:val="nil"/>
              <w:bottom w:val="single" w:sz="4" w:space="0" w:color="auto"/>
              <w:right w:val="single" w:sz="4" w:space="0" w:color="auto"/>
            </w:tcBorders>
            <w:shd w:val="clear" w:color="000000" w:fill="FFFFFF"/>
            <w:noWrap/>
            <w:vAlign w:val="bottom"/>
            <w:hideMark/>
          </w:tcPr>
          <w:p w14:paraId="56A221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4EE75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624,2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B0CF7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184,5</w:t>
            </w:r>
          </w:p>
        </w:tc>
      </w:tr>
      <w:tr w:rsidR="00761800" w:rsidRPr="00761800" w14:paraId="71FB459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B0A26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Пещера</w:t>
            </w:r>
          </w:p>
        </w:tc>
        <w:tc>
          <w:tcPr>
            <w:tcW w:w="146" w:type="dxa"/>
            <w:tcBorders>
              <w:top w:val="nil"/>
              <w:left w:val="nil"/>
              <w:bottom w:val="single" w:sz="4" w:space="0" w:color="auto"/>
              <w:right w:val="nil"/>
            </w:tcBorders>
            <w:shd w:val="clear" w:color="000000" w:fill="FFFFFF"/>
          </w:tcPr>
          <w:p w14:paraId="3F68673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34B95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11 435,3</w:t>
            </w:r>
          </w:p>
        </w:tc>
        <w:tc>
          <w:tcPr>
            <w:tcW w:w="1406" w:type="dxa"/>
            <w:tcBorders>
              <w:top w:val="nil"/>
              <w:left w:val="nil"/>
              <w:bottom w:val="single" w:sz="4" w:space="0" w:color="auto"/>
              <w:right w:val="single" w:sz="4" w:space="0" w:color="auto"/>
            </w:tcBorders>
            <w:shd w:val="clear" w:color="000000" w:fill="FFFFFF"/>
            <w:noWrap/>
            <w:vAlign w:val="bottom"/>
            <w:hideMark/>
          </w:tcPr>
          <w:p w14:paraId="25B3FD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10 300,1</w:t>
            </w:r>
          </w:p>
        </w:tc>
        <w:tc>
          <w:tcPr>
            <w:tcW w:w="1570" w:type="dxa"/>
            <w:tcBorders>
              <w:top w:val="nil"/>
              <w:left w:val="nil"/>
              <w:bottom w:val="single" w:sz="4" w:space="0" w:color="auto"/>
              <w:right w:val="single" w:sz="4" w:space="0" w:color="auto"/>
            </w:tcBorders>
            <w:shd w:val="clear" w:color="000000" w:fill="FFFFFF"/>
            <w:noWrap/>
            <w:vAlign w:val="bottom"/>
            <w:hideMark/>
          </w:tcPr>
          <w:p w14:paraId="051252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714,1</w:t>
            </w:r>
          </w:p>
        </w:tc>
        <w:tc>
          <w:tcPr>
            <w:tcW w:w="2002" w:type="dxa"/>
            <w:tcBorders>
              <w:top w:val="nil"/>
              <w:left w:val="nil"/>
              <w:bottom w:val="single" w:sz="4" w:space="0" w:color="auto"/>
              <w:right w:val="single" w:sz="4" w:space="0" w:color="auto"/>
            </w:tcBorders>
            <w:shd w:val="clear" w:color="000000" w:fill="FFFFFF"/>
            <w:noWrap/>
            <w:vAlign w:val="bottom"/>
            <w:hideMark/>
          </w:tcPr>
          <w:p w14:paraId="2AE1A7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DE540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377,8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EE994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148,0</w:t>
            </w:r>
          </w:p>
        </w:tc>
      </w:tr>
      <w:tr w:rsidR="00761800" w:rsidRPr="00761800" w14:paraId="6C0D87A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FA977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Pакитово</w:t>
            </w:r>
          </w:p>
        </w:tc>
        <w:tc>
          <w:tcPr>
            <w:tcW w:w="146" w:type="dxa"/>
            <w:tcBorders>
              <w:top w:val="nil"/>
              <w:left w:val="nil"/>
              <w:bottom w:val="single" w:sz="4" w:space="0" w:color="auto"/>
              <w:right w:val="nil"/>
            </w:tcBorders>
            <w:shd w:val="clear" w:color="000000" w:fill="FFFFFF"/>
          </w:tcPr>
          <w:p w14:paraId="334D60D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A892F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11 324,8</w:t>
            </w:r>
          </w:p>
        </w:tc>
        <w:tc>
          <w:tcPr>
            <w:tcW w:w="1406" w:type="dxa"/>
            <w:tcBorders>
              <w:top w:val="nil"/>
              <w:left w:val="nil"/>
              <w:bottom w:val="single" w:sz="4" w:space="0" w:color="auto"/>
              <w:right w:val="single" w:sz="4" w:space="0" w:color="auto"/>
            </w:tcBorders>
            <w:shd w:val="clear" w:color="000000" w:fill="FFFFFF"/>
            <w:noWrap/>
            <w:vAlign w:val="bottom"/>
            <w:hideMark/>
          </w:tcPr>
          <w:p w14:paraId="3BEE98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9 639,5</w:t>
            </w:r>
          </w:p>
        </w:tc>
        <w:tc>
          <w:tcPr>
            <w:tcW w:w="1570" w:type="dxa"/>
            <w:tcBorders>
              <w:top w:val="nil"/>
              <w:left w:val="nil"/>
              <w:bottom w:val="single" w:sz="4" w:space="0" w:color="auto"/>
              <w:right w:val="single" w:sz="4" w:space="0" w:color="auto"/>
            </w:tcBorders>
            <w:shd w:val="clear" w:color="000000" w:fill="FFFFFF"/>
            <w:noWrap/>
            <w:vAlign w:val="bottom"/>
            <w:hideMark/>
          </w:tcPr>
          <w:p w14:paraId="4B59C6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1 125,1</w:t>
            </w:r>
          </w:p>
        </w:tc>
        <w:tc>
          <w:tcPr>
            <w:tcW w:w="2002" w:type="dxa"/>
            <w:tcBorders>
              <w:top w:val="nil"/>
              <w:left w:val="nil"/>
              <w:bottom w:val="single" w:sz="4" w:space="0" w:color="auto"/>
              <w:right w:val="single" w:sz="4" w:space="0" w:color="auto"/>
            </w:tcBorders>
            <w:shd w:val="clear" w:color="000000" w:fill="FFFFFF"/>
            <w:noWrap/>
            <w:vAlign w:val="bottom"/>
            <w:hideMark/>
          </w:tcPr>
          <w:p w14:paraId="4E123B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C8CE5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468,0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4423C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63,6</w:t>
            </w:r>
          </w:p>
        </w:tc>
      </w:tr>
      <w:tr w:rsidR="00761800" w:rsidRPr="00761800" w14:paraId="22FFC2D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E1B46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Cептември</w:t>
            </w:r>
          </w:p>
        </w:tc>
        <w:tc>
          <w:tcPr>
            <w:tcW w:w="146" w:type="dxa"/>
            <w:tcBorders>
              <w:top w:val="nil"/>
              <w:left w:val="nil"/>
              <w:bottom w:val="single" w:sz="4" w:space="0" w:color="auto"/>
              <w:right w:val="nil"/>
            </w:tcBorders>
            <w:shd w:val="clear" w:color="000000" w:fill="FFFFFF"/>
          </w:tcPr>
          <w:p w14:paraId="575E15B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F73CA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16 303,4</w:t>
            </w:r>
          </w:p>
        </w:tc>
        <w:tc>
          <w:tcPr>
            <w:tcW w:w="1406" w:type="dxa"/>
            <w:tcBorders>
              <w:top w:val="nil"/>
              <w:left w:val="nil"/>
              <w:bottom w:val="single" w:sz="4" w:space="0" w:color="auto"/>
              <w:right w:val="single" w:sz="4" w:space="0" w:color="auto"/>
            </w:tcBorders>
            <w:shd w:val="clear" w:color="000000" w:fill="FFFFFF"/>
            <w:noWrap/>
            <w:vAlign w:val="bottom"/>
            <w:hideMark/>
          </w:tcPr>
          <w:p w14:paraId="281A19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13 916,9</w:t>
            </w:r>
          </w:p>
        </w:tc>
        <w:tc>
          <w:tcPr>
            <w:tcW w:w="1570" w:type="dxa"/>
            <w:tcBorders>
              <w:top w:val="nil"/>
              <w:left w:val="nil"/>
              <w:bottom w:val="single" w:sz="4" w:space="0" w:color="auto"/>
              <w:right w:val="single" w:sz="4" w:space="0" w:color="auto"/>
            </w:tcBorders>
            <w:shd w:val="clear" w:color="000000" w:fill="FFFFFF"/>
            <w:noWrap/>
            <w:vAlign w:val="bottom"/>
            <w:hideMark/>
          </w:tcPr>
          <w:p w14:paraId="0C3EFB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1 482,1</w:t>
            </w:r>
          </w:p>
        </w:tc>
        <w:tc>
          <w:tcPr>
            <w:tcW w:w="2002" w:type="dxa"/>
            <w:tcBorders>
              <w:top w:val="nil"/>
              <w:left w:val="nil"/>
              <w:bottom w:val="single" w:sz="4" w:space="0" w:color="auto"/>
              <w:right w:val="single" w:sz="4" w:space="0" w:color="auto"/>
            </w:tcBorders>
            <w:shd w:val="clear" w:color="000000" w:fill="FFFFFF"/>
            <w:noWrap/>
            <w:vAlign w:val="bottom"/>
            <w:hideMark/>
          </w:tcPr>
          <w:p w14:paraId="673050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39D35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828,2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11523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43,7</w:t>
            </w:r>
          </w:p>
        </w:tc>
      </w:tr>
      <w:tr w:rsidR="00761800" w:rsidRPr="00761800" w14:paraId="515383E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8E358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Cтрелча</w:t>
            </w:r>
          </w:p>
        </w:tc>
        <w:tc>
          <w:tcPr>
            <w:tcW w:w="146" w:type="dxa"/>
            <w:tcBorders>
              <w:top w:val="nil"/>
              <w:left w:val="nil"/>
              <w:bottom w:val="single" w:sz="4" w:space="0" w:color="auto"/>
              <w:right w:val="nil"/>
            </w:tcBorders>
            <w:shd w:val="clear" w:color="000000" w:fill="FFFFFF"/>
          </w:tcPr>
          <w:p w14:paraId="54BB7F8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818E5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3 973,4</w:t>
            </w:r>
          </w:p>
        </w:tc>
        <w:tc>
          <w:tcPr>
            <w:tcW w:w="1406" w:type="dxa"/>
            <w:tcBorders>
              <w:top w:val="nil"/>
              <w:left w:val="nil"/>
              <w:bottom w:val="single" w:sz="4" w:space="0" w:color="auto"/>
              <w:right w:val="single" w:sz="4" w:space="0" w:color="auto"/>
            </w:tcBorders>
            <w:shd w:val="clear" w:color="000000" w:fill="FFFFFF"/>
            <w:noWrap/>
            <w:vAlign w:val="bottom"/>
            <w:hideMark/>
          </w:tcPr>
          <w:p w14:paraId="2E3A1E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3 264,6</w:t>
            </w:r>
          </w:p>
        </w:tc>
        <w:tc>
          <w:tcPr>
            <w:tcW w:w="1570" w:type="dxa"/>
            <w:tcBorders>
              <w:top w:val="nil"/>
              <w:left w:val="nil"/>
              <w:bottom w:val="single" w:sz="4" w:space="0" w:color="auto"/>
              <w:right w:val="single" w:sz="4" w:space="0" w:color="auto"/>
            </w:tcBorders>
            <w:shd w:val="clear" w:color="000000" w:fill="FFFFFF"/>
            <w:noWrap/>
            <w:vAlign w:val="bottom"/>
            <w:hideMark/>
          </w:tcPr>
          <w:p w14:paraId="06AB27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426,4</w:t>
            </w:r>
          </w:p>
        </w:tc>
        <w:tc>
          <w:tcPr>
            <w:tcW w:w="2002" w:type="dxa"/>
            <w:tcBorders>
              <w:top w:val="nil"/>
              <w:left w:val="nil"/>
              <w:bottom w:val="single" w:sz="4" w:space="0" w:color="auto"/>
              <w:right w:val="single" w:sz="4" w:space="0" w:color="auto"/>
            </w:tcBorders>
            <w:shd w:val="clear" w:color="000000" w:fill="FFFFFF"/>
            <w:noWrap/>
            <w:vAlign w:val="bottom"/>
            <w:hideMark/>
          </w:tcPr>
          <w:p w14:paraId="6F10AA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D582A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268,0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A5EC9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58,7</w:t>
            </w:r>
          </w:p>
        </w:tc>
      </w:tr>
      <w:tr w:rsidR="00761800" w:rsidRPr="00761800" w14:paraId="4829AB8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BF958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Сърница</w:t>
            </w:r>
          </w:p>
        </w:tc>
        <w:tc>
          <w:tcPr>
            <w:tcW w:w="146" w:type="dxa"/>
            <w:tcBorders>
              <w:top w:val="nil"/>
              <w:left w:val="nil"/>
              <w:bottom w:val="single" w:sz="4" w:space="0" w:color="auto"/>
              <w:right w:val="nil"/>
            </w:tcBorders>
            <w:shd w:val="clear" w:color="000000" w:fill="FFFFFF"/>
          </w:tcPr>
          <w:p w14:paraId="77D6E03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96441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4 307,5</w:t>
            </w:r>
          </w:p>
        </w:tc>
        <w:tc>
          <w:tcPr>
            <w:tcW w:w="1406" w:type="dxa"/>
            <w:tcBorders>
              <w:top w:val="nil"/>
              <w:left w:val="nil"/>
              <w:bottom w:val="single" w:sz="4" w:space="0" w:color="auto"/>
              <w:right w:val="single" w:sz="4" w:space="0" w:color="auto"/>
            </w:tcBorders>
            <w:shd w:val="clear" w:color="000000" w:fill="FFFFFF"/>
            <w:noWrap/>
            <w:vAlign w:val="bottom"/>
            <w:hideMark/>
          </w:tcPr>
          <w:p w14:paraId="662BC2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3 524,5</w:t>
            </w:r>
          </w:p>
        </w:tc>
        <w:tc>
          <w:tcPr>
            <w:tcW w:w="1570" w:type="dxa"/>
            <w:tcBorders>
              <w:top w:val="nil"/>
              <w:left w:val="nil"/>
              <w:bottom w:val="single" w:sz="4" w:space="0" w:color="auto"/>
              <w:right w:val="single" w:sz="4" w:space="0" w:color="auto"/>
            </w:tcBorders>
            <w:shd w:val="clear" w:color="000000" w:fill="FFFFFF"/>
            <w:noWrap/>
            <w:vAlign w:val="bottom"/>
            <w:hideMark/>
          </w:tcPr>
          <w:p w14:paraId="37E3F4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491,2</w:t>
            </w:r>
          </w:p>
        </w:tc>
        <w:tc>
          <w:tcPr>
            <w:tcW w:w="2002" w:type="dxa"/>
            <w:tcBorders>
              <w:top w:val="nil"/>
              <w:left w:val="nil"/>
              <w:bottom w:val="single" w:sz="4" w:space="0" w:color="auto"/>
              <w:right w:val="single" w:sz="4" w:space="0" w:color="auto"/>
            </w:tcBorders>
            <w:shd w:val="clear" w:color="000000" w:fill="FFFFFF"/>
            <w:noWrap/>
            <w:vAlign w:val="bottom"/>
            <w:hideMark/>
          </w:tcPr>
          <w:p w14:paraId="3F1DDF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80C01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254,1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FB119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14,3</w:t>
            </w:r>
          </w:p>
        </w:tc>
      </w:tr>
      <w:tr w:rsidR="00761800" w:rsidRPr="00761800" w14:paraId="4B69B5D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1A69C7C"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46" w:type="dxa"/>
            <w:tcBorders>
              <w:top w:val="nil"/>
              <w:left w:val="nil"/>
              <w:bottom w:val="single" w:sz="4" w:space="0" w:color="auto"/>
              <w:right w:val="nil"/>
            </w:tcBorders>
            <w:shd w:val="clear" w:color="000000" w:fill="FFFFFF"/>
          </w:tcPr>
          <w:p w14:paraId="6FCE023B"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D3892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0E6035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1BF893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2A36EBA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7FC20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E728B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B8E96E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17139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ПЕРНИК</w:t>
            </w:r>
          </w:p>
        </w:tc>
        <w:tc>
          <w:tcPr>
            <w:tcW w:w="146" w:type="dxa"/>
            <w:tcBorders>
              <w:top w:val="nil"/>
              <w:left w:val="nil"/>
              <w:bottom w:val="single" w:sz="4" w:space="0" w:color="auto"/>
              <w:right w:val="nil"/>
            </w:tcBorders>
            <w:shd w:val="clear" w:color="000000" w:fill="FFFFFF"/>
          </w:tcPr>
          <w:p w14:paraId="5FBD282F"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6BB8A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13C06B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57E79F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6BDCFC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7C459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2AFC1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A9C86A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83EBF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Брезник</w:t>
            </w:r>
          </w:p>
        </w:tc>
        <w:tc>
          <w:tcPr>
            <w:tcW w:w="146" w:type="dxa"/>
            <w:tcBorders>
              <w:top w:val="nil"/>
              <w:left w:val="nil"/>
              <w:bottom w:val="single" w:sz="4" w:space="0" w:color="auto"/>
              <w:right w:val="nil"/>
            </w:tcBorders>
            <w:shd w:val="clear" w:color="000000" w:fill="FFFFFF"/>
          </w:tcPr>
          <w:p w14:paraId="1A52FC0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C9BF0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6 458,9</w:t>
            </w:r>
          </w:p>
        </w:tc>
        <w:tc>
          <w:tcPr>
            <w:tcW w:w="1406" w:type="dxa"/>
            <w:tcBorders>
              <w:top w:val="nil"/>
              <w:left w:val="nil"/>
              <w:bottom w:val="single" w:sz="4" w:space="0" w:color="auto"/>
              <w:right w:val="single" w:sz="4" w:space="0" w:color="auto"/>
            </w:tcBorders>
            <w:shd w:val="clear" w:color="000000" w:fill="FFFFFF"/>
            <w:noWrap/>
            <w:vAlign w:val="bottom"/>
            <w:hideMark/>
          </w:tcPr>
          <w:p w14:paraId="056891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4 531,6</w:t>
            </w:r>
          </w:p>
        </w:tc>
        <w:tc>
          <w:tcPr>
            <w:tcW w:w="1570" w:type="dxa"/>
            <w:tcBorders>
              <w:top w:val="nil"/>
              <w:left w:val="nil"/>
              <w:bottom w:val="single" w:sz="4" w:space="0" w:color="auto"/>
              <w:right w:val="single" w:sz="4" w:space="0" w:color="auto"/>
            </w:tcBorders>
            <w:shd w:val="clear" w:color="000000" w:fill="FFFFFF"/>
            <w:noWrap/>
            <w:vAlign w:val="bottom"/>
            <w:hideMark/>
          </w:tcPr>
          <w:p w14:paraId="17A245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671,6</w:t>
            </w:r>
          </w:p>
        </w:tc>
        <w:tc>
          <w:tcPr>
            <w:tcW w:w="2002" w:type="dxa"/>
            <w:tcBorders>
              <w:top w:val="nil"/>
              <w:left w:val="nil"/>
              <w:bottom w:val="single" w:sz="4" w:space="0" w:color="auto"/>
              <w:right w:val="single" w:sz="4" w:space="0" w:color="auto"/>
            </w:tcBorders>
            <w:shd w:val="clear" w:color="000000" w:fill="FFFFFF"/>
            <w:noWrap/>
            <w:vAlign w:val="bottom"/>
            <w:hideMark/>
          </w:tcPr>
          <w:p w14:paraId="475E5C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190,4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A17AB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1 065,3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92990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43,7</w:t>
            </w:r>
          </w:p>
        </w:tc>
      </w:tr>
      <w:tr w:rsidR="00761800" w:rsidRPr="00761800" w14:paraId="3293D4E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1E6D5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Земен</w:t>
            </w:r>
          </w:p>
        </w:tc>
        <w:tc>
          <w:tcPr>
            <w:tcW w:w="146" w:type="dxa"/>
            <w:tcBorders>
              <w:top w:val="nil"/>
              <w:left w:val="nil"/>
              <w:bottom w:val="single" w:sz="4" w:space="0" w:color="auto"/>
              <w:right w:val="nil"/>
            </w:tcBorders>
            <w:shd w:val="clear" w:color="000000" w:fill="FFFFFF"/>
          </w:tcPr>
          <w:p w14:paraId="4FA387E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FA1C8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2 683,2</w:t>
            </w:r>
          </w:p>
        </w:tc>
        <w:tc>
          <w:tcPr>
            <w:tcW w:w="1406" w:type="dxa"/>
            <w:tcBorders>
              <w:top w:val="nil"/>
              <w:left w:val="nil"/>
              <w:bottom w:val="single" w:sz="4" w:space="0" w:color="auto"/>
              <w:right w:val="single" w:sz="4" w:space="0" w:color="auto"/>
            </w:tcBorders>
            <w:shd w:val="clear" w:color="000000" w:fill="FFFFFF"/>
            <w:noWrap/>
            <w:vAlign w:val="bottom"/>
            <w:hideMark/>
          </w:tcPr>
          <w:p w14:paraId="0CA784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1 658,4</w:t>
            </w:r>
          </w:p>
        </w:tc>
        <w:tc>
          <w:tcPr>
            <w:tcW w:w="1570" w:type="dxa"/>
            <w:tcBorders>
              <w:top w:val="nil"/>
              <w:left w:val="nil"/>
              <w:bottom w:val="single" w:sz="4" w:space="0" w:color="auto"/>
              <w:right w:val="single" w:sz="4" w:space="0" w:color="auto"/>
            </w:tcBorders>
            <w:shd w:val="clear" w:color="000000" w:fill="FFFFFF"/>
            <w:noWrap/>
            <w:vAlign w:val="bottom"/>
            <w:hideMark/>
          </w:tcPr>
          <w:p w14:paraId="11A504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428,0</w:t>
            </w:r>
          </w:p>
        </w:tc>
        <w:tc>
          <w:tcPr>
            <w:tcW w:w="2002" w:type="dxa"/>
            <w:tcBorders>
              <w:top w:val="nil"/>
              <w:left w:val="nil"/>
              <w:bottom w:val="single" w:sz="4" w:space="0" w:color="auto"/>
              <w:right w:val="single" w:sz="4" w:space="0" w:color="auto"/>
            </w:tcBorders>
            <w:shd w:val="clear" w:color="000000" w:fill="FFFFFF"/>
            <w:noWrap/>
            <w:vAlign w:val="bottom"/>
            <w:hideMark/>
          </w:tcPr>
          <w:p w14:paraId="02B3E7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AC065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537,6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20F5D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19,8</w:t>
            </w:r>
          </w:p>
        </w:tc>
      </w:tr>
      <w:tr w:rsidR="00761800" w:rsidRPr="00761800" w14:paraId="4A203FE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C5C2A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Kовачевци</w:t>
            </w:r>
          </w:p>
        </w:tc>
        <w:tc>
          <w:tcPr>
            <w:tcW w:w="146" w:type="dxa"/>
            <w:tcBorders>
              <w:top w:val="nil"/>
              <w:left w:val="nil"/>
              <w:bottom w:val="single" w:sz="4" w:space="0" w:color="auto"/>
              <w:right w:val="nil"/>
            </w:tcBorders>
            <w:shd w:val="clear" w:color="000000" w:fill="FFFFFF"/>
          </w:tcPr>
          <w:p w14:paraId="26D9C56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B77F5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2 707,8</w:t>
            </w:r>
          </w:p>
        </w:tc>
        <w:tc>
          <w:tcPr>
            <w:tcW w:w="1406" w:type="dxa"/>
            <w:tcBorders>
              <w:top w:val="nil"/>
              <w:left w:val="nil"/>
              <w:bottom w:val="single" w:sz="4" w:space="0" w:color="auto"/>
              <w:right w:val="single" w:sz="4" w:space="0" w:color="auto"/>
            </w:tcBorders>
            <w:shd w:val="clear" w:color="000000" w:fill="FFFFFF"/>
            <w:noWrap/>
            <w:vAlign w:val="bottom"/>
            <w:hideMark/>
          </w:tcPr>
          <w:p w14:paraId="1405FF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1 713,6</w:t>
            </w:r>
          </w:p>
        </w:tc>
        <w:tc>
          <w:tcPr>
            <w:tcW w:w="1570" w:type="dxa"/>
            <w:tcBorders>
              <w:top w:val="nil"/>
              <w:left w:val="nil"/>
              <w:bottom w:val="single" w:sz="4" w:space="0" w:color="auto"/>
              <w:right w:val="single" w:sz="4" w:space="0" w:color="auto"/>
            </w:tcBorders>
            <w:shd w:val="clear" w:color="000000" w:fill="FFFFFF"/>
            <w:noWrap/>
            <w:vAlign w:val="bottom"/>
            <w:hideMark/>
          </w:tcPr>
          <w:p w14:paraId="452087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261,4</w:t>
            </w:r>
          </w:p>
        </w:tc>
        <w:tc>
          <w:tcPr>
            <w:tcW w:w="2002" w:type="dxa"/>
            <w:tcBorders>
              <w:top w:val="nil"/>
              <w:left w:val="nil"/>
              <w:bottom w:val="single" w:sz="4" w:space="0" w:color="auto"/>
              <w:right w:val="single" w:sz="4" w:space="0" w:color="auto"/>
            </w:tcBorders>
            <w:shd w:val="clear" w:color="000000" w:fill="FFFFFF"/>
            <w:noWrap/>
            <w:vAlign w:val="bottom"/>
            <w:hideMark/>
          </w:tcPr>
          <w:p w14:paraId="0C080C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143,8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BD5BD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589,0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1E35A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15,5</w:t>
            </w:r>
          </w:p>
        </w:tc>
      </w:tr>
      <w:tr w:rsidR="00761800" w:rsidRPr="00761800" w14:paraId="4886542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24110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Перник</w:t>
            </w:r>
          </w:p>
        </w:tc>
        <w:tc>
          <w:tcPr>
            <w:tcW w:w="146" w:type="dxa"/>
            <w:tcBorders>
              <w:top w:val="nil"/>
              <w:left w:val="nil"/>
              <w:bottom w:val="single" w:sz="4" w:space="0" w:color="auto"/>
              <w:right w:val="nil"/>
            </w:tcBorders>
            <w:shd w:val="clear" w:color="000000" w:fill="FFFFFF"/>
          </w:tcPr>
          <w:p w14:paraId="25213C8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71C1A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54 841,0</w:t>
            </w:r>
          </w:p>
        </w:tc>
        <w:tc>
          <w:tcPr>
            <w:tcW w:w="1406" w:type="dxa"/>
            <w:tcBorders>
              <w:top w:val="nil"/>
              <w:left w:val="nil"/>
              <w:bottom w:val="single" w:sz="4" w:space="0" w:color="auto"/>
              <w:right w:val="single" w:sz="4" w:space="0" w:color="auto"/>
            </w:tcBorders>
            <w:shd w:val="clear" w:color="000000" w:fill="FFFFFF"/>
            <w:noWrap/>
            <w:vAlign w:val="bottom"/>
            <w:hideMark/>
          </w:tcPr>
          <w:p w14:paraId="5C204D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50 152,3</w:t>
            </w:r>
          </w:p>
        </w:tc>
        <w:tc>
          <w:tcPr>
            <w:tcW w:w="1570" w:type="dxa"/>
            <w:tcBorders>
              <w:top w:val="nil"/>
              <w:left w:val="nil"/>
              <w:bottom w:val="single" w:sz="4" w:space="0" w:color="auto"/>
              <w:right w:val="single" w:sz="4" w:space="0" w:color="auto"/>
            </w:tcBorders>
            <w:shd w:val="clear" w:color="000000" w:fill="FFFFFF"/>
            <w:noWrap/>
            <w:vAlign w:val="bottom"/>
            <w:hideMark/>
          </w:tcPr>
          <w:p w14:paraId="5E3A92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2 858,5</w:t>
            </w:r>
          </w:p>
        </w:tc>
        <w:tc>
          <w:tcPr>
            <w:tcW w:w="2002" w:type="dxa"/>
            <w:tcBorders>
              <w:top w:val="nil"/>
              <w:left w:val="nil"/>
              <w:bottom w:val="single" w:sz="4" w:space="0" w:color="auto"/>
              <w:right w:val="single" w:sz="4" w:space="0" w:color="auto"/>
            </w:tcBorders>
            <w:shd w:val="clear" w:color="000000" w:fill="FFFFFF"/>
            <w:noWrap/>
            <w:vAlign w:val="bottom"/>
            <w:hideMark/>
          </w:tcPr>
          <w:p w14:paraId="08223A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143,2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433BB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1 687,0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FB687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307,6</w:t>
            </w:r>
          </w:p>
        </w:tc>
      </w:tr>
      <w:tr w:rsidR="00761800" w:rsidRPr="00761800" w14:paraId="4A7AB11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457C2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Pадомир</w:t>
            </w:r>
          </w:p>
        </w:tc>
        <w:tc>
          <w:tcPr>
            <w:tcW w:w="146" w:type="dxa"/>
            <w:tcBorders>
              <w:top w:val="nil"/>
              <w:left w:val="nil"/>
              <w:bottom w:val="single" w:sz="4" w:space="0" w:color="auto"/>
              <w:right w:val="nil"/>
            </w:tcBorders>
            <w:shd w:val="clear" w:color="000000" w:fill="FFFFFF"/>
          </w:tcPr>
          <w:p w14:paraId="15C4CA4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991C1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14 187,7</w:t>
            </w:r>
          </w:p>
        </w:tc>
        <w:tc>
          <w:tcPr>
            <w:tcW w:w="1406" w:type="dxa"/>
            <w:tcBorders>
              <w:top w:val="nil"/>
              <w:left w:val="nil"/>
              <w:bottom w:val="single" w:sz="4" w:space="0" w:color="auto"/>
              <w:right w:val="single" w:sz="4" w:space="0" w:color="auto"/>
            </w:tcBorders>
            <w:shd w:val="clear" w:color="000000" w:fill="FFFFFF"/>
            <w:noWrap/>
            <w:vAlign w:val="bottom"/>
            <w:hideMark/>
          </w:tcPr>
          <w:p w14:paraId="27C355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11 838,1</w:t>
            </w:r>
          </w:p>
        </w:tc>
        <w:tc>
          <w:tcPr>
            <w:tcW w:w="1570" w:type="dxa"/>
            <w:tcBorders>
              <w:top w:val="nil"/>
              <w:left w:val="nil"/>
              <w:bottom w:val="single" w:sz="4" w:space="0" w:color="auto"/>
              <w:right w:val="single" w:sz="4" w:space="0" w:color="auto"/>
            </w:tcBorders>
            <w:shd w:val="clear" w:color="000000" w:fill="FFFFFF"/>
            <w:noWrap/>
            <w:vAlign w:val="bottom"/>
            <w:hideMark/>
          </w:tcPr>
          <w:p w14:paraId="0BA917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972,4</w:t>
            </w:r>
          </w:p>
        </w:tc>
        <w:tc>
          <w:tcPr>
            <w:tcW w:w="2002" w:type="dxa"/>
            <w:tcBorders>
              <w:top w:val="nil"/>
              <w:left w:val="nil"/>
              <w:bottom w:val="single" w:sz="4" w:space="0" w:color="auto"/>
              <w:right w:val="single" w:sz="4" w:space="0" w:color="auto"/>
            </w:tcBorders>
            <w:shd w:val="clear" w:color="000000" w:fill="FFFFFF"/>
            <w:noWrap/>
            <w:vAlign w:val="bottom"/>
            <w:hideMark/>
          </w:tcPr>
          <w:p w14:paraId="70E7AD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3000F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1 248,9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462B9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70,6</w:t>
            </w:r>
          </w:p>
        </w:tc>
      </w:tr>
      <w:tr w:rsidR="00761800" w:rsidRPr="00761800" w14:paraId="1953A8E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FE89E8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Tрън</w:t>
            </w:r>
          </w:p>
        </w:tc>
        <w:tc>
          <w:tcPr>
            <w:tcW w:w="146" w:type="dxa"/>
            <w:tcBorders>
              <w:top w:val="nil"/>
              <w:left w:val="nil"/>
              <w:bottom w:val="single" w:sz="4" w:space="0" w:color="auto"/>
              <w:right w:val="nil"/>
            </w:tcBorders>
            <w:shd w:val="clear" w:color="000000" w:fill="FFFFFF"/>
          </w:tcPr>
          <w:p w14:paraId="7A15FBA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8641D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5 625,5</w:t>
            </w:r>
          </w:p>
        </w:tc>
        <w:tc>
          <w:tcPr>
            <w:tcW w:w="1406" w:type="dxa"/>
            <w:tcBorders>
              <w:top w:val="nil"/>
              <w:left w:val="nil"/>
              <w:bottom w:val="single" w:sz="4" w:space="0" w:color="auto"/>
              <w:right w:val="single" w:sz="4" w:space="0" w:color="auto"/>
            </w:tcBorders>
            <w:shd w:val="clear" w:color="000000" w:fill="FFFFFF"/>
            <w:noWrap/>
            <w:vAlign w:val="bottom"/>
            <w:hideMark/>
          </w:tcPr>
          <w:p w14:paraId="73C787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3 536,8</w:t>
            </w:r>
          </w:p>
        </w:tc>
        <w:tc>
          <w:tcPr>
            <w:tcW w:w="1570" w:type="dxa"/>
            <w:tcBorders>
              <w:top w:val="nil"/>
              <w:left w:val="nil"/>
              <w:bottom w:val="single" w:sz="4" w:space="0" w:color="auto"/>
              <w:right w:val="single" w:sz="4" w:space="0" w:color="auto"/>
            </w:tcBorders>
            <w:shd w:val="clear" w:color="000000" w:fill="FFFFFF"/>
            <w:noWrap/>
            <w:vAlign w:val="bottom"/>
            <w:hideMark/>
          </w:tcPr>
          <w:p w14:paraId="48B839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553,4</w:t>
            </w:r>
          </w:p>
        </w:tc>
        <w:tc>
          <w:tcPr>
            <w:tcW w:w="2002" w:type="dxa"/>
            <w:tcBorders>
              <w:top w:val="nil"/>
              <w:left w:val="nil"/>
              <w:bottom w:val="single" w:sz="4" w:space="0" w:color="auto"/>
              <w:right w:val="single" w:sz="4" w:space="0" w:color="auto"/>
            </w:tcBorders>
            <w:shd w:val="clear" w:color="000000" w:fill="FFFFFF"/>
            <w:noWrap/>
            <w:vAlign w:val="bottom"/>
            <w:hideMark/>
          </w:tcPr>
          <w:p w14:paraId="5E8B0E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7C3A8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1 343,9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830F5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67,5</w:t>
            </w:r>
          </w:p>
        </w:tc>
      </w:tr>
      <w:tr w:rsidR="00761800" w:rsidRPr="00761800" w14:paraId="2B6A102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9843695"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202ECB98"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E455B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05D0B9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335B66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547567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7099B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68EB2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A268E5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EF9CE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ПЛЕВЕН</w:t>
            </w:r>
          </w:p>
        </w:tc>
        <w:tc>
          <w:tcPr>
            <w:tcW w:w="146" w:type="dxa"/>
            <w:tcBorders>
              <w:top w:val="nil"/>
              <w:left w:val="nil"/>
              <w:bottom w:val="single" w:sz="4" w:space="0" w:color="auto"/>
              <w:right w:val="nil"/>
            </w:tcBorders>
            <w:shd w:val="clear" w:color="000000" w:fill="FFFFFF"/>
          </w:tcPr>
          <w:p w14:paraId="70702E64"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AB09E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04BE5F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1666B0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7C9B52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DAA28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3D554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BEE4C4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4304F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Белене</w:t>
            </w:r>
          </w:p>
        </w:tc>
        <w:tc>
          <w:tcPr>
            <w:tcW w:w="146" w:type="dxa"/>
            <w:tcBorders>
              <w:top w:val="nil"/>
              <w:left w:val="nil"/>
              <w:bottom w:val="single" w:sz="4" w:space="0" w:color="auto"/>
              <w:right w:val="nil"/>
            </w:tcBorders>
            <w:shd w:val="clear" w:color="000000" w:fill="FFFFFF"/>
          </w:tcPr>
          <w:p w14:paraId="5C7889D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74C4E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5 001,3</w:t>
            </w:r>
          </w:p>
        </w:tc>
        <w:tc>
          <w:tcPr>
            <w:tcW w:w="1406" w:type="dxa"/>
            <w:tcBorders>
              <w:top w:val="nil"/>
              <w:left w:val="nil"/>
              <w:bottom w:val="single" w:sz="4" w:space="0" w:color="auto"/>
              <w:right w:val="single" w:sz="4" w:space="0" w:color="auto"/>
            </w:tcBorders>
            <w:shd w:val="clear" w:color="000000" w:fill="FFFFFF"/>
            <w:noWrap/>
            <w:vAlign w:val="bottom"/>
            <w:hideMark/>
          </w:tcPr>
          <w:p w14:paraId="65669F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4 015,3</w:t>
            </w:r>
          </w:p>
        </w:tc>
        <w:tc>
          <w:tcPr>
            <w:tcW w:w="1570" w:type="dxa"/>
            <w:tcBorders>
              <w:top w:val="nil"/>
              <w:left w:val="nil"/>
              <w:bottom w:val="single" w:sz="4" w:space="0" w:color="auto"/>
              <w:right w:val="single" w:sz="4" w:space="0" w:color="auto"/>
            </w:tcBorders>
            <w:shd w:val="clear" w:color="000000" w:fill="FFFFFF"/>
            <w:noWrap/>
            <w:vAlign w:val="bottom"/>
            <w:hideMark/>
          </w:tcPr>
          <w:p w14:paraId="2CFBEC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554,8</w:t>
            </w:r>
          </w:p>
        </w:tc>
        <w:tc>
          <w:tcPr>
            <w:tcW w:w="2002" w:type="dxa"/>
            <w:tcBorders>
              <w:top w:val="nil"/>
              <w:left w:val="nil"/>
              <w:bottom w:val="single" w:sz="4" w:space="0" w:color="auto"/>
              <w:right w:val="single" w:sz="4" w:space="0" w:color="auto"/>
            </w:tcBorders>
            <w:shd w:val="clear" w:color="000000" w:fill="FFFFFF"/>
            <w:noWrap/>
            <w:vAlign w:val="bottom"/>
            <w:hideMark/>
          </w:tcPr>
          <w:p w14:paraId="57A15C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46D7E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390,2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79E38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43,2</w:t>
            </w:r>
          </w:p>
        </w:tc>
      </w:tr>
      <w:tr w:rsidR="00761800" w:rsidRPr="00761800" w14:paraId="6D0AEA1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FF216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Гулянци</w:t>
            </w:r>
          </w:p>
        </w:tc>
        <w:tc>
          <w:tcPr>
            <w:tcW w:w="146" w:type="dxa"/>
            <w:tcBorders>
              <w:top w:val="nil"/>
              <w:left w:val="nil"/>
              <w:bottom w:val="single" w:sz="4" w:space="0" w:color="auto"/>
              <w:right w:val="nil"/>
            </w:tcBorders>
            <w:shd w:val="clear" w:color="000000" w:fill="FFFFFF"/>
          </w:tcPr>
          <w:p w14:paraId="7553B94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7F6C2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7 127,6</w:t>
            </w:r>
          </w:p>
        </w:tc>
        <w:tc>
          <w:tcPr>
            <w:tcW w:w="1406" w:type="dxa"/>
            <w:tcBorders>
              <w:top w:val="nil"/>
              <w:left w:val="nil"/>
              <w:bottom w:val="single" w:sz="4" w:space="0" w:color="auto"/>
              <w:right w:val="single" w:sz="4" w:space="0" w:color="auto"/>
            </w:tcBorders>
            <w:shd w:val="clear" w:color="000000" w:fill="FFFFFF"/>
            <w:noWrap/>
            <w:vAlign w:val="bottom"/>
            <w:hideMark/>
          </w:tcPr>
          <w:p w14:paraId="407EC1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5 559,4</w:t>
            </w:r>
          </w:p>
        </w:tc>
        <w:tc>
          <w:tcPr>
            <w:tcW w:w="1570" w:type="dxa"/>
            <w:tcBorders>
              <w:top w:val="nil"/>
              <w:left w:val="nil"/>
              <w:bottom w:val="single" w:sz="4" w:space="0" w:color="auto"/>
              <w:right w:val="single" w:sz="4" w:space="0" w:color="auto"/>
            </w:tcBorders>
            <w:shd w:val="clear" w:color="000000" w:fill="FFFFFF"/>
            <w:noWrap/>
            <w:vAlign w:val="bottom"/>
            <w:hideMark/>
          </w:tcPr>
          <w:p w14:paraId="59DD39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912,3</w:t>
            </w:r>
          </w:p>
        </w:tc>
        <w:tc>
          <w:tcPr>
            <w:tcW w:w="2002" w:type="dxa"/>
            <w:tcBorders>
              <w:top w:val="nil"/>
              <w:left w:val="nil"/>
              <w:bottom w:val="single" w:sz="4" w:space="0" w:color="auto"/>
              <w:right w:val="single" w:sz="4" w:space="0" w:color="auto"/>
            </w:tcBorders>
            <w:shd w:val="clear" w:color="000000" w:fill="FFFFFF"/>
            <w:noWrap/>
            <w:vAlign w:val="bottom"/>
            <w:hideMark/>
          </w:tcPr>
          <w:p w14:paraId="16E64D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C3EF5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611,1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64E18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67,3</w:t>
            </w:r>
          </w:p>
        </w:tc>
      </w:tr>
      <w:tr w:rsidR="00761800" w:rsidRPr="00761800" w14:paraId="2FF3601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6C3DA9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Долна Mитрополия</w:t>
            </w:r>
          </w:p>
        </w:tc>
        <w:tc>
          <w:tcPr>
            <w:tcW w:w="146" w:type="dxa"/>
            <w:tcBorders>
              <w:top w:val="nil"/>
              <w:left w:val="nil"/>
              <w:bottom w:val="single" w:sz="4" w:space="0" w:color="auto"/>
              <w:right w:val="nil"/>
            </w:tcBorders>
            <w:shd w:val="clear" w:color="000000" w:fill="FFFFFF"/>
          </w:tcPr>
          <w:p w14:paraId="32A6738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6ABE3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11 455,9</w:t>
            </w:r>
          </w:p>
        </w:tc>
        <w:tc>
          <w:tcPr>
            <w:tcW w:w="1406" w:type="dxa"/>
            <w:tcBorders>
              <w:top w:val="nil"/>
              <w:left w:val="nil"/>
              <w:bottom w:val="single" w:sz="4" w:space="0" w:color="auto"/>
              <w:right w:val="single" w:sz="4" w:space="0" w:color="auto"/>
            </w:tcBorders>
            <w:shd w:val="clear" w:color="000000" w:fill="FFFFFF"/>
            <w:noWrap/>
            <w:vAlign w:val="bottom"/>
            <w:hideMark/>
          </w:tcPr>
          <w:p w14:paraId="7B3458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9 047,6</w:t>
            </w:r>
          </w:p>
        </w:tc>
        <w:tc>
          <w:tcPr>
            <w:tcW w:w="1570" w:type="dxa"/>
            <w:tcBorders>
              <w:top w:val="nil"/>
              <w:left w:val="nil"/>
              <w:bottom w:val="single" w:sz="4" w:space="0" w:color="auto"/>
              <w:right w:val="single" w:sz="4" w:space="0" w:color="auto"/>
            </w:tcBorders>
            <w:shd w:val="clear" w:color="000000" w:fill="FFFFFF"/>
            <w:noWrap/>
            <w:vAlign w:val="bottom"/>
            <w:hideMark/>
          </w:tcPr>
          <w:p w14:paraId="223225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1 416,5</w:t>
            </w:r>
          </w:p>
        </w:tc>
        <w:tc>
          <w:tcPr>
            <w:tcW w:w="2002" w:type="dxa"/>
            <w:tcBorders>
              <w:top w:val="nil"/>
              <w:left w:val="nil"/>
              <w:bottom w:val="single" w:sz="4" w:space="0" w:color="auto"/>
              <w:right w:val="single" w:sz="4" w:space="0" w:color="auto"/>
            </w:tcBorders>
            <w:shd w:val="clear" w:color="000000" w:fill="FFFFFF"/>
            <w:noWrap/>
            <w:vAlign w:val="bottom"/>
            <w:hideMark/>
          </w:tcPr>
          <w:p w14:paraId="78CAAF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2BAEF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914,7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87873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98,4</w:t>
            </w:r>
          </w:p>
        </w:tc>
      </w:tr>
      <w:tr w:rsidR="00761800" w:rsidRPr="00761800" w14:paraId="22421C2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6B96E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Долни Дъбник</w:t>
            </w:r>
          </w:p>
        </w:tc>
        <w:tc>
          <w:tcPr>
            <w:tcW w:w="146" w:type="dxa"/>
            <w:tcBorders>
              <w:top w:val="nil"/>
              <w:left w:val="nil"/>
              <w:bottom w:val="single" w:sz="4" w:space="0" w:color="auto"/>
              <w:right w:val="nil"/>
            </w:tcBorders>
            <w:shd w:val="clear" w:color="000000" w:fill="FFFFFF"/>
          </w:tcPr>
          <w:p w14:paraId="32CA538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6F403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8 721,9</w:t>
            </w:r>
          </w:p>
        </w:tc>
        <w:tc>
          <w:tcPr>
            <w:tcW w:w="1406" w:type="dxa"/>
            <w:tcBorders>
              <w:top w:val="nil"/>
              <w:left w:val="nil"/>
              <w:bottom w:val="single" w:sz="4" w:space="0" w:color="auto"/>
              <w:right w:val="single" w:sz="4" w:space="0" w:color="auto"/>
            </w:tcBorders>
            <w:shd w:val="clear" w:color="000000" w:fill="FFFFFF"/>
            <w:noWrap/>
            <w:vAlign w:val="bottom"/>
            <w:hideMark/>
          </w:tcPr>
          <w:p w14:paraId="2A2B46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7 223,9</w:t>
            </w:r>
          </w:p>
        </w:tc>
        <w:tc>
          <w:tcPr>
            <w:tcW w:w="1570" w:type="dxa"/>
            <w:tcBorders>
              <w:top w:val="nil"/>
              <w:left w:val="nil"/>
              <w:bottom w:val="single" w:sz="4" w:space="0" w:color="auto"/>
              <w:right w:val="single" w:sz="4" w:space="0" w:color="auto"/>
            </w:tcBorders>
            <w:shd w:val="clear" w:color="000000" w:fill="FFFFFF"/>
            <w:noWrap/>
            <w:vAlign w:val="bottom"/>
            <w:hideMark/>
          </w:tcPr>
          <w:p w14:paraId="5946B0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947,1</w:t>
            </w:r>
          </w:p>
        </w:tc>
        <w:tc>
          <w:tcPr>
            <w:tcW w:w="2002" w:type="dxa"/>
            <w:tcBorders>
              <w:top w:val="nil"/>
              <w:left w:val="nil"/>
              <w:bottom w:val="single" w:sz="4" w:space="0" w:color="auto"/>
              <w:right w:val="single" w:sz="4" w:space="0" w:color="auto"/>
            </w:tcBorders>
            <w:shd w:val="clear" w:color="000000" w:fill="FFFFFF"/>
            <w:noWrap/>
            <w:vAlign w:val="bottom"/>
            <w:hideMark/>
          </w:tcPr>
          <w:p w14:paraId="07ED52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67DF1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502,2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8AF90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63,2</w:t>
            </w:r>
          </w:p>
        </w:tc>
      </w:tr>
      <w:tr w:rsidR="00761800" w:rsidRPr="00761800" w14:paraId="6D7985D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D3F9C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Искър</w:t>
            </w:r>
          </w:p>
        </w:tc>
        <w:tc>
          <w:tcPr>
            <w:tcW w:w="146" w:type="dxa"/>
            <w:tcBorders>
              <w:top w:val="nil"/>
              <w:left w:val="nil"/>
              <w:bottom w:val="single" w:sz="4" w:space="0" w:color="auto"/>
              <w:right w:val="nil"/>
            </w:tcBorders>
            <w:shd w:val="clear" w:color="000000" w:fill="FFFFFF"/>
          </w:tcPr>
          <w:p w14:paraId="6C5FDBC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47F62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4 256,1</w:t>
            </w:r>
          </w:p>
        </w:tc>
        <w:tc>
          <w:tcPr>
            <w:tcW w:w="1406" w:type="dxa"/>
            <w:tcBorders>
              <w:top w:val="nil"/>
              <w:left w:val="nil"/>
              <w:bottom w:val="single" w:sz="4" w:space="0" w:color="auto"/>
              <w:right w:val="single" w:sz="4" w:space="0" w:color="auto"/>
            </w:tcBorders>
            <w:shd w:val="clear" w:color="000000" w:fill="FFFFFF"/>
            <w:noWrap/>
            <w:vAlign w:val="bottom"/>
            <w:hideMark/>
          </w:tcPr>
          <w:p w14:paraId="15F735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3 372,4</w:t>
            </w:r>
          </w:p>
        </w:tc>
        <w:tc>
          <w:tcPr>
            <w:tcW w:w="1570" w:type="dxa"/>
            <w:tcBorders>
              <w:top w:val="nil"/>
              <w:left w:val="nil"/>
              <w:bottom w:val="single" w:sz="4" w:space="0" w:color="auto"/>
              <w:right w:val="single" w:sz="4" w:space="0" w:color="auto"/>
            </w:tcBorders>
            <w:shd w:val="clear" w:color="000000" w:fill="FFFFFF"/>
            <w:noWrap/>
            <w:vAlign w:val="bottom"/>
            <w:hideMark/>
          </w:tcPr>
          <w:p w14:paraId="47B9D0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566,1</w:t>
            </w:r>
          </w:p>
        </w:tc>
        <w:tc>
          <w:tcPr>
            <w:tcW w:w="2002" w:type="dxa"/>
            <w:tcBorders>
              <w:top w:val="nil"/>
              <w:left w:val="nil"/>
              <w:bottom w:val="single" w:sz="4" w:space="0" w:color="auto"/>
              <w:right w:val="single" w:sz="4" w:space="0" w:color="auto"/>
            </w:tcBorders>
            <w:shd w:val="clear" w:color="000000" w:fill="FFFFFF"/>
            <w:noWrap/>
            <w:vAlign w:val="bottom"/>
            <w:hideMark/>
          </w:tcPr>
          <w:p w14:paraId="3E87E1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DF23F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293,9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17415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69,4</w:t>
            </w:r>
          </w:p>
        </w:tc>
      </w:tr>
      <w:tr w:rsidR="00761800" w:rsidRPr="00761800" w14:paraId="6502E97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A10DF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Левски</w:t>
            </w:r>
          </w:p>
        </w:tc>
        <w:tc>
          <w:tcPr>
            <w:tcW w:w="146" w:type="dxa"/>
            <w:tcBorders>
              <w:top w:val="nil"/>
              <w:left w:val="nil"/>
              <w:bottom w:val="single" w:sz="4" w:space="0" w:color="auto"/>
              <w:right w:val="nil"/>
            </w:tcBorders>
            <w:shd w:val="clear" w:color="000000" w:fill="FFFFFF"/>
          </w:tcPr>
          <w:p w14:paraId="2468782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6D62E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11 887,4</w:t>
            </w:r>
          </w:p>
        </w:tc>
        <w:tc>
          <w:tcPr>
            <w:tcW w:w="1406" w:type="dxa"/>
            <w:tcBorders>
              <w:top w:val="nil"/>
              <w:left w:val="nil"/>
              <w:bottom w:val="single" w:sz="4" w:space="0" w:color="auto"/>
              <w:right w:val="single" w:sz="4" w:space="0" w:color="auto"/>
            </w:tcBorders>
            <w:shd w:val="clear" w:color="000000" w:fill="FFFFFF"/>
            <w:noWrap/>
            <w:vAlign w:val="bottom"/>
            <w:hideMark/>
          </w:tcPr>
          <w:p w14:paraId="71BD50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10 040,3</w:t>
            </w:r>
          </w:p>
        </w:tc>
        <w:tc>
          <w:tcPr>
            <w:tcW w:w="1570" w:type="dxa"/>
            <w:tcBorders>
              <w:top w:val="nil"/>
              <w:left w:val="nil"/>
              <w:bottom w:val="single" w:sz="4" w:space="0" w:color="auto"/>
              <w:right w:val="single" w:sz="4" w:space="0" w:color="auto"/>
            </w:tcBorders>
            <w:shd w:val="clear" w:color="000000" w:fill="FFFFFF"/>
            <w:noWrap/>
            <w:vAlign w:val="bottom"/>
            <w:hideMark/>
          </w:tcPr>
          <w:p w14:paraId="06B780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1 218,6</w:t>
            </w:r>
          </w:p>
        </w:tc>
        <w:tc>
          <w:tcPr>
            <w:tcW w:w="2002" w:type="dxa"/>
            <w:tcBorders>
              <w:top w:val="nil"/>
              <w:left w:val="nil"/>
              <w:bottom w:val="single" w:sz="4" w:space="0" w:color="auto"/>
              <w:right w:val="single" w:sz="4" w:space="0" w:color="auto"/>
            </w:tcBorders>
            <w:shd w:val="clear" w:color="000000" w:fill="FFFFFF"/>
            <w:noWrap/>
            <w:vAlign w:val="bottom"/>
            <w:hideMark/>
          </w:tcPr>
          <w:p w14:paraId="48D4A2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07719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596,4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40D80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159,7</w:t>
            </w:r>
          </w:p>
        </w:tc>
      </w:tr>
      <w:tr w:rsidR="00761800" w:rsidRPr="00761800" w14:paraId="00BECDA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BC29C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Hикопол</w:t>
            </w:r>
          </w:p>
        </w:tc>
        <w:tc>
          <w:tcPr>
            <w:tcW w:w="146" w:type="dxa"/>
            <w:tcBorders>
              <w:top w:val="nil"/>
              <w:left w:val="nil"/>
              <w:bottom w:val="single" w:sz="4" w:space="0" w:color="auto"/>
              <w:right w:val="nil"/>
            </w:tcBorders>
            <w:shd w:val="clear" w:color="000000" w:fill="FFFFFF"/>
          </w:tcPr>
          <w:p w14:paraId="340BC44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275EC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5 826,7</w:t>
            </w:r>
          </w:p>
        </w:tc>
        <w:tc>
          <w:tcPr>
            <w:tcW w:w="1406" w:type="dxa"/>
            <w:tcBorders>
              <w:top w:val="nil"/>
              <w:left w:val="nil"/>
              <w:bottom w:val="single" w:sz="4" w:space="0" w:color="auto"/>
              <w:right w:val="single" w:sz="4" w:space="0" w:color="auto"/>
            </w:tcBorders>
            <w:shd w:val="clear" w:color="000000" w:fill="FFFFFF"/>
            <w:noWrap/>
            <w:vAlign w:val="bottom"/>
            <w:hideMark/>
          </w:tcPr>
          <w:p w14:paraId="40F440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4 547,9</w:t>
            </w:r>
          </w:p>
        </w:tc>
        <w:tc>
          <w:tcPr>
            <w:tcW w:w="1570" w:type="dxa"/>
            <w:tcBorders>
              <w:top w:val="nil"/>
              <w:left w:val="nil"/>
              <w:bottom w:val="single" w:sz="4" w:space="0" w:color="auto"/>
              <w:right w:val="single" w:sz="4" w:space="0" w:color="auto"/>
            </w:tcBorders>
            <w:shd w:val="clear" w:color="000000" w:fill="FFFFFF"/>
            <w:noWrap/>
            <w:vAlign w:val="bottom"/>
            <w:hideMark/>
          </w:tcPr>
          <w:p w14:paraId="755715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656,4</w:t>
            </w:r>
          </w:p>
        </w:tc>
        <w:tc>
          <w:tcPr>
            <w:tcW w:w="2002" w:type="dxa"/>
            <w:tcBorders>
              <w:top w:val="nil"/>
              <w:left w:val="nil"/>
              <w:bottom w:val="single" w:sz="4" w:space="0" w:color="auto"/>
              <w:right w:val="single" w:sz="4" w:space="0" w:color="auto"/>
            </w:tcBorders>
            <w:shd w:val="clear" w:color="000000" w:fill="FFFFFF"/>
            <w:noWrap/>
            <w:vAlign w:val="bottom"/>
            <w:hideMark/>
          </w:tcPr>
          <w:p w14:paraId="28E342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17464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588,7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94680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50,3</w:t>
            </w:r>
          </w:p>
        </w:tc>
      </w:tr>
      <w:tr w:rsidR="00761800" w:rsidRPr="00761800" w14:paraId="2B57096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2E397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Плевен</w:t>
            </w:r>
          </w:p>
        </w:tc>
        <w:tc>
          <w:tcPr>
            <w:tcW w:w="146" w:type="dxa"/>
            <w:tcBorders>
              <w:top w:val="nil"/>
              <w:left w:val="nil"/>
              <w:bottom w:val="single" w:sz="4" w:space="0" w:color="auto"/>
              <w:right w:val="nil"/>
            </w:tcBorders>
            <w:shd w:val="clear" w:color="000000" w:fill="FFFFFF"/>
          </w:tcPr>
          <w:p w14:paraId="6049CFF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ABB6D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74 074,7</w:t>
            </w:r>
          </w:p>
        </w:tc>
        <w:tc>
          <w:tcPr>
            <w:tcW w:w="1406" w:type="dxa"/>
            <w:tcBorders>
              <w:top w:val="nil"/>
              <w:left w:val="nil"/>
              <w:bottom w:val="single" w:sz="4" w:space="0" w:color="auto"/>
              <w:right w:val="single" w:sz="4" w:space="0" w:color="auto"/>
            </w:tcBorders>
            <w:shd w:val="clear" w:color="000000" w:fill="FFFFFF"/>
            <w:noWrap/>
            <w:vAlign w:val="bottom"/>
            <w:hideMark/>
          </w:tcPr>
          <w:p w14:paraId="53728B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69 036,1</w:t>
            </w:r>
          </w:p>
        </w:tc>
        <w:tc>
          <w:tcPr>
            <w:tcW w:w="1570" w:type="dxa"/>
            <w:tcBorders>
              <w:top w:val="nil"/>
              <w:left w:val="nil"/>
              <w:bottom w:val="single" w:sz="4" w:space="0" w:color="auto"/>
              <w:right w:val="single" w:sz="4" w:space="0" w:color="auto"/>
            </w:tcBorders>
            <w:shd w:val="clear" w:color="000000" w:fill="FFFFFF"/>
            <w:noWrap/>
            <w:vAlign w:val="bottom"/>
            <w:hideMark/>
          </w:tcPr>
          <w:p w14:paraId="6C5EB3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2 643,3</w:t>
            </w:r>
          </w:p>
        </w:tc>
        <w:tc>
          <w:tcPr>
            <w:tcW w:w="2002" w:type="dxa"/>
            <w:tcBorders>
              <w:top w:val="nil"/>
              <w:left w:val="nil"/>
              <w:bottom w:val="single" w:sz="4" w:space="0" w:color="auto"/>
              <w:right w:val="single" w:sz="4" w:space="0" w:color="auto"/>
            </w:tcBorders>
            <w:shd w:val="clear" w:color="000000" w:fill="FFFFFF"/>
            <w:noWrap/>
            <w:vAlign w:val="bottom"/>
            <w:hideMark/>
          </w:tcPr>
          <w:p w14:paraId="082C19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156,2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ECF92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2 239,1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C2750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382,0</w:t>
            </w:r>
          </w:p>
        </w:tc>
      </w:tr>
      <w:tr w:rsidR="00761800" w:rsidRPr="00761800" w14:paraId="6DFE8EC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51189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Пордим</w:t>
            </w:r>
          </w:p>
        </w:tc>
        <w:tc>
          <w:tcPr>
            <w:tcW w:w="146" w:type="dxa"/>
            <w:tcBorders>
              <w:top w:val="nil"/>
              <w:left w:val="nil"/>
              <w:bottom w:val="single" w:sz="4" w:space="0" w:color="auto"/>
              <w:right w:val="nil"/>
            </w:tcBorders>
            <w:shd w:val="clear" w:color="000000" w:fill="FFFFFF"/>
          </w:tcPr>
          <w:p w14:paraId="4CC8FA8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5403C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5 988,7</w:t>
            </w:r>
          </w:p>
        </w:tc>
        <w:tc>
          <w:tcPr>
            <w:tcW w:w="1406" w:type="dxa"/>
            <w:tcBorders>
              <w:top w:val="nil"/>
              <w:left w:val="nil"/>
              <w:bottom w:val="single" w:sz="4" w:space="0" w:color="auto"/>
              <w:right w:val="single" w:sz="4" w:space="0" w:color="auto"/>
            </w:tcBorders>
            <w:shd w:val="clear" w:color="000000" w:fill="FFFFFF"/>
            <w:noWrap/>
            <w:vAlign w:val="bottom"/>
            <w:hideMark/>
          </w:tcPr>
          <w:p w14:paraId="1C5EC9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4 951,4</w:t>
            </w:r>
          </w:p>
        </w:tc>
        <w:tc>
          <w:tcPr>
            <w:tcW w:w="1570" w:type="dxa"/>
            <w:tcBorders>
              <w:top w:val="nil"/>
              <w:left w:val="nil"/>
              <w:bottom w:val="single" w:sz="4" w:space="0" w:color="auto"/>
              <w:right w:val="single" w:sz="4" w:space="0" w:color="auto"/>
            </w:tcBorders>
            <w:shd w:val="clear" w:color="000000" w:fill="FFFFFF"/>
            <w:noWrap/>
            <w:vAlign w:val="bottom"/>
            <w:hideMark/>
          </w:tcPr>
          <w:p w14:paraId="7B7677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563,0</w:t>
            </w:r>
          </w:p>
        </w:tc>
        <w:tc>
          <w:tcPr>
            <w:tcW w:w="2002" w:type="dxa"/>
            <w:tcBorders>
              <w:top w:val="nil"/>
              <w:left w:val="nil"/>
              <w:bottom w:val="single" w:sz="4" w:space="0" w:color="auto"/>
              <w:right w:val="single" w:sz="4" w:space="0" w:color="auto"/>
            </w:tcBorders>
            <w:shd w:val="clear" w:color="000000" w:fill="FFFFFF"/>
            <w:noWrap/>
            <w:vAlign w:val="bottom"/>
            <w:hideMark/>
          </w:tcPr>
          <w:p w14:paraId="0ACD65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4C652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435,5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74646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39,7</w:t>
            </w:r>
          </w:p>
        </w:tc>
      </w:tr>
      <w:tr w:rsidR="00761800" w:rsidRPr="00761800" w14:paraId="20C9AC6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9B73F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Червен бряг</w:t>
            </w:r>
          </w:p>
        </w:tc>
        <w:tc>
          <w:tcPr>
            <w:tcW w:w="146" w:type="dxa"/>
            <w:tcBorders>
              <w:top w:val="nil"/>
              <w:left w:val="nil"/>
              <w:bottom w:val="single" w:sz="4" w:space="0" w:color="auto"/>
              <w:right w:val="nil"/>
            </w:tcBorders>
            <w:shd w:val="clear" w:color="000000" w:fill="FFFFFF"/>
          </w:tcPr>
          <w:p w14:paraId="660282D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96277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18 032,7</w:t>
            </w:r>
          </w:p>
        </w:tc>
        <w:tc>
          <w:tcPr>
            <w:tcW w:w="1406" w:type="dxa"/>
            <w:tcBorders>
              <w:top w:val="nil"/>
              <w:left w:val="nil"/>
              <w:bottom w:val="single" w:sz="4" w:space="0" w:color="auto"/>
              <w:right w:val="single" w:sz="4" w:space="0" w:color="auto"/>
            </w:tcBorders>
            <w:shd w:val="clear" w:color="000000" w:fill="FFFFFF"/>
            <w:noWrap/>
            <w:vAlign w:val="bottom"/>
            <w:hideMark/>
          </w:tcPr>
          <w:p w14:paraId="2188A9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15 383,5</w:t>
            </w:r>
          </w:p>
        </w:tc>
        <w:tc>
          <w:tcPr>
            <w:tcW w:w="1570" w:type="dxa"/>
            <w:tcBorders>
              <w:top w:val="nil"/>
              <w:left w:val="nil"/>
              <w:bottom w:val="single" w:sz="4" w:space="0" w:color="auto"/>
              <w:right w:val="single" w:sz="4" w:space="0" w:color="auto"/>
            </w:tcBorders>
            <w:shd w:val="clear" w:color="000000" w:fill="FFFFFF"/>
            <w:noWrap/>
            <w:vAlign w:val="bottom"/>
            <w:hideMark/>
          </w:tcPr>
          <w:p w14:paraId="12E356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1 717,3</w:t>
            </w:r>
          </w:p>
        </w:tc>
        <w:tc>
          <w:tcPr>
            <w:tcW w:w="2002" w:type="dxa"/>
            <w:tcBorders>
              <w:top w:val="nil"/>
              <w:left w:val="nil"/>
              <w:bottom w:val="single" w:sz="4" w:space="0" w:color="auto"/>
              <w:right w:val="single" w:sz="4" w:space="0" w:color="auto"/>
            </w:tcBorders>
            <w:shd w:val="clear" w:color="000000" w:fill="FFFFFF"/>
            <w:noWrap/>
            <w:vAlign w:val="bottom"/>
            <w:hideMark/>
          </w:tcPr>
          <w:p w14:paraId="367D2C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B29C7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856,9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CE74E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58,8</w:t>
            </w:r>
          </w:p>
        </w:tc>
      </w:tr>
      <w:tr w:rsidR="00761800" w:rsidRPr="00761800" w14:paraId="5C84B8D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3E710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Kнежа</w:t>
            </w:r>
          </w:p>
        </w:tc>
        <w:tc>
          <w:tcPr>
            <w:tcW w:w="146" w:type="dxa"/>
            <w:tcBorders>
              <w:top w:val="nil"/>
              <w:left w:val="nil"/>
              <w:bottom w:val="single" w:sz="4" w:space="0" w:color="auto"/>
              <w:right w:val="nil"/>
            </w:tcBorders>
            <w:shd w:val="clear" w:color="000000" w:fill="FFFFFF"/>
          </w:tcPr>
          <w:p w14:paraId="0274DE7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886E1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10 236,4</w:t>
            </w:r>
          </w:p>
        </w:tc>
        <w:tc>
          <w:tcPr>
            <w:tcW w:w="1406" w:type="dxa"/>
            <w:tcBorders>
              <w:top w:val="nil"/>
              <w:left w:val="nil"/>
              <w:bottom w:val="single" w:sz="4" w:space="0" w:color="auto"/>
              <w:right w:val="single" w:sz="4" w:space="0" w:color="auto"/>
            </w:tcBorders>
            <w:shd w:val="clear" w:color="000000" w:fill="FFFFFF"/>
            <w:noWrap/>
            <w:vAlign w:val="bottom"/>
            <w:hideMark/>
          </w:tcPr>
          <w:p w14:paraId="49812C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8 924,5</w:t>
            </w:r>
          </w:p>
        </w:tc>
        <w:tc>
          <w:tcPr>
            <w:tcW w:w="1570" w:type="dxa"/>
            <w:tcBorders>
              <w:top w:val="nil"/>
              <w:left w:val="nil"/>
              <w:bottom w:val="single" w:sz="4" w:space="0" w:color="auto"/>
              <w:right w:val="single" w:sz="4" w:space="0" w:color="auto"/>
            </w:tcBorders>
            <w:shd w:val="clear" w:color="000000" w:fill="FFFFFF"/>
            <w:noWrap/>
            <w:vAlign w:val="bottom"/>
            <w:hideMark/>
          </w:tcPr>
          <w:p w14:paraId="7BA411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943,3</w:t>
            </w:r>
          </w:p>
        </w:tc>
        <w:tc>
          <w:tcPr>
            <w:tcW w:w="2002" w:type="dxa"/>
            <w:tcBorders>
              <w:top w:val="nil"/>
              <w:left w:val="nil"/>
              <w:bottom w:val="single" w:sz="4" w:space="0" w:color="auto"/>
              <w:right w:val="single" w:sz="4" w:space="0" w:color="auto"/>
            </w:tcBorders>
            <w:shd w:val="clear" w:color="000000" w:fill="FFFFFF"/>
            <w:noWrap/>
            <w:vAlign w:val="bottom"/>
            <w:hideMark/>
          </w:tcPr>
          <w:p w14:paraId="604CB4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9A90B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348,8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51E75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143,3</w:t>
            </w:r>
          </w:p>
        </w:tc>
      </w:tr>
      <w:tr w:rsidR="00761800" w:rsidRPr="00761800" w14:paraId="4C536C1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AB410D4"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46" w:type="dxa"/>
            <w:tcBorders>
              <w:top w:val="nil"/>
              <w:left w:val="nil"/>
              <w:bottom w:val="single" w:sz="4" w:space="0" w:color="auto"/>
              <w:right w:val="nil"/>
            </w:tcBorders>
            <w:shd w:val="clear" w:color="000000" w:fill="FFFFFF"/>
          </w:tcPr>
          <w:p w14:paraId="18F69778"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71D932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54A276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77AB4B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186E67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F4511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7AE7F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018D43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76656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ПЛОВДИВ</w:t>
            </w:r>
          </w:p>
        </w:tc>
        <w:tc>
          <w:tcPr>
            <w:tcW w:w="146" w:type="dxa"/>
            <w:tcBorders>
              <w:top w:val="nil"/>
              <w:left w:val="nil"/>
              <w:bottom w:val="single" w:sz="4" w:space="0" w:color="auto"/>
              <w:right w:val="nil"/>
            </w:tcBorders>
            <w:shd w:val="clear" w:color="000000" w:fill="FFFFFF"/>
          </w:tcPr>
          <w:p w14:paraId="6C21BCD4"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555FF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2F27C2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235930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2F99EA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EC69E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4B49DD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4205CD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39327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Aсеновград</w:t>
            </w:r>
          </w:p>
        </w:tc>
        <w:tc>
          <w:tcPr>
            <w:tcW w:w="146" w:type="dxa"/>
            <w:tcBorders>
              <w:top w:val="nil"/>
              <w:left w:val="nil"/>
              <w:bottom w:val="single" w:sz="4" w:space="0" w:color="auto"/>
              <w:right w:val="nil"/>
            </w:tcBorders>
            <w:shd w:val="clear" w:color="000000" w:fill="FFFFFF"/>
          </w:tcPr>
          <w:p w14:paraId="4F694A7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55BA5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37 170,4</w:t>
            </w:r>
          </w:p>
        </w:tc>
        <w:tc>
          <w:tcPr>
            <w:tcW w:w="1406" w:type="dxa"/>
            <w:tcBorders>
              <w:top w:val="nil"/>
              <w:left w:val="nil"/>
              <w:bottom w:val="single" w:sz="4" w:space="0" w:color="auto"/>
              <w:right w:val="single" w:sz="4" w:space="0" w:color="auto"/>
            </w:tcBorders>
            <w:shd w:val="clear" w:color="000000" w:fill="FFFFFF"/>
            <w:noWrap/>
            <w:vAlign w:val="bottom"/>
            <w:hideMark/>
          </w:tcPr>
          <w:p w14:paraId="77E554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31 721,2</w:t>
            </w:r>
          </w:p>
        </w:tc>
        <w:tc>
          <w:tcPr>
            <w:tcW w:w="1570" w:type="dxa"/>
            <w:tcBorders>
              <w:top w:val="nil"/>
              <w:left w:val="nil"/>
              <w:bottom w:val="single" w:sz="4" w:space="0" w:color="auto"/>
              <w:right w:val="single" w:sz="4" w:space="0" w:color="auto"/>
            </w:tcBorders>
            <w:shd w:val="clear" w:color="000000" w:fill="FFFFFF"/>
            <w:noWrap/>
            <w:vAlign w:val="bottom"/>
            <w:hideMark/>
          </w:tcPr>
          <w:p w14:paraId="33DE3A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3 550,1</w:t>
            </w:r>
          </w:p>
        </w:tc>
        <w:tc>
          <w:tcPr>
            <w:tcW w:w="2002" w:type="dxa"/>
            <w:tcBorders>
              <w:top w:val="nil"/>
              <w:left w:val="nil"/>
              <w:bottom w:val="single" w:sz="4" w:space="0" w:color="auto"/>
              <w:right w:val="single" w:sz="4" w:space="0" w:color="auto"/>
            </w:tcBorders>
            <w:shd w:val="clear" w:color="000000" w:fill="FFFFFF"/>
            <w:noWrap/>
            <w:vAlign w:val="bottom"/>
            <w:hideMark/>
          </w:tcPr>
          <w:p w14:paraId="6F818C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175,7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80485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1 723,4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073C3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131,1</w:t>
            </w:r>
          </w:p>
        </w:tc>
      </w:tr>
      <w:tr w:rsidR="00761800" w:rsidRPr="00761800" w14:paraId="33AB993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896A5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Брезово</w:t>
            </w:r>
          </w:p>
        </w:tc>
        <w:tc>
          <w:tcPr>
            <w:tcW w:w="146" w:type="dxa"/>
            <w:tcBorders>
              <w:top w:val="nil"/>
              <w:left w:val="nil"/>
              <w:bottom w:val="single" w:sz="4" w:space="0" w:color="auto"/>
              <w:right w:val="nil"/>
            </w:tcBorders>
            <w:shd w:val="clear" w:color="000000" w:fill="FFFFFF"/>
          </w:tcPr>
          <w:p w14:paraId="265DFA0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E4E53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6 461,5</w:t>
            </w:r>
          </w:p>
        </w:tc>
        <w:tc>
          <w:tcPr>
            <w:tcW w:w="1406" w:type="dxa"/>
            <w:tcBorders>
              <w:top w:val="nil"/>
              <w:left w:val="nil"/>
              <w:bottom w:val="single" w:sz="4" w:space="0" w:color="auto"/>
              <w:right w:val="single" w:sz="4" w:space="0" w:color="auto"/>
            </w:tcBorders>
            <w:shd w:val="clear" w:color="000000" w:fill="FFFFFF"/>
            <w:noWrap/>
            <w:vAlign w:val="bottom"/>
            <w:hideMark/>
          </w:tcPr>
          <w:p w14:paraId="1DF6CC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4 967,3</w:t>
            </w:r>
          </w:p>
        </w:tc>
        <w:tc>
          <w:tcPr>
            <w:tcW w:w="1570" w:type="dxa"/>
            <w:tcBorders>
              <w:top w:val="nil"/>
              <w:left w:val="nil"/>
              <w:bottom w:val="single" w:sz="4" w:space="0" w:color="auto"/>
              <w:right w:val="single" w:sz="4" w:space="0" w:color="auto"/>
            </w:tcBorders>
            <w:shd w:val="clear" w:color="000000" w:fill="FFFFFF"/>
            <w:noWrap/>
            <w:vAlign w:val="bottom"/>
            <w:hideMark/>
          </w:tcPr>
          <w:p w14:paraId="201B60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624,7</w:t>
            </w:r>
          </w:p>
        </w:tc>
        <w:tc>
          <w:tcPr>
            <w:tcW w:w="2002" w:type="dxa"/>
            <w:tcBorders>
              <w:top w:val="nil"/>
              <w:left w:val="nil"/>
              <w:bottom w:val="single" w:sz="4" w:space="0" w:color="auto"/>
              <w:right w:val="single" w:sz="4" w:space="0" w:color="auto"/>
            </w:tcBorders>
            <w:shd w:val="clear" w:color="000000" w:fill="FFFFFF"/>
            <w:noWrap/>
            <w:vAlign w:val="bottom"/>
            <w:hideMark/>
          </w:tcPr>
          <w:p w14:paraId="55648A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D169A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791,8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732D1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67,9</w:t>
            </w:r>
          </w:p>
        </w:tc>
      </w:tr>
      <w:tr w:rsidR="00761800" w:rsidRPr="00761800" w14:paraId="517AD43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9215D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Kалояново</w:t>
            </w:r>
          </w:p>
        </w:tc>
        <w:tc>
          <w:tcPr>
            <w:tcW w:w="146" w:type="dxa"/>
            <w:tcBorders>
              <w:top w:val="nil"/>
              <w:left w:val="nil"/>
              <w:bottom w:val="single" w:sz="4" w:space="0" w:color="auto"/>
              <w:right w:val="nil"/>
            </w:tcBorders>
            <w:shd w:val="clear" w:color="000000" w:fill="FFFFFF"/>
          </w:tcPr>
          <w:p w14:paraId="70116EA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7CF11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8 379,8</w:t>
            </w:r>
          </w:p>
        </w:tc>
        <w:tc>
          <w:tcPr>
            <w:tcW w:w="1406" w:type="dxa"/>
            <w:tcBorders>
              <w:top w:val="nil"/>
              <w:left w:val="nil"/>
              <w:bottom w:val="single" w:sz="4" w:space="0" w:color="auto"/>
              <w:right w:val="single" w:sz="4" w:space="0" w:color="auto"/>
            </w:tcBorders>
            <w:shd w:val="clear" w:color="000000" w:fill="FFFFFF"/>
            <w:noWrap/>
            <w:vAlign w:val="bottom"/>
            <w:hideMark/>
          </w:tcPr>
          <w:p w14:paraId="0DD885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6 729,3</w:t>
            </w:r>
          </w:p>
        </w:tc>
        <w:tc>
          <w:tcPr>
            <w:tcW w:w="1570" w:type="dxa"/>
            <w:tcBorders>
              <w:top w:val="nil"/>
              <w:left w:val="nil"/>
              <w:bottom w:val="single" w:sz="4" w:space="0" w:color="auto"/>
              <w:right w:val="single" w:sz="4" w:space="0" w:color="auto"/>
            </w:tcBorders>
            <w:shd w:val="clear" w:color="000000" w:fill="FFFFFF"/>
            <w:noWrap/>
            <w:vAlign w:val="bottom"/>
            <w:hideMark/>
          </w:tcPr>
          <w:p w14:paraId="4681A7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885,6</w:t>
            </w:r>
          </w:p>
        </w:tc>
        <w:tc>
          <w:tcPr>
            <w:tcW w:w="2002" w:type="dxa"/>
            <w:tcBorders>
              <w:top w:val="nil"/>
              <w:left w:val="nil"/>
              <w:bottom w:val="single" w:sz="4" w:space="0" w:color="auto"/>
              <w:right w:val="single" w:sz="4" w:space="0" w:color="auto"/>
            </w:tcBorders>
            <w:shd w:val="clear" w:color="000000" w:fill="FFFFFF"/>
            <w:noWrap/>
            <w:vAlign w:val="bottom"/>
            <w:hideMark/>
          </w:tcPr>
          <w:p w14:paraId="76F4EB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CF425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711,9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D4F2C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27,5</w:t>
            </w:r>
          </w:p>
        </w:tc>
      </w:tr>
      <w:tr w:rsidR="00761800" w:rsidRPr="00761800" w14:paraId="6E7B024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02B24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Kарлово</w:t>
            </w:r>
          </w:p>
        </w:tc>
        <w:tc>
          <w:tcPr>
            <w:tcW w:w="146" w:type="dxa"/>
            <w:tcBorders>
              <w:top w:val="nil"/>
              <w:left w:val="nil"/>
              <w:bottom w:val="single" w:sz="4" w:space="0" w:color="auto"/>
              <w:right w:val="nil"/>
            </w:tcBorders>
            <w:shd w:val="clear" w:color="000000" w:fill="FFFFFF"/>
          </w:tcPr>
          <w:p w14:paraId="422C037A"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D8E43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34 023,7</w:t>
            </w:r>
          </w:p>
        </w:tc>
        <w:tc>
          <w:tcPr>
            <w:tcW w:w="1406" w:type="dxa"/>
            <w:tcBorders>
              <w:top w:val="nil"/>
              <w:left w:val="nil"/>
              <w:bottom w:val="single" w:sz="4" w:space="0" w:color="auto"/>
              <w:right w:val="single" w:sz="4" w:space="0" w:color="auto"/>
            </w:tcBorders>
            <w:shd w:val="clear" w:color="000000" w:fill="FFFFFF"/>
            <w:noWrap/>
            <w:vAlign w:val="bottom"/>
            <w:hideMark/>
          </w:tcPr>
          <w:p w14:paraId="45BA99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29 701,9</w:t>
            </w:r>
          </w:p>
        </w:tc>
        <w:tc>
          <w:tcPr>
            <w:tcW w:w="1570" w:type="dxa"/>
            <w:tcBorders>
              <w:top w:val="nil"/>
              <w:left w:val="nil"/>
              <w:bottom w:val="single" w:sz="4" w:space="0" w:color="auto"/>
              <w:right w:val="single" w:sz="4" w:space="0" w:color="auto"/>
            </w:tcBorders>
            <w:shd w:val="clear" w:color="000000" w:fill="FFFFFF"/>
            <w:noWrap/>
            <w:vAlign w:val="bottom"/>
            <w:hideMark/>
          </w:tcPr>
          <w:p w14:paraId="22B1F4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2 489,4</w:t>
            </w:r>
          </w:p>
        </w:tc>
        <w:tc>
          <w:tcPr>
            <w:tcW w:w="2002" w:type="dxa"/>
            <w:tcBorders>
              <w:top w:val="nil"/>
              <w:left w:val="nil"/>
              <w:bottom w:val="single" w:sz="4" w:space="0" w:color="auto"/>
              <w:right w:val="single" w:sz="4" w:space="0" w:color="auto"/>
            </w:tcBorders>
            <w:shd w:val="clear" w:color="000000" w:fill="FFFFFF"/>
            <w:noWrap/>
            <w:vAlign w:val="bottom"/>
            <w:hideMark/>
          </w:tcPr>
          <w:p w14:paraId="1FF1FC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160,0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182E2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1 672,4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53287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274,5</w:t>
            </w:r>
          </w:p>
        </w:tc>
      </w:tr>
      <w:tr w:rsidR="00761800" w:rsidRPr="00761800" w14:paraId="2DF767D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01262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Кричим</w:t>
            </w:r>
          </w:p>
        </w:tc>
        <w:tc>
          <w:tcPr>
            <w:tcW w:w="146" w:type="dxa"/>
            <w:tcBorders>
              <w:top w:val="nil"/>
              <w:left w:val="nil"/>
              <w:bottom w:val="single" w:sz="4" w:space="0" w:color="auto"/>
              <w:right w:val="nil"/>
            </w:tcBorders>
            <w:shd w:val="clear" w:color="000000" w:fill="FFFFFF"/>
          </w:tcPr>
          <w:p w14:paraId="5C5263B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FC836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4 810,5</w:t>
            </w:r>
          </w:p>
        </w:tc>
        <w:tc>
          <w:tcPr>
            <w:tcW w:w="1406" w:type="dxa"/>
            <w:tcBorders>
              <w:top w:val="nil"/>
              <w:left w:val="nil"/>
              <w:bottom w:val="single" w:sz="4" w:space="0" w:color="auto"/>
              <w:right w:val="single" w:sz="4" w:space="0" w:color="auto"/>
            </w:tcBorders>
            <w:shd w:val="clear" w:color="000000" w:fill="FFFFFF"/>
            <w:noWrap/>
            <w:vAlign w:val="bottom"/>
            <w:hideMark/>
          </w:tcPr>
          <w:p w14:paraId="1ED9FE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4 145,5</w:t>
            </w:r>
          </w:p>
        </w:tc>
        <w:tc>
          <w:tcPr>
            <w:tcW w:w="1570" w:type="dxa"/>
            <w:tcBorders>
              <w:top w:val="nil"/>
              <w:left w:val="nil"/>
              <w:bottom w:val="single" w:sz="4" w:space="0" w:color="auto"/>
              <w:right w:val="single" w:sz="4" w:space="0" w:color="auto"/>
            </w:tcBorders>
            <w:shd w:val="clear" w:color="000000" w:fill="FFFFFF"/>
            <w:noWrap/>
            <w:vAlign w:val="bottom"/>
            <w:hideMark/>
          </w:tcPr>
          <w:p w14:paraId="2BF6EC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511,8</w:t>
            </w:r>
          </w:p>
        </w:tc>
        <w:tc>
          <w:tcPr>
            <w:tcW w:w="2002" w:type="dxa"/>
            <w:tcBorders>
              <w:top w:val="nil"/>
              <w:left w:val="nil"/>
              <w:bottom w:val="single" w:sz="4" w:space="0" w:color="auto"/>
              <w:right w:val="single" w:sz="4" w:space="0" w:color="auto"/>
            </w:tcBorders>
            <w:shd w:val="clear" w:color="000000" w:fill="FFFFFF"/>
            <w:noWrap/>
            <w:vAlign w:val="bottom"/>
            <w:hideMark/>
          </w:tcPr>
          <w:p w14:paraId="3AEAA3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68D24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FB3C0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42,9</w:t>
            </w:r>
          </w:p>
        </w:tc>
      </w:tr>
      <w:tr w:rsidR="00761800" w:rsidRPr="00761800" w14:paraId="0DE195C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7584D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Лъки</w:t>
            </w:r>
          </w:p>
        </w:tc>
        <w:tc>
          <w:tcPr>
            <w:tcW w:w="146" w:type="dxa"/>
            <w:tcBorders>
              <w:top w:val="nil"/>
              <w:left w:val="nil"/>
              <w:bottom w:val="single" w:sz="4" w:space="0" w:color="auto"/>
              <w:right w:val="nil"/>
            </w:tcBorders>
            <w:shd w:val="clear" w:color="000000" w:fill="FFFFFF"/>
          </w:tcPr>
          <w:p w14:paraId="61A3B98A"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111E0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3 207,2</w:t>
            </w:r>
          </w:p>
        </w:tc>
        <w:tc>
          <w:tcPr>
            <w:tcW w:w="1406" w:type="dxa"/>
            <w:tcBorders>
              <w:top w:val="nil"/>
              <w:left w:val="nil"/>
              <w:bottom w:val="single" w:sz="4" w:space="0" w:color="auto"/>
              <w:right w:val="single" w:sz="4" w:space="0" w:color="auto"/>
            </w:tcBorders>
            <w:shd w:val="clear" w:color="000000" w:fill="FFFFFF"/>
            <w:noWrap/>
            <w:vAlign w:val="bottom"/>
            <w:hideMark/>
          </w:tcPr>
          <w:p w14:paraId="05DDF0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2 261,0</w:t>
            </w:r>
          </w:p>
        </w:tc>
        <w:tc>
          <w:tcPr>
            <w:tcW w:w="1570" w:type="dxa"/>
            <w:tcBorders>
              <w:top w:val="nil"/>
              <w:left w:val="nil"/>
              <w:bottom w:val="single" w:sz="4" w:space="0" w:color="auto"/>
              <w:right w:val="single" w:sz="4" w:space="0" w:color="auto"/>
            </w:tcBorders>
            <w:shd w:val="clear" w:color="000000" w:fill="FFFFFF"/>
            <w:noWrap/>
            <w:vAlign w:val="bottom"/>
            <w:hideMark/>
          </w:tcPr>
          <w:p w14:paraId="2E6CD1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370,2</w:t>
            </w:r>
          </w:p>
        </w:tc>
        <w:tc>
          <w:tcPr>
            <w:tcW w:w="2002" w:type="dxa"/>
            <w:tcBorders>
              <w:top w:val="nil"/>
              <w:left w:val="nil"/>
              <w:bottom w:val="single" w:sz="4" w:space="0" w:color="auto"/>
              <w:right w:val="single" w:sz="4" w:space="0" w:color="auto"/>
            </w:tcBorders>
            <w:shd w:val="clear" w:color="000000" w:fill="FFFFFF"/>
            <w:noWrap/>
            <w:vAlign w:val="bottom"/>
            <w:hideMark/>
          </w:tcPr>
          <w:p w14:paraId="1FAFF4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C4689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488,4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924A5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26,4</w:t>
            </w:r>
          </w:p>
        </w:tc>
      </w:tr>
      <w:tr w:rsidR="00761800" w:rsidRPr="00761800" w14:paraId="785DE6C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23BB2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„Mарица”</w:t>
            </w:r>
          </w:p>
        </w:tc>
        <w:tc>
          <w:tcPr>
            <w:tcW w:w="146" w:type="dxa"/>
            <w:tcBorders>
              <w:top w:val="nil"/>
              <w:left w:val="nil"/>
              <w:bottom w:val="single" w:sz="4" w:space="0" w:color="auto"/>
              <w:right w:val="nil"/>
            </w:tcBorders>
            <w:shd w:val="clear" w:color="000000" w:fill="FFFFFF"/>
          </w:tcPr>
          <w:p w14:paraId="673A111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9AD75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19 173,6</w:t>
            </w:r>
          </w:p>
        </w:tc>
        <w:tc>
          <w:tcPr>
            <w:tcW w:w="1406" w:type="dxa"/>
            <w:tcBorders>
              <w:top w:val="nil"/>
              <w:left w:val="nil"/>
              <w:bottom w:val="single" w:sz="4" w:space="0" w:color="auto"/>
              <w:right w:val="single" w:sz="4" w:space="0" w:color="auto"/>
            </w:tcBorders>
            <w:shd w:val="clear" w:color="000000" w:fill="FFFFFF"/>
            <w:noWrap/>
            <w:vAlign w:val="bottom"/>
            <w:hideMark/>
          </w:tcPr>
          <w:p w14:paraId="4E8145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16 950,3</w:t>
            </w:r>
          </w:p>
        </w:tc>
        <w:tc>
          <w:tcPr>
            <w:tcW w:w="1570" w:type="dxa"/>
            <w:tcBorders>
              <w:top w:val="nil"/>
              <w:left w:val="nil"/>
              <w:bottom w:val="single" w:sz="4" w:space="0" w:color="auto"/>
              <w:right w:val="single" w:sz="4" w:space="0" w:color="auto"/>
            </w:tcBorders>
            <w:shd w:val="clear" w:color="000000" w:fill="FFFFFF"/>
            <w:noWrap/>
            <w:vAlign w:val="bottom"/>
            <w:hideMark/>
          </w:tcPr>
          <w:p w14:paraId="5043F6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1 201,8</w:t>
            </w:r>
          </w:p>
        </w:tc>
        <w:tc>
          <w:tcPr>
            <w:tcW w:w="2002" w:type="dxa"/>
            <w:tcBorders>
              <w:top w:val="nil"/>
              <w:left w:val="nil"/>
              <w:bottom w:val="single" w:sz="4" w:space="0" w:color="auto"/>
              <w:right w:val="single" w:sz="4" w:space="0" w:color="auto"/>
            </w:tcBorders>
            <w:shd w:val="clear" w:color="000000" w:fill="FFFFFF"/>
            <w:noWrap/>
            <w:vAlign w:val="bottom"/>
            <w:hideMark/>
          </w:tcPr>
          <w:p w14:paraId="5A44CA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C2479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965,7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E5906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116,2</w:t>
            </w:r>
          </w:p>
        </w:tc>
      </w:tr>
      <w:tr w:rsidR="00761800" w:rsidRPr="00761800" w14:paraId="23BE9F1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56B55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Перущица</w:t>
            </w:r>
          </w:p>
        </w:tc>
        <w:tc>
          <w:tcPr>
            <w:tcW w:w="146" w:type="dxa"/>
            <w:tcBorders>
              <w:top w:val="nil"/>
              <w:left w:val="nil"/>
              <w:bottom w:val="single" w:sz="4" w:space="0" w:color="auto"/>
              <w:right w:val="nil"/>
            </w:tcBorders>
            <w:shd w:val="clear" w:color="000000" w:fill="FFFFFF"/>
          </w:tcPr>
          <w:p w14:paraId="41A9EDB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F128A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4 206,2</w:t>
            </w:r>
          </w:p>
        </w:tc>
        <w:tc>
          <w:tcPr>
            <w:tcW w:w="1406" w:type="dxa"/>
            <w:tcBorders>
              <w:top w:val="nil"/>
              <w:left w:val="nil"/>
              <w:bottom w:val="single" w:sz="4" w:space="0" w:color="auto"/>
              <w:right w:val="single" w:sz="4" w:space="0" w:color="auto"/>
            </w:tcBorders>
            <w:shd w:val="clear" w:color="000000" w:fill="FFFFFF"/>
            <w:noWrap/>
            <w:vAlign w:val="bottom"/>
            <w:hideMark/>
          </w:tcPr>
          <w:p w14:paraId="75473A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3 560,4</w:t>
            </w:r>
          </w:p>
        </w:tc>
        <w:tc>
          <w:tcPr>
            <w:tcW w:w="1570" w:type="dxa"/>
            <w:tcBorders>
              <w:top w:val="nil"/>
              <w:left w:val="nil"/>
              <w:bottom w:val="single" w:sz="4" w:space="0" w:color="auto"/>
              <w:right w:val="single" w:sz="4" w:space="0" w:color="auto"/>
            </w:tcBorders>
            <w:shd w:val="clear" w:color="000000" w:fill="FFFFFF"/>
            <w:noWrap/>
            <w:vAlign w:val="bottom"/>
            <w:hideMark/>
          </w:tcPr>
          <w:p w14:paraId="48A918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467,4</w:t>
            </w:r>
          </w:p>
        </w:tc>
        <w:tc>
          <w:tcPr>
            <w:tcW w:w="2002" w:type="dxa"/>
            <w:tcBorders>
              <w:top w:val="nil"/>
              <w:left w:val="nil"/>
              <w:bottom w:val="single" w:sz="4" w:space="0" w:color="auto"/>
              <w:right w:val="single" w:sz="4" w:space="0" w:color="auto"/>
            </w:tcBorders>
            <w:shd w:val="clear" w:color="000000" w:fill="FFFFFF"/>
            <w:noWrap/>
            <w:vAlign w:val="bottom"/>
            <w:hideMark/>
          </w:tcPr>
          <w:p w14:paraId="1A1740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91752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162,5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ED16F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w:t>
            </w:r>
          </w:p>
        </w:tc>
      </w:tr>
      <w:tr w:rsidR="00761800" w:rsidRPr="00761800" w14:paraId="3AF1DC3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2E971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Пловдив</w:t>
            </w:r>
          </w:p>
        </w:tc>
        <w:tc>
          <w:tcPr>
            <w:tcW w:w="146" w:type="dxa"/>
            <w:tcBorders>
              <w:top w:val="nil"/>
              <w:left w:val="nil"/>
              <w:bottom w:val="single" w:sz="4" w:space="0" w:color="auto"/>
              <w:right w:val="nil"/>
            </w:tcBorders>
            <w:shd w:val="clear" w:color="000000" w:fill="FFFFFF"/>
          </w:tcPr>
          <w:p w14:paraId="30B5D2F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A6A1B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225 028,6</w:t>
            </w:r>
          </w:p>
        </w:tc>
        <w:tc>
          <w:tcPr>
            <w:tcW w:w="1406" w:type="dxa"/>
            <w:tcBorders>
              <w:top w:val="nil"/>
              <w:left w:val="nil"/>
              <w:bottom w:val="single" w:sz="4" w:space="0" w:color="auto"/>
              <w:right w:val="single" w:sz="4" w:space="0" w:color="auto"/>
            </w:tcBorders>
            <w:shd w:val="clear" w:color="000000" w:fill="FFFFFF"/>
            <w:noWrap/>
            <w:vAlign w:val="bottom"/>
            <w:hideMark/>
          </w:tcPr>
          <w:p w14:paraId="63A16C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216 840,9</w:t>
            </w:r>
          </w:p>
        </w:tc>
        <w:tc>
          <w:tcPr>
            <w:tcW w:w="1570" w:type="dxa"/>
            <w:tcBorders>
              <w:top w:val="nil"/>
              <w:left w:val="nil"/>
              <w:bottom w:val="single" w:sz="4" w:space="0" w:color="auto"/>
              <w:right w:val="single" w:sz="4" w:space="0" w:color="auto"/>
            </w:tcBorders>
            <w:shd w:val="clear" w:color="000000" w:fill="FFFFFF"/>
            <w:noWrap/>
            <w:vAlign w:val="bottom"/>
            <w:hideMark/>
          </w:tcPr>
          <w:p w14:paraId="42DDC4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4 809,4</w:t>
            </w:r>
          </w:p>
        </w:tc>
        <w:tc>
          <w:tcPr>
            <w:tcW w:w="2002" w:type="dxa"/>
            <w:tcBorders>
              <w:top w:val="nil"/>
              <w:left w:val="nil"/>
              <w:bottom w:val="single" w:sz="4" w:space="0" w:color="auto"/>
              <w:right w:val="single" w:sz="4" w:space="0" w:color="auto"/>
            </w:tcBorders>
            <w:shd w:val="clear" w:color="000000" w:fill="FFFFFF"/>
            <w:noWrap/>
            <w:vAlign w:val="bottom"/>
            <w:hideMark/>
          </w:tcPr>
          <w:p w14:paraId="50BADB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B75DF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3 298,2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3FEA4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2 854,0</w:t>
            </w:r>
          </w:p>
        </w:tc>
      </w:tr>
      <w:tr w:rsidR="00761800" w:rsidRPr="00761800" w14:paraId="65C2F6A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B9AE7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Първомай</w:t>
            </w:r>
          </w:p>
        </w:tc>
        <w:tc>
          <w:tcPr>
            <w:tcW w:w="146" w:type="dxa"/>
            <w:tcBorders>
              <w:top w:val="nil"/>
              <w:left w:val="nil"/>
              <w:bottom w:val="single" w:sz="4" w:space="0" w:color="auto"/>
              <w:right w:val="nil"/>
            </w:tcBorders>
            <w:shd w:val="clear" w:color="000000" w:fill="FFFFFF"/>
          </w:tcPr>
          <w:p w14:paraId="30BC776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93E48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17 826,0</w:t>
            </w:r>
          </w:p>
        </w:tc>
        <w:tc>
          <w:tcPr>
            <w:tcW w:w="1406" w:type="dxa"/>
            <w:tcBorders>
              <w:top w:val="nil"/>
              <w:left w:val="nil"/>
              <w:bottom w:val="single" w:sz="4" w:space="0" w:color="auto"/>
              <w:right w:val="single" w:sz="4" w:space="0" w:color="auto"/>
            </w:tcBorders>
            <w:shd w:val="clear" w:color="000000" w:fill="FFFFFF"/>
            <w:noWrap/>
            <w:vAlign w:val="bottom"/>
            <w:hideMark/>
          </w:tcPr>
          <w:p w14:paraId="756197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15 265,5</w:t>
            </w:r>
          </w:p>
        </w:tc>
        <w:tc>
          <w:tcPr>
            <w:tcW w:w="1570" w:type="dxa"/>
            <w:tcBorders>
              <w:top w:val="nil"/>
              <w:left w:val="nil"/>
              <w:bottom w:val="single" w:sz="4" w:space="0" w:color="auto"/>
              <w:right w:val="single" w:sz="4" w:space="0" w:color="auto"/>
            </w:tcBorders>
            <w:shd w:val="clear" w:color="000000" w:fill="FFFFFF"/>
            <w:noWrap/>
            <w:vAlign w:val="bottom"/>
            <w:hideMark/>
          </w:tcPr>
          <w:p w14:paraId="3C015C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1 444,6</w:t>
            </w:r>
          </w:p>
        </w:tc>
        <w:tc>
          <w:tcPr>
            <w:tcW w:w="2002" w:type="dxa"/>
            <w:tcBorders>
              <w:top w:val="nil"/>
              <w:left w:val="nil"/>
              <w:bottom w:val="single" w:sz="4" w:space="0" w:color="auto"/>
              <w:right w:val="single" w:sz="4" w:space="0" w:color="auto"/>
            </w:tcBorders>
            <w:shd w:val="clear" w:color="000000" w:fill="FFFFFF"/>
            <w:noWrap/>
            <w:vAlign w:val="bottom"/>
            <w:hideMark/>
          </w:tcPr>
          <w:p w14:paraId="1B5553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99,9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35DD5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1 016,0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1C175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150,0</w:t>
            </w:r>
          </w:p>
        </w:tc>
      </w:tr>
      <w:tr w:rsidR="00761800" w:rsidRPr="00761800" w14:paraId="57A6A7B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37CF12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Pаковски</w:t>
            </w:r>
          </w:p>
        </w:tc>
        <w:tc>
          <w:tcPr>
            <w:tcW w:w="146" w:type="dxa"/>
            <w:tcBorders>
              <w:top w:val="nil"/>
              <w:left w:val="nil"/>
              <w:bottom w:val="single" w:sz="4" w:space="0" w:color="auto"/>
              <w:right w:val="nil"/>
            </w:tcBorders>
            <w:shd w:val="clear" w:color="000000" w:fill="FFFFFF"/>
          </w:tcPr>
          <w:p w14:paraId="6B3D585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B73BB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18 736,8</w:t>
            </w:r>
          </w:p>
        </w:tc>
        <w:tc>
          <w:tcPr>
            <w:tcW w:w="1406" w:type="dxa"/>
            <w:tcBorders>
              <w:top w:val="nil"/>
              <w:left w:val="nil"/>
              <w:bottom w:val="single" w:sz="4" w:space="0" w:color="auto"/>
              <w:right w:val="single" w:sz="4" w:space="0" w:color="auto"/>
            </w:tcBorders>
            <w:shd w:val="clear" w:color="000000" w:fill="FFFFFF"/>
            <w:noWrap/>
            <w:vAlign w:val="bottom"/>
            <w:hideMark/>
          </w:tcPr>
          <w:p w14:paraId="11F7B2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16 937,5</w:t>
            </w:r>
          </w:p>
        </w:tc>
        <w:tc>
          <w:tcPr>
            <w:tcW w:w="1570" w:type="dxa"/>
            <w:tcBorders>
              <w:top w:val="nil"/>
              <w:left w:val="nil"/>
              <w:bottom w:val="single" w:sz="4" w:space="0" w:color="auto"/>
              <w:right w:val="single" w:sz="4" w:space="0" w:color="auto"/>
            </w:tcBorders>
            <w:shd w:val="clear" w:color="000000" w:fill="FFFFFF"/>
            <w:noWrap/>
            <w:vAlign w:val="bottom"/>
            <w:hideMark/>
          </w:tcPr>
          <w:p w14:paraId="66994F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1 162,1</w:t>
            </w:r>
          </w:p>
        </w:tc>
        <w:tc>
          <w:tcPr>
            <w:tcW w:w="2002" w:type="dxa"/>
            <w:tcBorders>
              <w:top w:val="nil"/>
              <w:left w:val="nil"/>
              <w:bottom w:val="single" w:sz="4" w:space="0" w:color="auto"/>
              <w:right w:val="single" w:sz="4" w:space="0" w:color="auto"/>
            </w:tcBorders>
            <w:shd w:val="clear" w:color="000000" w:fill="FFFFFF"/>
            <w:noWrap/>
            <w:vAlign w:val="bottom"/>
            <w:hideMark/>
          </w:tcPr>
          <w:p w14:paraId="229AFD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F0773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591,7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BF02A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167,8</w:t>
            </w:r>
          </w:p>
        </w:tc>
      </w:tr>
      <w:tr w:rsidR="00761800" w:rsidRPr="00761800" w14:paraId="2B3E5B4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F7D7FA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„Pодопи”</w:t>
            </w:r>
          </w:p>
        </w:tc>
        <w:tc>
          <w:tcPr>
            <w:tcW w:w="146" w:type="dxa"/>
            <w:tcBorders>
              <w:top w:val="nil"/>
              <w:left w:val="nil"/>
              <w:bottom w:val="single" w:sz="4" w:space="0" w:color="auto"/>
              <w:right w:val="nil"/>
            </w:tcBorders>
            <w:shd w:val="clear" w:color="000000" w:fill="FFFFFF"/>
          </w:tcPr>
          <w:p w14:paraId="7C9832B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5DF78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17 628,0</w:t>
            </w:r>
          </w:p>
        </w:tc>
        <w:tc>
          <w:tcPr>
            <w:tcW w:w="1406" w:type="dxa"/>
            <w:tcBorders>
              <w:top w:val="nil"/>
              <w:left w:val="nil"/>
              <w:bottom w:val="single" w:sz="4" w:space="0" w:color="auto"/>
              <w:right w:val="single" w:sz="4" w:space="0" w:color="auto"/>
            </w:tcBorders>
            <w:shd w:val="clear" w:color="000000" w:fill="FFFFFF"/>
            <w:noWrap/>
            <w:vAlign w:val="bottom"/>
            <w:hideMark/>
          </w:tcPr>
          <w:p w14:paraId="191F43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15 012,2</w:t>
            </w:r>
          </w:p>
        </w:tc>
        <w:tc>
          <w:tcPr>
            <w:tcW w:w="1570" w:type="dxa"/>
            <w:tcBorders>
              <w:top w:val="nil"/>
              <w:left w:val="nil"/>
              <w:bottom w:val="single" w:sz="4" w:space="0" w:color="auto"/>
              <w:right w:val="single" w:sz="4" w:space="0" w:color="auto"/>
            </w:tcBorders>
            <w:shd w:val="clear" w:color="000000" w:fill="FFFFFF"/>
            <w:noWrap/>
            <w:vAlign w:val="bottom"/>
            <w:hideMark/>
          </w:tcPr>
          <w:p w14:paraId="5F6EA1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1 393,8</w:t>
            </w:r>
          </w:p>
        </w:tc>
        <w:tc>
          <w:tcPr>
            <w:tcW w:w="2002" w:type="dxa"/>
            <w:tcBorders>
              <w:top w:val="nil"/>
              <w:left w:val="nil"/>
              <w:bottom w:val="single" w:sz="4" w:space="0" w:color="auto"/>
              <w:right w:val="single" w:sz="4" w:space="0" w:color="auto"/>
            </w:tcBorders>
            <w:shd w:val="clear" w:color="000000" w:fill="FFFFFF"/>
            <w:noWrap/>
            <w:vAlign w:val="bottom"/>
            <w:hideMark/>
          </w:tcPr>
          <w:p w14:paraId="323D71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100,0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A4818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1 122,0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AECD8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25,8</w:t>
            </w:r>
          </w:p>
        </w:tc>
      </w:tr>
      <w:tr w:rsidR="00761800" w:rsidRPr="00761800" w14:paraId="39D564A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24133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Cадово</w:t>
            </w:r>
          </w:p>
        </w:tc>
        <w:tc>
          <w:tcPr>
            <w:tcW w:w="146" w:type="dxa"/>
            <w:tcBorders>
              <w:top w:val="nil"/>
              <w:left w:val="nil"/>
              <w:bottom w:val="single" w:sz="4" w:space="0" w:color="auto"/>
              <w:right w:val="nil"/>
            </w:tcBorders>
            <w:shd w:val="clear" w:color="000000" w:fill="FFFFFF"/>
          </w:tcPr>
          <w:p w14:paraId="6A6CF3F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0D964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10 291,0</w:t>
            </w:r>
          </w:p>
        </w:tc>
        <w:tc>
          <w:tcPr>
            <w:tcW w:w="1406" w:type="dxa"/>
            <w:tcBorders>
              <w:top w:val="nil"/>
              <w:left w:val="nil"/>
              <w:bottom w:val="single" w:sz="4" w:space="0" w:color="auto"/>
              <w:right w:val="single" w:sz="4" w:space="0" w:color="auto"/>
            </w:tcBorders>
            <w:shd w:val="clear" w:color="000000" w:fill="FFFFFF"/>
            <w:noWrap/>
            <w:vAlign w:val="bottom"/>
            <w:hideMark/>
          </w:tcPr>
          <w:p w14:paraId="5EE37F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8 935,6</w:t>
            </w:r>
          </w:p>
        </w:tc>
        <w:tc>
          <w:tcPr>
            <w:tcW w:w="1570" w:type="dxa"/>
            <w:tcBorders>
              <w:top w:val="nil"/>
              <w:left w:val="nil"/>
              <w:bottom w:val="single" w:sz="4" w:space="0" w:color="auto"/>
              <w:right w:val="single" w:sz="4" w:space="0" w:color="auto"/>
            </w:tcBorders>
            <w:shd w:val="clear" w:color="000000" w:fill="FFFFFF"/>
            <w:noWrap/>
            <w:vAlign w:val="bottom"/>
            <w:hideMark/>
          </w:tcPr>
          <w:p w14:paraId="589135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722,0</w:t>
            </w:r>
          </w:p>
        </w:tc>
        <w:tc>
          <w:tcPr>
            <w:tcW w:w="2002" w:type="dxa"/>
            <w:tcBorders>
              <w:top w:val="nil"/>
              <w:left w:val="nil"/>
              <w:bottom w:val="single" w:sz="4" w:space="0" w:color="auto"/>
              <w:right w:val="single" w:sz="4" w:space="0" w:color="auto"/>
            </w:tcBorders>
            <w:shd w:val="clear" w:color="000000" w:fill="FFFFFF"/>
            <w:noWrap/>
            <w:vAlign w:val="bottom"/>
            <w:hideMark/>
          </w:tcPr>
          <w:p w14:paraId="55B513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EAB66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597,8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08A04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54,8</w:t>
            </w:r>
          </w:p>
        </w:tc>
      </w:tr>
      <w:tr w:rsidR="00761800" w:rsidRPr="00761800" w14:paraId="77B84B0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A826B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Стамболийски</w:t>
            </w:r>
          </w:p>
        </w:tc>
        <w:tc>
          <w:tcPr>
            <w:tcW w:w="146" w:type="dxa"/>
            <w:tcBorders>
              <w:top w:val="nil"/>
              <w:left w:val="nil"/>
              <w:bottom w:val="single" w:sz="4" w:space="0" w:color="auto"/>
              <w:right w:val="nil"/>
            </w:tcBorders>
            <w:shd w:val="clear" w:color="000000" w:fill="FFFFFF"/>
          </w:tcPr>
          <w:p w14:paraId="085C2C2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31624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11 807,9</w:t>
            </w:r>
          </w:p>
        </w:tc>
        <w:tc>
          <w:tcPr>
            <w:tcW w:w="1406" w:type="dxa"/>
            <w:tcBorders>
              <w:top w:val="nil"/>
              <w:left w:val="nil"/>
              <w:bottom w:val="single" w:sz="4" w:space="0" w:color="auto"/>
              <w:right w:val="single" w:sz="4" w:space="0" w:color="auto"/>
            </w:tcBorders>
            <w:shd w:val="clear" w:color="000000" w:fill="FFFFFF"/>
            <w:noWrap/>
            <w:vAlign w:val="bottom"/>
            <w:hideMark/>
          </w:tcPr>
          <w:p w14:paraId="1383A1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10 479,1</w:t>
            </w:r>
          </w:p>
        </w:tc>
        <w:tc>
          <w:tcPr>
            <w:tcW w:w="1570" w:type="dxa"/>
            <w:tcBorders>
              <w:top w:val="nil"/>
              <w:left w:val="nil"/>
              <w:bottom w:val="single" w:sz="4" w:space="0" w:color="auto"/>
              <w:right w:val="single" w:sz="4" w:space="0" w:color="auto"/>
            </w:tcBorders>
            <w:shd w:val="clear" w:color="000000" w:fill="FFFFFF"/>
            <w:noWrap/>
            <w:vAlign w:val="bottom"/>
            <w:hideMark/>
          </w:tcPr>
          <w:p w14:paraId="3BDFA1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943,2</w:t>
            </w:r>
          </w:p>
        </w:tc>
        <w:tc>
          <w:tcPr>
            <w:tcW w:w="2002" w:type="dxa"/>
            <w:tcBorders>
              <w:top w:val="nil"/>
              <w:left w:val="nil"/>
              <w:bottom w:val="single" w:sz="4" w:space="0" w:color="auto"/>
              <w:right w:val="single" w:sz="4" w:space="0" w:color="auto"/>
            </w:tcBorders>
            <w:shd w:val="clear" w:color="000000" w:fill="FFFFFF"/>
            <w:noWrap/>
            <w:vAlign w:val="bottom"/>
            <w:hideMark/>
          </w:tcPr>
          <w:p w14:paraId="0D334D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4336A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363,6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37EEF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199,7</w:t>
            </w:r>
          </w:p>
        </w:tc>
      </w:tr>
      <w:tr w:rsidR="00761800" w:rsidRPr="00761800" w14:paraId="664326F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4228FA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Cъединение</w:t>
            </w:r>
          </w:p>
        </w:tc>
        <w:tc>
          <w:tcPr>
            <w:tcW w:w="146" w:type="dxa"/>
            <w:tcBorders>
              <w:top w:val="nil"/>
              <w:left w:val="nil"/>
              <w:bottom w:val="single" w:sz="4" w:space="0" w:color="auto"/>
              <w:right w:val="nil"/>
            </w:tcBorders>
            <w:shd w:val="clear" w:color="000000" w:fill="FFFFFF"/>
          </w:tcPr>
          <w:p w14:paraId="6CEEB4B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C98AF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6 129,9</w:t>
            </w:r>
          </w:p>
        </w:tc>
        <w:tc>
          <w:tcPr>
            <w:tcW w:w="1406" w:type="dxa"/>
            <w:tcBorders>
              <w:top w:val="nil"/>
              <w:left w:val="nil"/>
              <w:bottom w:val="single" w:sz="4" w:space="0" w:color="auto"/>
              <w:right w:val="single" w:sz="4" w:space="0" w:color="auto"/>
            </w:tcBorders>
            <w:shd w:val="clear" w:color="000000" w:fill="FFFFFF"/>
            <w:noWrap/>
            <w:vAlign w:val="bottom"/>
            <w:hideMark/>
          </w:tcPr>
          <w:p w14:paraId="2886DB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4 900,5</w:t>
            </w:r>
          </w:p>
        </w:tc>
        <w:tc>
          <w:tcPr>
            <w:tcW w:w="1570" w:type="dxa"/>
            <w:tcBorders>
              <w:top w:val="nil"/>
              <w:left w:val="nil"/>
              <w:bottom w:val="single" w:sz="4" w:space="0" w:color="auto"/>
              <w:right w:val="single" w:sz="4" w:space="0" w:color="auto"/>
            </w:tcBorders>
            <w:shd w:val="clear" w:color="000000" w:fill="FFFFFF"/>
            <w:noWrap/>
            <w:vAlign w:val="bottom"/>
            <w:hideMark/>
          </w:tcPr>
          <w:p w14:paraId="5894F8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676,4</w:t>
            </w:r>
          </w:p>
        </w:tc>
        <w:tc>
          <w:tcPr>
            <w:tcW w:w="2002" w:type="dxa"/>
            <w:tcBorders>
              <w:top w:val="nil"/>
              <w:left w:val="nil"/>
              <w:bottom w:val="single" w:sz="4" w:space="0" w:color="auto"/>
              <w:right w:val="single" w:sz="4" w:space="0" w:color="auto"/>
            </w:tcBorders>
            <w:shd w:val="clear" w:color="000000" w:fill="FFFFFF"/>
            <w:noWrap/>
            <w:vAlign w:val="bottom"/>
            <w:hideMark/>
          </w:tcPr>
          <w:p w14:paraId="660AEB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BEB04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516,6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21FBA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27,1</w:t>
            </w:r>
          </w:p>
        </w:tc>
      </w:tr>
      <w:tr w:rsidR="00761800" w:rsidRPr="00761800" w14:paraId="54D6918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93B3A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Xисаря</w:t>
            </w:r>
          </w:p>
        </w:tc>
        <w:tc>
          <w:tcPr>
            <w:tcW w:w="146" w:type="dxa"/>
            <w:tcBorders>
              <w:top w:val="nil"/>
              <w:left w:val="nil"/>
              <w:bottom w:val="single" w:sz="4" w:space="0" w:color="auto"/>
              <w:right w:val="nil"/>
            </w:tcBorders>
            <w:shd w:val="clear" w:color="000000" w:fill="FFFFFF"/>
          </w:tcPr>
          <w:p w14:paraId="30415AF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64B43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8 042,1</w:t>
            </w:r>
          </w:p>
        </w:tc>
        <w:tc>
          <w:tcPr>
            <w:tcW w:w="1406" w:type="dxa"/>
            <w:tcBorders>
              <w:top w:val="nil"/>
              <w:left w:val="nil"/>
              <w:bottom w:val="single" w:sz="4" w:space="0" w:color="auto"/>
              <w:right w:val="single" w:sz="4" w:space="0" w:color="auto"/>
            </w:tcBorders>
            <w:shd w:val="clear" w:color="000000" w:fill="FFFFFF"/>
            <w:noWrap/>
            <w:vAlign w:val="bottom"/>
            <w:hideMark/>
          </w:tcPr>
          <w:p w14:paraId="207868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6 967,9</w:t>
            </w:r>
          </w:p>
        </w:tc>
        <w:tc>
          <w:tcPr>
            <w:tcW w:w="1570" w:type="dxa"/>
            <w:tcBorders>
              <w:top w:val="nil"/>
              <w:left w:val="nil"/>
              <w:bottom w:val="single" w:sz="4" w:space="0" w:color="auto"/>
              <w:right w:val="single" w:sz="4" w:space="0" w:color="auto"/>
            </w:tcBorders>
            <w:shd w:val="clear" w:color="000000" w:fill="FFFFFF"/>
            <w:noWrap/>
            <w:vAlign w:val="bottom"/>
            <w:hideMark/>
          </w:tcPr>
          <w:p w14:paraId="46474A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511,9</w:t>
            </w:r>
          </w:p>
        </w:tc>
        <w:tc>
          <w:tcPr>
            <w:tcW w:w="2002" w:type="dxa"/>
            <w:tcBorders>
              <w:top w:val="nil"/>
              <w:left w:val="nil"/>
              <w:bottom w:val="single" w:sz="4" w:space="0" w:color="auto"/>
              <w:right w:val="single" w:sz="4" w:space="0" w:color="auto"/>
            </w:tcBorders>
            <w:shd w:val="clear" w:color="000000" w:fill="FFFFFF"/>
            <w:noWrap/>
            <w:vAlign w:val="bottom"/>
            <w:hideMark/>
          </w:tcPr>
          <w:p w14:paraId="3812AC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F7690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533,8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2871F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156,8</w:t>
            </w:r>
          </w:p>
        </w:tc>
      </w:tr>
      <w:tr w:rsidR="00761800" w:rsidRPr="00761800" w14:paraId="6F206F5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698C6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Куклен</w:t>
            </w:r>
          </w:p>
        </w:tc>
        <w:tc>
          <w:tcPr>
            <w:tcW w:w="146" w:type="dxa"/>
            <w:tcBorders>
              <w:top w:val="nil"/>
              <w:left w:val="nil"/>
              <w:bottom w:val="single" w:sz="4" w:space="0" w:color="auto"/>
              <w:right w:val="nil"/>
            </w:tcBorders>
            <w:shd w:val="clear" w:color="000000" w:fill="FFFFFF"/>
          </w:tcPr>
          <w:p w14:paraId="6DF29F6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FDB66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4 583,1</w:t>
            </w:r>
          </w:p>
        </w:tc>
        <w:tc>
          <w:tcPr>
            <w:tcW w:w="1406" w:type="dxa"/>
            <w:tcBorders>
              <w:top w:val="nil"/>
              <w:left w:val="nil"/>
              <w:bottom w:val="single" w:sz="4" w:space="0" w:color="auto"/>
              <w:right w:val="single" w:sz="4" w:space="0" w:color="auto"/>
            </w:tcBorders>
            <w:shd w:val="clear" w:color="000000" w:fill="FFFFFF"/>
            <w:noWrap/>
            <w:vAlign w:val="bottom"/>
            <w:hideMark/>
          </w:tcPr>
          <w:p w14:paraId="6F039B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4 008,6</w:t>
            </w:r>
          </w:p>
        </w:tc>
        <w:tc>
          <w:tcPr>
            <w:tcW w:w="1570" w:type="dxa"/>
            <w:tcBorders>
              <w:top w:val="nil"/>
              <w:left w:val="nil"/>
              <w:bottom w:val="single" w:sz="4" w:space="0" w:color="auto"/>
              <w:right w:val="single" w:sz="4" w:space="0" w:color="auto"/>
            </w:tcBorders>
            <w:shd w:val="clear" w:color="000000" w:fill="FFFFFF"/>
            <w:noWrap/>
            <w:vAlign w:val="bottom"/>
            <w:hideMark/>
          </w:tcPr>
          <w:p w14:paraId="7871F7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471E02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55F90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482,7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E243C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59,3</w:t>
            </w:r>
          </w:p>
        </w:tc>
      </w:tr>
      <w:tr w:rsidR="00761800" w:rsidRPr="00761800" w14:paraId="4B95058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A5CA5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Сопот</w:t>
            </w:r>
          </w:p>
        </w:tc>
        <w:tc>
          <w:tcPr>
            <w:tcW w:w="146" w:type="dxa"/>
            <w:tcBorders>
              <w:top w:val="nil"/>
              <w:left w:val="nil"/>
              <w:bottom w:val="single" w:sz="4" w:space="0" w:color="auto"/>
              <w:right w:val="nil"/>
            </w:tcBorders>
            <w:shd w:val="clear" w:color="000000" w:fill="FFFFFF"/>
          </w:tcPr>
          <w:p w14:paraId="5F37261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1BC66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6 712,8</w:t>
            </w:r>
          </w:p>
        </w:tc>
        <w:tc>
          <w:tcPr>
            <w:tcW w:w="1406" w:type="dxa"/>
            <w:tcBorders>
              <w:top w:val="nil"/>
              <w:left w:val="nil"/>
              <w:bottom w:val="single" w:sz="4" w:space="0" w:color="auto"/>
              <w:right w:val="single" w:sz="4" w:space="0" w:color="auto"/>
            </w:tcBorders>
            <w:shd w:val="clear" w:color="000000" w:fill="FFFFFF"/>
            <w:noWrap/>
            <w:vAlign w:val="bottom"/>
            <w:hideMark/>
          </w:tcPr>
          <w:p w14:paraId="13C417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6 080,7</w:t>
            </w:r>
          </w:p>
        </w:tc>
        <w:tc>
          <w:tcPr>
            <w:tcW w:w="1570" w:type="dxa"/>
            <w:tcBorders>
              <w:top w:val="nil"/>
              <w:left w:val="nil"/>
              <w:bottom w:val="single" w:sz="4" w:space="0" w:color="auto"/>
              <w:right w:val="single" w:sz="4" w:space="0" w:color="auto"/>
            </w:tcBorders>
            <w:shd w:val="clear" w:color="000000" w:fill="FFFFFF"/>
            <w:noWrap/>
            <w:vAlign w:val="bottom"/>
            <w:hideMark/>
          </w:tcPr>
          <w:p w14:paraId="64BF33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395,9</w:t>
            </w:r>
          </w:p>
        </w:tc>
        <w:tc>
          <w:tcPr>
            <w:tcW w:w="2002" w:type="dxa"/>
            <w:tcBorders>
              <w:top w:val="nil"/>
              <w:left w:val="nil"/>
              <w:bottom w:val="single" w:sz="4" w:space="0" w:color="auto"/>
              <w:right w:val="single" w:sz="4" w:space="0" w:color="auto"/>
            </w:tcBorders>
            <w:shd w:val="clear" w:color="000000" w:fill="FFFFFF"/>
            <w:noWrap/>
            <w:vAlign w:val="bottom"/>
            <w:hideMark/>
          </w:tcPr>
          <w:p w14:paraId="163219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B039D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220,6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4BE82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52,8</w:t>
            </w:r>
          </w:p>
        </w:tc>
      </w:tr>
      <w:tr w:rsidR="00761800" w:rsidRPr="00761800" w14:paraId="41C797C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F015486"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61145BAA"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50D71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4FC57F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66BED2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4198B8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AF3EFA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B3E58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FD2030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11639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РАЗГРАД</w:t>
            </w:r>
          </w:p>
        </w:tc>
        <w:tc>
          <w:tcPr>
            <w:tcW w:w="146" w:type="dxa"/>
            <w:tcBorders>
              <w:top w:val="nil"/>
              <w:left w:val="nil"/>
              <w:bottom w:val="single" w:sz="4" w:space="0" w:color="auto"/>
              <w:right w:val="nil"/>
            </w:tcBorders>
            <w:shd w:val="clear" w:color="000000" w:fill="FFFFFF"/>
          </w:tcPr>
          <w:p w14:paraId="6CB19A9D"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485778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3F46CD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1A5243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60EEEC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906E4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8884B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CD6DC6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6CAAC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Завет</w:t>
            </w:r>
          </w:p>
        </w:tc>
        <w:tc>
          <w:tcPr>
            <w:tcW w:w="146" w:type="dxa"/>
            <w:tcBorders>
              <w:top w:val="nil"/>
              <w:left w:val="nil"/>
              <w:bottom w:val="single" w:sz="4" w:space="0" w:color="auto"/>
              <w:right w:val="nil"/>
            </w:tcBorders>
            <w:shd w:val="clear" w:color="000000" w:fill="FFFFFF"/>
          </w:tcPr>
          <w:p w14:paraId="2838969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DF60D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6 120,8</w:t>
            </w:r>
          </w:p>
        </w:tc>
        <w:tc>
          <w:tcPr>
            <w:tcW w:w="1406" w:type="dxa"/>
            <w:tcBorders>
              <w:top w:val="nil"/>
              <w:left w:val="nil"/>
              <w:bottom w:val="single" w:sz="4" w:space="0" w:color="auto"/>
              <w:right w:val="single" w:sz="4" w:space="0" w:color="auto"/>
            </w:tcBorders>
            <w:shd w:val="clear" w:color="000000" w:fill="FFFFFF"/>
            <w:noWrap/>
            <w:vAlign w:val="bottom"/>
            <w:hideMark/>
          </w:tcPr>
          <w:p w14:paraId="036ED2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4 918,5</w:t>
            </w:r>
          </w:p>
        </w:tc>
        <w:tc>
          <w:tcPr>
            <w:tcW w:w="1570" w:type="dxa"/>
            <w:tcBorders>
              <w:top w:val="nil"/>
              <w:left w:val="nil"/>
              <w:bottom w:val="single" w:sz="4" w:space="0" w:color="auto"/>
              <w:right w:val="single" w:sz="4" w:space="0" w:color="auto"/>
            </w:tcBorders>
            <w:shd w:val="clear" w:color="000000" w:fill="FFFFFF"/>
            <w:noWrap/>
            <w:vAlign w:val="bottom"/>
            <w:hideMark/>
          </w:tcPr>
          <w:p w14:paraId="4D8ECE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723,6</w:t>
            </w:r>
          </w:p>
        </w:tc>
        <w:tc>
          <w:tcPr>
            <w:tcW w:w="2002" w:type="dxa"/>
            <w:tcBorders>
              <w:top w:val="nil"/>
              <w:left w:val="nil"/>
              <w:bottom w:val="single" w:sz="4" w:space="0" w:color="auto"/>
              <w:right w:val="single" w:sz="4" w:space="0" w:color="auto"/>
            </w:tcBorders>
            <w:shd w:val="clear" w:color="000000" w:fill="FFFFFF"/>
            <w:noWrap/>
            <w:vAlign w:val="bottom"/>
            <w:hideMark/>
          </w:tcPr>
          <w:p w14:paraId="7A8EEF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87CFF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431,7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E584E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40,9</w:t>
            </w:r>
          </w:p>
        </w:tc>
      </w:tr>
      <w:tr w:rsidR="00761800" w:rsidRPr="00761800" w14:paraId="7489440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9D29D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Исперих</w:t>
            </w:r>
          </w:p>
        </w:tc>
        <w:tc>
          <w:tcPr>
            <w:tcW w:w="146" w:type="dxa"/>
            <w:tcBorders>
              <w:top w:val="nil"/>
              <w:left w:val="nil"/>
              <w:bottom w:val="single" w:sz="4" w:space="0" w:color="auto"/>
              <w:right w:val="nil"/>
            </w:tcBorders>
            <w:shd w:val="clear" w:color="000000" w:fill="FFFFFF"/>
          </w:tcPr>
          <w:p w14:paraId="2FF9025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EDCB3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18 598,0</w:t>
            </w:r>
          </w:p>
        </w:tc>
        <w:tc>
          <w:tcPr>
            <w:tcW w:w="1406" w:type="dxa"/>
            <w:tcBorders>
              <w:top w:val="nil"/>
              <w:left w:val="nil"/>
              <w:bottom w:val="single" w:sz="4" w:space="0" w:color="auto"/>
              <w:right w:val="single" w:sz="4" w:space="0" w:color="auto"/>
            </w:tcBorders>
            <w:shd w:val="clear" w:color="000000" w:fill="FFFFFF"/>
            <w:noWrap/>
            <w:vAlign w:val="bottom"/>
            <w:hideMark/>
          </w:tcPr>
          <w:p w14:paraId="73D690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16 303,6</w:t>
            </w:r>
          </w:p>
        </w:tc>
        <w:tc>
          <w:tcPr>
            <w:tcW w:w="1570" w:type="dxa"/>
            <w:tcBorders>
              <w:top w:val="nil"/>
              <w:left w:val="nil"/>
              <w:bottom w:val="single" w:sz="4" w:space="0" w:color="auto"/>
              <w:right w:val="single" w:sz="4" w:space="0" w:color="auto"/>
            </w:tcBorders>
            <w:shd w:val="clear" w:color="000000" w:fill="FFFFFF"/>
            <w:noWrap/>
            <w:vAlign w:val="bottom"/>
            <w:hideMark/>
          </w:tcPr>
          <w:p w14:paraId="097418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1 254,5</w:t>
            </w:r>
          </w:p>
        </w:tc>
        <w:tc>
          <w:tcPr>
            <w:tcW w:w="2002" w:type="dxa"/>
            <w:tcBorders>
              <w:top w:val="nil"/>
              <w:left w:val="nil"/>
              <w:bottom w:val="single" w:sz="4" w:space="0" w:color="auto"/>
              <w:right w:val="single" w:sz="4" w:space="0" w:color="auto"/>
            </w:tcBorders>
            <w:shd w:val="clear" w:color="000000" w:fill="FFFFFF"/>
            <w:noWrap/>
            <w:vAlign w:val="bottom"/>
            <w:hideMark/>
          </w:tcPr>
          <w:p w14:paraId="45CDCE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377E6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970,4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9D892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118,4</w:t>
            </w:r>
          </w:p>
        </w:tc>
      </w:tr>
      <w:tr w:rsidR="00761800" w:rsidRPr="00761800" w14:paraId="3908AA1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10451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Kубрат</w:t>
            </w:r>
          </w:p>
        </w:tc>
        <w:tc>
          <w:tcPr>
            <w:tcW w:w="146" w:type="dxa"/>
            <w:tcBorders>
              <w:top w:val="nil"/>
              <w:left w:val="nil"/>
              <w:bottom w:val="single" w:sz="4" w:space="0" w:color="auto"/>
              <w:right w:val="nil"/>
            </w:tcBorders>
            <w:shd w:val="clear" w:color="000000" w:fill="FFFFFF"/>
          </w:tcPr>
          <w:p w14:paraId="2DC336C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51892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12 386,8</w:t>
            </w:r>
          </w:p>
        </w:tc>
        <w:tc>
          <w:tcPr>
            <w:tcW w:w="1406" w:type="dxa"/>
            <w:tcBorders>
              <w:top w:val="nil"/>
              <w:left w:val="nil"/>
              <w:bottom w:val="single" w:sz="4" w:space="0" w:color="auto"/>
              <w:right w:val="single" w:sz="4" w:space="0" w:color="auto"/>
            </w:tcBorders>
            <w:shd w:val="clear" w:color="000000" w:fill="FFFFFF"/>
            <w:noWrap/>
            <w:vAlign w:val="bottom"/>
            <w:hideMark/>
          </w:tcPr>
          <w:p w14:paraId="0AA729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10 360,8</w:t>
            </w:r>
          </w:p>
        </w:tc>
        <w:tc>
          <w:tcPr>
            <w:tcW w:w="1570" w:type="dxa"/>
            <w:tcBorders>
              <w:top w:val="nil"/>
              <w:left w:val="nil"/>
              <w:bottom w:val="single" w:sz="4" w:space="0" w:color="auto"/>
              <w:right w:val="single" w:sz="4" w:space="0" w:color="auto"/>
            </w:tcBorders>
            <w:shd w:val="clear" w:color="000000" w:fill="FFFFFF"/>
            <w:noWrap/>
            <w:vAlign w:val="bottom"/>
            <w:hideMark/>
          </w:tcPr>
          <w:p w14:paraId="49FA8E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1 100,8</w:t>
            </w:r>
          </w:p>
        </w:tc>
        <w:tc>
          <w:tcPr>
            <w:tcW w:w="2002" w:type="dxa"/>
            <w:tcBorders>
              <w:top w:val="nil"/>
              <w:left w:val="nil"/>
              <w:bottom w:val="single" w:sz="4" w:space="0" w:color="auto"/>
              <w:right w:val="single" w:sz="4" w:space="0" w:color="auto"/>
            </w:tcBorders>
            <w:shd w:val="clear" w:color="000000" w:fill="FFFFFF"/>
            <w:noWrap/>
            <w:vAlign w:val="bottom"/>
            <w:hideMark/>
          </w:tcPr>
          <w:p w14:paraId="2C2E7C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E5A78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831,2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FDA69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117,8</w:t>
            </w:r>
          </w:p>
        </w:tc>
      </w:tr>
      <w:tr w:rsidR="00761800" w:rsidRPr="00761800" w14:paraId="036E01C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C7118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Лозница</w:t>
            </w:r>
          </w:p>
        </w:tc>
        <w:tc>
          <w:tcPr>
            <w:tcW w:w="146" w:type="dxa"/>
            <w:tcBorders>
              <w:top w:val="nil"/>
              <w:left w:val="nil"/>
              <w:bottom w:val="single" w:sz="4" w:space="0" w:color="auto"/>
              <w:right w:val="nil"/>
            </w:tcBorders>
            <w:shd w:val="clear" w:color="000000" w:fill="FFFFFF"/>
          </w:tcPr>
          <w:p w14:paraId="39B78E8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1E43B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7 012,6</w:t>
            </w:r>
          </w:p>
        </w:tc>
        <w:tc>
          <w:tcPr>
            <w:tcW w:w="1406" w:type="dxa"/>
            <w:tcBorders>
              <w:top w:val="nil"/>
              <w:left w:val="nil"/>
              <w:bottom w:val="single" w:sz="4" w:space="0" w:color="auto"/>
              <w:right w:val="single" w:sz="4" w:space="0" w:color="auto"/>
            </w:tcBorders>
            <w:shd w:val="clear" w:color="000000" w:fill="FFFFFF"/>
            <w:noWrap/>
            <w:vAlign w:val="bottom"/>
            <w:hideMark/>
          </w:tcPr>
          <w:p w14:paraId="3BBFB8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5 499,1</w:t>
            </w:r>
          </w:p>
        </w:tc>
        <w:tc>
          <w:tcPr>
            <w:tcW w:w="1570" w:type="dxa"/>
            <w:tcBorders>
              <w:top w:val="nil"/>
              <w:left w:val="nil"/>
              <w:bottom w:val="single" w:sz="4" w:space="0" w:color="auto"/>
              <w:right w:val="single" w:sz="4" w:space="0" w:color="auto"/>
            </w:tcBorders>
            <w:shd w:val="clear" w:color="000000" w:fill="FFFFFF"/>
            <w:noWrap/>
            <w:vAlign w:val="bottom"/>
            <w:hideMark/>
          </w:tcPr>
          <w:p w14:paraId="451D3B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658,4</w:t>
            </w:r>
          </w:p>
        </w:tc>
        <w:tc>
          <w:tcPr>
            <w:tcW w:w="2002" w:type="dxa"/>
            <w:tcBorders>
              <w:top w:val="nil"/>
              <w:left w:val="nil"/>
              <w:bottom w:val="single" w:sz="4" w:space="0" w:color="auto"/>
              <w:right w:val="single" w:sz="4" w:space="0" w:color="auto"/>
            </w:tcBorders>
            <w:shd w:val="clear" w:color="000000" w:fill="FFFFFF"/>
            <w:noWrap/>
            <w:vAlign w:val="bottom"/>
            <w:hideMark/>
          </w:tcPr>
          <w:p w14:paraId="0D8988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0480F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762,7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7967E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51,1</w:t>
            </w:r>
          </w:p>
        </w:tc>
      </w:tr>
      <w:tr w:rsidR="00761800" w:rsidRPr="00761800" w14:paraId="3573661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E47E9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Pазград</w:t>
            </w:r>
          </w:p>
        </w:tc>
        <w:tc>
          <w:tcPr>
            <w:tcW w:w="146" w:type="dxa"/>
            <w:tcBorders>
              <w:top w:val="nil"/>
              <w:left w:val="nil"/>
              <w:bottom w:val="single" w:sz="4" w:space="0" w:color="auto"/>
              <w:right w:val="nil"/>
            </w:tcBorders>
            <w:shd w:val="clear" w:color="000000" w:fill="FFFFFF"/>
          </w:tcPr>
          <w:p w14:paraId="17E2CB2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29950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38 938,8</w:t>
            </w:r>
          </w:p>
        </w:tc>
        <w:tc>
          <w:tcPr>
            <w:tcW w:w="1406" w:type="dxa"/>
            <w:tcBorders>
              <w:top w:val="nil"/>
              <w:left w:val="nil"/>
              <w:bottom w:val="single" w:sz="4" w:space="0" w:color="auto"/>
              <w:right w:val="single" w:sz="4" w:space="0" w:color="auto"/>
            </w:tcBorders>
            <w:shd w:val="clear" w:color="000000" w:fill="FFFFFF"/>
            <w:noWrap/>
            <w:vAlign w:val="bottom"/>
            <w:hideMark/>
          </w:tcPr>
          <w:p w14:paraId="7EB889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35 500,2</w:t>
            </w:r>
          </w:p>
        </w:tc>
        <w:tc>
          <w:tcPr>
            <w:tcW w:w="1570" w:type="dxa"/>
            <w:tcBorders>
              <w:top w:val="nil"/>
              <w:left w:val="nil"/>
              <w:bottom w:val="single" w:sz="4" w:space="0" w:color="auto"/>
              <w:right w:val="single" w:sz="4" w:space="0" w:color="auto"/>
            </w:tcBorders>
            <w:shd w:val="clear" w:color="000000" w:fill="FFFFFF"/>
            <w:noWrap/>
            <w:vAlign w:val="bottom"/>
            <w:hideMark/>
          </w:tcPr>
          <w:p w14:paraId="087A75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2 029,7</w:t>
            </w:r>
          </w:p>
        </w:tc>
        <w:tc>
          <w:tcPr>
            <w:tcW w:w="2002" w:type="dxa"/>
            <w:tcBorders>
              <w:top w:val="nil"/>
              <w:left w:val="nil"/>
              <w:bottom w:val="single" w:sz="4" w:space="0" w:color="auto"/>
              <w:right w:val="single" w:sz="4" w:space="0" w:color="auto"/>
            </w:tcBorders>
            <w:shd w:val="clear" w:color="000000" w:fill="FFFFFF"/>
            <w:noWrap/>
            <w:vAlign w:val="bottom"/>
            <w:hideMark/>
          </w:tcPr>
          <w:p w14:paraId="5CED0D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115,3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D38E5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1 293,6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ACAE9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472,1</w:t>
            </w:r>
          </w:p>
        </w:tc>
      </w:tr>
      <w:tr w:rsidR="00761800" w:rsidRPr="00761800" w14:paraId="2AFBC4D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71F7A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Cамуил</w:t>
            </w:r>
          </w:p>
        </w:tc>
        <w:tc>
          <w:tcPr>
            <w:tcW w:w="146" w:type="dxa"/>
            <w:tcBorders>
              <w:top w:val="nil"/>
              <w:left w:val="nil"/>
              <w:bottom w:val="single" w:sz="4" w:space="0" w:color="auto"/>
              <w:right w:val="nil"/>
            </w:tcBorders>
            <w:shd w:val="clear" w:color="000000" w:fill="FFFFFF"/>
          </w:tcPr>
          <w:p w14:paraId="7DA4044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84456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9 189,5</w:t>
            </w:r>
          </w:p>
        </w:tc>
        <w:tc>
          <w:tcPr>
            <w:tcW w:w="1406" w:type="dxa"/>
            <w:tcBorders>
              <w:top w:val="nil"/>
              <w:left w:val="nil"/>
              <w:bottom w:val="single" w:sz="4" w:space="0" w:color="auto"/>
              <w:right w:val="single" w:sz="4" w:space="0" w:color="auto"/>
            </w:tcBorders>
            <w:shd w:val="clear" w:color="000000" w:fill="FFFFFF"/>
            <w:noWrap/>
            <w:vAlign w:val="bottom"/>
            <w:hideMark/>
          </w:tcPr>
          <w:p w14:paraId="10C3F0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7 803,0</w:t>
            </w:r>
          </w:p>
        </w:tc>
        <w:tc>
          <w:tcPr>
            <w:tcW w:w="1570" w:type="dxa"/>
            <w:tcBorders>
              <w:top w:val="nil"/>
              <w:left w:val="nil"/>
              <w:bottom w:val="single" w:sz="4" w:space="0" w:color="auto"/>
              <w:right w:val="single" w:sz="4" w:space="0" w:color="auto"/>
            </w:tcBorders>
            <w:shd w:val="clear" w:color="000000" w:fill="FFFFFF"/>
            <w:noWrap/>
            <w:vAlign w:val="bottom"/>
            <w:hideMark/>
          </w:tcPr>
          <w:p w14:paraId="47F92C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725,8</w:t>
            </w:r>
          </w:p>
        </w:tc>
        <w:tc>
          <w:tcPr>
            <w:tcW w:w="2002" w:type="dxa"/>
            <w:tcBorders>
              <w:top w:val="nil"/>
              <w:left w:val="nil"/>
              <w:bottom w:val="single" w:sz="4" w:space="0" w:color="auto"/>
              <w:right w:val="single" w:sz="4" w:space="0" w:color="auto"/>
            </w:tcBorders>
            <w:shd w:val="clear" w:color="000000" w:fill="FFFFFF"/>
            <w:noWrap/>
            <w:vAlign w:val="bottom"/>
            <w:hideMark/>
          </w:tcPr>
          <w:p w14:paraId="3D39AA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857F9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603,4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21782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32,9</w:t>
            </w:r>
          </w:p>
        </w:tc>
      </w:tr>
      <w:tr w:rsidR="00761800" w:rsidRPr="00761800" w14:paraId="37AC82C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7BC32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Цар Калоян</w:t>
            </w:r>
          </w:p>
        </w:tc>
        <w:tc>
          <w:tcPr>
            <w:tcW w:w="146" w:type="dxa"/>
            <w:tcBorders>
              <w:top w:val="nil"/>
              <w:left w:val="nil"/>
              <w:bottom w:val="single" w:sz="4" w:space="0" w:color="auto"/>
              <w:right w:val="nil"/>
            </w:tcBorders>
            <w:shd w:val="clear" w:color="000000" w:fill="FFFFFF"/>
          </w:tcPr>
          <w:p w14:paraId="29F28DE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93B38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3 748,4</w:t>
            </w:r>
          </w:p>
        </w:tc>
        <w:tc>
          <w:tcPr>
            <w:tcW w:w="1406" w:type="dxa"/>
            <w:tcBorders>
              <w:top w:val="nil"/>
              <w:left w:val="nil"/>
              <w:bottom w:val="single" w:sz="4" w:space="0" w:color="auto"/>
              <w:right w:val="single" w:sz="4" w:space="0" w:color="auto"/>
            </w:tcBorders>
            <w:shd w:val="clear" w:color="000000" w:fill="FFFFFF"/>
            <w:noWrap/>
            <w:vAlign w:val="bottom"/>
            <w:hideMark/>
          </w:tcPr>
          <w:p w14:paraId="4FEEAA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2 975,4</w:t>
            </w:r>
          </w:p>
        </w:tc>
        <w:tc>
          <w:tcPr>
            <w:tcW w:w="1570" w:type="dxa"/>
            <w:tcBorders>
              <w:top w:val="nil"/>
              <w:left w:val="nil"/>
              <w:bottom w:val="single" w:sz="4" w:space="0" w:color="auto"/>
              <w:right w:val="single" w:sz="4" w:space="0" w:color="auto"/>
            </w:tcBorders>
            <w:shd w:val="clear" w:color="000000" w:fill="FFFFFF"/>
            <w:noWrap/>
            <w:vAlign w:val="bottom"/>
            <w:hideMark/>
          </w:tcPr>
          <w:p w14:paraId="11FF3D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517,4</w:t>
            </w:r>
          </w:p>
        </w:tc>
        <w:tc>
          <w:tcPr>
            <w:tcW w:w="2002" w:type="dxa"/>
            <w:tcBorders>
              <w:top w:val="nil"/>
              <w:left w:val="nil"/>
              <w:bottom w:val="single" w:sz="4" w:space="0" w:color="auto"/>
              <w:right w:val="single" w:sz="4" w:space="0" w:color="auto"/>
            </w:tcBorders>
            <w:shd w:val="clear" w:color="000000" w:fill="FFFFFF"/>
            <w:noWrap/>
            <w:vAlign w:val="bottom"/>
            <w:hideMark/>
          </w:tcPr>
          <w:p w14:paraId="07DF4E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CCF64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231,3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B611D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17,7</w:t>
            </w:r>
          </w:p>
        </w:tc>
      </w:tr>
      <w:tr w:rsidR="00761800" w:rsidRPr="00761800" w14:paraId="65440D6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0212A22"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435A5C81"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C9B87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75BC1D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4CC07F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FE98E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E0C95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3C770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116975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EC362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РУСЕ</w:t>
            </w:r>
          </w:p>
        </w:tc>
        <w:tc>
          <w:tcPr>
            <w:tcW w:w="146" w:type="dxa"/>
            <w:tcBorders>
              <w:top w:val="nil"/>
              <w:left w:val="nil"/>
              <w:bottom w:val="single" w:sz="4" w:space="0" w:color="auto"/>
              <w:right w:val="nil"/>
            </w:tcBorders>
            <w:shd w:val="clear" w:color="000000" w:fill="FFFFFF"/>
          </w:tcPr>
          <w:p w14:paraId="28B0C914"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11ED0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361F1B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627A1B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182C4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0A656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84C45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E9EBB9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AB8F94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Борово</w:t>
            </w:r>
          </w:p>
        </w:tc>
        <w:tc>
          <w:tcPr>
            <w:tcW w:w="146" w:type="dxa"/>
            <w:tcBorders>
              <w:top w:val="nil"/>
              <w:left w:val="nil"/>
              <w:bottom w:val="single" w:sz="4" w:space="0" w:color="auto"/>
              <w:right w:val="nil"/>
            </w:tcBorders>
            <w:shd w:val="clear" w:color="000000" w:fill="FFFFFF"/>
          </w:tcPr>
          <w:p w14:paraId="053F679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C74FE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4 866,3</w:t>
            </w:r>
          </w:p>
        </w:tc>
        <w:tc>
          <w:tcPr>
            <w:tcW w:w="1406" w:type="dxa"/>
            <w:tcBorders>
              <w:top w:val="nil"/>
              <w:left w:val="nil"/>
              <w:bottom w:val="single" w:sz="4" w:space="0" w:color="auto"/>
              <w:right w:val="single" w:sz="4" w:space="0" w:color="auto"/>
            </w:tcBorders>
            <w:shd w:val="clear" w:color="000000" w:fill="FFFFFF"/>
            <w:noWrap/>
            <w:vAlign w:val="bottom"/>
            <w:hideMark/>
          </w:tcPr>
          <w:p w14:paraId="5F41BF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3 997,1</w:t>
            </w:r>
          </w:p>
        </w:tc>
        <w:tc>
          <w:tcPr>
            <w:tcW w:w="1570" w:type="dxa"/>
            <w:tcBorders>
              <w:top w:val="nil"/>
              <w:left w:val="nil"/>
              <w:bottom w:val="single" w:sz="4" w:space="0" w:color="auto"/>
              <w:right w:val="single" w:sz="4" w:space="0" w:color="auto"/>
            </w:tcBorders>
            <w:shd w:val="clear" w:color="000000" w:fill="FFFFFF"/>
            <w:noWrap/>
            <w:vAlign w:val="bottom"/>
            <w:hideMark/>
          </w:tcPr>
          <w:p w14:paraId="785159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407,8</w:t>
            </w:r>
          </w:p>
        </w:tc>
        <w:tc>
          <w:tcPr>
            <w:tcW w:w="2002" w:type="dxa"/>
            <w:tcBorders>
              <w:top w:val="nil"/>
              <w:left w:val="nil"/>
              <w:bottom w:val="single" w:sz="4" w:space="0" w:color="auto"/>
              <w:right w:val="single" w:sz="4" w:space="0" w:color="auto"/>
            </w:tcBorders>
            <w:shd w:val="clear" w:color="000000" w:fill="FFFFFF"/>
            <w:noWrap/>
            <w:vAlign w:val="bottom"/>
            <w:hideMark/>
          </w:tcPr>
          <w:p w14:paraId="63F0D4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92306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408,9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FAA98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37,5</w:t>
            </w:r>
          </w:p>
        </w:tc>
      </w:tr>
      <w:tr w:rsidR="00761800" w:rsidRPr="00761800" w14:paraId="5355E0B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A8E82F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Бяла</w:t>
            </w:r>
          </w:p>
        </w:tc>
        <w:tc>
          <w:tcPr>
            <w:tcW w:w="146" w:type="dxa"/>
            <w:tcBorders>
              <w:top w:val="nil"/>
              <w:left w:val="nil"/>
              <w:bottom w:val="single" w:sz="4" w:space="0" w:color="auto"/>
              <w:right w:val="nil"/>
            </w:tcBorders>
            <w:shd w:val="clear" w:color="000000" w:fill="FFFFFF"/>
          </w:tcPr>
          <w:p w14:paraId="4844118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6615E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7 801,6</w:t>
            </w:r>
          </w:p>
        </w:tc>
        <w:tc>
          <w:tcPr>
            <w:tcW w:w="1406" w:type="dxa"/>
            <w:tcBorders>
              <w:top w:val="nil"/>
              <w:left w:val="nil"/>
              <w:bottom w:val="single" w:sz="4" w:space="0" w:color="auto"/>
              <w:right w:val="single" w:sz="4" w:space="0" w:color="auto"/>
            </w:tcBorders>
            <w:shd w:val="clear" w:color="000000" w:fill="FFFFFF"/>
            <w:noWrap/>
            <w:vAlign w:val="bottom"/>
            <w:hideMark/>
          </w:tcPr>
          <w:p w14:paraId="106D9B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6 534,1</w:t>
            </w:r>
          </w:p>
        </w:tc>
        <w:tc>
          <w:tcPr>
            <w:tcW w:w="1570" w:type="dxa"/>
            <w:tcBorders>
              <w:top w:val="nil"/>
              <w:left w:val="nil"/>
              <w:bottom w:val="single" w:sz="4" w:space="0" w:color="auto"/>
              <w:right w:val="single" w:sz="4" w:space="0" w:color="auto"/>
            </w:tcBorders>
            <w:shd w:val="clear" w:color="000000" w:fill="FFFFFF"/>
            <w:noWrap/>
            <w:vAlign w:val="bottom"/>
            <w:hideMark/>
          </w:tcPr>
          <w:p w14:paraId="57F84F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592,1</w:t>
            </w:r>
          </w:p>
        </w:tc>
        <w:tc>
          <w:tcPr>
            <w:tcW w:w="2002" w:type="dxa"/>
            <w:tcBorders>
              <w:top w:val="nil"/>
              <w:left w:val="nil"/>
              <w:bottom w:val="single" w:sz="4" w:space="0" w:color="auto"/>
              <w:right w:val="single" w:sz="4" w:space="0" w:color="auto"/>
            </w:tcBorders>
            <w:shd w:val="clear" w:color="000000" w:fill="FFFFFF"/>
            <w:noWrap/>
            <w:vAlign w:val="bottom"/>
            <w:hideMark/>
          </w:tcPr>
          <w:p w14:paraId="6C1EE1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7C98A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599,4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9C7DC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159,0</w:t>
            </w:r>
          </w:p>
        </w:tc>
      </w:tr>
      <w:tr w:rsidR="00761800" w:rsidRPr="00761800" w14:paraId="0AC1D48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099D1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Bетово</w:t>
            </w:r>
          </w:p>
        </w:tc>
        <w:tc>
          <w:tcPr>
            <w:tcW w:w="146" w:type="dxa"/>
            <w:tcBorders>
              <w:top w:val="nil"/>
              <w:left w:val="nil"/>
              <w:bottom w:val="single" w:sz="4" w:space="0" w:color="auto"/>
              <w:right w:val="nil"/>
            </w:tcBorders>
            <w:shd w:val="clear" w:color="000000" w:fill="FFFFFF"/>
          </w:tcPr>
          <w:p w14:paraId="47FF392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53FB6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7 266,4</w:t>
            </w:r>
          </w:p>
        </w:tc>
        <w:tc>
          <w:tcPr>
            <w:tcW w:w="1406" w:type="dxa"/>
            <w:tcBorders>
              <w:top w:val="nil"/>
              <w:left w:val="nil"/>
              <w:bottom w:val="single" w:sz="4" w:space="0" w:color="auto"/>
              <w:right w:val="single" w:sz="4" w:space="0" w:color="auto"/>
            </w:tcBorders>
            <w:shd w:val="clear" w:color="000000" w:fill="FFFFFF"/>
            <w:noWrap/>
            <w:vAlign w:val="bottom"/>
            <w:hideMark/>
          </w:tcPr>
          <w:p w14:paraId="1839DA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5 861,6</w:t>
            </w:r>
          </w:p>
        </w:tc>
        <w:tc>
          <w:tcPr>
            <w:tcW w:w="1570" w:type="dxa"/>
            <w:tcBorders>
              <w:top w:val="nil"/>
              <w:left w:val="nil"/>
              <w:bottom w:val="single" w:sz="4" w:space="0" w:color="auto"/>
              <w:right w:val="single" w:sz="4" w:space="0" w:color="auto"/>
            </w:tcBorders>
            <w:shd w:val="clear" w:color="000000" w:fill="FFFFFF"/>
            <w:noWrap/>
            <w:vAlign w:val="bottom"/>
            <w:hideMark/>
          </w:tcPr>
          <w:p w14:paraId="7E894F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828,7</w:t>
            </w:r>
          </w:p>
        </w:tc>
        <w:tc>
          <w:tcPr>
            <w:tcW w:w="2002" w:type="dxa"/>
            <w:tcBorders>
              <w:top w:val="nil"/>
              <w:left w:val="nil"/>
              <w:bottom w:val="single" w:sz="4" w:space="0" w:color="auto"/>
              <w:right w:val="single" w:sz="4" w:space="0" w:color="auto"/>
            </w:tcBorders>
            <w:shd w:val="clear" w:color="000000" w:fill="FFFFFF"/>
            <w:noWrap/>
            <w:vAlign w:val="bottom"/>
            <w:hideMark/>
          </w:tcPr>
          <w:p w14:paraId="74BF1F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337EF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503,5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3E09B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22,5</w:t>
            </w:r>
          </w:p>
        </w:tc>
      </w:tr>
      <w:tr w:rsidR="00761800" w:rsidRPr="00761800" w14:paraId="6A63961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90329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Две могили</w:t>
            </w:r>
          </w:p>
        </w:tc>
        <w:tc>
          <w:tcPr>
            <w:tcW w:w="146" w:type="dxa"/>
            <w:tcBorders>
              <w:top w:val="nil"/>
              <w:left w:val="nil"/>
              <w:bottom w:val="single" w:sz="4" w:space="0" w:color="auto"/>
              <w:right w:val="nil"/>
            </w:tcBorders>
            <w:shd w:val="clear" w:color="000000" w:fill="FFFFFF"/>
          </w:tcPr>
          <w:p w14:paraId="1956CB5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1C2F0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6 357,5</w:t>
            </w:r>
          </w:p>
        </w:tc>
        <w:tc>
          <w:tcPr>
            <w:tcW w:w="1406" w:type="dxa"/>
            <w:tcBorders>
              <w:top w:val="nil"/>
              <w:left w:val="nil"/>
              <w:bottom w:val="single" w:sz="4" w:space="0" w:color="auto"/>
              <w:right w:val="single" w:sz="4" w:space="0" w:color="auto"/>
            </w:tcBorders>
            <w:shd w:val="clear" w:color="000000" w:fill="FFFFFF"/>
            <w:noWrap/>
            <w:vAlign w:val="bottom"/>
            <w:hideMark/>
          </w:tcPr>
          <w:p w14:paraId="1E8834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5 060,8</w:t>
            </w:r>
          </w:p>
        </w:tc>
        <w:tc>
          <w:tcPr>
            <w:tcW w:w="1570" w:type="dxa"/>
            <w:tcBorders>
              <w:top w:val="nil"/>
              <w:left w:val="nil"/>
              <w:bottom w:val="single" w:sz="4" w:space="0" w:color="auto"/>
              <w:right w:val="single" w:sz="4" w:space="0" w:color="auto"/>
            </w:tcBorders>
            <w:shd w:val="clear" w:color="000000" w:fill="FFFFFF"/>
            <w:noWrap/>
            <w:vAlign w:val="bottom"/>
            <w:hideMark/>
          </w:tcPr>
          <w:p w14:paraId="6A57A2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569,0</w:t>
            </w:r>
          </w:p>
        </w:tc>
        <w:tc>
          <w:tcPr>
            <w:tcW w:w="2002" w:type="dxa"/>
            <w:tcBorders>
              <w:top w:val="nil"/>
              <w:left w:val="nil"/>
              <w:bottom w:val="single" w:sz="4" w:space="0" w:color="auto"/>
              <w:right w:val="single" w:sz="4" w:space="0" w:color="auto"/>
            </w:tcBorders>
            <w:shd w:val="clear" w:color="000000" w:fill="FFFFFF"/>
            <w:noWrap/>
            <w:vAlign w:val="bottom"/>
            <w:hideMark/>
          </w:tcPr>
          <w:p w14:paraId="3EFD75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C9738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645,0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05791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83,4</w:t>
            </w:r>
          </w:p>
        </w:tc>
      </w:tr>
      <w:tr w:rsidR="00761800" w:rsidRPr="00761800" w14:paraId="143B227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98163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Иваново</w:t>
            </w:r>
          </w:p>
        </w:tc>
        <w:tc>
          <w:tcPr>
            <w:tcW w:w="146" w:type="dxa"/>
            <w:tcBorders>
              <w:top w:val="nil"/>
              <w:left w:val="nil"/>
              <w:bottom w:val="single" w:sz="4" w:space="0" w:color="auto"/>
              <w:right w:val="nil"/>
            </w:tcBorders>
            <w:shd w:val="clear" w:color="000000" w:fill="FFFFFF"/>
          </w:tcPr>
          <w:p w14:paraId="43DA62C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C0B5D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4 695,3</w:t>
            </w:r>
          </w:p>
        </w:tc>
        <w:tc>
          <w:tcPr>
            <w:tcW w:w="1406" w:type="dxa"/>
            <w:tcBorders>
              <w:top w:val="nil"/>
              <w:left w:val="nil"/>
              <w:bottom w:val="single" w:sz="4" w:space="0" w:color="auto"/>
              <w:right w:val="single" w:sz="4" w:space="0" w:color="auto"/>
            </w:tcBorders>
            <w:shd w:val="clear" w:color="000000" w:fill="FFFFFF"/>
            <w:noWrap/>
            <w:vAlign w:val="bottom"/>
            <w:hideMark/>
          </w:tcPr>
          <w:p w14:paraId="4B16A9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2 996,7</w:t>
            </w:r>
          </w:p>
        </w:tc>
        <w:tc>
          <w:tcPr>
            <w:tcW w:w="1570" w:type="dxa"/>
            <w:tcBorders>
              <w:top w:val="nil"/>
              <w:left w:val="nil"/>
              <w:bottom w:val="single" w:sz="4" w:space="0" w:color="auto"/>
              <w:right w:val="single" w:sz="4" w:space="0" w:color="auto"/>
            </w:tcBorders>
            <w:shd w:val="clear" w:color="000000" w:fill="FFFFFF"/>
            <w:noWrap/>
            <w:vAlign w:val="bottom"/>
            <w:hideMark/>
          </w:tcPr>
          <w:p w14:paraId="3F659E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726,1</w:t>
            </w:r>
          </w:p>
        </w:tc>
        <w:tc>
          <w:tcPr>
            <w:tcW w:w="2002" w:type="dxa"/>
            <w:tcBorders>
              <w:top w:val="nil"/>
              <w:left w:val="nil"/>
              <w:bottom w:val="single" w:sz="4" w:space="0" w:color="auto"/>
              <w:right w:val="single" w:sz="4" w:space="0" w:color="auto"/>
            </w:tcBorders>
            <w:shd w:val="clear" w:color="000000" w:fill="FFFFFF"/>
            <w:noWrap/>
            <w:vAlign w:val="bottom"/>
            <w:hideMark/>
          </w:tcPr>
          <w:p w14:paraId="388755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135,3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ADF93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837,2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E3722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56,9</w:t>
            </w:r>
          </w:p>
        </w:tc>
      </w:tr>
      <w:tr w:rsidR="00761800" w:rsidRPr="00761800" w14:paraId="0704850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BA514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Pусе</w:t>
            </w:r>
          </w:p>
        </w:tc>
        <w:tc>
          <w:tcPr>
            <w:tcW w:w="146" w:type="dxa"/>
            <w:tcBorders>
              <w:top w:val="nil"/>
              <w:left w:val="nil"/>
              <w:bottom w:val="single" w:sz="4" w:space="0" w:color="auto"/>
              <w:right w:val="nil"/>
            </w:tcBorders>
            <w:shd w:val="clear" w:color="000000" w:fill="FFFFFF"/>
          </w:tcPr>
          <w:p w14:paraId="47190EF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75F18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90 614,4</w:t>
            </w:r>
          </w:p>
        </w:tc>
        <w:tc>
          <w:tcPr>
            <w:tcW w:w="1406" w:type="dxa"/>
            <w:tcBorders>
              <w:top w:val="nil"/>
              <w:left w:val="nil"/>
              <w:bottom w:val="single" w:sz="4" w:space="0" w:color="auto"/>
              <w:right w:val="single" w:sz="4" w:space="0" w:color="auto"/>
            </w:tcBorders>
            <w:shd w:val="clear" w:color="000000" w:fill="FFFFFF"/>
            <w:noWrap/>
            <w:vAlign w:val="bottom"/>
            <w:hideMark/>
          </w:tcPr>
          <w:p w14:paraId="063DD3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84 563,5</w:t>
            </w:r>
          </w:p>
        </w:tc>
        <w:tc>
          <w:tcPr>
            <w:tcW w:w="1570" w:type="dxa"/>
            <w:tcBorders>
              <w:top w:val="nil"/>
              <w:left w:val="nil"/>
              <w:bottom w:val="single" w:sz="4" w:space="0" w:color="auto"/>
              <w:right w:val="single" w:sz="4" w:space="0" w:color="auto"/>
            </w:tcBorders>
            <w:shd w:val="clear" w:color="000000" w:fill="FFFFFF"/>
            <w:noWrap/>
            <w:vAlign w:val="bottom"/>
            <w:hideMark/>
          </w:tcPr>
          <w:p w14:paraId="0CF086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3 849,0</w:t>
            </w:r>
          </w:p>
        </w:tc>
        <w:tc>
          <w:tcPr>
            <w:tcW w:w="2002" w:type="dxa"/>
            <w:tcBorders>
              <w:top w:val="nil"/>
              <w:left w:val="nil"/>
              <w:bottom w:val="single" w:sz="4" w:space="0" w:color="auto"/>
              <w:right w:val="single" w:sz="4" w:space="0" w:color="auto"/>
            </w:tcBorders>
            <w:shd w:val="clear" w:color="000000" w:fill="FFFFFF"/>
            <w:noWrap/>
            <w:vAlign w:val="bottom"/>
            <w:hideMark/>
          </w:tcPr>
          <w:p w14:paraId="02554C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145,8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D6ED3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2 056,1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FADBB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648,7</w:t>
            </w:r>
          </w:p>
        </w:tc>
      </w:tr>
      <w:tr w:rsidR="00761800" w:rsidRPr="00761800" w14:paraId="3952E69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37040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Cливо поле</w:t>
            </w:r>
          </w:p>
        </w:tc>
        <w:tc>
          <w:tcPr>
            <w:tcW w:w="146" w:type="dxa"/>
            <w:tcBorders>
              <w:top w:val="nil"/>
              <w:left w:val="nil"/>
              <w:bottom w:val="single" w:sz="4" w:space="0" w:color="auto"/>
              <w:right w:val="nil"/>
            </w:tcBorders>
            <w:shd w:val="clear" w:color="000000" w:fill="FFFFFF"/>
          </w:tcPr>
          <w:p w14:paraId="14654CA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D396F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6 456,9</w:t>
            </w:r>
          </w:p>
        </w:tc>
        <w:tc>
          <w:tcPr>
            <w:tcW w:w="1406" w:type="dxa"/>
            <w:tcBorders>
              <w:top w:val="nil"/>
              <w:left w:val="nil"/>
              <w:bottom w:val="single" w:sz="4" w:space="0" w:color="auto"/>
              <w:right w:val="single" w:sz="4" w:space="0" w:color="auto"/>
            </w:tcBorders>
            <w:shd w:val="clear" w:color="000000" w:fill="FFFFFF"/>
            <w:noWrap/>
            <w:vAlign w:val="bottom"/>
            <w:hideMark/>
          </w:tcPr>
          <w:p w14:paraId="6F7AC9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5 180,9</w:t>
            </w:r>
          </w:p>
        </w:tc>
        <w:tc>
          <w:tcPr>
            <w:tcW w:w="1570" w:type="dxa"/>
            <w:tcBorders>
              <w:top w:val="nil"/>
              <w:left w:val="nil"/>
              <w:bottom w:val="single" w:sz="4" w:space="0" w:color="auto"/>
              <w:right w:val="single" w:sz="4" w:space="0" w:color="auto"/>
            </w:tcBorders>
            <w:shd w:val="clear" w:color="000000" w:fill="FFFFFF"/>
            <w:noWrap/>
            <w:vAlign w:val="bottom"/>
            <w:hideMark/>
          </w:tcPr>
          <w:p w14:paraId="547FBF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598,4</w:t>
            </w:r>
          </w:p>
        </w:tc>
        <w:tc>
          <w:tcPr>
            <w:tcW w:w="2002" w:type="dxa"/>
            <w:tcBorders>
              <w:top w:val="nil"/>
              <w:left w:val="nil"/>
              <w:bottom w:val="single" w:sz="4" w:space="0" w:color="auto"/>
              <w:right w:val="single" w:sz="4" w:space="0" w:color="auto"/>
            </w:tcBorders>
            <w:shd w:val="clear" w:color="000000" w:fill="FFFFFF"/>
            <w:noWrap/>
            <w:vAlign w:val="bottom"/>
            <w:hideMark/>
          </w:tcPr>
          <w:p w14:paraId="43DCD2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980E3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603,6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0A4B2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95,5</w:t>
            </w:r>
          </w:p>
        </w:tc>
      </w:tr>
      <w:tr w:rsidR="00761800" w:rsidRPr="00761800" w14:paraId="13A0E03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C6535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Ценово</w:t>
            </w:r>
          </w:p>
        </w:tc>
        <w:tc>
          <w:tcPr>
            <w:tcW w:w="146" w:type="dxa"/>
            <w:tcBorders>
              <w:top w:val="nil"/>
              <w:left w:val="nil"/>
              <w:bottom w:val="single" w:sz="4" w:space="0" w:color="auto"/>
              <w:right w:val="nil"/>
            </w:tcBorders>
            <w:shd w:val="clear" w:color="000000" w:fill="FFFFFF"/>
          </w:tcPr>
          <w:p w14:paraId="11B119C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236A9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3 486,1</w:t>
            </w:r>
          </w:p>
        </w:tc>
        <w:tc>
          <w:tcPr>
            <w:tcW w:w="1406" w:type="dxa"/>
            <w:tcBorders>
              <w:top w:val="nil"/>
              <w:left w:val="nil"/>
              <w:bottom w:val="single" w:sz="4" w:space="0" w:color="auto"/>
              <w:right w:val="single" w:sz="4" w:space="0" w:color="auto"/>
            </w:tcBorders>
            <w:shd w:val="clear" w:color="000000" w:fill="FFFFFF"/>
            <w:noWrap/>
            <w:vAlign w:val="bottom"/>
            <w:hideMark/>
          </w:tcPr>
          <w:p w14:paraId="1620EF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2 545,7</w:t>
            </w:r>
          </w:p>
        </w:tc>
        <w:tc>
          <w:tcPr>
            <w:tcW w:w="1570" w:type="dxa"/>
            <w:tcBorders>
              <w:top w:val="nil"/>
              <w:left w:val="nil"/>
              <w:bottom w:val="single" w:sz="4" w:space="0" w:color="auto"/>
              <w:right w:val="single" w:sz="4" w:space="0" w:color="auto"/>
            </w:tcBorders>
            <w:shd w:val="clear" w:color="000000" w:fill="FFFFFF"/>
            <w:noWrap/>
            <w:vAlign w:val="bottom"/>
            <w:hideMark/>
          </w:tcPr>
          <w:p w14:paraId="088210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423,2</w:t>
            </w:r>
          </w:p>
        </w:tc>
        <w:tc>
          <w:tcPr>
            <w:tcW w:w="2002" w:type="dxa"/>
            <w:tcBorders>
              <w:top w:val="nil"/>
              <w:left w:val="nil"/>
              <w:bottom w:val="single" w:sz="4" w:space="0" w:color="auto"/>
              <w:right w:val="single" w:sz="4" w:space="0" w:color="auto"/>
            </w:tcBorders>
            <w:shd w:val="clear" w:color="000000" w:fill="FFFFFF"/>
            <w:noWrap/>
            <w:vAlign w:val="bottom"/>
            <w:hideMark/>
          </w:tcPr>
          <w:p w14:paraId="00BE72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537DD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462,8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B28B4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49,8</w:t>
            </w:r>
          </w:p>
        </w:tc>
      </w:tr>
      <w:tr w:rsidR="00761800" w:rsidRPr="00761800" w14:paraId="3FF0635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DC5594C"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46" w:type="dxa"/>
            <w:tcBorders>
              <w:top w:val="nil"/>
              <w:left w:val="nil"/>
              <w:bottom w:val="single" w:sz="4" w:space="0" w:color="auto"/>
              <w:right w:val="nil"/>
            </w:tcBorders>
            <w:shd w:val="clear" w:color="000000" w:fill="FFFFFF"/>
          </w:tcPr>
          <w:p w14:paraId="36FF7381"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0FEEC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4ED19B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5A408C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794BBB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96AD9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3200F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CEBA89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420B7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СИЛИСТРА</w:t>
            </w:r>
          </w:p>
        </w:tc>
        <w:tc>
          <w:tcPr>
            <w:tcW w:w="146" w:type="dxa"/>
            <w:tcBorders>
              <w:top w:val="nil"/>
              <w:left w:val="nil"/>
              <w:bottom w:val="single" w:sz="4" w:space="0" w:color="auto"/>
              <w:right w:val="nil"/>
            </w:tcBorders>
            <w:shd w:val="clear" w:color="000000" w:fill="FFFFFF"/>
          </w:tcPr>
          <w:p w14:paraId="762BDB92"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B9373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32CFC61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67EE2E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376E50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E1095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D39C9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64BC5F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7B0B1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Aлфатар</w:t>
            </w:r>
          </w:p>
        </w:tc>
        <w:tc>
          <w:tcPr>
            <w:tcW w:w="146" w:type="dxa"/>
            <w:tcBorders>
              <w:top w:val="nil"/>
              <w:left w:val="nil"/>
              <w:bottom w:val="single" w:sz="4" w:space="0" w:color="auto"/>
              <w:right w:val="nil"/>
            </w:tcBorders>
            <w:shd w:val="clear" w:color="000000" w:fill="FFFFFF"/>
          </w:tcPr>
          <w:p w14:paraId="00872E6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D0B03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4 528,1</w:t>
            </w:r>
          </w:p>
        </w:tc>
        <w:tc>
          <w:tcPr>
            <w:tcW w:w="1406" w:type="dxa"/>
            <w:tcBorders>
              <w:top w:val="nil"/>
              <w:left w:val="nil"/>
              <w:bottom w:val="single" w:sz="4" w:space="0" w:color="auto"/>
              <w:right w:val="single" w:sz="4" w:space="0" w:color="auto"/>
            </w:tcBorders>
            <w:shd w:val="clear" w:color="000000" w:fill="FFFFFF"/>
            <w:noWrap/>
            <w:vAlign w:val="bottom"/>
            <w:hideMark/>
          </w:tcPr>
          <w:p w14:paraId="0A8C4B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3 739,4</w:t>
            </w:r>
          </w:p>
        </w:tc>
        <w:tc>
          <w:tcPr>
            <w:tcW w:w="1570" w:type="dxa"/>
            <w:tcBorders>
              <w:top w:val="nil"/>
              <w:left w:val="nil"/>
              <w:bottom w:val="single" w:sz="4" w:space="0" w:color="auto"/>
              <w:right w:val="single" w:sz="4" w:space="0" w:color="auto"/>
            </w:tcBorders>
            <w:shd w:val="clear" w:color="000000" w:fill="FFFFFF"/>
            <w:noWrap/>
            <w:vAlign w:val="bottom"/>
            <w:hideMark/>
          </w:tcPr>
          <w:p w14:paraId="433718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397,2</w:t>
            </w:r>
          </w:p>
        </w:tc>
        <w:tc>
          <w:tcPr>
            <w:tcW w:w="2002" w:type="dxa"/>
            <w:tcBorders>
              <w:top w:val="nil"/>
              <w:left w:val="nil"/>
              <w:bottom w:val="single" w:sz="4" w:space="0" w:color="auto"/>
              <w:right w:val="single" w:sz="4" w:space="0" w:color="auto"/>
            </w:tcBorders>
            <w:shd w:val="clear" w:color="000000" w:fill="FFFFFF"/>
            <w:noWrap/>
            <w:vAlign w:val="bottom"/>
            <w:hideMark/>
          </w:tcPr>
          <w:p w14:paraId="33BD4A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FDC24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353,4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B6900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12,5</w:t>
            </w:r>
          </w:p>
        </w:tc>
      </w:tr>
      <w:tr w:rsidR="00761800" w:rsidRPr="00761800" w14:paraId="445745C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3F560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Главиница</w:t>
            </w:r>
          </w:p>
        </w:tc>
        <w:tc>
          <w:tcPr>
            <w:tcW w:w="146" w:type="dxa"/>
            <w:tcBorders>
              <w:top w:val="nil"/>
              <w:left w:val="nil"/>
              <w:bottom w:val="single" w:sz="4" w:space="0" w:color="auto"/>
              <w:right w:val="nil"/>
            </w:tcBorders>
            <w:shd w:val="clear" w:color="000000" w:fill="FFFFFF"/>
          </w:tcPr>
          <w:p w14:paraId="57935A2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AF67B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8 874,7</w:t>
            </w:r>
          </w:p>
        </w:tc>
        <w:tc>
          <w:tcPr>
            <w:tcW w:w="1406" w:type="dxa"/>
            <w:tcBorders>
              <w:top w:val="nil"/>
              <w:left w:val="nil"/>
              <w:bottom w:val="single" w:sz="4" w:space="0" w:color="auto"/>
              <w:right w:val="single" w:sz="4" w:space="0" w:color="auto"/>
            </w:tcBorders>
            <w:shd w:val="clear" w:color="000000" w:fill="FFFFFF"/>
            <w:noWrap/>
            <w:vAlign w:val="bottom"/>
            <w:hideMark/>
          </w:tcPr>
          <w:p w14:paraId="6CD9EA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7 080,1</w:t>
            </w:r>
          </w:p>
        </w:tc>
        <w:tc>
          <w:tcPr>
            <w:tcW w:w="1570" w:type="dxa"/>
            <w:tcBorders>
              <w:top w:val="nil"/>
              <w:left w:val="nil"/>
              <w:bottom w:val="single" w:sz="4" w:space="0" w:color="auto"/>
              <w:right w:val="single" w:sz="4" w:space="0" w:color="auto"/>
            </w:tcBorders>
            <w:shd w:val="clear" w:color="000000" w:fill="FFFFFF"/>
            <w:noWrap/>
            <w:vAlign w:val="bottom"/>
            <w:hideMark/>
          </w:tcPr>
          <w:p w14:paraId="7F0D88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826,0</w:t>
            </w:r>
          </w:p>
        </w:tc>
        <w:tc>
          <w:tcPr>
            <w:tcW w:w="2002" w:type="dxa"/>
            <w:tcBorders>
              <w:top w:val="nil"/>
              <w:left w:val="nil"/>
              <w:bottom w:val="single" w:sz="4" w:space="0" w:color="auto"/>
              <w:right w:val="single" w:sz="4" w:space="0" w:color="auto"/>
            </w:tcBorders>
            <w:shd w:val="clear" w:color="000000" w:fill="FFFFFF"/>
            <w:noWrap/>
            <w:vAlign w:val="bottom"/>
            <w:hideMark/>
          </w:tcPr>
          <w:p w14:paraId="4548ED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9DB08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898,9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2E91F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63,5</w:t>
            </w:r>
          </w:p>
        </w:tc>
      </w:tr>
      <w:tr w:rsidR="00761800" w:rsidRPr="00761800" w14:paraId="01DA8CA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31BAF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Дулово</w:t>
            </w:r>
          </w:p>
        </w:tc>
        <w:tc>
          <w:tcPr>
            <w:tcW w:w="146" w:type="dxa"/>
            <w:tcBorders>
              <w:top w:val="nil"/>
              <w:left w:val="nil"/>
              <w:bottom w:val="single" w:sz="4" w:space="0" w:color="auto"/>
              <w:right w:val="nil"/>
            </w:tcBorders>
            <w:shd w:val="clear" w:color="000000" w:fill="FFFFFF"/>
          </w:tcPr>
          <w:p w14:paraId="381BDBF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FD34A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19 981,1</w:t>
            </w:r>
          </w:p>
        </w:tc>
        <w:tc>
          <w:tcPr>
            <w:tcW w:w="1406" w:type="dxa"/>
            <w:tcBorders>
              <w:top w:val="nil"/>
              <w:left w:val="nil"/>
              <w:bottom w:val="single" w:sz="4" w:space="0" w:color="auto"/>
              <w:right w:val="single" w:sz="4" w:space="0" w:color="auto"/>
            </w:tcBorders>
            <w:shd w:val="clear" w:color="000000" w:fill="FFFFFF"/>
            <w:noWrap/>
            <w:vAlign w:val="bottom"/>
            <w:hideMark/>
          </w:tcPr>
          <w:p w14:paraId="07E9AF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17 118,8</w:t>
            </w:r>
          </w:p>
        </w:tc>
        <w:tc>
          <w:tcPr>
            <w:tcW w:w="1570" w:type="dxa"/>
            <w:tcBorders>
              <w:top w:val="nil"/>
              <w:left w:val="nil"/>
              <w:bottom w:val="single" w:sz="4" w:space="0" w:color="auto"/>
              <w:right w:val="single" w:sz="4" w:space="0" w:color="auto"/>
            </w:tcBorders>
            <w:shd w:val="clear" w:color="000000" w:fill="FFFFFF"/>
            <w:noWrap/>
            <w:vAlign w:val="bottom"/>
            <w:hideMark/>
          </w:tcPr>
          <w:p w14:paraId="2AF06D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1 676,2</w:t>
            </w:r>
          </w:p>
        </w:tc>
        <w:tc>
          <w:tcPr>
            <w:tcW w:w="2002" w:type="dxa"/>
            <w:tcBorders>
              <w:top w:val="nil"/>
              <w:left w:val="nil"/>
              <w:bottom w:val="single" w:sz="4" w:space="0" w:color="auto"/>
              <w:right w:val="single" w:sz="4" w:space="0" w:color="auto"/>
            </w:tcBorders>
            <w:shd w:val="clear" w:color="000000" w:fill="FFFFFF"/>
            <w:noWrap/>
            <w:vAlign w:val="bottom"/>
            <w:hideMark/>
          </w:tcPr>
          <w:p w14:paraId="649AA3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B8CF0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1 113,2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8ECDC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34,8</w:t>
            </w:r>
          </w:p>
        </w:tc>
      </w:tr>
      <w:tr w:rsidR="00761800" w:rsidRPr="00761800" w14:paraId="4348C28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8519D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Kайнарджа</w:t>
            </w:r>
          </w:p>
        </w:tc>
        <w:tc>
          <w:tcPr>
            <w:tcW w:w="146" w:type="dxa"/>
            <w:tcBorders>
              <w:top w:val="nil"/>
              <w:left w:val="nil"/>
              <w:bottom w:val="single" w:sz="4" w:space="0" w:color="auto"/>
              <w:right w:val="nil"/>
            </w:tcBorders>
            <w:shd w:val="clear" w:color="000000" w:fill="FFFFFF"/>
          </w:tcPr>
          <w:p w14:paraId="2E0CA89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6AD29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6 700,4</w:t>
            </w:r>
          </w:p>
        </w:tc>
        <w:tc>
          <w:tcPr>
            <w:tcW w:w="1406" w:type="dxa"/>
            <w:tcBorders>
              <w:top w:val="nil"/>
              <w:left w:val="nil"/>
              <w:bottom w:val="single" w:sz="4" w:space="0" w:color="auto"/>
              <w:right w:val="single" w:sz="4" w:space="0" w:color="auto"/>
            </w:tcBorders>
            <w:shd w:val="clear" w:color="000000" w:fill="FFFFFF"/>
            <w:noWrap/>
            <w:vAlign w:val="bottom"/>
            <w:hideMark/>
          </w:tcPr>
          <w:p w14:paraId="2C0C19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5 410,4</w:t>
            </w:r>
          </w:p>
        </w:tc>
        <w:tc>
          <w:tcPr>
            <w:tcW w:w="1570" w:type="dxa"/>
            <w:tcBorders>
              <w:top w:val="nil"/>
              <w:left w:val="nil"/>
              <w:bottom w:val="single" w:sz="4" w:space="0" w:color="auto"/>
              <w:right w:val="single" w:sz="4" w:space="0" w:color="auto"/>
            </w:tcBorders>
            <w:shd w:val="clear" w:color="000000" w:fill="FFFFFF"/>
            <w:noWrap/>
            <w:vAlign w:val="bottom"/>
            <w:hideMark/>
          </w:tcPr>
          <w:p w14:paraId="6730D9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597,8</w:t>
            </w:r>
          </w:p>
        </w:tc>
        <w:tc>
          <w:tcPr>
            <w:tcW w:w="2002" w:type="dxa"/>
            <w:tcBorders>
              <w:top w:val="nil"/>
              <w:left w:val="nil"/>
              <w:bottom w:val="single" w:sz="4" w:space="0" w:color="auto"/>
              <w:right w:val="single" w:sz="4" w:space="0" w:color="auto"/>
            </w:tcBorders>
            <w:shd w:val="clear" w:color="000000" w:fill="FFFFFF"/>
            <w:noWrap/>
            <w:vAlign w:val="bottom"/>
            <w:hideMark/>
          </w:tcPr>
          <w:p w14:paraId="58245B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5CC47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623,6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8D3E0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53,5</w:t>
            </w:r>
          </w:p>
        </w:tc>
      </w:tr>
      <w:tr w:rsidR="00761800" w:rsidRPr="00761800" w14:paraId="1A5A1EC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95B65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Cилистра</w:t>
            </w:r>
          </w:p>
        </w:tc>
        <w:tc>
          <w:tcPr>
            <w:tcW w:w="146" w:type="dxa"/>
            <w:tcBorders>
              <w:top w:val="nil"/>
              <w:left w:val="nil"/>
              <w:bottom w:val="single" w:sz="4" w:space="0" w:color="auto"/>
              <w:right w:val="nil"/>
            </w:tcBorders>
            <w:shd w:val="clear" w:color="000000" w:fill="FFFFFF"/>
          </w:tcPr>
          <w:p w14:paraId="2249ED8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92B05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36 021,4</w:t>
            </w:r>
          </w:p>
        </w:tc>
        <w:tc>
          <w:tcPr>
            <w:tcW w:w="1406" w:type="dxa"/>
            <w:tcBorders>
              <w:top w:val="nil"/>
              <w:left w:val="nil"/>
              <w:bottom w:val="single" w:sz="4" w:space="0" w:color="auto"/>
              <w:right w:val="single" w:sz="4" w:space="0" w:color="auto"/>
            </w:tcBorders>
            <w:shd w:val="clear" w:color="000000" w:fill="FFFFFF"/>
            <w:noWrap/>
            <w:vAlign w:val="bottom"/>
            <w:hideMark/>
          </w:tcPr>
          <w:p w14:paraId="526BB5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32 240,6</w:t>
            </w:r>
          </w:p>
        </w:tc>
        <w:tc>
          <w:tcPr>
            <w:tcW w:w="1570" w:type="dxa"/>
            <w:tcBorders>
              <w:top w:val="nil"/>
              <w:left w:val="nil"/>
              <w:bottom w:val="single" w:sz="4" w:space="0" w:color="auto"/>
              <w:right w:val="single" w:sz="4" w:space="0" w:color="auto"/>
            </w:tcBorders>
            <w:shd w:val="clear" w:color="000000" w:fill="FFFFFF"/>
            <w:noWrap/>
            <w:vAlign w:val="bottom"/>
            <w:hideMark/>
          </w:tcPr>
          <w:p w14:paraId="091DF9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2 470,4</w:t>
            </w:r>
          </w:p>
        </w:tc>
        <w:tc>
          <w:tcPr>
            <w:tcW w:w="2002" w:type="dxa"/>
            <w:tcBorders>
              <w:top w:val="nil"/>
              <w:left w:val="nil"/>
              <w:bottom w:val="single" w:sz="4" w:space="0" w:color="auto"/>
              <w:right w:val="single" w:sz="4" w:space="0" w:color="auto"/>
            </w:tcBorders>
            <w:shd w:val="clear" w:color="000000" w:fill="FFFFFF"/>
            <w:noWrap/>
            <w:vAlign w:val="bottom"/>
            <w:hideMark/>
          </w:tcPr>
          <w:p w14:paraId="5DF627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117,7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74906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1 192,7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78EBF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210,0</w:t>
            </w:r>
          </w:p>
        </w:tc>
      </w:tr>
      <w:tr w:rsidR="00761800" w:rsidRPr="00761800" w14:paraId="7357D5B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E5AFD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Cитово</w:t>
            </w:r>
          </w:p>
        </w:tc>
        <w:tc>
          <w:tcPr>
            <w:tcW w:w="146" w:type="dxa"/>
            <w:tcBorders>
              <w:top w:val="nil"/>
              <w:left w:val="nil"/>
              <w:bottom w:val="single" w:sz="4" w:space="0" w:color="auto"/>
              <w:right w:val="nil"/>
            </w:tcBorders>
            <w:shd w:val="clear" w:color="000000" w:fill="FFFFFF"/>
          </w:tcPr>
          <w:p w14:paraId="53AF751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D2D14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5 056,0</w:t>
            </w:r>
          </w:p>
        </w:tc>
        <w:tc>
          <w:tcPr>
            <w:tcW w:w="1406" w:type="dxa"/>
            <w:tcBorders>
              <w:top w:val="nil"/>
              <w:left w:val="nil"/>
              <w:bottom w:val="single" w:sz="4" w:space="0" w:color="auto"/>
              <w:right w:val="single" w:sz="4" w:space="0" w:color="auto"/>
            </w:tcBorders>
            <w:shd w:val="clear" w:color="000000" w:fill="FFFFFF"/>
            <w:noWrap/>
            <w:vAlign w:val="bottom"/>
            <w:hideMark/>
          </w:tcPr>
          <w:p w14:paraId="1588D3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3 904,3</w:t>
            </w:r>
          </w:p>
        </w:tc>
        <w:tc>
          <w:tcPr>
            <w:tcW w:w="1570" w:type="dxa"/>
            <w:tcBorders>
              <w:top w:val="nil"/>
              <w:left w:val="nil"/>
              <w:bottom w:val="single" w:sz="4" w:space="0" w:color="auto"/>
              <w:right w:val="single" w:sz="4" w:space="0" w:color="auto"/>
            </w:tcBorders>
            <w:shd w:val="clear" w:color="000000" w:fill="FFFFFF"/>
            <w:noWrap/>
            <w:vAlign w:val="bottom"/>
            <w:hideMark/>
          </w:tcPr>
          <w:p w14:paraId="3D19D0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535,6</w:t>
            </w:r>
          </w:p>
        </w:tc>
        <w:tc>
          <w:tcPr>
            <w:tcW w:w="2002" w:type="dxa"/>
            <w:tcBorders>
              <w:top w:val="nil"/>
              <w:left w:val="nil"/>
              <w:bottom w:val="single" w:sz="4" w:space="0" w:color="auto"/>
              <w:right w:val="single" w:sz="4" w:space="0" w:color="auto"/>
            </w:tcBorders>
            <w:shd w:val="clear" w:color="000000" w:fill="FFFFFF"/>
            <w:noWrap/>
            <w:vAlign w:val="bottom"/>
            <w:hideMark/>
          </w:tcPr>
          <w:p w14:paraId="226FA4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005BA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548,7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6D0CD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39,1</w:t>
            </w:r>
          </w:p>
        </w:tc>
      </w:tr>
      <w:tr w:rsidR="00761800" w:rsidRPr="00761800" w14:paraId="2044E88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BAEFE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Tутракан</w:t>
            </w:r>
          </w:p>
        </w:tc>
        <w:tc>
          <w:tcPr>
            <w:tcW w:w="146" w:type="dxa"/>
            <w:tcBorders>
              <w:top w:val="nil"/>
              <w:left w:val="nil"/>
              <w:bottom w:val="single" w:sz="4" w:space="0" w:color="auto"/>
              <w:right w:val="nil"/>
            </w:tcBorders>
            <w:shd w:val="clear" w:color="000000" w:fill="FFFFFF"/>
          </w:tcPr>
          <w:p w14:paraId="535950B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47A9D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12 189,1</w:t>
            </w:r>
          </w:p>
        </w:tc>
        <w:tc>
          <w:tcPr>
            <w:tcW w:w="1406" w:type="dxa"/>
            <w:tcBorders>
              <w:top w:val="nil"/>
              <w:left w:val="nil"/>
              <w:bottom w:val="single" w:sz="4" w:space="0" w:color="auto"/>
              <w:right w:val="single" w:sz="4" w:space="0" w:color="auto"/>
            </w:tcBorders>
            <w:shd w:val="clear" w:color="000000" w:fill="FFFFFF"/>
            <w:noWrap/>
            <w:vAlign w:val="bottom"/>
            <w:hideMark/>
          </w:tcPr>
          <w:p w14:paraId="0EF07E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10 495,2</w:t>
            </w:r>
          </w:p>
        </w:tc>
        <w:tc>
          <w:tcPr>
            <w:tcW w:w="1570" w:type="dxa"/>
            <w:tcBorders>
              <w:top w:val="nil"/>
              <w:left w:val="nil"/>
              <w:bottom w:val="single" w:sz="4" w:space="0" w:color="auto"/>
              <w:right w:val="single" w:sz="4" w:space="0" w:color="auto"/>
            </w:tcBorders>
            <w:shd w:val="clear" w:color="000000" w:fill="FFFFFF"/>
            <w:noWrap/>
            <w:vAlign w:val="bottom"/>
            <w:hideMark/>
          </w:tcPr>
          <w:p w14:paraId="3B4493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961,5</w:t>
            </w:r>
          </w:p>
        </w:tc>
        <w:tc>
          <w:tcPr>
            <w:tcW w:w="2002" w:type="dxa"/>
            <w:tcBorders>
              <w:top w:val="nil"/>
              <w:left w:val="nil"/>
              <w:bottom w:val="single" w:sz="4" w:space="0" w:color="auto"/>
              <w:right w:val="single" w:sz="4" w:space="0" w:color="auto"/>
            </w:tcBorders>
            <w:shd w:val="clear" w:color="000000" w:fill="FFFFFF"/>
            <w:noWrap/>
            <w:vAlign w:val="bottom"/>
            <w:hideMark/>
          </w:tcPr>
          <w:p w14:paraId="50E3AB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92C78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666,1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A0797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79,2</w:t>
            </w:r>
          </w:p>
        </w:tc>
      </w:tr>
      <w:tr w:rsidR="00761800" w:rsidRPr="00761800" w14:paraId="33ED74D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E993E51"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46" w:type="dxa"/>
            <w:tcBorders>
              <w:top w:val="nil"/>
              <w:left w:val="nil"/>
              <w:bottom w:val="single" w:sz="4" w:space="0" w:color="auto"/>
              <w:right w:val="nil"/>
            </w:tcBorders>
            <w:shd w:val="clear" w:color="000000" w:fill="FFFFFF"/>
          </w:tcPr>
          <w:p w14:paraId="27F8508A"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C3690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5462C9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6CD0D2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222E48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49C7B7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238B10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F4AABE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7A79D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СЛИВЕН</w:t>
            </w:r>
          </w:p>
        </w:tc>
        <w:tc>
          <w:tcPr>
            <w:tcW w:w="146" w:type="dxa"/>
            <w:tcBorders>
              <w:top w:val="nil"/>
              <w:left w:val="nil"/>
              <w:bottom w:val="single" w:sz="4" w:space="0" w:color="auto"/>
              <w:right w:val="nil"/>
            </w:tcBorders>
            <w:shd w:val="clear" w:color="000000" w:fill="FFFFFF"/>
          </w:tcPr>
          <w:p w14:paraId="3450BDC4"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88CD2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6D6FCC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750CB3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349C3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FDB72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0C98D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773F5A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EB2B8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Kотел</w:t>
            </w:r>
          </w:p>
        </w:tc>
        <w:tc>
          <w:tcPr>
            <w:tcW w:w="146" w:type="dxa"/>
            <w:tcBorders>
              <w:top w:val="nil"/>
              <w:left w:val="nil"/>
              <w:bottom w:val="single" w:sz="4" w:space="0" w:color="auto"/>
              <w:right w:val="nil"/>
            </w:tcBorders>
            <w:shd w:val="clear" w:color="000000" w:fill="FFFFFF"/>
          </w:tcPr>
          <w:p w14:paraId="096B6D6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950BD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13 601,7</w:t>
            </w:r>
          </w:p>
        </w:tc>
        <w:tc>
          <w:tcPr>
            <w:tcW w:w="1406" w:type="dxa"/>
            <w:tcBorders>
              <w:top w:val="nil"/>
              <w:left w:val="nil"/>
              <w:bottom w:val="single" w:sz="4" w:space="0" w:color="auto"/>
              <w:right w:val="single" w:sz="4" w:space="0" w:color="auto"/>
            </w:tcBorders>
            <w:shd w:val="clear" w:color="000000" w:fill="FFFFFF"/>
            <w:noWrap/>
            <w:vAlign w:val="bottom"/>
            <w:hideMark/>
          </w:tcPr>
          <w:p w14:paraId="298FCE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10 684,6</w:t>
            </w:r>
          </w:p>
        </w:tc>
        <w:tc>
          <w:tcPr>
            <w:tcW w:w="1570" w:type="dxa"/>
            <w:tcBorders>
              <w:top w:val="nil"/>
              <w:left w:val="nil"/>
              <w:bottom w:val="single" w:sz="4" w:space="0" w:color="auto"/>
              <w:right w:val="single" w:sz="4" w:space="0" w:color="auto"/>
            </w:tcBorders>
            <w:shd w:val="clear" w:color="000000" w:fill="FFFFFF"/>
            <w:noWrap/>
            <w:vAlign w:val="bottom"/>
            <w:hideMark/>
          </w:tcPr>
          <w:p w14:paraId="0CF1E5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1 562,9</w:t>
            </w:r>
          </w:p>
        </w:tc>
        <w:tc>
          <w:tcPr>
            <w:tcW w:w="2002" w:type="dxa"/>
            <w:tcBorders>
              <w:top w:val="nil"/>
              <w:left w:val="nil"/>
              <w:bottom w:val="single" w:sz="4" w:space="0" w:color="auto"/>
              <w:right w:val="single" w:sz="4" w:space="0" w:color="auto"/>
            </w:tcBorders>
            <w:shd w:val="clear" w:color="000000" w:fill="FFFFFF"/>
            <w:noWrap/>
            <w:vAlign w:val="bottom"/>
            <w:hideMark/>
          </w:tcPr>
          <w:p w14:paraId="370AF4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159,9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A4CB74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1 194,3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C1EDF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114,1</w:t>
            </w:r>
          </w:p>
        </w:tc>
      </w:tr>
      <w:tr w:rsidR="00761800" w:rsidRPr="00761800" w14:paraId="59F5F59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6A2D2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Hова Загора</w:t>
            </w:r>
          </w:p>
        </w:tc>
        <w:tc>
          <w:tcPr>
            <w:tcW w:w="146" w:type="dxa"/>
            <w:tcBorders>
              <w:top w:val="nil"/>
              <w:left w:val="nil"/>
              <w:bottom w:val="single" w:sz="4" w:space="0" w:color="auto"/>
              <w:right w:val="nil"/>
            </w:tcBorders>
            <w:shd w:val="clear" w:color="000000" w:fill="FFFFFF"/>
          </w:tcPr>
          <w:p w14:paraId="5F667E3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A03CF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22 382,6</w:t>
            </w:r>
          </w:p>
        </w:tc>
        <w:tc>
          <w:tcPr>
            <w:tcW w:w="1406" w:type="dxa"/>
            <w:tcBorders>
              <w:top w:val="nil"/>
              <w:left w:val="nil"/>
              <w:bottom w:val="single" w:sz="4" w:space="0" w:color="auto"/>
              <w:right w:val="single" w:sz="4" w:space="0" w:color="auto"/>
            </w:tcBorders>
            <w:shd w:val="clear" w:color="000000" w:fill="FFFFFF"/>
            <w:noWrap/>
            <w:vAlign w:val="bottom"/>
            <w:hideMark/>
          </w:tcPr>
          <w:p w14:paraId="7F4CA4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19 233,6</w:t>
            </w:r>
          </w:p>
        </w:tc>
        <w:tc>
          <w:tcPr>
            <w:tcW w:w="1570" w:type="dxa"/>
            <w:tcBorders>
              <w:top w:val="nil"/>
              <w:left w:val="nil"/>
              <w:bottom w:val="single" w:sz="4" w:space="0" w:color="auto"/>
              <w:right w:val="single" w:sz="4" w:space="0" w:color="auto"/>
            </w:tcBorders>
            <w:shd w:val="clear" w:color="000000" w:fill="FFFFFF"/>
            <w:noWrap/>
            <w:vAlign w:val="bottom"/>
            <w:hideMark/>
          </w:tcPr>
          <w:p w14:paraId="3A5AD6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1 427,1</w:t>
            </w:r>
          </w:p>
        </w:tc>
        <w:tc>
          <w:tcPr>
            <w:tcW w:w="2002" w:type="dxa"/>
            <w:tcBorders>
              <w:top w:val="nil"/>
              <w:left w:val="nil"/>
              <w:bottom w:val="single" w:sz="4" w:space="0" w:color="auto"/>
              <w:right w:val="single" w:sz="4" w:space="0" w:color="auto"/>
            </w:tcBorders>
            <w:shd w:val="clear" w:color="000000" w:fill="FFFFFF"/>
            <w:noWrap/>
            <w:vAlign w:val="bottom"/>
            <w:hideMark/>
          </w:tcPr>
          <w:p w14:paraId="49E726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124,7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3B975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1 597,2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CEC8D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152,0</w:t>
            </w:r>
          </w:p>
        </w:tc>
      </w:tr>
      <w:tr w:rsidR="00761800" w:rsidRPr="00761800" w14:paraId="1587C57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BDBEF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Cливен</w:t>
            </w:r>
          </w:p>
        </w:tc>
        <w:tc>
          <w:tcPr>
            <w:tcW w:w="146" w:type="dxa"/>
            <w:tcBorders>
              <w:top w:val="nil"/>
              <w:left w:val="nil"/>
              <w:bottom w:val="single" w:sz="4" w:space="0" w:color="auto"/>
              <w:right w:val="nil"/>
            </w:tcBorders>
            <w:shd w:val="clear" w:color="000000" w:fill="FFFFFF"/>
          </w:tcPr>
          <w:p w14:paraId="4F92649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E2B0B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82 820,1</w:t>
            </w:r>
          </w:p>
        </w:tc>
        <w:tc>
          <w:tcPr>
            <w:tcW w:w="1406" w:type="dxa"/>
            <w:tcBorders>
              <w:top w:val="nil"/>
              <w:left w:val="nil"/>
              <w:bottom w:val="single" w:sz="4" w:space="0" w:color="auto"/>
              <w:right w:val="single" w:sz="4" w:space="0" w:color="auto"/>
            </w:tcBorders>
            <w:shd w:val="clear" w:color="000000" w:fill="FFFFFF"/>
            <w:noWrap/>
            <w:vAlign w:val="bottom"/>
            <w:hideMark/>
          </w:tcPr>
          <w:p w14:paraId="1475F0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74 562,3</w:t>
            </w:r>
          </w:p>
        </w:tc>
        <w:tc>
          <w:tcPr>
            <w:tcW w:w="1570" w:type="dxa"/>
            <w:tcBorders>
              <w:top w:val="nil"/>
              <w:left w:val="nil"/>
              <w:bottom w:val="single" w:sz="4" w:space="0" w:color="auto"/>
              <w:right w:val="single" w:sz="4" w:space="0" w:color="auto"/>
            </w:tcBorders>
            <w:shd w:val="clear" w:color="000000" w:fill="FFFFFF"/>
            <w:noWrap/>
            <w:vAlign w:val="bottom"/>
            <w:hideMark/>
          </w:tcPr>
          <w:p w14:paraId="0BA295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4 544,5</w:t>
            </w:r>
          </w:p>
        </w:tc>
        <w:tc>
          <w:tcPr>
            <w:tcW w:w="2002" w:type="dxa"/>
            <w:tcBorders>
              <w:top w:val="nil"/>
              <w:left w:val="nil"/>
              <w:bottom w:val="single" w:sz="4" w:space="0" w:color="auto"/>
              <w:right w:val="single" w:sz="4" w:space="0" w:color="auto"/>
            </w:tcBorders>
            <w:shd w:val="clear" w:color="000000" w:fill="FFFFFF"/>
            <w:noWrap/>
            <w:vAlign w:val="bottom"/>
            <w:hideMark/>
          </w:tcPr>
          <w:p w14:paraId="7755CF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347,8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209AC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3 365,5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82599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367,3</w:t>
            </w:r>
          </w:p>
        </w:tc>
      </w:tr>
      <w:tr w:rsidR="00761800" w:rsidRPr="00761800" w14:paraId="2B74549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4AF76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Tвърдица</w:t>
            </w:r>
          </w:p>
        </w:tc>
        <w:tc>
          <w:tcPr>
            <w:tcW w:w="146" w:type="dxa"/>
            <w:tcBorders>
              <w:top w:val="nil"/>
              <w:left w:val="nil"/>
              <w:bottom w:val="single" w:sz="4" w:space="0" w:color="auto"/>
              <w:right w:val="nil"/>
            </w:tcBorders>
            <w:shd w:val="clear" w:color="000000" w:fill="FFFFFF"/>
          </w:tcPr>
          <w:p w14:paraId="2A5AE695"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C4C9D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15 887,7</w:t>
            </w:r>
          </w:p>
        </w:tc>
        <w:tc>
          <w:tcPr>
            <w:tcW w:w="1406" w:type="dxa"/>
            <w:tcBorders>
              <w:top w:val="nil"/>
              <w:left w:val="nil"/>
              <w:bottom w:val="single" w:sz="4" w:space="0" w:color="auto"/>
              <w:right w:val="single" w:sz="4" w:space="0" w:color="auto"/>
            </w:tcBorders>
            <w:shd w:val="clear" w:color="000000" w:fill="FFFFFF"/>
            <w:noWrap/>
            <w:vAlign w:val="bottom"/>
            <w:hideMark/>
          </w:tcPr>
          <w:p w14:paraId="22505E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13 567,3</w:t>
            </w:r>
          </w:p>
        </w:tc>
        <w:tc>
          <w:tcPr>
            <w:tcW w:w="1570" w:type="dxa"/>
            <w:tcBorders>
              <w:top w:val="nil"/>
              <w:left w:val="nil"/>
              <w:bottom w:val="single" w:sz="4" w:space="0" w:color="auto"/>
              <w:right w:val="single" w:sz="4" w:space="0" w:color="auto"/>
            </w:tcBorders>
            <w:shd w:val="clear" w:color="000000" w:fill="FFFFFF"/>
            <w:noWrap/>
            <w:vAlign w:val="bottom"/>
            <w:hideMark/>
          </w:tcPr>
          <w:p w14:paraId="004FF2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1 368,4</w:t>
            </w:r>
          </w:p>
        </w:tc>
        <w:tc>
          <w:tcPr>
            <w:tcW w:w="2002" w:type="dxa"/>
            <w:tcBorders>
              <w:top w:val="nil"/>
              <w:left w:val="nil"/>
              <w:bottom w:val="single" w:sz="4" w:space="0" w:color="auto"/>
              <w:right w:val="single" w:sz="4" w:space="0" w:color="auto"/>
            </w:tcBorders>
            <w:shd w:val="clear" w:color="000000" w:fill="FFFFFF"/>
            <w:noWrap/>
            <w:vAlign w:val="bottom"/>
            <w:hideMark/>
          </w:tcPr>
          <w:p w14:paraId="1618B5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107,5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D0859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844,5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46B17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113,7</w:t>
            </w:r>
          </w:p>
        </w:tc>
      </w:tr>
      <w:tr w:rsidR="00761800" w:rsidRPr="00761800" w14:paraId="4B3F685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8DE1E2B"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46" w:type="dxa"/>
            <w:tcBorders>
              <w:top w:val="nil"/>
              <w:left w:val="nil"/>
              <w:bottom w:val="single" w:sz="4" w:space="0" w:color="auto"/>
              <w:right w:val="nil"/>
            </w:tcBorders>
            <w:shd w:val="clear" w:color="000000" w:fill="FFFFFF"/>
          </w:tcPr>
          <w:p w14:paraId="6C380E04"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D7EAA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3F67DA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0E2F12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3EF3A6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44318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D178B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D1CCF4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A9399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СМОЛЯН</w:t>
            </w:r>
          </w:p>
        </w:tc>
        <w:tc>
          <w:tcPr>
            <w:tcW w:w="146" w:type="dxa"/>
            <w:tcBorders>
              <w:top w:val="nil"/>
              <w:left w:val="nil"/>
              <w:bottom w:val="single" w:sz="4" w:space="0" w:color="auto"/>
              <w:right w:val="nil"/>
            </w:tcBorders>
            <w:shd w:val="clear" w:color="000000" w:fill="FFFFFF"/>
          </w:tcPr>
          <w:p w14:paraId="6B716B58"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93008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42B4A8E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27BFF0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97FBE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4AF0B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A46E7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0E8E40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54984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Баните</w:t>
            </w:r>
          </w:p>
        </w:tc>
        <w:tc>
          <w:tcPr>
            <w:tcW w:w="146" w:type="dxa"/>
            <w:tcBorders>
              <w:top w:val="nil"/>
              <w:left w:val="nil"/>
              <w:bottom w:val="single" w:sz="4" w:space="0" w:color="auto"/>
              <w:right w:val="nil"/>
            </w:tcBorders>
            <w:shd w:val="clear" w:color="000000" w:fill="FFFFFF"/>
          </w:tcPr>
          <w:p w14:paraId="20657B2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0335B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3 785,9</w:t>
            </w:r>
          </w:p>
        </w:tc>
        <w:tc>
          <w:tcPr>
            <w:tcW w:w="1406" w:type="dxa"/>
            <w:tcBorders>
              <w:top w:val="nil"/>
              <w:left w:val="nil"/>
              <w:bottom w:val="single" w:sz="4" w:space="0" w:color="auto"/>
              <w:right w:val="single" w:sz="4" w:space="0" w:color="auto"/>
            </w:tcBorders>
            <w:shd w:val="clear" w:color="000000" w:fill="FFFFFF"/>
            <w:noWrap/>
            <w:vAlign w:val="bottom"/>
            <w:hideMark/>
          </w:tcPr>
          <w:p w14:paraId="7D412B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2 457,0</w:t>
            </w:r>
          </w:p>
        </w:tc>
        <w:tc>
          <w:tcPr>
            <w:tcW w:w="1570" w:type="dxa"/>
            <w:tcBorders>
              <w:top w:val="nil"/>
              <w:left w:val="nil"/>
              <w:bottom w:val="single" w:sz="4" w:space="0" w:color="auto"/>
              <w:right w:val="single" w:sz="4" w:space="0" w:color="auto"/>
            </w:tcBorders>
            <w:shd w:val="clear" w:color="000000" w:fill="FFFFFF"/>
            <w:noWrap/>
            <w:vAlign w:val="bottom"/>
            <w:hideMark/>
          </w:tcPr>
          <w:p w14:paraId="482CBC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446,5</w:t>
            </w:r>
          </w:p>
        </w:tc>
        <w:tc>
          <w:tcPr>
            <w:tcW w:w="2002" w:type="dxa"/>
            <w:tcBorders>
              <w:top w:val="nil"/>
              <w:left w:val="nil"/>
              <w:bottom w:val="single" w:sz="4" w:space="0" w:color="auto"/>
              <w:right w:val="single" w:sz="4" w:space="0" w:color="auto"/>
            </w:tcBorders>
            <w:shd w:val="clear" w:color="000000" w:fill="FFFFFF"/>
            <w:noWrap/>
            <w:vAlign w:val="bottom"/>
            <w:hideMark/>
          </w:tcPr>
          <w:p w14:paraId="7744D5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137,2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6C6E7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745,2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7A931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10,9</w:t>
            </w:r>
          </w:p>
        </w:tc>
      </w:tr>
      <w:tr w:rsidR="00761800" w:rsidRPr="00761800" w14:paraId="0AF365D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1800C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Борино</w:t>
            </w:r>
          </w:p>
        </w:tc>
        <w:tc>
          <w:tcPr>
            <w:tcW w:w="146" w:type="dxa"/>
            <w:tcBorders>
              <w:top w:val="nil"/>
              <w:left w:val="nil"/>
              <w:bottom w:val="single" w:sz="4" w:space="0" w:color="auto"/>
              <w:right w:val="nil"/>
            </w:tcBorders>
            <w:shd w:val="clear" w:color="000000" w:fill="FFFFFF"/>
          </w:tcPr>
          <w:p w14:paraId="1873FF2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50F4F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2 909,8</w:t>
            </w:r>
          </w:p>
        </w:tc>
        <w:tc>
          <w:tcPr>
            <w:tcW w:w="1406" w:type="dxa"/>
            <w:tcBorders>
              <w:top w:val="nil"/>
              <w:left w:val="nil"/>
              <w:bottom w:val="single" w:sz="4" w:space="0" w:color="auto"/>
              <w:right w:val="single" w:sz="4" w:space="0" w:color="auto"/>
            </w:tcBorders>
            <w:shd w:val="clear" w:color="000000" w:fill="FFFFFF"/>
            <w:noWrap/>
            <w:vAlign w:val="bottom"/>
            <w:hideMark/>
          </w:tcPr>
          <w:p w14:paraId="275BA3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2 131,0</w:t>
            </w:r>
          </w:p>
        </w:tc>
        <w:tc>
          <w:tcPr>
            <w:tcW w:w="1570" w:type="dxa"/>
            <w:tcBorders>
              <w:top w:val="nil"/>
              <w:left w:val="nil"/>
              <w:bottom w:val="single" w:sz="4" w:space="0" w:color="auto"/>
              <w:right w:val="single" w:sz="4" w:space="0" w:color="auto"/>
            </w:tcBorders>
            <w:shd w:val="clear" w:color="000000" w:fill="FFFFFF"/>
            <w:noWrap/>
            <w:vAlign w:val="bottom"/>
            <w:hideMark/>
          </w:tcPr>
          <w:p w14:paraId="01981D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385,6</w:t>
            </w:r>
          </w:p>
        </w:tc>
        <w:tc>
          <w:tcPr>
            <w:tcW w:w="2002" w:type="dxa"/>
            <w:tcBorders>
              <w:top w:val="nil"/>
              <w:left w:val="nil"/>
              <w:bottom w:val="single" w:sz="4" w:space="0" w:color="auto"/>
              <w:right w:val="single" w:sz="4" w:space="0" w:color="auto"/>
            </w:tcBorders>
            <w:shd w:val="clear" w:color="000000" w:fill="FFFFFF"/>
            <w:noWrap/>
            <w:vAlign w:val="bottom"/>
            <w:hideMark/>
          </w:tcPr>
          <w:p w14:paraId="43B37F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84138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330,9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928BD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w:t>
            </w:r>
          </w:p>
        </w:tc>
      </w:tr>
      <w:tr w:rsidR="00761800" w:rsidRPr="00761800" w14:paraId="259E64E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6963F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Девин</w:t>
            </w:r>
          </w:p>
        </w:tc>
        <w:tc>
          <w:tcPr>
            <w:tcW w:w="146" w:type="dxa"/>
            <w:tcBorders>
              <w:top w:val="nil"/>
              <w:left w:val="nil"/>
              <w:bottom w:val="single" w:sz="4" w:space="0" w:color="auto"/>
              <w:right w:val="nil"/>
            </w:tcBorders>
            <w:shd w:val="clear" w:color="000000" w:fill="FFFFFF"/>
          </w:tcPr>
          <w:p w14:paraId="3D12924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C832C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8 098,0</w:t>
            </w:r>
          </w:p>
        </w:tc>
        <w:tc>
          <w:tcPr>
            <w:tcW w:w="1406" w:type="dxa"/>
            <w:tcBorders>
              <w:top w:val="nil"/>
              <w:left w:val="nil"/>
              <w:bottom w:val="single" w:sz="4" w:space="0" w:color="auto"/>
              <w:right w:val="single" w:sz="4" w:space="0" w:color="auto"/>
            </w:tcBorders>
            <w:shd w:val="clear" w:color="000000" w:fill="FFFFFF"/>
            <w:noWrap/>
            <w:vAlign w:val="bottom"/>
            <w:hideMark/>
          </w:tcPr>
          <w:p w14:paraId="1F50E6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6 452,6</w:t>
            </w:r>
          </w:p>
        </w:tc>
        <w:tc>
          <w:tcPr>
            <w:tcW w:w="1570" w:type="dxa"/>
            <w:tcBorders>
              <w:top w:val="nil"/>
              <w:left w:val="nil"/>
              <w:bottom w:val="single" w:sz="4" w:space="0" w:color="auto"/>
              <w:right w:val="single" w:sz="4" w:space="0" w:color="auto"/>
            </w:tcBorders>
            <w:shd w:val="clear" w:color="000000" w:fill="FFFFFF"/>
            <w:noWrap/>
            <w:vAlign w:val="bottom"/>
            <w:hideMark/>
          </w:tcPr>
          <w:p w14:paraId="7DB60E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690,3</w:t>
            </w:r>
          </w:p>
        </w:tc>
        <w:tc>
          <w:tcPr>
            <w:tcW w:w="2002" w:type="dxa"/>
            <w:tcBorders>
              <w:top w:val="nil"/>
              <w:left w:val="nil"/>
              <w:bottom w:val="single" w:sz="4" w:space="0" w:color="auto"/>
              <w:right w:val="single" w:sz="4" w:space="0" w:color="auto"/>
            </w:tcBorders>
            <w:shd w:val="clear" w:color="000000" w:fill="FFFFFF"/>
            <w:noWrap/>
            <w:vAlign w:val="bottom"/>
            <w:hideMark/>
          </w:tcPr>
          <w:p w14:paraId="4C5400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150,5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D92E3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804,6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7229A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52,7</w:t>
            </w:r>
          </w:p>
        </w:tc>
      </w:tr>
      <w:tr w:rsidR="00761800" w:rsidRPr="00761800" w14:paraId="1E3A595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89257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Доспат</w:t>
            </w:r>
          </w:p>
        </w:tc>
        <w:tc>
          <w:tcPr>
            <w:tcW w:w="146" w:type="dxa"/>
            <w:tcBorders>
              <w:top w:val="nil"/>
              <w:left w:val="nil"/>
              <w:bottom w:val="single" w:sz="4" w:space="0" w:color="auto"/>
              <w:right w:val="nil"/>
            </w:tcBorders>
            <w:shd w:val="clear" w:color="000000" w:fill="FFFFFF"/>
          </w:tcPr>
          <w:p w14:paraId="313951B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F0004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6 510,5</w:t>
            </w:r>
          </w:p>
        </w:tc>
        <w:tc>
          <w:tcPr>
            <w:tcW w:w="1406" w:type="dxa"/>
            <w:tcBorders>
              <w:top w:val="nil"/>
              <w:left w:val="nil"/>
              <w:bottom w:val="single" w:sz="4" w:space="0" w:color="auto"/>
              <w:right w:val="single" w:sz="4" w:space="0" w:color="auto"/>
            </w:tcBorders>
            <w:shd w:val="clear" w:color="000000" w:fill="FFFFFF"/>
            <w:noWrap/>
            <w:vAlign w:val="bottom"/>
            <w:hideMark/>
          </w:tcPr>
          <w:p w14:paraId="3EA8B0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5 379,3</w:t>
            </w:r>
          </w:p>
        </w:tc>
        <w:tc>
          <w:tcPr>
            <w:tcW w:w="1570" w:type="dxa"/>
            <w:tcBorders>
              <w:top w:val="nil"/>
              <w:left w:val="nil"/>
              <w:bottom w:val="single" w:sz="4" w:space="0" w:color="auto"/>
              <w:right w:val="single" w:sz="4" w:space="0" w:color="auto"/>
            </w:tcBorders>
            <w:shd w:val="clear" w:color="000000" w:fill="FFFFFF"/>
            <w:noWrap/>
            <w:vAlign w:val="bottom"/>
            <w:hideMark/>
          </w:tcPr>
          <w:p w14:paraId="689964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609,8</w:t>
            </w:r>
          </w:p>
        </w:tc>
        <w:tc>
          <w:tcPr>
            <w:tcW w:w="2002" w:type="dxa"/>
            <w:tcBorders>
              <w:top w:val="nil"/>
              <w:left w:val="nil"/>
              <w:bottom w:val="single" w:sz="4" w:space="0" w:color="auto"/>
              <w:right w:val="single" w:sz="4" w:space="0" w:color="auto"/>
            </w:tcBorders>
            <w:shd w:val="clear" w:color="000000" w:fill="FFFFFF"/>
            <w:noWrap/>
            <w:vAlign w:val="bottom"/>
            <w:hideMark/>
          </w:tcPr>
          <w:p w14:paraId="5FA0E1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A0358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458,4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D6531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51,7</w:t>
            </w:r>
          </w:p>
        </w:tc>
      </w:tr>
      <w:tr w:rsidR="00761800" w:rsidRPr="00761800" w14:paraId="331A7A9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F8280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Златоград</w:t>
            </w:r>
          </w:p>
        </w:tc>
        <w:tc>
          <w:tcPr>
            <w:tcW w:w="146" w:type="dxa"/>
            <w:tcBorders>
              <w:top w:val="nil"/>
              <w:left w:val="nil"/>
              <w:bottom w:val="single" w:sz="4" w:space="0" w:color="auto"/>
              <w:right w:val="nil"/>
            </w:tcBorders>
            <w:shd w:val="clear" w:color="000000" w:fill="FFFFFF"/>
          </w:tcPr>
          <w:p w14:paraId="0C97E20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9C704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8 856,8</w:t>
            </w:r>
          </w:p>
        </w:tc>
        <w:tc>
          <w:tcPr>
            <w:tcW w:w="1406" w:type="dxa"/>
            <w:tcBorders>
              <w:top w:val="nil"/>
              <w:left w:val="nil"/>
              <w:bottom w:val="single" w:sz="4" w:space="0" w:color="auto"/>
              <w:right w:val="single" w:sz="4" w:space="0" w:color="auto"/>
            </w:tcBorders>
            <w:shd w:val="clear" w:color="000000" w:fill="FFFFFF"/>
            <w:noWrap/>
            <w:vAlign w:val="bottom"/>
            <w:hideMark/>
          </w:tcPr>
          <w:p w14:paraId="230A59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7 336,5</w:t>
            </w:r>
          </w:p>
        </w:tc>
        <w:tc>
          <w:tcPr>
            <w:tcW w:w="1570" w:type="dxa"/>
            <w:tcBorders>
              <w:top w:val="nil"/>
              <w:left w:val="nil"/>
              <w:bottom w:val="single" w:sz="4" w:space="0" w:color="auto"/>
              <w:right w:val="single" w:sz="4" w:space="0" w:color="auto"/>
            </w:tcBorders>
            <w:shd w:val="clear" w:color="000000" w:fill="FFFFFF"/>
            <w:noWrap/>
            <w:vAlign w:val="bottom"/>
            <w:hideMark/>
          </w:tcPr>
          <w:p w14:paraId="5F27C7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851,8</w:t>
            </w:r>
          </w:p>
        </w:tc>
        <w:tc>
          <w:tcPr>
            <w:tcW w:w="2002" w:type="dxa"/>
            <w:tcBorders>
              <w:top w:val="nil"/>
              <w:left w:val="nil"/>
              <w:bottom w:val="single" w:sz="4" w:space="0" w:color="auto"/>
              <w:right w:val="single" w:sz="4" w:space="0" w:color="auto"/>
            </w:tcBorders>
            <w:shd w:val="clear" w:color="000000" w:fill="FFFFFF"/>
            <w:noWrap/>
            <w:vAlign w:val="bottom"/>
            <w:hideMark/>
          </w:tcPr>
          <w:p w14:paraId="1420A9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103,6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40300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564,9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2402D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34,7</w:t>
            </w:r>
          </w:p>
        </w:tc>
      </w:tr>
      <w:tr w:rsidR="00761800" w:rsidRPr="00761800" w14:paraId="38E7879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9DEF41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Mадан</w:t>
            </w:r>
          </w:p>
        </w:tc>
        <w:tc>
          <w:tcPr>
            <w:tcW w:w="146" w:type="dxa"/>
            <w:tcBorders>
              <w:top w:val="nil"/>
              <w:left w:val="nil"/>
              <w:bottom w:val="single" w:sz="4" w:space="0" w:color="auto"/>
              <w:right w:val="nil"/>
            </w:tcBorders>
            <w:shd w:val="clear" w:color="000000" w:fill="FFFFFF"/>
          </w:tcPr>
          <w:p w14:paraId="1945DC8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82A3B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9 724,8</w:t>
            </w:r>
          </w:p>
        </w:tc>
        <w:tc>
          <w:tcPr>
            <w:tcW w:w="1406" w:type="dxa"/>
            <w:tcBorders>
              <w:top w:val="nil"/>
              <w:left w:val="nil"/>
              <w:bottom w:val="single" w:sz="4" w:space="0" w:color="auto"/>
              <w:right w:val="single" w:sz="4" w:space="0" w:color="auto"/>
            </w:tcBorders>
            <w:shd w:val="clear" w:color="000000" w:fill="FFFFFF"/>
            <w:noWrap/>
            <w:vAlign w:val="bottom"/>
            <w:hideMark/>
          </w:tcPr>
          <w:p w14:paraId="773E4A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7 302,3</w:t>
            </w:r>
          </w:p>
        </w:tc>
        <w:tc>
          <w:tcPr>
            <w:tcW w:w="1570" w:type="dxa"/>
            <w:tcBorders>
              <w:top w:val="nil"/>
              <w:left w:val="nil"/>
              <w:bottom w:val="single" w:sz="4" w:space="0" w:color="auto"/>
              <w:right w:val="single" w:sz="4" w:space="0" w:color="auto"/>
            </w:tcBorders>
            <w:shd w:val="clear" w:color="000000" w:fill="FFFFFF"/>
            <w:noWrap/>
            <w:vAlign w:val="bottom"/>
            <w:hideMark/>
          </w:tcPr>
          <w:p w14:paraId="2BB862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834,2</w:t>
            </w:r>
          </w:p>
        </w:tc>
        <w:tc>
          <w:tcPr>
            <w:tcW w:w="2002" w:type="dxa"/>
            <w:tcBorders>
              <w:top w:val="nil"/>
              <w:left w:val="nil"/>
              <w:bottom w:val="single" w:sz="4" w:space="0" w:color="auto"/>
              <w:right w:val="single" w:sz="4" w:space="0" w:color="auto"/>
            </w:tcBorders>
            <w:shd w:val="clear" w:color="000000" w:fill="FFFFFF"/>
            <w:noWrap/>
            <w:vAlign w:val="bottom"/>
            <w:hideMark/>
          </w:tcPr>
          <w:p w14:paraId="5BAB6F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208,9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AD066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1 379,4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7F40E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42,8</w:t>
            </w:r>
          </w:p>
        </w:tc>
      </w:tr>
      <w:tr w:rsidR="00761800" w:rsidRPr="00761800" w14:paraId="2FF65FD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54A69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Hеделино</w:t>
            </w:r>
          </w:p>
        </w:tc>
        <w:tc>
          <w:tcPr>
            <w:tcW w:w="146" w:type="dxa"/>
            <w:tcBorders>
              <w:top w:val="nil"/>
              <w:left w:val="nil"/>
              <w:bottom w:val="single" w:sz="4" w:space="0" w:color="auto"/>
              <w:right w:val="nil"/>
            </w:tcBorders>
            <w:shd w:val="clear" w:color="000000" w:fill="FFFFFF"/>
          </w:tcPr>
          <w:p w14:paraId="32AC06F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C93E7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5 285,1</w:t>
            </w:r>
          </w:p>
        </w:tc>
        <w:tc>
          <w:tcPr>
            <w:tcW w:w="1406" w:type="dxa"/>
            <w:tcBorders>
              <w:top w:val="nil"/>
              <w:left w:val="nil"/>
              <w:bottom w:val="single" w:sz="4" w:space="0" w:color="auto"/>
              <w:right w:val="single" w:sz="4" w:space="0" w:color="auto"/>
            </w:tcBorders>
            <w:shd w:val="clear" w:color="000000" w:fill="FFFFFF"/>
            <w:noWrap/>
            <w:vAlign w:val="bottom"/>
            <w:hideMark/>
          </w:tcPr>
          <w:p w14:paraId="21346F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3 966,1</w:t>
            </w:r>
          </w:p>
        </w:tc>
        <w:tc>
          <w:tcPr>
            <w:tcW w:w="1570" w:type="dxa"/>
            <w:tcBorders>
              <w:top w:val="nil"/>
              <w:left w:val="nil"/>
              <w:bottom w:val="single" w:sz="4" w:space="0" w:color="auto"/>
              <w:right w:val="single" w:sz="4" w:space="0" w:color="auto"/>
            </w:tcBorders>
            <w:shd w:val="clear" w:color="000000" w:fill="FFFFFF"/>
            <w:noWrap/>
            <w:vAlign w:val="bottom"/>
            <w:hideMark/>
          </w:tcPr>
          <w:p w14:paraId="739D88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574,7</w:t>
            </w:r>
          </w:p>
        </w:tc>
        <w:tc>
          <w:tcPr>
            <w:tcW w:w="2002" w:type="dxa"/>
            <w:tcBorders>
              <w:top w:val="nil"/>
              <w:left w:val="nil"/>
              <w:bottom w:val="single" w:sz="4" w:space="0" w:color="auto"/>
              <w:right w:val="single" w:sz="4" w:space="0" w:color="auto"/>
            </w:tcBorders>
            <w:shd w:val="clear" w:color="000000" w:fill="FFFFFF"/>
            <w:noWrap/>
            <w:vAlign w:val="bottom"/>
            <w:hideMark/>
          </w:tcPr>
          <w:p w14:paraId="7D8C64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E090B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663,4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C017B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w:t>
            </w:r>
          </w:p>
        </w:tc>
      </w:tr>
      <w:tr w:rsidR="00761800" w:rsidRPr="00761800" w14:paraId="0892563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9C810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Pудозем</w:t>
            </w:r>
          </w:p>
        </w:tc>
        <w:tc>
          <w:tcPr>
            <w:tcW w:w="146" w:type="dxa"/>
            <w:tcBorders>
              <w:top w:val="nil"/>
              <w:left w:val="nil"/>
              <w:bottom w:val="single" w:sz="4" w:space="0" w:color="auto"/>
              <w:right w:val="nil"/>
            </w:tcBorders>
            <w:shd w:val="clear" w:color="000000" w:fill="FFFFFF"/>
          </w:tcPr>
          <w:p w14:paraId="2B3C43A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1FD50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8 783,8</w:t>
            </w:r>
          </w:p>
        </w:tc>
        <w:tc>
          <w:tcPr>
            <w:tcW w:w="1406" w:type="dxa"/>
            <w:tcBorders>
              <w:top w:val="nil"/>
              <w:left w:val="nil"/>
              <w:bottom w:val="single" w:sz="4" w:space="0" w:color="auto"/>
              <w:right w:val="single" w:sz="4" w:space="0" w:color="auto"/>
            </w:tcBorders>
            <w:shd w:val="clear" w:color="000000" w:fill="FFFFFF"/>
            <w:noWrap/>
            <w:vAlign w:val="bottom"/>
            <w:hideMark/>
          </w:tcPr>
          <w:p w14:paraId="2DF463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7 176,2</w:t>
            </w:r>
          </w:p>
        </w:tc>
        <w:tc>
          <w:tcPr>
            <w:tcW w:w="1570" w:type="dxa"/>
            <w:tcBorders>
              <w:top w:val="nil"/>
              <w:left w:val="nil"/>
              <w:bottom w:val="single" w:sz="4" w:space="0" w:color="auto"/>
              <w:right w:val="single" w:sz="4" w:space="0" w:color="auto"/>
            </w:tcBorders>
            <w:shd w:val="clear" w:color="000000" w:fill="FFFFFF"/>
            <w:noWrap/>
            <w:vAlign w:val="bottom"/>
            <w:hideMark/>
          </w:tcPr>
          <w:p w14:paraId="13A1C2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765,3</w:t>
            </w:r>
          </w:p>
        </w:tc>
        <w:tc>
          <w:tcPr>
            <w:tcW w:w="2002" w:type="dxa"/>
            <w:tcBorders>
              <w:top w:val="nil"/>
              <w:left w:val="nil"/>
              <w:bottom w:val="single" w:sz="4" w:space="0" w:color="auto"/>
              <w:right w:val="single" w:sz="4" w:space="0" w:color="auto"/>
            </w:tcBorders>
            <w:shd w:val="clear" w:color="000000" w:fill="FFFFFF"/>
            <w:noWrap/>
            <w:vAlign w:val="bottom"/>
            <w:hideMark/>
          </w:tcPr>
          <w:p w14:paraId="3FB2D8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B20B3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743,5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08D52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w:t>
            </w:r>
          </w:p>
        </w:tc>
      </w:tr>
      <w:tr w:rsidR="00761800" w:rsidRPr="00761800" w14:paraId="0C24413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102D9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Cмолян</w:t>
            </w:r>
          </w:p>
        </w:tc>
        <w:tc>
          <w:tcPr>
            <w:tcW w:w="146" w:type="dxa"/>
            <w:tcBorders>
              <w:top w:val="nil"/>
              <w:left w:val="nil"/>
              <w:bottom w:val="single" w:sz="4" w:space="0" w:color="auto"/>
              <w:right w:val="nil"/>
            </w:tcBorders>
            <w:shd w:val="clear" w:color="000000" w:fill="FFFFFF"/>
          </w:tcPr>
          <w:p w14:paraId="1552284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BDF13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32 340,3</w:t>
            </w:r>
          </w:p>
        </w:tc>
        <w:tc>
          <w:tcPr>
            <w:tcW w:w="1406" w:type="dxa"/>
            <w:tcBorders>
              <w:top w:val="nil"/>
              <w:left w:val="nil"/>
              <w:bottom w:val="single" w:sz="4" w:space="0" w:color="auto"/>
              <w:right w:val="single" w:sz="4" w:space="0" w:color="auto"/>
            </w:tcBorders>
            <w:shd w:val="clear" w:color="000000" w:fill="FFFFFF"/>
            <w:noWrap/>
            <w:vAlign w:val="bottom"/>
            <w:hideMark/>
          </w:tcPr>
          <w:p w14:paraId="07EF0C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27 898,5</w:t>
            </w:r>
          </w:p>
        </w:tc>
        <w:tc>
          <w:tcPr>
            <w:tcW w:w="1570" w:type="dxa"/>
            <w:tcBorders>
              <w:top w:val="nil"/>
              <w:left w:val="nil"/>
              <w:bottom w:val="single" w:sz="4" w:space="0" w:color="auto"/>
              <w:right w:val="single" w:sz="4" w:space="0" w:color="auto"/>
            </w:tcBorders>
            <w:shd w:val="clear" w:color="000000" w:fill="FFFFFF"/>
            <w:noWrap/>
            <w:vAlign w:val="bottom"/>
            <w:hideMark/>
          </w:tcPr>
          <w:p w14:paraId="78AD0C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1 432,7</w:t>
            </w:r>
          </w:p>
        </w:tc>
        <w:tc>
          <w:tcPr>
            <w:tcW w:w="2002" w:type="dxa"/>
            <w:tcBorders>
              <w:top w:val="nil"/>
              <w:left w:val="nil"/>
              <w:bottom w:val="single" w:sz="4" w:space="0" w:color="auto"/>
              <w:right w:val="single" w:sz="4" w:space="0" w:color="auto"/>
            </w:tcBorders>
            <w:shd w:val="clear" w:color="000000" w:fill="FFFFFF"/>
            <w:noWrap/>
            <w:vAlign w:val="bottom"/>
            <w:hideMark/>
          </w:tcPr>
          <w:p w14:paraId="21D417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424,2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09AAF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2 584,9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95A66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87,1</w:t>
            </w:r>
          </w:p>
        </w:tc>
      </w:tr>
      <w:tr w:rsidR="00761800" w:rsidRPr="00761800" w14:paraId="5BC4A44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5E7C6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Чепеларе</w:t>
            </w:r>
          </w:p>
        </w:tc>
        <w:tc>
          <w:tcPr>
            <w:tcW w:w="146" w:type="dxa"/>
            <w:tcBorders>
              <w:top w:val="nil"/>
              <w:left w:val="nil"/>
              <w:bottom w:val="single" w:sz="4" w:space="0" w:color="auto"/>
              <w:right w:val="nil"/>
            </w:tcBorders>
            <w:shd w:val="clear" w:color="000000" w:fill="FFFFFF"/>
          </w:tcPr>
          <w:p w14:paraId="07B8358A"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0EA92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5 014,8</w:t>
            </w:r>
          </w:p>
        </w:tc>
        <w:tc>
          <w:tcPr>
            <w:tcW w:w="1406" w:type="dxa"/>
            <w:tcBorders>
              <w:top w:val="nil"/>
              <w:left w:val="nil"/>
              <w:bottom w:val="single" w:sz="4" w:space="0" w:color="auto"/>
              <w:right w:val="single" w:sz="4" w:space="0" w:color="auto"/>
            </w:tcBorders>
            <w:shd w:val="clear" w:color="000000" w:fill="FFFFFF"/>
            <w:noWrap/>
            <w:vAlign w:val="bottom"/>
            <w:hideMark/>
          </w:tcPr>
          <w:p w14:paraId="01FD48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4 236,6</w:t>
            </w:r>
          </w:p>
        </w:tc>
        <w:tc>
          <w:tcPr>
            <w:tcW w:w="1570" w:type="dxa"/>
            <w:tcBorders>
              <w:top w:val="nil"/>
              <w:left w:val="nil"/>
              <w:bottom w:val="single" w:sz="4" w:space="0" w:color="auto"/>
              <w:right w:val="single" w:sz="4" w:space="0" w:color="auto"/>
            </w:tcBorders>
            <w:shd w:val="clear" w:color="000000" w:fill="FFFFFF"/>
            <w:noWrap/>
            <w:vAlign w:val="bottom"/>
            <w:hideMark/>
          </w:tcPr>
          <w:p w14:paraId="6CCFA3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74B04C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A795B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643,9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CCAD1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47,8</w:t>
            </w:r>
          </w:p>
        </w:tc>
      </w:tr>
      <w:tr w:rsidR="00761800" w:rsidRPr="00761800" w14:paraId="6DDC985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1DEAC08"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46" w:type="dxa"/>
            <w:tcBorders>
              <w:top w:val="nil"/>
              <w:left w:val="nil"/>
              <w:bottom w:val="single" w:sz="4" w:space="0" w:color="auto"/>
              <w:right w:val="nil"/>
            </w:tcBorders>
            <w:shd w:val="clear" w:color="000000" w:fill="FFFFFF"/>
          </w:tcPr>
          <w:p w14:paraId="767A74E3"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2E31B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6D9C50E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20D7F9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188A44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B7BDF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A4681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19A0B2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2CDCC47"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СТОЛИЧНА ОБЩИНА</w:t>
            </w:r>
          </w:p>
        </w:tc>
        <w:tc>
          <w:tcPr>
            <w:tcW w:w="146" w:type="dxa"/>
            <w:tcBorders>
              <w:top w:val="nil"/>
              <w:left w:val="nil"/>
              <w:bottom w:val="single" w:sz="4" w:space="0" w:color="auto"/>
              <w:right w:val="nil"/>
            </w:tcBorders>
            <w:shd w:val="clear" w:color="000000" w:fill="FFFFFF"/>
          </w:tcPr>
          <w:p w14:paraId="6C2284F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35351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714 014,5</w:t>
            </w:r>
          </w:p>
        </w:tc>
        <w:tc>
          <w:tcPr>
            <w:tcW w:w="1406" w:type="dxa"/>
            <w:tcBorders>
              <w:top w:val="nil"/>
              <w:left w:val="nil"/>
              <w:bottom w:val="single" w:sz="4" w:space="0" w:color="auto"/>
              <w:right w:val="single" w:sz="4" w:space="0" w:color="auto"/>
            </w:tcBorders>
            <w:shd w:val="clear" w:color="000000" w:fill="FFFFFF"/>
            <w:noWrap/>
            <w:vAlign w:val="bottom"/>
            <w:hideMark/>
          </w:tcPr>
          <w:p w14:paraId="2E5F9D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699 239,8</w:t>
            </w:r>
          </w:p>
        </w:tc>
        <w:tc>
          <w:tcPr>
            <w:tcW w:w="1570" w:type="dxa"/>
            <w:tcBorders>
              <w:top w:val="nil"/>
              <w:left w:val="nil"/>
              <w:bottom w:val="single" w:sz="4" w:space="0" w:color="auto"/>
              <w:right w:val="single" w:sz="4" w:space="0" w:color="auto"/>
            </w:tcBorders>
            <w:shd w:val="clear" w:color="000000" w:fill="FFFFFF"/>
            <w:noWrap/>
            <w:vAlign w:val="bottom"/>
            <w:hideMark/>
          </w:tcPr>
          <w:p w14:paraId="252613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40C8A2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528,5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C1E1E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14 246,2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A8529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4 246,7</w:t>
            </w:r>
          </w:p>
        </w:tc>
      </w:tr>
      <w:tr w:rsidR="00761800" w:rsidRPr="00761800" w14:paraId="476D3E5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DA9D9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СОФИЙСКА</w:t>
            </w:r>
          </w:p>
        </w:tc>
        <w:tc>
          <w:tcPr>
            <w:tcW w:w="146" w:type="dxa"/>
            <w:tcBorders>
              <w:top w:val="nil"/>
              <w:left w:val="nil"/>
              <w:bottom w:val="single" w:sz="4" w:space="0" w:color="auto"/>
              <w:right w:val="nil"/>
            </w:tcBorders>
            <w:shd w:val="clear" w:color="000000" w:fill="FFFFFF"/>
          </w:tcPr>
          <w:p w14:paraId="08077F79"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2B1FA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20D0E9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09923E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4A7D62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72675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965F4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2417F5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4FCFE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Антон</w:t>
            </w:r>
          </w:p>
        </w:tc>
        <w:tc>
          <w:tcPr>
            <w:tcW w:w="146" w:type="dxa"/>
            <w:tcBorders>
              <w:top w:val="nil"/>
              <w:left w:val="nil"/>
              <w:bottom w:val="single" w:sz="4" w:space="0" w:color="auto"/>
              <w:right w:val="nil"/>
            </w:tcBorders>
            <w:shd w:val="clear" w:color="000000" w:fill="FFFFFF"/>
          </w:tcPr>
          <w:p w14:paraId="38CB83F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29350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1 752,9</w:t>
            </w:r>
          </w:p>
        </w:tc>
        <w:tc>
          <w:tcPr>
            <w:tcW w:w="1406" w:type="dxa"/>
            <w:tcBorders>
              <w:top w:val="nil"/>
              <w:left w:val="nil"/>
              <w:bottom w:val="single" w:sz="4" w:space="0" w:color="auto"/>
              <w:right w:val="single" w:sz="4" w:space="0" w:color="auto"/>
            </w:tcBorders>
            <w:shd w:val="clear" w:color="000000" w:fill="FFFFFF"/>
            <w:noWrap/>
            <w:vAlign w:val="bottom"/>
            <w:hideMark/>
          </w:tcPr>
          <w:p w14:paraId="1891DA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1 277,6</w:t>
            </w:r>
          </w:p>
        </w:tc>
        <w:tc>
          <w:tcPr>
            <w:tcW w:w="1570" w:type="dxa"/>
            <w:tcBorders>
              <w:top w:val="nil"/>
              <w:left w:val="nil"/>
              <w:bottom w:val="single" w:sz="4" w:space="0" w:color="auto"/>
              <w:right w:val="single" w:sz="4" w:space="0" w:color="auto"/>
            </w:tcBorders>
            <w:shd w:val="clear" w:color="000000" w:fill="FFFFFF"/>
            <w:noWrap/>
            <w:vAlign w:val="bottom"/>
            <w:hideMark/>
          </w:tcPr>
          <w:p w14:paraId="2E77F4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295,4</w:t>
            </w:r>
          </w:p>
        </w:tc>
        <w:tc>
          <w:tcPr>
            <w:tcW w:w="2002" w:type="dxa"/>
            <w:tcBorders>
              <w:top w:val="nil"/>
              <w:left w:val="nil"/>
              <w:bottom w:val="single" w:sz="4" w:space="0" w:color="auto"/>
              <w:right w:val="single" w:sz="4" w:space="0" w:color="auto"/>
            </w:tcBorders>
            <w:shd w:val="clear" w:color="000000" w:fill="FFFFFF"/>
            <w:noWrap/>
            <w:vAlign w:val="bottom"/>
            <w:hideMark/>
          </w:tcPr>
          <w:p w14:paraId="4AE066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DC26C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6CA19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w:t>
            </w:r>
          </w:p>
        </w:tc>
      </w:tr>
      <w:tr w:rsidR="00761800" w:rsidRPr="00761800" w14:paraId="61FBE55C"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5BF3B1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Божурище</w:t>
            </w:r>
          </w:p>
        </w:tc>
        <w:tc>
          <w:tcPr>
            <w:tcW w:w="146" w:type="dxa"/>
            <w:tcBorders>
              <w:top w:val="nil"/>
              <w:left w:val="nil"/>
              <w:bottom w:val="single" w:sz="4" w:space="0" w:color="auto"/>
              <w:right w:val="nil"/>
            </w:tcBorders>
            <w:shd w:val="clear" w:color="000000" w:fill="FFFFFF"/>
          </w:tcPr>
          <w:p w14:paraId="044BDA2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CFD8F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6 105,7</w:t>
            </w:r>
          </w:p>
        </w:tc>
        <w:tc>
          <w:tcPr>
            <w:tcW w:w="1406" w:type="dxa"/>
            <w:tcBorders>
              <w:top w:val="nil"/>
              <w:left w:val="nil"/>
              <w:bottom w:val="single" w:sz="4" w:space="0" w:color="auto"/>
              <w:right w:val="single" w:sz="4" w:space="0" w:color="auto"/>
            </w:tcBorders>
            <w:shd w:val="clear" w:color="000000" w:fill="FFFFFF"/>
            <w:noWrap/>
            <w:vAlign w:val="bottom"/>
            <w:hideMark/>
          </w:tcPr>
          <w:p w14:paraId="5677AA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5 651,1</w:t>
            </w:r>
          </w:p>
        </w:tc>
        <w:tc>
          <w:tcPr>
            <w:tcW w:w="1570" w:type="dxa"/>
            <w:tcBorders>
              <w:top w:val="nil"/>
              <w:left w:val="nil"/>
              <w:bottom w:val="single" w:sz="4" w:space="0" w:color="auto"/>
              <w:right w:val="single" w:sz="4" w:space="0" w:color="auto"/>
            </w:tcBorders>
            <w:shd w:val="clear" w:color="000000" w:fill="FFFFFF"/>
            <w:noWrap/>
            <w:vAlign w:val="bottom"/>
            <w:hideMark/>
          </w:tcPr>
          <w:p w14:paraId="47CFDC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C413F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E335F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418,0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3F10F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60,4</w:t>
            </w:r>
          </w:p>
        </w:tc>
      </w:tr>
      <w:tr w:rsidR="00761800" w:rsidRPr="00761800" w14:paraId="5D87A33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79AEF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Ботевград</w:t>
            </w:r>
          </w:p>
        </w:tc>
        <w:tc>
          <w:tcPr>
            <w:tcW w:w="146" w:type="dxa"/>
            <w:tcBorders>
              <w:top w:val="nil"/>
              <w:left w:val="nil"/>
              <w:bottom w:val="single" w:sz="4" w:space="0" w:color="auto"/>
              <w:right w:val="nil"/>
            </w:tcBorders>
            <w:shd w:val="clear" w:color="000000" w:fill="FFFFFF"/>
          </w:tcPr>
          <w:p w14:paraId="2DE1511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7EFD2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25 095,5</w:t>
            </w:r>
          </w:p>
        </w:tc>
        <w:tc>
          <w:tcPr>
            <w:tcW w:w="1406" w:type="dxa"/>
            <w:tcBorders>
              <w:top w:val="nil"/>
              <w:left w:val="nil"/>
              <w:bottom w:val="single" w:sz="4" w:space="0" w:color="auto"/>
              <w:right w:val="single" w:sz="4" w:space="0" w:color="auto"/>
            </w:tcBorders>
            <w:shd w:val="clear" w:color="000000" w:fill="FFFFFF"/>
            <w:noWrap/>
            <w:vAlign w:val="bottom"/>
            <w:hideMark/>
          </w:tcPr>
          <w:p w14:paraId="067672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21 960,0</w:t>
            </w:r>
          </w:p>
        </w:tc>
        <w:tc>
          <w:tcPr>
            <w:tcW w:w="1570" w:type="dxa"/>
            <w:tcBorders>
              <w:top w:val="nil"/>
              <w:left w:val="nil"/>
              <w:bottom w:val="single" w:sz="4" w:space="0" w:color="auto"/>
              <w:right w:val="single" w:sz="4" w:space="0" w:color="auto"/>
            </w:tcBorders>
            <w:shd w:val="clear" w:color="000000" w:fill="FFFFFF"/>
            <w:noWrap/>
            <w:vAlign w:val="bottom"/>
            <w:hideMark/>
          </w:tcPr>
          <w:p w14:paraId="0913F1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1 593,6</w:t>
            </w:r>
          </w:p>
        </w:tc>
        <w:tc>
          <w:tcPr>
            <w:tcW w:w="2002" w:type="dxa"/>
            <w:tcBorders>
              <w:top w:val="nil"/>
              <w:left w:val="nil"/>
              <w:bottom w:val="single" w:sz="4" w:space="0" w:color="auto"/>
              <w:right w:val="single" w:sz="4" w:space="0" w:color="auto"/>
            </w:tcBorders>
            <w:shd w:val="clear" w:color="000000" w:fill="FFFFFF"/>
            <w:noWrap/>
            <w:vAlign w:val="bottom"/>
            <w:hideMark/>
          </w:tcPr>
          <w:p w14:paraId="5D1E8A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205,5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7A3AA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1 336,4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CDE76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280,4</w:t>
            </w:r>
          </w:p>
        </w:tc>
      </w:tr>
      <w:tr w:rsidR="00761800" w:rsidRPr="00761800" w14:paraId="31CE48E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78E91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Годеч</w:t>
            </w:r>
          </w:p>
        </w:tc>
        <w:tc>
          <w:tcPr>
            <w:tcW w:w="146" w:type="dxa"/>
            <w:tcBorders>
              <w:top w:val="nil"/>
              <w:left w:val="nil"/>
              <w:bottom w:val="single" w:sz="4" w:space="0" w:color="auto"/>
              <w:right w:val="nil"/>
            </w:tcBorders>
            <w:shd w:val="clear" w:color="000000" w:fill="FFFFFF"/>
          </w:tcPr>
          <w:p w14:paraId="737D926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367A8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4 167,7</w:t>
            </w:r>
          </w:p>
        </w:tc>
        <w:tc>
          <w:tcPr>
            <w:tcW w:w="1406" w:type="dxa"/>
            <w:tcBorders>
              <w:top w:val="nil"/>
              <w:left w:val="nil"/>
              <w:bottom w:val="single" w:sz="4" w:space="0" w:color="auto"/>
              <w:right w:val="single" w:sz="4" w:space="0" w:color="auto"/>
            </w:tcBorders>
            <w:shd w:val="clear" w:color="000000" w:fill="FFFFFF"/>
            <w:noWrap/>
            <w:vAlign w:val="bottom"/>
            <w:hideMark/>
          </w:tcPr>
          <w:p w14:paraId="2AB46F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2 732,6</w:t>
            </w:r>
          </w:p>
        </w:tc>
        <w:tc>
          <w:tcPr>
            <w:tcW w:w="1570" w:type="dxa"/>
            <w:tcBorders>
              <w:top w:val="nil"/>
              <w:left w:val="nil"/>
              <w:bottom w:val="single" w:sz="4" w:space="0" w:color="auto"/>
              <w:right w:val="single" w:sz="4" w:space="0" w:color="auto"/>
            </w:tcBorders>
            <w:shd w:val="clear" w:color="000000" w:fill="FFFFFF"/>
            <w:noWrap/>
            <w:vAlign w:val="bottom"/>
            <w:hideMark/>
          </w:tcPr>
          <w:p w14:paraId="6732ED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478,4</w:t>
            </w:r>
          </w:p>
        </w:tc>
        <w:tc>
          <w:tcPr>
            <w:tcW w:w="2002" w:type="dxa"/>
            <w:tcBorders>
              <w:top w:val="nil"/>
              <w:left w:val="nil"/>
              <w:bottom w:val="single" w:sz="4" w:space="0" w:color="auto"/>
              <w:right w:val="single" w:sz="4" w:space="0" w:color="auto"/>
            </w:tcBorders>
            <w:shd w:val="clear" w:color="000000" w:fill="FFFFFF"/>
            <w:noWrap/>
            <w:vAlign w:val="bottom"/>
            <w:hideMark/>
          </w:tcPr>
          <w:p w14:paraId="27DCD7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E3434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807,8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3D372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43,6</w:t>
            </w:r>
          </w:p>
        </w:tc>
      </w:tr>
      <w:tr w:rsidR="00761800" w:rsidRPr="00761800" w14:paraId="5B3D89D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1D0D6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Горна Mалина</w:t>
            </w:r>
          </w:p>
        </w:tc>
        <w:tc>
          <w:tcPr>
            <w:tcW w:w="146" w:type="dxa"/>
            <w:tcBorders>
              <w:top w:val="nil"/>
              <w:left w:val="nil"/>
              <w:bottom w:val="single" w:sz="4" w:space="0" w:color="auto"/>
              <w:right w:val="nil"/>
            </w:tcBorders>
            <w:shd w:val="clear" w:color="000000" w:fill="FFFFFF"/>
          </w:tcPr>
          <w:p w14:paraId="53C9CE7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001CC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6 532,2</w:t>
            </w:r>
          </w:p>
        </w:tc>
        <w:tc>
          <w:tcPr>
            <w:tcW w:w="1406" w:type="dxa"/>
            <w:tcBorders>
              <w:top w:val="nil"/>
              <w:left w:val="nil"/>
              <w:bottom w:val="single" w:sz="4" w:space="0" w:color="auto"/>
              <w:right w:val="single" w:sz="4" w:space="0" w:color="auto"/>
            </w:tcBorders>
            <w:shd w:val="clear" w:color="000000" w:fill="FFFFFF"/>
            <w:noWrap/>
            <w:vAlign w:val="bottom"/>
            <w:hideMark/>
          </w:tcPr>
          <w:p w14:paraId="600D13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5 258,8</w:t>
            </w:r>
          </w:p>
        </w:tc>
        <w:tc>
          <w:tcPr>
            <w:tcW w:w="1570" w:type="dxa"/>
            <w:tcBorders>
              <w:top w:val="nil"/>
              <w:left w:val="nil"/>
              <w:bottom w:val="single" w:sz="4" w:space="0" w:color="auto"/>
              <w:right w:val="single" w:sz="4" w:space="0" w:color="auto"/>
            </w:tcBorders>
            <w:shd w:val="clear" w:color="000000" w:fill="FFFFFF"/>
            <w:noWrap/>
            <w:vAlign w:val="bottom"/>
            <w:hideMark/>
          </w:tcPr>
          <w:p w14:paraId="70C01F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551,3</w:t>
            </w:r>
          </w:p>
        </w:tc>
        <w:tc>
          <w:tcPr>
            <w:tcW w:w="2002" w:type="dxa"/>
            <w:tcBorders>
              <w:top w:val="nil"/>
              <w:left w:val="nil"/>
              <w:bottom w:val="single" w:sz="4" w:space="0" w:color="auto"/>
              <w:right w:val="single" w:sz="4" w:space="0" w:color="auto"/>
            </w:tcBorders>
            <w:shd w:val="clear" w:color="000000" w:fill="FFFFFF"/>
            <w:noWrap/>
            <w:vAlign w:val="bottom"/>
            <w:hideMark/>
          </w:tcPr>
          <w:p w14:paraId="1581FF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7280B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638,8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647CA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43,8</w:t>
            </w:r>
          </w:p>
        </w:tc>
      </w:tr>
      <w:tr w:rsidR="00761800" w:rsidRPr="00761800" w14:paraId="7192DCA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2DD36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Долна баня</w:t>
            </w:r>
          </w:p>
        </w:tc>
        <w:tc>
          <w:tcPr>
            <w:tcW w:w="146" w:type="dxa"/>
            <w:tcBorders>
              <w:top w:val="nil"/>
              <w:left w:val="nil"/>
              <w:bottom w:val="single" w:sz="4" w:space="0" w:color="auto"/>
              <w:right w:val="nil"/>
            </w:tcBorders>
            <w:shd w:val="clear" w:color="000000" w:fill="FFFFFF"/>
          </w:tcPr>
          <w:p w14:paraId="5B8D07F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C770A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7 672,8</w:t>
            </w:r>
          </w:p>
        </w:tc>
        <w:tc>
          <w:tcPr>
            <w:tcW w:w="1406" w:type="dxa"/>
            <w:tcBorders>
              <w:top w:val="nil"/>
              <w:left w:val="nil"/>
              <w:bottom w:val="single" w:sz="4" w:space="0" w:color="auto"/>
              <w:right w:val="single" w:sz="4" w:space="0" w:color="auto"/>
            </w:tcBorders>
            <w:shd w:val="clear" w:color="000000" w:fill="FFFFFF"/>
            <w:noWrap/>
            <w:vAlign w:val="bottom"/>
            <w:hideMark/>
          </w:tcPr>
          <w:p w14:paraId="0DDBFD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7 035,1</w:t>
            </w:r>
          </w:p>
        </w:tc>
        <w:tc>
          <w:tcPr>
            <w:tcW w:w="1570" w:type="dxa"/>
            <w:tcBorders>
              <w:top w:val="nil"/>
              <w:left w:val="nil"/>
              <w:bottom w:val="single" w:sz="4" w:space="0" w:color="auto"/>
              <w:right w:val="single" w:sz="4" w:space="0" w:color="auto"/>
            </w:tcBorders>
            <w:shd w:val="clear" w:color="000000" w:fill="FFFFFF"/>
            <w:noWrap/>
            <w:vAlign w:val="bottom"/>
            <w:hideMark/>
          </w:tcPr>
          <w:p w14:paraId="4B8654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453,0</w:t>
            </w:r>
          </w:p>
        </w:tc>
        <w:tc>
          <w:tcPr>
            <w:tcW w:w="2002" w:type="dxa"/>
            <w:tcBorders>
              <w:top w:val="nil"/>
              <w:left w:val="nil"/>
              <w:bottom w:val="single" w:sz="4" w:space="0" w:color="auto"/>
              <w:right w:val="single" w:sz="4" w:space="0" w:color="auto"/>
            </w:tcBorders>
            <w:shd w:val="clear" w:color="000000" w:fill="FFFFFF"/>
            <w:noWrap/>
            <w:vAlign w:val="bottom"/>
            <w:hideMark/>
          </w:tcPr>
          <w:p w14:paraId="7B6D27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5A39B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167,4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09CFC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27,9</w:t>
            </w:r>
          </w:p>
        </w:tc>
      </w:tr>
      <w:tr w:rsidR="00761800" w:rsidRPr="00761800" w14:paraId="166CDFD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A2814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Драгоман</w:t>
            </w:r>
          </w:p>
        </w:tc>
        <w:tc>
          <w:tcPr>
            <w:tcW w:w="146" w:type="dxa"/>
            <w:tcBorders>
              <w:top w:val="nil"/>
              <w:left w:val="nil"/>
              <w:bottom w:val="single" w:sz="4" w:space="0" w:color="auto"/>
              <w:right w:val="nil"/>
            </w:tcBorders>
            <w:shd w:val="clear" w:color="000000" w:fill="FFFFFF"/>
          </w:tcPr>
          <w:p w14:paraId="5EB62C0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DC48B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5 364,2</w:t>
            </w:r>
          </w:p>
        </w:tc>
        <w:tc>
          <w:tcPr>
            <w:tcW w:w="1406" w:type="dxa"/>
            <w:tcBorders>
              <w:top w:val="nil"/>
              <w:left w:val="nil"/>
              <w:bottom w:val="single" w:sz="4" w:space="0" w:color="auto"/>
              <w:right w:val="single" w:sz="4" w:space="0" w:color="auto"/>
            </w:tcBorders>
            <w:shd w:val="clear" w:color="000000" w:fill="FFFFFF"/>
            <w:noWrap/>
            <w:vAlign w:val="bottom"/>
            <w:hideMark/>
          </w:tcPr>
          <w:p w14:paraId="481CD7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3 710,8</w:t>
            </w:r>
          </w:p>
        </w:tc>
        <w:tc>
          <w:tcPr>
            <w:tcW w:w="1570" w:type="dxa"/>
            <w:tcBorders>
              <w:top w:val="nil"/>
              <w:left w:val="nil"/>
              <w:bottom w:val="single" w:sz="4" w:space="0" w:color="auto"/>
              <w:right w:val="single" w:sz="4" w:space="0" w:color="auto"/>
            </w:tcBorders>
            <w:shd w:val="clear" w:color="000000" w:fill="FFFFFF"/>
            <w:noWrap/>
            <w:vAlign w:val="bottom"/>
            <w:hideMark/>
          </w:tcPr>
          <w:p w14:paraId="159391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471,6</w:t>
            </w:r>
          </w:p>
        </w:tc>
        <w:tc>
          <w:tcPr>
            <w:tcW w:w="2002" w:type="dxa"/>
            <w:tcBorders>
              <w:top w:val="nil"/>
              <w:left w:val="nil"/>
              <w:bottom w:val="single" w:sz="4" w:space="0" w:color="auto"/>
              <w:right w:val="single" w:sz="4" w:space="0" w:color="auto"/>
            </w:tcBorders>
            <w:shd w:val="clear" w:color="000000" w:fill="FFFFFF"/>
            <w:noWrap/>
            <w:vAlign w:val="bottom"/>
            <w:hideMark/>
          </w:tcPr>
          <w:p w14:paraId="594110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153,4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01CF9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1 028,4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28B55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52,7</w:t>
            </w:r>
          </w:p>
        </w:tc>
      </w:tr>
      <w:tr w:rsidR="00761800" w:rsidRPr="00761800" w14:paraId="7B0B7C1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9D2D9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Eлин Пелин</w:t>
            </w:r>
          </w:p>
        </w:tc>
        <w:tc>
          <w:tcPr>
            <w:tcW w:w="146" w:type="dxa"/>
            <w:tcBorders>
              <w:top w:val="nil"/>
              <w:left w:val="nil"/>
              <w:bottom w:val="single" w:sz="4" w:space="0" w:color="auto"/>
              <w:right w:val="nil"/>
            </w:tcBorders>
            <w:shd w:val="clear" w:color="000000" w:fill="FFFFFF"/>
          </w:tcPr>
          <w:p w14:paraId="58E33A9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04A99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16 474,3</w:t>
            </w:r>
          </w:p>
        </w:tc>
        <w:tc>
          <w:tcPr>
            <w:tcW w:w="1406" w:type="dxa"/>
            <w:tcBorders>
              <w:top w:val="nil"/>
              <w:left w:val="nil"/>
              <w:bottom w:val="single" w:sz="4" w:space="0" w:color="auto"/>
              <w:right w:val="single" w:sz="4" w:space="0" w:color="auto"/>
            </w:tcBorders>
            <w:shd w:val="clear" w:color="000000" w:fill="FFFFFF"/>
            <w:noWrap/>
            <w:vAlign w:val="bottom"/>
            <w:hideMark/>
          </w:tcPr>
          <w:p w14:paraId="68F47D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15 317,0</w:t>
            </w:r>
          </w:p>
        </w:tc>
        <w:tc>
          <w:tcPr>
            <w:tcW w:w="1570" w:type="dxa"/>
            <w:tcBorders>
              <w:top w:val="nil"/>
              <w:left w:val="nil"/>
              <w:bottom w:val="single" w:sz="4" w:space="0" w:color="auto"/>
              <w:right w:val="single" w:sz="4" w:space="0" w:color="auto"/>
            </w:tcBorders>
            <w:shd w:val="clear" w:color="000000" w:fill="FFFFFF"/>
            <w:noWrap/>
            <w:vAlign w:val="bottom"/>
            <w:hideMark/>
          </w:tcPr>
          <w:p w14:paraId="068D99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13FB9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141,1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4B4A9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1 016,2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1C419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87,1</w:t>
            </w:r>
          </w:p>
        </w:tc>
      </w:tr>
      <w:tr w:rsidR="00761800" w:rsidRPr="00761800" w14:paraId="5097FBC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2A371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Eтрополе</w:t>
            </w:r>
          </w:p>
        </w:tc>
        <w:tc>
          <w:tcPr>
            <w:tcW w:w="146" w:type="dxa"/>
            <w:tcBorders>
              <w:top w:val="nil"/>
              <w:left w:val="nil"/>
              <w:bottom w:val="single" w:sz="4" w:space="0" w:color="auto"/>
              <w:right w:val="nil"/>
            </w:tcBorders>
            <w:shd w:val="clear" w:color="000000" w:fill="FFFFFF"/>
          </w:tcPr>
          <w:p w14:paraId="534A05D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9D02F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9 925,1</w:t>
            </w:r>
          </w:p>
        </w:tc>
        <w:tc>
          <w:tcPr>
            <w:tcW w:w="1406" w:type="dxa"/>
            <w:tcBorders>
              <w:top w:val="nil"/>
              <w:left w:val="nil"/>
              <w:bottom w:val="single" w:sz="4" w:space="0" w:color="auto"/>
              <w:right w:val="single" w:sz="4" w:space="0" w:color="auto"/>
            </w:tcBorders>
            <w:shd w:val="clear" w:color="000000" w:fill="FFFFFF"/>
            <w:noWrap/>
            <w:vAlign w:val="bottom"/>
            <w:hideMark/>
          </w:tcPr>
          <w:p w14:paraId="22BD28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8 544,9</w:t>
            </w:r>
          </w:p>
        </w:tc>
        <w:tc>
          <w:tcPr>
            <w:tcW w:w="1570" w:type="dxa"/>
            <w:tcBorders>
              <w:top w:val="nil"/>
              <w:left w:val="nil"/>
              <w:bottom w:val="single" w:sz="4" w:space="0" w:color="auto"/>
              <w:right w:val="single" w:sz="4" w:space="0" w:color="auto"/>
            </w:tcBorders>
            <w:shd w:val="clear" w:color="000000" w:fill="FFFFFF"/>
            <w:noWrap/>
            <w:vAlign w:val="bottom"/>
            <w:hideMark/>
          </w:tcPr>
          <w:p w14:paraId="4DC7FF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664,1</w:t>
            </w:r>
          </w:p>
        </w:tc>
        <w:tc>
          <w:tcPr>
            <w:tcW w:w="2002" w:type="dxa"/>
            <w:tcBorders>
              <w:top w:val="nil"/>
              <w:left w:val="nil"/>
              <w:bottom w:val="single" w:sz="4" w:space="0" w:color="auto"/>
              <w:right w:val="single" w:sz="4" w:space="0" w:color="auto"/>
            </w:tcBorders>
            <w:shd w:val="clear" w:color="000000" w:fill="FFFFFF"/>
            <w:noWrap/>
            <w:vAlign w:val="bottom"/>
            <w:hideMark/>
          </w:tcPr>
          <w:p w14:paraId="0CAE6A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A4599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603,8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B1E33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47,5</w:t>
            </w:r>
          </w:p>
        </w:tc>
      </w:tr>
      <w:tr w:rsidR="00761800" w:rsidRPr="00761800" w14:paraId="4D1B72E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1A35E6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Златица</w:t>
            </w:r>
          </w:p>
        </w:tc>
        <w:tc>
          <w:tcPr>
            <w:tcW w:w="146" w:type="dxa"/>
            <w:tcBorders>
              <w:top w:val="nil"/>
              <w:left w:val="nil"/>
              <w:bottom w:val="single" w:sz="4" w:space="0" w:color="auto"/>
              <w:right w:val="nil"/>
            </w:tcBorders>
            <w:shd w:val="clear" w:color="000000" w:fill="FFFFFF"/>
          </w:tcPr>
          <w:p w14:paraId="2369967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4BD65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4 215,6</w:t>
            </w:r>
          </w:p>
        </w:tc>
        <w:tc>
          <w:tcPr>
            <w:tcW w:w="1406" w:type="dxa"/>
            <w:tcBorders>
              <w:top w:val="nil"/>
              <w:left w:val="nil"/>
              <w:bottom w:val="single" w:sz="4" w:space="0" w:color="auto"/>
              <w:right w:val="single" w:sz="4" w:space="0" w:color="auto"/>
            </w:tcBorders>
            <w:shd w:val="clear" w:color="000000" w:fill="FFFFFF"/>
            <w:noWrap/>
            <w:vAlign w:val="bottom"/>
            <w:hideMark/>
          </w:tcPr>
          <w:p w14:paraId="10DEB6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3 977,7</w:t>
            </w:r>
          </w:p>
        </w:tc>
        <w:tc>
          <w:tcPr>
            <w:tcW w:w="1570" w:type="dxa"/>
            <w:tcBorders>
              <w:top w:val="nil"/>
              <w:left w:val="nil"/>
              <w:bottom w:val="single" w:sz="4" w:space="0" w:color="auto"/>
              <w:right w:val="single" w:sz="4" w:space="0" w:color="auto"/>
            </w:tcBorders>
            <w:shd w:val="clear" w:color="000000" w:fill="FFFFFF"/>
            <w:noWrap/>
            <w:vAlign w:val="bottom"/>
            <w:hideMark/>
          </w:tcPr>
          <w:p w14:paraId="4B02A5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3F9C4F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AB4CB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212,2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4FF9C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70,6</w:t>
            </w:r>
          </w:p>
        </w:tc>
      </w:tr>
      <w:tr w:rsidR="00761800" w:rsidRPr="00761800" w14:paraId="190F878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1143F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Ихтиман</w:t>
            </w:r>
          </w:p>
        </w:tc>
        <w:tc>
          <w:tcPr>
            <w:tcW w:w="146" w:type="dxa"/>
            <w:tcBorders>
              <w:top w:val="nil"/>
              <w:left w:val="nil"/>
              <w:bottom w:val="single" w:sz="4" w:space="0" w:color="auto"/>
              <w:right w:val="nil"/>
            </w:tcBorders>
            <w:shd w:val="clear" w:color="000000" w:fill="FFFFFF"/>
          </w:tcPr>
          <w:p w14:paraId="70C3602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24C02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13 568,8</w:t>
            </w:r>
          </w:p>
        </w:tc>
        <w:tc>
          <w:tcPr>
            <w:tcW w:w="1406" w:type="dxa"/>
            <w:tcBorders>
              <w:top w:val="nil"/>
              <w:left w:val="nil"/>
              <w:bottom w:val="single" w:sz="4" w:space="0" w:color="auto"/>
              <w:right w:val="single" w:sz="4" w:space="0" w:color="auto"/>
            </w:tcBorders>
            <w:shd w:val="clear" w:color="000000" w:fill="FFFFFF"/>
            <w:noWrap/>
            <w:vAlign w:val="bottom"/>
            <w:hideMark/>
          </w:tcPr>
          <w:p w14:paraId="08F840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10 993,1</w:t>
            </w:r>
          </w:p>
        </w:tc>
        <w:tc>
          <w:tcPr>
            <w:tcW w:w="1570" w:type="dxa"/>
            <w:tcBorders>
              <w:top w:val="nil"/>
              <w:left w:val="nil"/>
              <w:bottom w:val="single" w:sz="4" w:space="0" w:color="auto"/>
              <w:right w:val="single" w:sz="4" w:space="0" w:color="auto"/>
            </w:tcBorders>
            <w:shd w:val="clear" w:color="000000" w:fill="FFFFFF"/>
            <w:noWrap/>
            <w:vAlign w:val="bottom"/>
            <w:hideMark/>
          </w:tcPr>
          <w:p w14:paraId="36E1D2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1 352,3</w:t>
            </w:r>
          </w:p>
        </w:tc>
        <w:tc>
          <w:tcPr>
            <w:tcW w:w="2002" w:type="dxa"/>
            <w:tcBorders>
              <w:top w:val="nil"/>
              <w:left w:val="nil"/>
              <w:bottom w:val="single" w:sz="4" w:space="0" w:color="auto"/>
              <w:right w:val="single" w:sz="4" w:space="0" w:color="auto"/>
            </w:tcBorders>
            <w:shd w:val="clear" w:color="000000" w:fill="FFFFFF"/>
            <w:noWrap/>
            <w:vAlign w:val="bottom"/>
            <w:hideMark/>
          </w:tcPr>
          <w:p w14:paraId="104AA3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A7ED4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1 055,1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EBA38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110,4</w:t>
            </w:r>
          </w:p>
        </w:tc>
      </w:tr>
      <w:tr w:rsidR="00761800" w:rsidRPr="00761800" w14:paraId="434449E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3CFAC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Kопривщица</w:t>
            </w:r>
          </w:p>
        </w:tc>
        <w:tc>
          <w:tcPr>
            <w:tcW w:w="146" w:type="dxa"/>
            <w:tcBorders>
              <w:top w:val="nil"/>
              <w:left w:val="nil"/>
              <w:bottom w:val="single" w:sz="4" w:space="0" w:color="auto"/>
              <w:right w:val="nil"/>
            </w:tcBorders>
            <w:shd w:val="clear" w:color="000000" w:fill="FFFFFF"/>
          </w:tcPr>
          <w:p w14:paraId="511D3FE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A293D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2 655,5</w:t>
            </w:r>
          </w:p>
        </w:tc>
        <w:tc>
          <w:tcPr>
            <w:tcW w:w="1406" w:type="dxa"/>
            <w:tcBorders>
              <w:top w:val="nil"/>
              <w:left w:val="nil"/>
              <w:bottom w:val="single" w:sz="4" w:space="0" w:color="auto"/>
              <w:right w:val="single" w:sz="4" w:space="0" w:color="auto"/>
            </w:tcBorders>
            <w:shd w:val="clear" w:color="000000" w:fill="FFFFFF"/>
            <w:noWrap/>
            <w:vAlign w:val="bottom"/>
            <w:hideMark/>
          </w:tcPr>
          <w:p w14:paraId="4B3BC7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2 369,5</w:t>
            </w:r>
          </w:p>
        </w:tc>
        <w:tc>
          <w:tcPr>
            <w:tcW w:w="1570" w:type="dxa"/>
            <w:tcBorders>
              <w:top w:val="nil"/>
              <w:left w:val="nil"/>
              <w:bottom w:val="single" w:sz="4" w:space="0" w:color="auto"/>
              <w:right w:val="single" w:sz="4" w:space="0" w:color="auto"/>
            </w:tcBorders>
            <w:shd w:val="clear" w:color="000000" w:fill="FFFFFF"/>
            <w:noWrap/>
            <w:vAlign w:val="bottom"/>
            <w:hideMark/>
          </w:tcPr>
          <w:p w14:paraId="4F6D33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110,3</w:t>
            </w:r>
          </w:p>
        </w:tc>
        <w:tc>
          <w:tcPr>
            <w:tcW w:w="2002" w:type="dxa"/>
            <w:tcBorders>
              <w:top w:val="nil"/>
              <w:left w:val="nil"/>
              <w:bottom w:val="single" w:sz="4" w:space="0" w:color="auto"/>
              <w:right w:val="single" w:sz="4" w:space="0" w:color="auto"/>
            </w:tcBorders>
            <w:shd w:val="clear" w:color="000000" w:fill="FFFFFF"/>
            <w:noWrap/>
            <w:vAlign w:val="bottom"/>
            <w:hideMark/>
          </w:tcPr>
          <w:p w14:paraId="2B5143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79867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CC316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70,7</w:t>
            </w:r>
          </w:p>
        </w:tc>
      </w:tr>
      <w:tr w:rsidR="00761800" w:rsidRPr="00761800" w14:paraId="052F937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DD31A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Kостенец</w:t>
            </w:r>
          </w:p>
        </w:tc>
        <w:tc>
          <w:tcPr>
            <w:tcW w:w="146" w:type="dxa"/>
            <w:tcBorders>
              <w:top w:val="nil"/>
              <w:left w:val="nil"/>
              <w:bottom w:val="single" w:sz="4" w:space="0" w:color="auto"/>
              <w:right w:val="nil"/>
            </w:tcBorders>
            <w:shd w:val="clear" w:color="000000" w:fill="FFFFFF"/>
          </w:tcPr>
          <w:p w14:paraId="16B9D61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2561E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8 586,0</w:t>
            </w:r>
          </w:p>
        </w:tc>
        <w:tc>
          <w:tcPr>
            <w:tcW w:w="1406" w:type="dxa"/>
            <w:tcBorders>
              <w:top w:val="nil"/>
              <w:left w:val="nil"/>
              <w:bottom w:val="single" w:sz="4" w:space="0" w:color="auto"/>
              <w:right w:val="single" w:sz="4" w:space="0" w:color="auto"/>
            </w:tcBorders>
            <w:shd w:val="clear" w:color="000000" w:fill="FFFFFF"/>
            <w:noWrap/>
            <w:vAlign w:val="bottom"/>
            <w:hideMark/>
          </w:tcPr>
          <w:p w14:paraId="6CEA28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7 339,5</w:t>
            </w:r>
          </w:p>
        </w:tc>
        <w:tc>
          <w:tcPr>
            <w:tcW w:w="1570" w:type="dxa"/>
            <w:tcBorders>
              <w:top w:val="nil"/>
              <w:left w:val="nil"/>
              <w:bottom w:val="single" w:sz="4" w:space="0" w:color="auto"/>
              <w:right w:val="single" w:sz="4" w:space="0" w:color="auto"/>
            </w:tcBorders>
            <w:shd w:val="clear" w:color="000000" w:fill="FFFFFF"/>
            <w:noWrap/>
            <w:vAlign w:val="bottom"/>
            <w:hideMark/>
          </w:tcPr>
          <w:p w14:paraId="6E0F3D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666,7</w:t>
            </w:r>
          </w:p>
        </w:tc>
        <w:tc>
          <w:tcPr>
            <w:tcW w:w="2002" w:type="dxa"/>
            <w:tcBorders>
              <w:top w:val="nil"/>
              <w:left w:val="nil"/>
              <w:bottom w:val="single" w:sz="4" w:space="0" w:color="auto"/>
              <w:right w:val="single" w:sz="4" w:space="0" w:color="auto"/>
            </w:tcBorders>
            <w:shd w:val="clear" w:color="000000" w:fill="FFFFFF"/>
            <w:noWrap/>
            <w:vAlign w:val="bottom"/>
            <w:hideMark/>
          </w:tcPr>
          <w:p w14:paraId="59BC51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8948F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496,1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64BCE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114,1</w:t>
            </w:r>
          </w:p>
        </w:tc>
      </w:tr>
      <w:tr w:rsidR="00761800" w:rsidRPr="00761800" w14:paraId="2759B54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D382C8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Kостинброд</w:t>
            </w:r>
          </w:p>
        </w:tc>
        <w:tc>
          <w:tcPr>
            <w:tcW w:w="146" w:type="dxa"/>
            <w:tcBorders>
              <w:top w:val="nil"/>
              <w:left w:val="nil"/>
              <w:bottom w:val="single" w:sz="4" w:space="0" w:color="auto"/>
              <w:right w:val="nil"/>
            </w:tcBorders>
            <w:shd w:val="clear" w:color="000000" w:fill="FFFFFF"/>
          </w:tcPr>
          <w:p w14:paraId="3F10B55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F08DD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12 202,9</w:t>
            </w:r>
          </w:p>
        </w:tc>
        <w:tc>
          <w:tcPr>
            <w:tcW w:w="1406" w:type="dxa"/>
            <w:tcBorders>
              <w:top w:val="nil"/>
              <w:left w:val="nil"/>
              <w:bottom w:val="single" w:sz="4" w:space="0" w:color="auto"/>
              <w:right w:val="single" w:sz="4" w:space="0" w:color="auto"/>
            </w:tcBorders>
            <w:shd w:val="clear" w:color="000000" w:fill="FFFFFF"/>
            <w:noWrap/>
            <w:vAlign w:val="bottom"/>
            <w:hideMark/>
          </w:tcPr>
          <w:p w14:paraId="123231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10 428,4</w:t>
            </w:r>
          </w:p>
        </w:tc>
        <w:tc>
          <w:tcPr>
            <w:tcW w:w="1570" w:type="dxa"/>
            <w:tcBorders>
              <w:top w:val="nil"/>
              <w:left w:val="nil"/>
              <w:bottom w:val="single" w:sz="4" w:space="0" w:color="auto"/>
              <w:right w:val="single" w:sz="4" w:space="0" w:color="auto"/>
            </w:tcBorders>
            <w:shd w:val="clear" w:color="000000" w:fill="FFFFFF"/>
            <w:noWrap/>
            <w:vAlign w:val="bottom"/>
            <w:hideMark/>
          </w:tcPr>
          <w:p w14:paraId="2AB248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911,2</w:t>
            </w:r>
          </w:p>
        </w:tc>
        <w:tc>
          <w:tcPr>
            <w:tcW w:w="2002" w:type="dxa"/>
            <w:tcBorders>
              <w:top w:val="nil"/>
              <w:left w:val="nil"/>
              <w:bottom w:val="single" w:sz="4" w:space="0" w:color="auto"/>
              <w:right w:val="single" w:sz="4" w:space="0" w:color="auto"/>
            </w:tcBorders>
            <w:shd w:val="clear" w:color="000000" w:fill="FFFFFF"/>
            <w:noWrap/>
            <w:vAlign w:val="bottom"/>
            <w:hideMark/>
          </w:tcPr>
          <w:p w14:paraId="148CD8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107,8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A4D98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755,5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DDE61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53,5</w:t>
            </w:r>
          </w:p>
        </w:tc>
      </w:tr>
      <w:tr w:rsidR="00761800" w:rsidRPr="00761800" w14:paraId="4942A15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78C688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Мирково</w:t>
            </w:r>
          </w:p>
        </w:tc>
        <w:tc>
          <w:tcPr>
            <w:tcW w:w="146" w:type="dxa"/>
            <w:tcBorders>
              <w:top w:val="nil"/>
              <w:left w:val="nil"/>
              <w:bottom w:val="single" w:sz="4" w:space="0" w:color="auto"/>
              <w:right w:val="nil"/>
            </w:tcBorders>
            <w:shd w:val="clear" w:color="000000" w:fill="FFFFFF"/>
          </w:tcPr>
          <w:p w14:paraId="2092763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DCE8C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2 084,6</w:t>
            </w:r>
          </w:p>
        </w:tc>
        <w:tc>
          <w:tcPr>
            <w:tcW w:w="1406" w:type="dxa"/>
            <w:tcBorders>
              <w:top w:val="nil"/>
              <w:left w:val="nil"/>
              <w:bottom w:val="single" w:sz="4" w:space="0" w:color="auto"/>
              <w:right w:val="single" w:sz="4" w:space="0" w:color="auto"/>
            </w:tcBorders>
            <w:shd w:val="clear" w:color="000000" w:fill="FFFFFF"/>
            <w:noWrap/>
            <w:vAlign w:val="bottom"/>
            <w:hideMark/>
          </w:tcPr>
          <w:p w14:paraId="680226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1 509,4</w:t>
            </w:r>
          </w:p>
        </w:tc>
        <w:tc>
          <w:tcPr>
            <w:tcW w:w="1570" w:type="dxa"/>
            <w:tcBorders>
              <w:top w:val="nil"/>
              <w:left w:val="nil"/>
              <w:bottom w:val="single" w:sz="4" w:space="0" w:color="auto"/>
              <w:right w:val="single" w:sz="4" w:space="0" w:color="auto"/>
            </w:tcBorders>
            <w:shd w:val="clear" w:color="000000" w:fill="FFFFFF"/>
            <w:noWrap/>
            <w:vAlign w:val="bottom"/>
            <w:hideMark/>
          </w:tcPr>
          <w:p w14:paraId="357CE6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195,7</w:t>
            </w:r>
          </w:p>
        </w:tc>
        <w:tc>
          <w:tcPr>
            <w:tcW w:w="2002" w:type="dxa"/>
            <w:tcBorders>
              <w:top w:val="nil"/>
              <w:left w:val="nil"/>
              <w:bottom w:val="single" w:sz="4" w:space="0" w:color="auto"/>
              <w:right w:val="single" w:sz="4" w:space="0" w:color="auto"/>
            </w:tcBorders>
            <w:shd w:val="clear" w:color="000000" w:fill="FFFFFF"/>
            <w:noWrap/>
            <w:vAlign w:val="bottom"/>
            <w:hideMark/>
          </w:tcPr>
          <w:p w14:paraId="139901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FE25C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328,9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9FFE6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51,4</w:t>
            </w:r>
          </w:p>
        </w:tc>
      </w:tr>
      <w:tr w:rsidR="00761800" w:rsidRPr="00761800" w14:paraId="00FF8D7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C3577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Пирдоп</w:t>
            </w:r>
          </w:p>
        </w:tc>
        <w:tc>
          <w:tcPr>
            <w:tcW w:w="146" w:type="dxa"/>
            <w:tcBorders>
              <w:top w:val="nil"/>
              <w:left w:val="nil"/>
              <w:bottom w:val="single" w:sz="4" w:space="0" w:color="auto"/>
              <w:right w:val="nil"/>
            </w:tcBorders>
            <w:shd w:val="clear" w:color="000000" w:fill="FFFFFF"/>
          </w:tcPr>
          <w:p w14:paraId="4A32859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F3C67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5 412,0</w:t>
            </w:r>
          </w:p>
        </w:tc>
        <w:tc>
          <w:tcPr>
            <w:tcW w:w="1406" w:type="dxa"/>
            <w:tcBorders>
              <w:top w:val="nil"/>
              <w:left w:val="nil"/>
              <w:bottom w:val="single" w:sz="4" w:space="0" w:color="auto"/>
              <w:right w:val="single" w:sz="4" w:space="0" w:color="auto"/>
            </w:tcBorders>
            <w:shd w:val="clear" w:color="000000" w:fill="FFFFFF"/>
            <w:noWrap/>
            <w:vAlign w:val="bottom"/>
            <w:hideMark/>
          </w:tcPr>
          <w:p w14:paraId="1B5490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4 760,2</w:t>
            </w:r>
          </w:p>
        </w:tc>
        <w:tc>
          <w:tcPr>
            <w:tcW w:w="1570" w:type="dxa"/>
            <w:tcBorders>
              <w:top w:val="nil"/>
              <w:left w:val="nil"/>
              <w:bottom w:val="single" w:sz="4" w:space="0" w:color="auto"/>
              <w:right w:val="single" w:sz="4" w:space="0" w:color="auto"/>
            </w:tcBorders>
            <w:shd w:val="clear" w:color="000000" w:fill="FFFFFF"/>
            <w:noWrap/>
            <w:vAlign w:val="bottom"/>
            <w:hideMark/>
          </w:tcPr>
          <w:p w14:paraId="164104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371,8</w:t>
            </w:r>
          </w:p>
        </w:tc>
        <w:tc>
          <w:tcPr>
            <w:tcW w:w="2002" w:type="dxa"/>
            <w:tcBorders>
              <w:top w:val="nil"/>
              <w:left w:val="nil"/>
              <w:bottom w:val="single" w:sz="4" w:space="0" w:color="auto"/>
              <w:right w:val="single" w:sz="4" w:space="0" w:color="auto"/>
            </w:tcBorders>
            <w:shd w:val="clear" w:color="000000" w:fill="FFFFFF"/>
            <w:noWrap/>
            <w:vAlign w:val="bottom"/>
            <w:hideMark/>
          </w:tcPr>
          <w:p w14:paraId="5757FB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54D92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232,2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BF715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84,5</w:t>
            </w:r>
          </w:p>
        </w:tc>
      </w:tr>
      <w:tr w:rsidR="00761800" w:rsidRPr="00761800" w14:paraId="4BB56FD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6E1CA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Правец</w:t>
            </w:r>
          </w:p>
        </w:tc>
        <w:tc>
          <w:tcPr>
            <w:tcW w:w="146" w:type="dxa"/>
            <w:tcBorders>
              <w:top w:val="nil"/>
              <w:left w:val="nil"/>
              <w:bottom w:val="single" w:sz="4" w:space="0" w:color="auto"/>
              <w:right w:val="nil"/>
            </w:tcBorders>
            <w:shd w:val="clear" w:color="000000" w:fill="FFFFFF"/>
          </w:tcPr>
          <w:p w14:paraId="7F20393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23F51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10 284,6</w:t>
            </w:r>
          </w:p>
        </w:tc>
        <w:tc>
          <w:tcPr>
            <w:tcW w:w="1406" w:type="dxa"/>
            <w:tcBorders>
              <w:top w:val="nil"/>
              <w:left w:val="nil"/>
              <w:bottom w:val="single" w:sz="4" w:space="0" w:color="auto"/>
              <w:right w:val="single" w:sz="4" w:space="0" w:color="auto"/>
            </w:tcBorders>
            <w:shd w:val="clear" w:color="000000" w:fill="FFFFFF"/>
            <w:noWrap/>
            <w:vAlign w:val="bottom"/>
            <w:hideMark/>
          </w:tcPr>
          <w:p w14:paraId="221D5B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8 447,6</w:t>
            </w:r>
          </w:p>
        </w:tc>
        <w:tc>
          <w:tcPr>
            <w:tcW w:w="1570" w:type="dxa"/>
            <w:tcBorders>
              <w:top w:val="nil"/>
              <w:left w:val="nil"/>
              <w:bottom w:val="single" w:sz="4" w:space="0" w:color="auto"/>
              <w:right w:val="single" w:sz="4" w:space="0" w:color="auto"/>
            </w:tcBorders>
            <w:shd w:val="clear" w:color="000000" w:fill="FFFFFF"/>
            <w:noWrap/>
            <w:vAlign w:val="bottom"/>
            <w:hideMark/>
          </w:tcPr>
          <w:p w14:paraId="5B4711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545,8</w:t>
            </w:r>
          </w:p>
        </w:tc>
        <w:tc>
          <w:tcPr>
            <w:tcW w:w="2002" w:type="dxa"/>
            <w:tcBorders>
              <w:top w:val="nil"/>
              <w:left w:val="nil"/>
              <w:bottom w:val="single" w:sz="4" w:space="0" w:color="auto"/>
              <w:right w:val="single" w:sz="4" w:space="0" w:color="auto"/>
            </w:tcBorders>
            <w:shd w:val="clear" w:color="000000" w:fill="FFFFFF"/>
            <w:noWrap/>
            <w:vAlign w:val="bottom"/>
            <w:hideMark/>
          </w:tcPr>
          <w:p w14:paraId="508281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9A05D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1 066,7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81F81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24,1</w:t>
            </w:r>
          </w:p>
        </w:tc>
      </w:tr>
      <w:tr w:rsidR="00761800" w:rsidRPr="00761800" w14:paraId="5210D23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A916A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Cамоков</w:t>
            </w:r>
          </w:p>
        </w:tc>
        <w:tc>
          <w:tcPr>
            <w:tcW w:w="146" w:type="dxa"/>
            <w:tcBorders>
              <w:top w:val="nil"/>
              <w:left w:val="nil"/>
              <w:bottom w:val="single" w:sz="4" w:space="0" w:color="auto"/>
              <w:right w:val="nil"/>
            </w:tcBorders>
            <w:shd w:val="clear" w:color="000000" w:fill="FFFFFF"/>
          </w:tcPr>
          <w:p w14:paraId="07B8E5BA"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B51B6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25 624,8</w:t>
            </w:r>
          </w:p>
        </w:tc>
        <w:tc>
          <w:tcPr>
            <w:tcW w:w="1406" w:type="dxa"/>
            <w:tcBorders>
              <w:top w:val="nil"/>
              <w:left w:val="nil"/>
              <w:bottom w:val="single" w:sz="4" w:space="0" w:color="auto"/>
              <w:right w:val="single" w:sz="4" w:space="0" w:color="auto"/>
            </w:tcBorders>
            <w:shd w:val="clear" w:color="000000" w:fill="FFFFFF"/>
            <w:noWrap/>
            <w:vAlign w:val="bottom"/>
            <w:hideMark/>
          </w:tcPr>
          <w:p w14:paraId="68E0E8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22 899,6</w:t>
            </w:r>
          </w:p>
        </w:tc>
        <w:tc>
          <w:tcPr>
            <w:tcW w:w="1570" w:type="dxa"/>
            <w:tcBorders>
              <w:top w:val="nil"/>
              <w:left w:val="nil"/>
              <w:bottom w:val="single" w:sz="4" w:space="0" w:color="auto"/>
              <w:right w:val="single" w:sz="4" w:space="0" w:color="auto"/>
            </w:tcBorders>
            <w:shd w:val="clear" w:color="000000" w:fill="FFFFFF"/>
            <w:noWrap/>
            <w:vAlign w:val="bottom"/>
            <w:hideMark/>
          </w:tcPr>
          <w:p w14:paraId="174F89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1 212,6</w:t>
            </w:r>
          </w:p>
        </w:tc>
        <w:tc>
          <w:tcPr>
            <w:tcW w:w="2002" w:type="dxa"/>
            <w:tcBorders>
              <w:top w:val="nil"/>
              <w:left w:val="nil"/>
              <w:bottom w:val="single" w:sz="4" w:space="0" w:color="auto"/>
              <w:right w:val="single" w:sz="4" w:space="0" w:color="auto"/>
            </w:tcBorders>
            <w:shd w:val="clear" w:color="000000" w:fill="FFFFFF"/>
            <w:noWrap/>
            <w:vAlign w:val="bottom"/>
            <w:hideMark/>
          </w:tcPr>
          <w:p w14:paraId="615C4C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141,9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CE21F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1 370,7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9E144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389,3</w:t>
            </w:r>
          </w:p>
        </w:tc>
      </w:tr>
      <w:tr w:rsidR="00761800" w:rsidRPr="00761800" w14:paraId="4DD1CED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A5E13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Cвоге</w:t>
            </w:r>
          </w:p>
        </w:tc>
        <w:tc>
          <w:tcPr>
            <w:tcW w:w="146" w:type="dxa"/>
            <w:tcBorders>
              <w:top w:val="nil"/>
              <w:left w:val="nil"/>
              <w:bottom w:val="single" w:sz="4" w:space="0" w:color="auto"/>
              <w:right w:val="nil"/>
            </w:tcBorders>
            <w:shd w:val="clear" w:color="000000" w:fill="FFFFFF"/>
          </w:tcPr>
          <w:p w14:paraId="3632136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A2004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13 136,5</w:t>
            </w:r>
          </w:p>
        </w:tc>
        <w:tc>
          <w:tcPr>
            <w:tcW w:w="1406" w:type="dxa"/>
            <w:tcBorders>
              <w:top w:val="nil"/>
              <w:left w:val="nil"/>
              <w:bottom w:val="single" w:sz="4" w:space="0" w:color="auto"/>
              <w:right w:val="single" w:sz="4" w:space="0" w:color="auto"/>
            </w:tcBorders>
            <w:shd w:val="clear" w:color="000000" w:fill="FFFFFF"/>
            <w:noWrap/>
            <w:vAlign w:val="bottom"/>
            <w:hideMark/>
          </w:tcPr>
          <w:p w14:paraId="796336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9 758,4</w:t>
            </w:r>
          </w:p>
        </w:tc>
        <w:tc>
          <w:tcPr>
            <w:tcW w:w="1570" w:type="dxa"/>
            <w:tcBorders>
              <w:top w:val="nil"/>
              <w:left w:val="nil"/>
              <w:bottom w:val="single" w:sz="4" w:space="0" w:color="auto"/>
              <w:right w:val="single" w:sz="4" w:space="0" w:color="auto"/>
            </w:tcBorders>
            <w:shd w:val="clear" w:color="000000" w:fill="FFFFFF"/>
            <w:noWrap/>
            <w:vAlign w:val="bottom"/>
            <w:hideMark/>
          </w:tcPr>
          <w:p w14:paraId="6E3D3C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1 353,1</w:t>
            </w:r>
          </w:p>
        </w:tc>
        <w:tc>
          <w:tcPr>
            <w:tcW w:w="2002" w:type="dxa"/>
            <w:tcBorders>
              <w:top w:val="nil"/>
              <w:left w:val="nil"/>
              <w:bottom w:val="single" w:sz="4" w:space="0" w:color="auto"/>
              <w:right w:val="single" w:sz="4" w:space="0" w:color="auto"/>
            </w:tcBorders>
            <w:shd w:val="clear" w:color="000000" w:fill="FFFFFF"/>
            <w:noWrap/>
            <w:vAlign w:val="bottom"/>
            <w:hideMark/>
          </w:tcPr>
          <w:p w14:paraId="3E4B3C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289,7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74A04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1 735,3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DAE96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64,5</w:t>
            </w:r>
          </w:p>
        </w:tc>
      </w:tr>
      <w:tr w:rsidR="00761800" w:rsidRPr="00761800" w14:paraId="76BE395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4F852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Cливница</w:t>
            </w:r>
          </w:p>
        </w:tc>
        <w:tc>
          <w:tcPr>
            <w:tcW w:w="146" w:type="dxa"/>
            <w:tcBorders>
              <w:top w:val="nil"/>
              <w:left w:val="nil"/>
              <w:bottom w:val="single" w:sz="4" w:space="0" w:color="auto"/>
              <w:right w:val="nil"/>
            </w:tcBorders>
            <w:shd w:val="clear" w:color="000000" w:fill="FFFFFF"/>
          </w:tcPr>
          <w:p w14:paraId="457AA2DA"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CC64C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6 855,0</w:t>
            </w:r>
          </w:p>
        </w:tc>
        <w:tc>
          <w:tcPr>
            <w:tcW w:w="1406" w:type="dxa"/>
            <w:tcBorders>
              <w:top w:val="nil"/>
              <w:left w:val="nil"/>
              <w:bottom w:val="single" w:sz="4" w:space="0" w:color="auto"/>
              <w:right w:val="single" w:sz="4" w:space="0" w:color="auto"/>
            </w:tcBorders>
            <w:shd w:val="clear" w:color="000000" w:fill="FFFFFF"/>
            <w:noWrap/>
            <w:vAlign w:val="bottom"/>
            <w:hideMark/>
          </w:tcPr>
          <w:p w14:paraId="2E672E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5 650,5</w:t>
            </w:r>
          </w:p>
        </w:tc>
        <w:tc>
          <w:tcPr>
            <w:tcW w:w="1570" w:type="dxa"/>
            <w:tcBorders>
              <w:top w:val="nil"/>
              <w:left w:val="nil"/>
              <w:bottom w:val="single" w:sz="4" w:space="0" w:color="auto"/>
              <w:right w:val="single" w:sz="4" w:space="0" w:color="auto"/>
            </w:tcBorders>
            <w:shd w:val="clear" w:color="000000" w:fill="FFFFFF"/>
            <w:noWrap/>
            <w:vAlign w:val="bottom"/>
            <w:hideMark/>
          </w:tcPr>
          <w:p w14:paraId="476BFD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634,7</w:t>
            </w:r>
          </w:p>
        </w:tc>
        <w:tc>
          <w:tcPr>
            <w:tcW w:w="2002" w:type="dxa"/>
            <w:tcBorders>
              <w:top w:val="nil"/>
              <w:left w:val="nil"/>
              <w:bottom w:val="single" w:sz="4" w:space="0" w:color="auto"/>
              <w:right w:val="single" w:sz="4" w:space="0" w:color="auto"/>
            </w:tcBorders>
            <w:shd w:val="clear" w:color="000000" w:fill="FFFFFF"/>
            <w:noWrap/>
            <w:vAlign w:val="bottom"/>
            <w:hideMark/>
          </w:tcPr>
          <w:p w14:paraId="14E47B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C715A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503,5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3A6F2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76,2</w:t>
            </w:r>
          </w:p>
        </w:tc>
      </w:tr>
      <w:tr w:rsidR="00761800" w:rsidRPr="00761800" w14:paraId="3B40284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AAB34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Чавдар</w:t>
            </w:r>
          </w:p>
        </w:tc>
        <w:tc>
          <w:tcPr>
            <w:tcW w:w="146" w:type="dxa"/>
            <w:tcBorders>
              <w:top w:val="nil"/>
              <w:left w:val="nil"/>
              <w:bottom w:val="single" w:sz="4" w:space="0" w:color="auto"/>
              <w:right w:val="nil"/>
            </w:tcBorders>
            <w:shd w:val="clear" w:color="000000" w:fill="FFFFFF"/>
          </w:tcPr>
          <w:p w14:paraId="1507D1E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80C78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1 542,4</w:t>
            </w:r>
          </w:p>
        </w:tc>
        <w:tc>
          <w:tcPr>
            <w:tcW w:w="1406" w:type="dxa"/>
            <w:tcBorders>
              <w:top w:val="nil"/>
              <w:left w:val="nil"/>
              <w:bottom w:val="single" w:sz="4" w:space="0" w:color="auto"/>
              <w:right w:val="single" w:sz="4" w:space="0" w:color="auto"/>
            </w:tcBorders>
            <w:shd w:val="clear" w:color="000000" w:fill="FFFFFF"/>
            <w:noWrap/>
            <w:vAlign w:val="bottom"/>
            <w:hideMark/>
          </w:tcPr>
          <w:p w14:paraId="417ED5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1 295,3</w:t>
            </w:r>
          </w:p>
        </w:tc>
        <w:tc>
          <w:tcPr>
            <w:tcW w:w="1570" w:type="dxa"/>
            <w:tcBorders>
              <w:top w:val="nil"/>
              <w:left w:val="nil"/>
              <w:bottom w:val="single" w:sz="4" w:space="0" w:color="auto"/>
              <w:right w:val="single" w:sz="4" w:space="0" w:color="auto"/>
            </w:tcBorders>
            <w:shd w:val="clear" w:color="000000" w:fill="FFFFFF"/>
            <w:noWrap/>
            <w:vAlign w:val="bottom"/>
            <w:hideMark/>
          </w:tcPr>
          <w:p w14:paraId="39DAEA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102,2</w:t>
            </w:r>
          </w:p>
        </w:tc>
        <w:tc>
          <w:tcPr>
            <w:tcW w:w="2002" w:type="dxa"/>
            <w:tcBorders>
              <w:top w:val="nil"/>
              <w:left w:val="nil"/>
              <w:bottom w:val="single" w:sz="4" w:space="0" w:color="auto"/>
              <w:right w:val="single" w:sz="4" w:space="0" w:color="auto"/>
            </w:tcBorders>
            <w:shd w:val="clear" w:color="000000" w:fill="FFFFFF"/>
            <w:noWrap/>
            <w:vAlign w:val="bottom"/>
            <w:hideMark/>
          </w:tcPr>
          <w:p w14:paraId="1E5419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B5C67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2F139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w:t>
            </w:r>
          </w:p>
        </w:tc>
      </w:tr>
      <w:tr w:rsidR="00761800" w:rsidRPr="00761800" w14:paraId="30C1F8F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755FC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Челопеч</w:t>
            </w:r>
          </w:p>
        </w:tc>
        <w:tc>
          <w:tcPr>
            <w:tcW w:w="146" w:type="dxa"/>
            <w:tcBorders>
              <w:top w:val="nil"/>
              <w:left w:val="nil"/>
              <w:bottom w:val="single" w:sz="4" w:space="0" w:color="auto"/>
              <w:right w:val="nil"/>
            </w:tcBorders>
            <w:shd w:val="clear" w:color="000000" w:fill="FFFFFF"/>
          </w:tcPr>
          <w:p w14:paraId="28D298A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2372D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2 494,0</w:t>
            </w:r>
          </w:p>
        </w:tc>
        <w:tc>
          <w:tcPr>
            <w:tcW w:w="1406" w:type="dxa"/>
            <w:tcBorders>
              <w:top w:val="nil"/>
              <w:left w:val="nil"/>
              <w:bottom w:val="single" w:sz="4" w:space="0" w:color="auto"/>
              <w:right w:val="single" w:sz="4" w:space="0" w:color="auto"/>
            </w:tcBorders>
            <w:shd w:val="clear" w:color="000000" w:fill="FFFFFF"/>
            <w:noWrap/>
            <w:vAlign w:val="bottom"/>
            <w:hideMark/>
          </w:tcPr>
          <w:p w14:paraId="09E740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2 284,6</w:t>
            </w:r>
          </w:p>
        </w:tc>
        <w:tc>
          <w:tcPr>
            <w:tcW w:w="1570" w:type="dxa"/>
            <w:tcBorders>
              <w:top w:val="nil"/>
              <w:left w:val="nil"/>
              <w:bottom w:val="single" w:sz="4" w:space="0" w:color="auto"/>
              <w:right w:val="single" w:sz="4" w:space="0" w:color="auto"/>
            </w:tcBorders>
            <w:shd w:val="clear" w:color="000000" w:fill="FFFFFF"/>
            <w:noWrap/>
            <w:vAlign w:val="bottom"/>
            <w:hideMark/>
          </w:tcPr>
          <w:p w14:paraId="0790A7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60,1</w:t>
            </w:r>
          </w:p>
        </w:tc>
        <w:tc>
          <w:tcPr>
            <w:tcW w:w="2002" w:type="dxa"/>
            <w:tcBorders>
              <w:top w:val="nil"/>
              <w:left w:val="nil"/>
              <w:bottom w:val="single" w:sz="4" w:space="0" w:color="auto"/>
              <w:right w:val="single" w:sz="4" w:space="0" w:color="auto"/>
            </w:tcBorders>
            <w:shd w:val="clear" w:color="000000" w:fill="FFFFFF"/>
            <w:noWrap/>
            <w:vAlign w:val="bottom"/>
            <w:hideMark/>
          </w:tcPr>
          <w:p w14:paraId="53818F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C7B62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126,8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49199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70,3</w:t>
            </w:r>
          </w:p>
        </w:tc>
      </w:tr>
      <w:tr w:rsidR="00761800" w:rsidRPr="00761800" w14:paraId="32B623A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C78D128"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61FCB290"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65B1F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60D9D4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1FC9AB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16C780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E9ED8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EE217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5020CE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0827D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СТАРА ЗАГОРА</w:t>
            </w:r>
          </w:p>
        </w:tc>
        <w:tc>
          <w:tcPr>
            <w:tcW w:w="146" w:type="dxa"/>
            <w:tcBorders>
              <w:top w:val="nil"/>
              <w:left w:val="nil"/>
              <w:bottom w:val="single" w:sz="4" w:space="0" w:color="auto"/>
              <w:right w:val="nil"/>
            </w:tcBorders>
            <w:shd w:val="clear" w:color="000000" w:fill="FFFFFF"/>
          </w:tcPr>
          <w:p w14:paraId="791B7483"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D51C7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3565AB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18650F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781185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3407E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C47AE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1F3A49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AB6EF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Братя Даскалови</w:t>
            </w:r>
          </w:p>
        </w:tc>
        <w:tc>
          <w:tcPr>
            <w:tcW w:w="146" w:type="dxa"/>
            <w:tcBorders>
              <w:top w:val="nil"/>
              <w:left w:val="nil"/>
              <w:bottom w:val="single" w:sz="4" w:space="0" w:color="auto"/>
              <w:right w:val="nil"/>
            </w:tcBorders>
            <w:shd w:val="clear" w:color="000000" w:fill="FFFFFF"/>
          </w:tcPr>
          <w:p w14:paraId="2706A1C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4793C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6 655,7</w:t>
            </w:r>
          </w:p>
        </w:tc>
        <w:tc>
          <w:tcPr>
            <w:tcW w:w="1406" w:type="dxa"/>
            <w:tcBorders>
              <w:top w:val="nil"/>
              <w:left w:val="nil"/>
              <w:bottom w:val="single" w:sz="4" w:space="0" w:color="auto"/>
              <w:right w:val="single" w:sz="4" w:space="0" w:color="auto"/>
            </w:tcBorders>
            <w:shd w:val="clear" w:color="000000" w:fill="FFFFFF"/>
            <w:noWrap/>
            <w:vAlign w:val="bottom"/>
            <w:hideMark/>
          </w:tcPr>
          <w:p w14:paraId="7A116D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4 863,6</w:t>
            </w:r>
          </w:p>
        </w:tc>
        <w:tc>
          <w:tcPr>
            <w:tcW w:w="1570" w:type="dxa"/>
            <w:tcBorders>
              <w:top w:val="nil"/>
              <w:left w:val="nil"/>
              <w:bottom w:val="single" w:sz="4" w:space="0" w:color="auto"/>
              <w:right w:val="single" w:sz="4" w:space="0" w:color="auto"/>
            </w:tcBorders>
            <w:shd w:val="clear" w:color="000000" w:fill="FFFFFF"/>
            <w:noWrap/>
            <w:vAlign w:val="bottom"/>
            <w:hideMark/>
          </w:tcPr>
          <w:p w14:paraId="09A8AA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781,3</w:t>
            </w:r>
          </w:p>
        </w:tc>
        <w:tc>
          <w:tcPr>
            <w:tcW w:w="2002" w:type="dxa"/>
            <w:tcBorders>
              <w:top w:val="nil"/>
              <w:left w:val="nil"/>
              <w:bottom w:val="single" w:sz="4" w:space="0" w:color="auto"/>
              <w:right w:val="single" w:sz="4" w:space="0" w:color="auto"/>
            </w:tcBorders>
            <w:shd w:val="clear" w:color="000000" w:fill="FFFFFF"/>
            <w:noWrap/>
            <w:vAlign w:val="bottom"/>
            <w:hideMark/>
          </w:tcPr>
          <w:p w14:paraId="269C6D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A277E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940,4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82DD9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72,3</w:t>
            </w:r>
          </w:p>
        </w:tc>
      </w:tr>
      <w:tr w:rsidR="00761800" w:rsidRPr="00761800" w14:paraId="5C63344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AFF28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Гурково</w:t>
            </w:r>
          </w:p>
        </w:tc>
        <w:tc>
          <w:tcPr>
            <w:tcW w:w="146" w:type="dxa"/>
            <w:tcBorders>
              <w:top w:val="nil"/>
              <w:left w:val="nil"/>
              <w:bottom w:val="single" w:sz="4" w:space="0" w:color="auto"/>
              <w:right w:val="nil"/>
            </w:tcBorders>
            <w:shd w:val="clear" w:color="000000" w:fill="FFFFFF"/>
          </w:tcPr>
          <w:p w14:paraId="79CA2D8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C426D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4 193,7</w:t>
            </w:r>
          </w:p>
        </w:tc>
        <w:tc>
          <w:tcPr>
            <w:tcW w:w="1406" w:type="dxa"/>
            <w:tcBorders>
              <w:top w:val="nil"/>
              <w:left w:val="nil"/>
              <w:bottom w:val="single" w:sz="4" w:space="0" w:color="auto"/>
              <w:right w:val="single" w:sz="4" w:space="0" w:color="auto"/>
            </w:tcBorders>
            <w:shd w:val="clear" w:color="000000" w:fill="FFFFFF"/>
            <w:noWrap/>
            <w:vAlign w:val="bottom"/>
            <w:hideMark/>
          </w:tcPr>
          <w:p w14:paraId="7B5FD0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3 376,2</w:t>
            </w:r>
          </w:p>
        </w:tc>
        <w:tc>
          <w:tcPr>
            <w:tcW w:w="1570" w:type="dxa"/>
            <w:tcBorders>
              <w:top w:val="nil"/>
              <w:left w:val="nil"/>
              <w:bottom w:val="single" w:sz="4" w:space="0" w:color="auto"/>
              <w:right w:val="single" w:sz="4" w:space="0" w:color="auto"/>
            </w:tcBorders>
            <w:shd w:val="clear" w:color="000000" w:fill="FFFFFF"/>
            <w:noWrap/>
            <w:vAlign w:val="bottom"/>
            <w:hideMark/>
          </w:tcPr>
          <w:p w14:paraId="25C964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485,4</w:t>
            </w:r>
          </w:p>
        </w:tc>
        <w:tc>
          <w:tcPr>
            <w:tcW w:w="2002" w:type="dxa"/>
            <w:tcBorders>
              <w:top w:val="nil"/>
              <w:left w:val="nil"/>
              <w:bottom w:val="single" w:sz="4" w:space="0" w:color="auto"/>
              <w:right w:val="single" w:sz="4" w:space="0" w:color="auto"/>
            </w:tcBorders>
            <w:shd w:val="clear" w:color="000000" w:fill="FFFFFF"/>
            <w:noWrap/>
            <w:vAlign w:val="bottom"/>
            <w:hideMark/>
          </w:tcPr>
          <w:p w14:paraId="3A2C6D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572AD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309,2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B6BA9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29,5</w:t>
            </w:r>
          </w:p>
        </w:tc>
      </w:tr>
      <w:tr w:rsidR="00761800" w:rsidRPr="00761800" w14:paraId="60717F2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4DA5F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Гълъбово</w:t>
            </w:r>
          </w:p>
        </w:tc>
        <w:tc>
          <w:tcPr>
            <w:tcW w:w="146" w:type="dxa"/>
            <w:tcBorders>
              <w:top w:val="nil"/>
              <w:left w:val="nil"/>
              <w:bottom w:val="single" w:sz="4" w:space="0" w:color="auto"/>
              <w:right w:val="nil"/>
            </w:tcBorders>
            <w:shd w:val="clear" w:color="000000" w:fill="FFFFFF"/>
          </w:tcPr>
          <w:p w14:paraId="28829FE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63C8D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8 201,1</w:t>
            </w:r>
          </w:p>
        </w:tc>
        <w:tc>
          <w:tcPr>
            <w:tcW w:w="1406" w:type="dxa"/>
            <w:tcBorders>
              <w:top w:val="nil"/>
              <w:left w:val="nil"/>
              <w:bottom w:val="single" w:sz="4" w:space="0" w:color="auto"/>
              <w:right w:val="single" w:sz="4" w:space="0" w:color="auto"/>
            </w:tcBorders>
            <w:shd w:val="clear" w:color="000000" w:fill="FFFFFF"/>
            <w:noWrap/>
            <w:vAlign w:val="bottom"/>
            <w:hideMark/>
          </w:tcPr>
          <w:p w14:paraId="4BFCE1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7 658,6</w:t>
            </w:r>
          </w:p>
        </w:tc>
        <w:tc>
          <w:tcPr>
            <w:tcW w:w="1570" w:type="dxa"/>
            <w:tcBorders>
              <w:top w:val="nil"/>
              <w:left w:val="nil"/>
              <w:bottom w:val="single" w:sz="4" w:space="0" w:color="auto"/>
              <w:right w:val="single" w:sz="4" w:space="0" w:color="auto"/>
            </w:tcBorders>
            <w:shd w:val="clear" w:color="000000" w:fill="FFFFFF"/>
            <w:noWrap/>
            <w:vAlign w:val="bottom"/>
            <w:hideMark/>
          </w:tcPr>
          <w:p w14:paraId="3F741A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642EBB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FD73B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509,1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F1C01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156,0</w:t>
            </w:r>
          </w:p>
        </w:tc>
      </w:tr>
      <w:tr w:rsidR="00761800" w:rsidRPr="00761800" w14:paraId="1AA183D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D2819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Kазанлък</w:t>
            </w:r>
          </w:p>
        </w:tc>
        <w:tc>
          <w:tcPr>
            <w:tcW w:w="146" w:type="dxa"/>
            <w:tcBorders>
              <w:top w:val="nil"/>
              <w:left w:val="nil"/>
              <w:bottom w:val="single" w:sz="4" w:space="0" w:color="auto"/>
              <w:right w:val="nil"/>
            </w:tcBorders>
            <w:shd w:val="clear" w:color="000000" w:fill="FFFFFF"/>
          </w:tcPr>
          <w:p w14:paraId="0669A91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E87BF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49 642,7</w:t>
            </w:r>
          </w:p>
        </w:tc>
        <w:tc>
          <w:tcPr>
            <w:tcW w:w="1406" w:type="dxa"/>
            <w:tcBorders>
              <w:top w:val="nil"/>
              <w:left w:val="nil"/>
              <w:bottom w:val="single" w:sz="4" w:space="0" w:color="auto"/>
              <w:right w:val="single" w:sz="4" w:space="0" w:color="auto"/>
            </w:tcBorders>
            <w:shd w:val="clear" w:color="000000" w:fill="FFFFFF"/>
            <w:noWrap/>
            <w:vAlign w:val="bottom"/>
            <w:hideMark/>
          </w:tcPr>
          <w:p w14:paraId="58C97E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44 658,5</w:t>
            </w:r>
          </w:p>
        </w:tc>
        <w:tc>
          <w:tcPr>
            <w:tcW w:w="1570" w:type="dxa"/>
            <w:tcBorders>
              <w:top w:val="nil"/>
              <w:left w:val="nil"/>
              <w:bottom w:val="single" w:sz="4" w:space="0" w:color="auto"/>
              <w:right w:val="single" w:sz="4" w:space="0" w:color="auto"/>
            </w:tcBorders>
            <w:shd w:val="clear" w:color="000000" w:fill="FFFFFF"/>
            <w:noWrap/>
            <w:vAlign w:val="bottom"/>
            <w:hideMark/>
          </w:tcPr>
          <w:p w14:paraId="44F533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3 412,9</w:t>
            </w:r>
          </w:p>
        </w:tc>
        <w:tc>
          <w:tcPr>
            <w:tcW w:w="2002" w:type="dxa"/>
            <w:tcBorders>
              <w:top w:val="nil"/>
              <w:left w:val="nil"/>
              <w:bottom w:val="single" w:sz="4" w:space="0" w:color="auto"/>
              <w:right w:val="single" w:sz="4" w:space="0" w:color="auto"/>
            </w:tcBorders>
            <w:shd w:val="clear" w:color="000000" w:fill="FFFFFF"/>
            <w:noWrap/>
            <w:vAlign w:val="bottom"/>
            <w:hideMark/>
          </w:tcPr>
          <w:p w14:paraId="0DD313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102,5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59E1A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1 468,8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D5D98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586,7</w:t>
            </w:r>
          </w:p>
        </w:tc>
      </w:tr>
      <w:tr w:rsidR="00761800" w:rsidRPr="00761800" w14:paraId="6023D73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14C0A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Mъглиж</w:t>
            </w:r>
          </w:p>
        </w:tc>
        <w:tc>
          <w:tcPr>
            <w:tcW w:w="146" w:type="dxa"/>
            <w:tcBorders>
              <w:top w:val="nil"/>
              <w:left w:val="nil"/>
              <w:bottom w:val="single" w:sz="4" w:space="0" w:color="auto"/>
              <w:right w:val="nil"/>
            </w:tcBorders>
            <w:shd w:val="clear" w:color="000000" w:fill="FFFFFF"/>
          </w:tcPr>
          <w:p w14:paraId="1D3E951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4E9D4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8 682,3</w:t>
            </w:r>
          </w:p>
        </w:tc>
        <w:tc>
          <w:tcPr>
            <w:tcW w:w="1406" w:type="dxa"/>
            <w:tcBorders>
              <w:top w:val="nil"/>
              <w:left w:val="nil"/>
              <w:bottom w:val="single" w:sz="4" w:space="0" w:color="auto"/>
              <w:right w:val="single" w:sz="4" w:space="0" w:color="auto"/>
            </w:tcBorders>
            <w:shd w:val="clear" w:color="000000" w:fill="FFFFFF"/>
            <w:noWrap/>
            <w:vAlign w:val="bottom"/>
            <w:hideMark/>
          </w:tcPr>
          <w:p w14:paraId="1986D0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7 348,8</w:t>
            </w:r>
          </w:p>
        </w:tc>
        <w:tc>
          <w:tcPr>
            <w:tcW w:w="1570" w:type="dxa"/>
            <w:tcBorders>
              <w:top w:val="nil"/>
              <w:left w:val="nil"/>
              <w:bottom w:val="single" w:sz="4" w:space="0" w:color="auto"/>
              <w:right w:val="single" w:sz="4" w:space="0" w:color="auto"/>
            </w:tcBorders>
            <w:shd w:val="clear" w:color="000000" w:fill="FFFFFF"/>
            <w:noWrap/>
            <w:vAlign w:val="bottom"/>
            <w:hideMark/>
          </w:tcPr>
          <w:p w14:paraId="63FACC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613,7</w:t>
            </w:r>
          </w:p>
        </w:tc>
        <w:tc>
          <w:tcPr>
            <w:tcW w:w="2002" w:type="dxa"/>
            <w:tcBorders>
              <w:top w:val="nil"/>
              <w:left w:val="nil"/>
              <w:bottom w:val="single" w:sz="4" w:space="0" w:color="auto"/>
              <w:right w:val="single" w:sz="4" w:space="0" w:color="auto"/>
            </w:tcBorders>
            <w:shd w:val="clear" w:color="000000" w:fill="FFFFFF"/>
            <w:noWrap/>
            <w:vAlign w:val="bottom"/>
            <w:hideMark/>
          </w:tcPr>
          <w:p w14:paraId="2773A0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9D331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649,9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610DE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71,9</w:t>
            </w:r>
          </w:p>
        </w:tc>
      </w:tr>
      <w:tr w:rsidR="00761800" w:rsidRPr="00761800" w14:paraId="31B8777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A0342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Николаево</w:t>
            </w:r>
          </w:p>
        </w:tc>
        <w:tc>
          <w:tcPr>
            <w:tcW w:w="146" w:type="dxa"/>
            <w:tcBorders>
              <w:top w:val="nil"/>
              <w:left w:val="nil"/>
              <w:bottom w:val="single" w:sz="4" w:space="0" w:color="auto"/>
              <w:right w:val="nil"/>
            </w:tcBorders>
            <w:shd w:val="clear" w:color="000000" w:fill="FFFFFF"/>
          </w:tcPr>
          <w:p w14:paraId="4A13531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267B8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5 152,5</w:t>
            </w:r>
          </w:p>
        </w:tc>
        <w:tc>
          <w:tcPr>
            <w:tcW w:w="1406" w:type="dxa"/>
            <w:tcBorders>
              <w:top w:val="nil"/>
              <w:left w:val="nil"/>
              <w:bottom w:val="single" w:sz="4" w:space="0" w:color="auto"/>
              <w:right w:val="single" w:sz="4" w:space="0" w:color="auto"/>
            </w:tcBorders>
            <w:shd w:val="clear" w:color="000000" w:fill="FFFFFF"/>
            <w:noWrap/>
            <w:vAlign w:val="bottom"/>
            <w:hideMark/>
          </w:tcPr>
          <w:p w14:paraId="40269E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4 300,1</w:t>
            </w:r>
          </w:p>
        </w:tc>
        <w:tc>
          <w:tcPr>
            <w:tcW w:w="1570" w:type="dxa"/>
            <w:tcBorders>
              <w:top w:val="nil"/>
              <w:left w:val="nil"/>
              <w:bottom w:val="single" w:sz="4" w:space="0" w:color="auto"/>
              <w:right w:val="single" w:sz="4" w:space="0" w:color="auto"/>
            </w:tcBorders>
            <w:shd w:val="clear" w:color="000000" w:fill="FFFFFF"/>
            <w:noWrap/>
            <w:vAlign w:val="bottom"/>
            <w:hideMark/>
          </w:tcPr>
          <w:p w14:paraId="24A7C3A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559,1</w:t>
            </w:r>
          </w:p>
        </w:tc>
        <w:tc>
          <w:tcPr>
            <w:tcW w:w="2002" w:type="dxa"/>
            <w:tcBorders>
              <w:top w:val="nil"/>
              <w:left w:val="nil"/>
              <w:bottom w:val="single" w:sz="4" w:space="0" w:color="auto"/>
              <w:right w:val="single" w:sz="4" w:space="0" w:color="auto"/>
            </w:tcBorders>
            <w:shd w:val="clear" w:color="000000" w:fill="FFFFFF"/>
            <w:noWrap/>
            <w:vAlign w:val="bottom"/>
            <w:hideMark/>
          </w:tcPr>
          <w:p w14:paraId="530A47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C6F2E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269,0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068DB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25,7</w:t>
            </w:r>
          </w:p>
        </w:tc>
      </w:tr>
      <w:tr w:rsidR="00761800" w:rsidRPr="00761800" w14:paraId="5FE327A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CCBE7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Oпан</w:t>
            </w:r>
          </w:p>
        </w:tc>
        <w:tc>
          <w:tcPr>
            <w:tcW w:w="146" w:type="dxa"/>
            <w:tcBorders>
              <w:top w:val="nil"/>
              <w:left w:val="nil"/>
              <w:bottom w:val="single" w:sz="4" w:space="0" w:color="auto"/>
              <w:right w:val="nil"/>
            </w:tcBorders>
            <w:shd w:val="clear" w:color="000000" w:fill="FFFFFF"/>
          </w:tcPr>
          <w:p w14:paraId="056F6B4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E727D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2 367,8</w:t>
            </w:r>
          </w:p>
        </w:tc>
        <w:tc>
          <w:tcPr>
            <w:tcW w:w="1406" w:type="dxa"/>
            <w:tcBorders>
              <w:top w:val="nil"/>
              <w:left w:val="nil"/>
              <w:bottom w:val="single" w:sz="4" w:space="0" w:color="auto"/>
              <w:right w:val="single" w:sz="4" w:space="0" w:color="auto"/>
            </w:tcBorders>
            <w:shd w:val="clear" w:color="000000" w:fill="FFFFFF"/>
            <w:noWrap/>
            <w:vAlign w:val="bottom"/>
            <w:hideMark/>
          </w:tcPr>
          <w:p w14:paraId="293CA6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1 616,7</w:t>
            </w:r>
          </w:p>
        </w:tc>
        <w:tc>
          <w:tcPr>
            <w:tcW w:w="1570" w:type="dxa"/>
            <w:tcBorders>
              <w:top w:val="nil"/>
              <w:left w:val="nil"/>
              <w:bottom w:val="single" w:sz="4" w:space="0" w:color="auto"/>
              <w:right w:val="single" w:sz="4" w:space="0" w:color="auto"/>
            </w:tcBorders>
            <w:shd w:val="clear" w:color="000000" w:fill="FFFFFF"/>
            <w:noWrap/>
            <w:vAlign w:val="bottom"/>
            <w:hideMark/>
          </w:tcPr>
          <w:p w14:paraId="16BAD6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210,3</w:t>
            </w:r>
          </w:p>
        </w:tc>
        <w:tc>
          <w:tcPr>
            <w:tcW w:w="2002" w:type="dxa"/>
            <w:tcBorders>
              <w:top w:val="nil"/>
              <w:left w:val="nil"/>
              <w:bottom w:val="single" w:sz="4" w:space="0" w:color="auto"/>
              <w:right w:val="single" w:sz="4" w:space="0" w:color="auto"/>
            </w:tcBorders>
            <w:shd w:val="clear" w:color="000000" w:fill="FFFFFF"/>
            <w:noWrap/>
            <w:vAlign w:val="bottom"/>
            <w:hideMark/>
          </w:tcPr>
          <w:p w14:paraId="18B0AE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D1C3D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507,8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F8296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28,7</w:t>
            </w:r>
          </w:p>
        </w:tc>
      </w:tr>
      <w:tr w:rsidR="00761800" w:rsidRPr="00761800" w14:paraId="1634348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87428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Павел баня</w:t>
            </w:r>
          </w:p>
        </w:tc>
        <w:tc>
          <w:tcPr>
            <w:tcW w:w="146" w:type="dxa"/>
            <w:tcBorders>
              <w:top w:val="nil"/>
              <w:left w:val="nil"/>
              <w:bottom w:val="single" w:sz="4" w:space="0" w:color="auto"/>
              <w:right w:val="nil"/>
            </w:tcBorders>
            <w:shd w:val="clear" w:color="000000" w:fill="FFFFFF"/>
          </w:tcPr>
          <w:p w14:paraId="0B52D2F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374BA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10 956,2</w:t>
            </w:r>
          </w:p>
        </w:tc>
        <w:tc>
          <w:tcPr>
            <w:tcW w:w="1406" w:type="dxa"/>
            <w:tcBorders>
              <w:top w:val="nil"/>
              <w:left w:val="nil"/>
              <w:bottom w:val="single" w:sz="4" w:space="0" w:color="auto"/>
              <w:right w:val="single" w:sz="4" w:space="0" w:color="auto"/>
            </w:tcBorders>
            <w:shd w:val="clear" w:color="000000" w:fill="FFFFFF"/>
            <w:noWrap/>
            <w:vAlign w:val="bottom"/>
            <w:hideMark/>
          </w:tcPr>
          <w:p w14:paraId="30269F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9 555,6</w:t>
            </w:r>
          </w:p>
        </w:tc>
        <w:tc>
          <w:tcPr>
            <w:tcW w:w="1570" w:type="dxa"/>
            <w:tcBorders>
              <w:top w:val="nil"/>
              <w:left w:val="nil"/>
              <w:bottom w:val="single" w:sz="4" w:space="0" w:color="auto"/>
              <w:right w:val="single" w:sz="4" w:space="0" w:color="auto"/>
            </w:tcBorders>
            <w:shd w:val="clear" w:color="000000" w:fill="FFFFFF"/>
            <w:noWrap/>
            <w:vAlign w:val="bottom"/>
            <w:hideMark/>
          </w:tcPr>
          <w:p w14:paraId="54D3F5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794,7</w:t>
            </w:r>
          </w:p>
        </w:tc>
        <w:tc>
          <w:tcPr>
            <w:tcW w:w="2002" w:type="dxa"/>
            <w:tcBorders>
              <w:top w:val="nil"/>
              <w:left w:val="nil"/>
              <w:bottom w:val="single" w:sz="4" w:space="0" w:color="auto"/>
              <w:right w:val="single" w:sz="4" w:space="0" w:color="auto"/>
            </w:tcBorders>
            <w:shd w:val="clear" w:color="000000" w:fill="FFFFFF"/>
            <w:noWrap/>
            <w:vAlign w:val="bottom"/>
            <w:hideMark/>
          </w:tcPr>
          <w:p w14:paraId="6290BF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606F4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573,8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3EC95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117,9</w:t>
            </w:r>
          </w:p>
        </w:tc>
      </w:tr>
      <w:tr w:rsidR="00761800" w:rsidRPr="00761800" w14:paraId="7C83349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BD0C5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Pаднево</w:t>
            </w:r>
          </w:p>
        </w:tc>
        <w:tc>
          <w:tcPr>
            <w:tcW w:w="146" w:type="dxa"/>
            <w:tcBorders>
              <w:top w:val="nil"/>
              <w:left w:val="nil"/>
              <w:bottom w:val="single" w:sz="4" w:space="0" w:color="auto"/>
              <w:right w:val="nil"/>
            </w:tcBorders>
            <w:shd w:val="clear" w:color="000000" w:fill="FFFFFF"/>
          </w:tcPr>
          <w:p w14:paraId="4336069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AA773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12 094,0</w:t>
            </w:r>
          </w:p>
        </w:tc>
        <w:tc>
          <w:tcPr>
            <w:tcW w:w="1406" w:type="dxa"/>
            <w:tcBorders>
              <w:top w:val="nil"/>
              <w:left w:val="nil"/>
              <w:bottom w:val="single" w:sz="4" w:space="0" w:color="auto"/>
              <w:right w:val="single" w:sz="4" w:space="0" w:color="auto"/>
            </w:tcBorders>
            <w:shd w:val="clear" w:color="000000" w:fill="FFFFFF"/>
            <w:noWrap/>
            <w:vAlign w:val="bottom"/>
            <w:hideMark/>
          </w:tcPr>
          <w:p w14:paraId="551221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10 360,1</w:t>
            </w:r>
          </w:p>
        </w:tc>
        <w:tc>
          <w:tcPr>
            <w:tcW w:w="1570" w:type="dxa"/>
            <w:tcBorders>
              <w:top w:val="nil"/>
              <w:left w:val="nil"/>
              <w:bottom w:val="single" w:sz="4" w:space="0" w:color="auto"/>
              <w:right w:val="single" w:sz="4" w:space="0" w:color="auto"/>
            </w:tcBorders>
            <w:shd w:val="clear" w:color="000000" w:fill="FFFFFF"/>
            <w:noWrap/>
            <w:vAlign w:val="bottom"/>
            <w:hideMark/>
          </w:tcPr>
          <w:p w14:paraId="33A163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634,4</w:t>
            </w:r>
          </w:p>
        </w:tc>
        <w:tc>
          <w:tcPr>
            <w:tcW w:w="2002" w:type="dxa"/>
            <w:tcBorders>
              <w:top w:val="nil"/>
              <w:left w:val="nil"/>
              <w:bottom w:val="single" w:sz="4" w:space="0" w:color="auto"/>
              <w:right w:val="single" w:sz="4" w:space="0" w:color="auto"/>
            </w:tcBorders>
            <w:shd w:val="clear" w:color="000000" w:fill="FFFFFF"/>
            <w:noWrap/>
            <w:vAlign w:val="bottom"/>
            <w:hideMark/>
          </w:tcPr>
          <w:p w14:paraId="517F67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FC2B3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1 017,8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B6D55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204,4</w:t>
            </w:r>
          </w:p>
        </w:tc>
      </w:tr>
      <w:tr w:rsidR="00761800" w:rsidRPr="00761800" w14:paraId="13149D8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0850E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Cтара Загора</w:t>
            </w:r>
          </w:p>
        </w:tc>
        <w:tc>
          <w:tcPr>
            <w:tcW w:w="146" w:type="dxa"/>
            <w:tcBorders>
              <w:top w:val="nil"/>
              <w:left w:val="nil"/>
              <w:bottom w:val="single" w:sz="4" w:space="0" w:color="auto"/>
              <w:right w:val="nil"/>
            </w:tcBorders>
            <w:shd w:val="clear" w:color="000000" w:fill="FFFFFF"/>
          </w:tcPr>
          <w:p w14:paraId="1B824F41"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1273B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102 639,0</w:t>
            </w:r>
          </w:p>
        </w:tc>
        <w:tc>
          <w:tcPr>
            <w:tcW w:w="1406" w:type="dxa"/>
            <w:tcBorders>
              <w:top w:val="nil"/>
              <w:left w:val="nil"/>
              <w:bottom w:val="single" w:sz="4" w:space="0" w:color="auto"/>
              <w:right w:val="single" w:sz="4" w:space="0" w:color="auto"/>
            </w:tcBorders>
            <w:shd w:val="clear" w:color="000000" w:fill="FFFFFF"/>
            <w:noWrap/>
            <w:vAlign w:val="bottom"/>
            <w:hideMark/>
          </w:tcPr>
          <w:p w14:paraId="0929CF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94 568,6</w:t>
            </w:r>
          </w:p>
        </w:tc>
        <w:tc>
          <w:tcPr>
            <w:tcW w:w="1570" w:type="dxa"/>
            <w:tcBorders>
              <w:top w:val="nil"/>
              <w:left w:val="nil"/>
              <w:bottom w:val="single" w:sz="4" w:space="0" w:color="auto"/>
              <w:right w:val="single" w:sz="4" w:space="0" w:color="auto"/>
            </w:tcBorders>
            <w:shd w:val="clear" w:color="000000" w:fill="FFFFFF"/>
            <w:noWrap/>
            <w:vAlign w:val="bottom"/>
            <w:hideMark/>
          </w:tcPr>
          <w:p w14:paraId="240229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4 301,3</w:t>
            </w:r>
          </w:p>
        </w:tc>
        <w:tc>
          <w:tcPr>
            <w:tcW w:w="2002" w:type="dxa"/>
            <w:tcBorders>
              <w:top w:val="nil"/>
              <w:left w:val="nil"/>
              <w:bottom w:val="single" w:sz="4" w:space="0" w:color="auto"/>
              <w:right w:val="single" w:sz="4" w:space="0" w:color="auto"/>
            </w:tcBorders>
            <w:shd w:val="clear" w:color="000000" w:fill="FFFFFF"/>
            <w:noWrap/>
            <w:vAlign w:val="bottom"/>
            <w:hideMark/>
          </w:tcPr>
          <w:p w14:paraId="020177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247,0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D5D71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3 522,1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4DBE6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794,7</w:t>
            </w:r>
          </w:p>
        </w:tc>
      </w:tr>
      <w:tr w:rsidR="00761800" w:rsidRPr="00761800" w14:paraId="2648D98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8EBBE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Чирпан</w:t>
            </w:r>
          </w:p>
        </w:tc>
        <w:tc>
          <w:tcPr>
            <w:tcW w:w="146" w:type="dxa"/>
            <w:tcBorders>
              <w:top w:val="nil"/>
              <w:left w:val="nil"/>
              <w:bottom w:val="single" w:sz="4" w:space="0" w:color="auto"/>
              <w:right w:val="nil"/>
            </w:tcBorders>
            <w:shd w:val="clear" w:color="000000" w:fill="FFFFFF"/>
          </w:tcPr>
          <w:p w14:paraId="26EF5DC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7EE10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15 894,3</w:t>
            </w:r>
          </w:p>
        </w:tc>
        <w:tc>
          <w:tcPr>
            <w:tcW w:w="1406" w:type="dxa"/>
            <w:tcBorders>
              <w:top w:val="nil"/>
              <w:left w:val="nil"/>
              <w:bottom w:val="single" w:sz="4" w:space="0" w:color="auto"/>
              <w:right w:val="single" w:sz="4" w:space="0" w:color="auto"/>
            </w:tcBorders>
            <w:shd w:val="clear" w:color="000000" w:fill="FFFFFF"/>
            <w:noWrap/>
            <w:vAlign w:val="bottom"/>
            <w:hideMark/>
          </w:tcPr>
          <w:p w14:paraId="13089E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13 429,0</w:t>
            </w:r>
          </w:p>
        </w:tc>
        <w:tc>
          <w:tcPr>
            <w:tcW w:w="1570" w:type="dxa"/>
            <w:tcBorders>
              <w:top w:val="nil"/>
              <w:left w:val="nil"/>
              <w:bottom w:val="single" w:sz="4" w:space="0" w:color="auto"/>
              <w:right w:val="single" w:sz="4" w:space="0" w:color="auto"/>
            </w:tcBorders>
            <w:shd w:val="clear" w:color="000000" w:fill="FFFFFF"/>
            <w:noWrap/>
            <w:vAlign w:val="bottom"/>
            <w:hideMark/>
          </w:tcPr>
          <w:p w14:paraId="4CAD27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1 404,1</w:t>
            </w:r>
          </w:p>
        </w:tc>
        <w:tc>
          <w:tcPr>
            <w:tcW w:w="2002" w:type="dxa"/>
            <w:tcBorders>
              <w:top w:val="nil"/>
              <w:left w:val="nil"/>
              <w:bottom w:val="single" w:sz="4" w:space="0" w:color="auto"/>
              <w:right w:val="single" w:sz="4" w:space="0" w:color="auto"/>
            </w:tcBorders>
            <w:shd w:val="clear" w:color="000000" w:fill="FFFFFF"/>
            <w:noWrap/>
            <w:vAlign w:val="bottom"/>
            <w:hideMark/>
          </w:tcPr>
          <w:p w14:paraId="29CC1A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625CE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36575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98,0</w:t>
            </w:r>
          </w:p>
        </w:tc>
      </w:tr>
      <w:tr w:rsidR="00761800" w:rsidRPr="00761800" w14:paraId="74C825F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3CDED67"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1E196EB3"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0B87A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503416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7951B8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4F21BB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C2FC6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FE4BA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375856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D6492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ТЪРГОВИЩЕ</w:t>
            </w:r>
          </w:p>
        </w:tc>
        <w:tc>
          <w:tcPr>
            <w:tcW w:w="146" w:type="dxa"/>
            <w:tcBorders>
              <w:top w:val="nil"/>
              <w:left w:val="nil"/>
              <w:bottom w:val="single" w:sz="4" w:space="0" w:color="auto"/>
              <w:right w:val="nil"/>
            </w:tcBorders>
            <w:shd w:val="clear" w:color="000000" w:fill="FFFFFF"/>
          </w:tcPr>
          <w:p w14:paraId="5657ED57"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638F7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527E9B7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5E2009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0E18DC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AD596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F0665A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B76B42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E8C08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Aнтоново</w:t>
            </w:r>
          </w:p>
        </w:tc>
        <w:tc>
          <w:tcPr>
            <w:tcW w:w="146" w:type="dxa"/>
            <w:tcBorders>
              <w:top w:val="nil"/>
              <w:left w:val="nil"/>
              <w:bottom w:val="single" w:sz="4" w:space="0" w:color="auto"/>
              <w:right w:val="nil"/>
            </w:tcBorders>
            <w:shd w:val="clear" w:color="000000" w:fill="FFFFFF"/>
          </w:tcPr>
          <w:p w14:paraId="3D33C92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6B8AD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5 716,0</w:t>
            </w:r>
          </w:p>
        </w:tc>
        <w:tc>
          <w:tcPr>
            <w:tcW w:w="1406" w:type="dxa"/>
            <w:tcBorders>
              <w:top w:val="nil"/>
              <w:left w:val="nil"/>
              <w:bottom w:val="single" w:sz="4" w:space="0" w:color="auto"/>
              <w:right w:val="single" w:sz="4" w:space="0" w:color="auto"/>
            </w:tcBorders>
            <w:shd w:val="clear" w:color="000000" w:fill="FFFFFF"/>
            <w:noWrap/>
            <w:vAlign w:val="bottom"/>
            <w:hideMark/>
          </w:tcPr>
          <w:p w14:paraId="75EA49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3 355,6</w:t>
            </w:r>
          </w:p>
        </w:tc>
        <w:tc>
          <w:tcPr>
            <w:tcW w:w="1570" w:type="dxa"/>
            <w:tcBorders>
              <w:top w:val="nil"/>
              <w:left w:val="nil"/>
              <w:bottom w:val="single" w:sz="4" w:space="0" w:color="auto"/>
              <w:right w:val="single" w:sz="4" w:space="0" w:color="auto"/>
            </w:tcBorders>
            <w:shd w:val="clear" w:color="000000" w:fill="FFFFFF"/>
            <w:noWrap/>
            <w:vAlign w:val="bottom"/>
            <w:hideMark/>
          </w:tcPr>
          <w:p w14:paraId="381503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708,9</w:t>
            </w:r>
          </w:p>
        </w:tc>
        <w:tc>
          <w:tcPr>
            <w:tcW w:w="2002" w:type="dxa"/>
            <w:tcBorders>
              <w:top w:val="nil"/>
              <w:left w:val="nil"/>
              <w:bottom w:val="single" w:sz="4" w:space="0" w:color="auto"/>
              <w:right w:val="single" w:sz="4" w:space="0" w:color="auto"/>
            </w:tcBorders>
            <w:shd w:val="clear" w:color="000000" w:fill="FFFFFF"/>
            <w:noWrap/>
            <w:vAlign w:val="bottom"/>
            <w:hideMark/>
          </w:tcPr>
          <w:p w14:paraId="192535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192,6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37A5C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1 458,9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8302E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42,5</w:t>
            </w:r>
          </w:p>
        </w:tc>
      </w:tr>
      <w:tr w:rsidR="00761800" w:rsidRPr="00761800" w14:paraId="01F4473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3E95F2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Oмуртаг</w:t>
            </w:r>
          </w:p>
        </w:tc>
        <w:tc>
          <w:tcPr>
            <w:tcW w:w="146" w:type="dxa"/>
            <w:tcBorders>
              <w:top w:val="nil"/>
              <w:left w:val="nil"/>
              <w:bottom w:val="single" w:sz="4" w:space="0" w:color="auto"/>
              <w:right w:val="nil"/>
            </w:tcBorders>
            <w:shd w:val="clear" w:color="000000" w:fill="FFFFFF"/>
          </w:tcPr>
          <w:p w14:paraId="7AF5580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13EE9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11 900,9</w:t>
            </w:r>
          </w:p>
        </w:tc>
        <w:tc>
          <w:tcPr>
            <w:tcW w:w="1406" w:type="dxa"/>
            <w:tcBorders>
              <w:top w:val="nil"/>
              <w:left w:val="nil"/>
              <w:bottom w:val="single" w:sz="4" w:space="0" w:color="auto"/>
              <w:right w:val="single" w:sz="4" w:space="0" w:color="auto"/>
            </w:tcBorders>
            <w:shd w:val="clear" w:color="000000" w:fill="FFFFFF"/>
            <w:noWrap/>
            <w:vAlign w:val="bottom"/>
            <w:hideMark/>
          </w:tcPr>
          <w:p w14:paraId="558134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8 854,6</w:t>
            </w:r>
          </w:p>
        </w:tc>
        <w:tc>
          <w:tcPr>
            <w:tcW w:w="1570" w:type="dxa"/>
            <w:tcBorders>
              <w:top w:val="nil"/>
              <w:left w:val="nil"/>
              <w:bottom w:val="single" w:sz="4" w:space="0" w:color="auto"/>
              <w:right w:val="single" w:sz="4" w:space="0" w:color="auto"/>
            </w:tcBorders>
            <w:shd w:val="clear" w:color="000000" w:fill="FFFFFF"/>
            <w:noWrap/>
            <w:vAlign w:val="bottom"/>
            <w:hideMark/>
          </w:tcPr>
          <w:p w14:paraId="58D867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1 181,2</w:t>
            </w:r>
          </w:p>
        </w:tc>
        <w:tc>
          <w:tcPr>
            <w:tcW w:w="2002" w:type="dxa"/>
            <w:tcBorders>
              <w:top w:val="nil"/>
              <w:left w:val="nil"/>
              <w:bottom w:val="single" w:sz="4" w:space="0" w:color="auto"/>
              <w:right w:val="single" w:sz="4" w:space="0" w:color="auto"/>
            </w:tcBorders>
            <w:shd w:val="clear" w:color="000000" w:fill="FFFFFF"/>
            <w:noWrap/>
            <w:vAlign w:val="bottom"/>
            <w:hideMark/>
          </w:tcPr>
          <w:p w14:paraId="0117C4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195,6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7D238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1 669,5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6DCDC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122,4</w:t>
            </w:r>
          </w:p>
        </w:tc>
      </w:tr>
      <w:tr w:rsidR="00761800" w:rsidRPr="00761800" w14:paraId="6FB54BA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35CFDE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Oпака</w:t>
            </w:r>
          </w:p>
        </w:tc>
        <w:tc>
          <w:tcPr>
            <w:tcW w:w="146" w:type="dxa"/>
            <w:tcBorders>
              <w:top w:val="nil"/>
              <w:left w:val="nil"/>
              <w:bottom w:val="single" w:sz="4" w:space="0" w:color="auto"/>
              <w:right w:val="nil"/>
            </w:tcBorders>
            <w:shd w:val="clear" w:color="000000" w:fill="FFFFFF"/>
          </w:tcPr>
          <w:p w14:paraId="71858536"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A544C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3 979,8</w:t>
            </w:r>
          </w:p>
        </w:tc>
        <w:tc>
          <w:tcPr>
            <w:tcW w:w="1406" w:type="dxa"/>
            <w:tcBorders>
              <w:top w:val="nil"/>
              <w:left w:val="nil"/>
              <w:bottom w:val="single" w:sz="4" w:space="0" w:color="auto"/>
              <w:right w:val="single" w:sz="4" w:space="0" w:color="auto"/>
            </w:tcBorders>
            <w:shd w:val="clear" w:color="000000" w:fill="FFFFFF"/>
            <w:noWrap/>
            <w:vAlign w:val="bottom"/>
            <w:hideMark/>
          </w:tcPr>
          <w:p w14:paraId="7EFD73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3 036,6</w:t>
            </w:r>
          </w:p>
        </w:tc>
        <w:tc>
          <w:tcPr>
            <w:tcW w:w="1570" w:type="dxa"/>
            <w:tcBorders>
              <w:top w:val="nil"/>
              <w:left w:val="nil"/>
              <w:bottom w:val="single" w:sz="4" w:space="0" w:color="auto"/>
              <w:right w:val="single" w:sz="4" w:space="0" w:color="auto"/>
            </w:tcBorders>
            <w:shd w:val="clear" w:color="000000" w:fill="FFFFFF"/>
            <w:noWrap/>
            <w:vAlign w:val="bottom"/>
            <w:hideMark/>
          </w:tcPr>
          <w:p w14:paraId="5C3E86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544,0</w:t>
            </w:r>
          </w:p>
        </w:tc>
        <w:tc>
          <w:tcPr>
            <w:tcW w:w="2002" w:type="dxa"/>
            <w:tcBorders>
              <w:top w:val="nil"/>
              <w:left w:val="nil"/>
              <w:bottom w:val="single" w:sz="4" w:space="0" w:color="auto"/>
              <w:right w:val="single" w:sz="4" w:space="0" w:color="auto"/>
            </w:tcBorders>
            <w:shd w:val="clear" w:color="000000" w:fill="FFFFFF"/>
            <w:noWrap/>
            <w:vAlign w:val="bottom"/>
            <w:hideMark/>
          </w:tcPr>
          <w:p w14:paraId="65B707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9A554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357,5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6AFC2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19,2</w:t>
            </w:r>
          </w:p>
        </w:tc>
      </w:tr>
      <w:tr w:rsidR="00761800" w:rsidRPr="00761800" w14:paraId="39788AB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92571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Попово</w:t>
            </w:r>
          </w:p>
        </w:tc>
        <w:tc>
          <w:tcPr>
            <w:tcW w:w="146" w:type="dxa"/>
            <w:tcBorders>
              <w:top w:val="nil"/>
              <w:left w:val="nil"/>
              <w:bottom w:val="single" w:sz="4" w:space="0" w:color="auto"/>
              <w:right w:val="nil"/>
            </w:tcBorders>
            <w:shd w:val="clear" w:color="000000" w:fill="FFFFFF"/>
          </w:tcPr>
          <w:p w14:paraId="4C77C8F9"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A65CE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19 777,8</w:t>
            </w:r>
          </w:p>
        </w:tc>
        <w:tc>
          <w:tcPr>
            <w:tcW w:w="1406" w:type="dxa"/>
            <w:tcBorders>
              <w:top w:val="nil"/>
              <w:left w:val="nil"/>
              <w:bottom w:val="single" w:sz="4" w:space="0" w:color="auto"/>
              <w:right w:val="single" w:sz="4" w:space="0" w:color="auto"/>
            </w:tcBorders>
            <w:shd w:val="clear" w:color="000000" w:fill="FFFFFF"/>
            <w:noWrap/>
            <w:vAlign w:val="bottom"/>
            <w:hideMark/>
          </w:tcPr>
          <w:p w14:paraId="1EC025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16 591,2</w:t>
            </w:r>
          </w:p>
        </w:tc>
        <w:tc>
          <w:tcPr>
            <w:tcW w:w="1570" w:type="dxa"/>
            <w:tcBorders>
              <w:top w:val="nil"/>
              <w:left w:val="nil"/>
              <w:bottom w:val="single" w:sz="4" w:space="0" w:color="auto"/>
              <w:right w:val="single" w:sz="4" w:space="0" w:color="auto"/>
            </w:tcBorders>
            <w:shd w:val="clear" w:color="000000" w:fill="FFFFFF"/>
            <w:noWrap/>
            <w:vAlign w:val="bottom"/>
            <w:hideMark/>
          </w:tcPr>
          <w:p w14:paraId="4C5C29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1 239,0</w:t>
            </w:r>
          </w:p>
        </w:tc>
        <w:tc>
          <w:tcPr>
            <w:tcW w:w="2002" w:type="dxa"/>
            <w:tcBorders>
              <w:top w:val="nil"/>
              <w:left w:val="nil"/>
              <w:bottom w:val="single" w:sz="4" w:space="0" w:color="auto"/>
              <w:right w:val="single" w:sz="4" w:space="0" w:color="auto"/>
            </w:tcBorders>
            <w:shd w:val="clear" w:color="000000" w:fill="FFFFFF"/>
            <w:noWrap/>
            <w:vAlign w:val="bottom"/>
            <w:hideMark/>
          </w:tcPr>
          <w:p w14:paraId="06AF9D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228,0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A4BB7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1 719,6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5BDB2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190,2</w:t>
            </w:r>
          </w:p>
        </w:tc>
      </w:tr>
      <w:tr w:rsidR="00761800" w:rsidRPr="00761800" w14:paraId="6A5B5E67"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06E7C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Tърговище</w:t>
            </w:r>
          </w:p>
        </w:tc>
        <w:tc>
          <w:tcPr>
            <w:tcW w:w="146" w:type="dxa"/>
            <w:tcBorders>
              <w:top w:val="nil"/>
              <w:left w:val="nil"/>
              <w:bottom w:val="single" w:sz="4" w:space="0" w:color="auto"/>
              <w:right w:val="nil"/>
            </w:tcBorders>
            <w:shd w:val="clear" w:color="000000" w:fill="FFFFFF"/>
          </w:tcPr>
          <w:p w14:paraId="099BC15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75432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42 250,2</w:t>
            </w:r>
          </w:p>
        </w:tc>
        <w:tc>
          <w:tcPr>
            <w:tcW w:w="1406" w:type="dxa"/>
            <w:tcBorders>
              <w:top w:val="nil"/>
              <w:left w:val="nil"/>
              <w:bottom w:val="single" w:sz="4" w:space="0" w:color="auto"/>
              <w:right w:val="single" w:sz="4" w:space="0" w:color="auto"/>
            </w:tcBorders>
            <w:shd w:val="clear" w:color="000000" w:fill="FFFFFF"/>
            <w:noWrap/>
            <w:vAlign w:val="bottom"/>
            <w:hideMark/>
          </w:tcPr>
          <w:p w14:paraId="341E0A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36 791,3</w:t>
            </w:r>
          </w:p>
        </w:tc>
        <w:tc>
          <w:tcPr>
            <w:tcW w:w="1570" w:type="dxa"/>
            <w:tcBorders>
              <w:top w:val="nil"/>
              <w:left w:val="nil"/>
              <w:bottom w:val="single" w:sz="4" w:space="0" w:color="auto"/>
              <w:right w:val="single" w:sz="4" w:space="0" w:color="auto"/>
            </w:tcBorders>
            <w:shd w:val="clear" w:color="000000" w:fill="FFFFFF"/>
            <w:noWrap/>
            <w:vAlign w:val="bottom"/>
            <w:hideMark/>
          </w:tcPr>
          <w:p w14:paraId="7F8E91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2 583,5</w:t>
            </w:r>
          </w:p>
        </w:tc>
        <w:tc>
          <w:tcPr>
            <w:tcW w:w="2002" w:type="dxa"/>
            <w:tcBorders>
              <w:top w:val="nil"/>
              <w:left w:val="nil"/>
              <w:bottom w:val="single" w:sz="4" w:space="0" w:color="auto"/>
              <w:right w:val="single" w:sz="4" w:space="0" w:color="auto"/>
            </w:tcBorders>
            <w:shd w:val="clear" w:color="000000" w:fill="FFFFFF"/>
            <w:noWrap/>
            <w:vAlign w:val="bottom"/>
            <w:hideMark/>
          </w:tcPr>
          <w:p w14:paraId="1B5FC0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300,1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35E01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2 575,3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8601D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574,8</w:t>
            </w:r>
          </w:p>
        </w:tc>
      </w:tr>
      <w:tr w:rsidR="00761800" w:rsidRPr="00761800" w14:paraId="4F5D919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E4172A1"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lastRenderedPageBreak/>
              <w:t> </w:t>
            </w:r>
          </w:p>
        </w:tc>
        <w:tc>
          <w:tcPr>
            <w:tcW w:w="146" w:type="dxa"/>
            <w:tcBorders>
              <w:top w:val="nil"/>
              <w:left w:val="nil"/>
              <w:bottom w:val="single" w:sz="4" w:space="0" w:color="auto"/>
              <w:right w:val="nil"/>
            </w:tcBorders>
            <w:shd w:val="clear" w:color="000000" w:fill="FFFFFF"/>
          </w:tcPr>
          <w:p w14:paraId="3FD762D4"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4F73E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5C3011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3B098D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787A2F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28C4C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B6511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69DD95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3A6B4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ХАСКОВО</w:t>
            </w:r>
          </w:p>
        </w:tc>
        <w:tc>
          <w:tcPr>
            <w:tcW w:w="146" w:type="dxa"/>
            <w:tcBorders>
              <w:top w:val="nil"/>
              <w:left w:val="nil"/>
              <w:bottom w:val="single" w:sz="4" w:space="0" w:color="auto"/>
              <w:right w:val="nil"/>
            </w:tcBorders>
            <w:shd w:val="clear" w:color="000000" w:fill="FFFFFF"/>
          </w:tcPr>
          <w:p w14:paraId="3D5750E3"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9C6E4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3E32A9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38923A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5CE128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4CE5A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B6B18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662E36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0A6F5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Димитровград</w:t>
            </w:r>
          </w:p>
        </w:tc>
        <w:tc>
          <w:tcPr>
            <w:tcW w:w="146" w:type="dxa"/>
            <w:tcBorders>
              <w:top w:val="nil"/>
              <w:left w:val="nil"/>
              <w:bottom w:val="single" w:sz="4" w:space="0" w:color="auto"/>
              <w:right w:val="nil"/>
            </w:tcBorders>
            <w:shd w:val="clear" w:color="000000" w:fill="FFFFFF"/>
          </w:tcPr>
          <w:p w14:paraId="6013105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667C5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28 378,1</w:t>
            </w:r>
          </w:p>
        </w:tc>
        <w:tc>
          <w:tcPr>
            <w:tcW w:w="1406" w:type="dxa"/>
            <w:tcBorders>
              <w:top w:val="nil"/>
              <w:left w:val="nil"/>
              <w:bottom w:val="single" w:sz="4" w:space="0" w:color="auto"/>
              <w:right w:val="single" w:sz="4" w:space="0" w:color="auto"/>
            </w:tcBorders>
            <w:shd w:val="clear" w:color="000000" w:fill="FFFFFF"/>
            <w:noWrap/>
            <w:vAlign w:val="bottom"/>
            <w:hideMark/>
          </w:tcPr>
          <w:p w14:paraId="6611D5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24 614,9</w:t>
            </w:r>
          </w:p>
        </w:tc>
        <w:tc>
          <w:tcPr>
            <w:tcW w:w="1570" w:type="dxa"/>
            <w:tcBorders>
              <w:top w:val="nil"/>
              <w:left w:val="nil"/>
              <w:bottom w:val="single" w:sz="4" w:space="0" w:color="auto"/>
              <w:right w:val="single" w:sz="4" w:space="0" w:color="auto"/>
            </w:tcBorders>
            <w:shd w:val="clear" w:color="000000" w:fill="FFFFFF"/>
            <w:noWrap/>
            <w:vAlign w:val="bottom"/>
            <w:hideMark/>
          </w:tcPr>
          <w:p w14:paraId="5525AF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2 160,8</w:t>
            </w:r>
          </w:p>
        </w:tc>
        <w:tc>
          <w:tcPr>
            <w:tcW w:w="2002" w:type="dxa"/>
            <w:tcBorders>
              <w:top w:val="nil"/>
              <w:left w:val="nil"/>
              <w:bottom w:val="single" w:sz="4" w:space="0" w:color="auto"/>
              <w:right w:val="single" w:sz="4" w:space="0" w:color="auto"/>
            </w:tcBorders>
            <w:shd w:val="clear" w:color="000000" w:fill="FFFFFF"/>
            <w:noWrap/>
            <w:vAlign w:val="bottom"/>
            <w:hideMark/>
          </w:tcPr>
          <w:p w14:paraId="21C7D2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9E518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1 490,3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4EBD5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278,2</w:t>
            </w:r>
          </w:p>
        </w:tc>
      </w:tr>
      <w:tr w:rsidR="00761800" w:rsidRPr="00761800" w14:paraId="0F0A709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AB9FC7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Ивайловград</w:t>
            </w:r>
          </w:p>
        </w:tc>
        <w:tc>
          <w:tcPr>
            <w:tcW w:w="146" w:type="dxa"/>
            <w:tcBorders>
              <w:top w:val="nil"/>
              <w:left w:val="nil"/>
              <w:bottom w:val="single" w:sz="4" w:space="0" w:color="auto"/>
              <w:right w:val="nil"/>
            </w:tcBorders>
            <w:shd w:val="clear" w:color="000000" w:fill="FFFFFF"/>
          </w:tcPr>
          <w:p w14:paraId="3C17679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8ED66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6 657,3</w:t>
            </w:r>
          </w:p>
        </w:tc>
        <w:tc>
          <w:tcPr>
            <w:tcW w:w="1406" w:type="dxa"/>
            <w:tcBorders>
              <w:top w:val="nil"/>
              <w:left w:val="nil"/>
              <w:bottom w:val="single" w:sz="4" w:space="0" w:color="auto"/>
              <w:right w:val="single" w:sz="4" w:space="0" w:color="auto"/>
            </w:tcBorders>
            <w:shd w:val="clear" w:color="000000" w:fill="FFFFFF"/>
            <w:noWrap/>
            <w:vAlign w:val="bottom"/>
            <w:hideMark/>
          </w:tcPr>
          <w:p w14:paraId="767DEB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4 287,1</w:t>
            </w:r>
          </w:p>
        </w:tc>
        <w:tc>
          <w:tcPr>
            <w:tcW w:w="1570" w:type="dxa"/>
            <w:tcBorders>
              <w:top w:val="nil"/>
              <w:left w:val="nil"/>
              <w:bottom w:val="single" w:sz="4" w:space="0" w:color="auto"/>
              <w:right w:val="single" w:sz="4" w:space="0" w:color="auto"/>
            </w:tcBorders>
            <w:shd w:val="clear" w:color="000000" w:fill="FFFFFF"/>
            <w:noWrap/>
            <w:vAlign w:val="bottom"/>
            <w:hideMark/>
          </w:tcPr>
          <w:p w14:paraId="57AF8B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786,1</w:t>
            </w:r>
          </w:p>
        </w:tc>
        <w:tc>
          <w:tcPr>
            <w:tcW w:w="2002" w:type="dxa"/>
            <w:tcBorders>
              <w:top w:val="nil"/>
              <w:left w:val="nil"/>
              <w:bottom w:val="single" w:sz="4" w:space="0" w:color="auto"/>
              <w:right w:val="single" w:sz="4" w:space="0" w:color="auto"/>
            </w:tcBorders>
            <w:shd w:val="clear" w:color="000000" w:fill="FFFFFF"/>
            <w:noWrap/>
            <w:vAlign w:val="bottom"/>
            <w:hideMark/>
          </w:tcPr>
          <w:p w14:paraId="04837F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177,6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3C7DA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1 406,5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5231C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71,8</w:t>
            </w:r>
          </w:p>
        </w:tc>
      </w:tr>
      <w:tr w:rsidR="00761800" w:rsidRPr="00761800" w14:paraId="6AD1F80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E8EFD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Любимец</w:t>
            </w:r>
          </w:p>
        </w:tc>
        <w:tc>
          <w:tcPr>
            <w:tcW w:w="146" w:type="dxa"/>
            <w:tcBorders>
              <w:top w:val="nil"/>
              <w:left w:val="nil"/>
              <w:bottom w:val="single" w:sz="4" w:space="0" w:color="auto"/>
              <w:right w:val="nil"/>
            </w:tcBorders>
            <w:shd w:val="clear" w:color="000000" w:fill="FFFFFF"/>
          </w:tcPr>
          <w:p w14:paraId="6E9BD4A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6B3AA1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7 425,6</w:t>
            </w:r>
          </w:p>
        </w:tc>
        <w:tc>
          <w:tcPr>
            <w:tcW w:w="1406" w:type="dxa"/>
            <w:tcBorders>
              <w:top w:val="nil"/>
              <w:left w:val="nil"/>
              <w:bottom w:val="single" w:sz="4" w:space="0" w:color="auto"/>
              <w:right w:val="single" w:sz="4" w:space="0" w:color="auto"/>
            </w:tcBorders>
            <w:shd w:val="clear" w:color="000000" w:fill="FFFFFF"/>
            <w:noWrap/>
            <w:vAlign w:val="bottom"/>
            <w:hideMark/>
          </w:tcPr>
          <w:p w14:paraId="43461B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6 054,7</w:t>
            </w:r>
          </w:p>
        </w:tc>
        <w:tc>
          <w:tcPr>
            <w:tcW w:w="1570" w:type="dxa"/>
            <w:tcBorders>
              <w:top w:val="nil"/>
              <w:left w:val="nil"/>
              <w:bottom w:val="single" w:sz="4" w:space="0" w:color="auto"/>
              <w:right w:val="single" w:sz="4" w:space="0" w:color="auto"/>
            </w:tcBorders>
            <w:shd w:val="clear" w:color="000000" w:fill="FFFFFF"/>
            <w:noWrap/>
            <w:vAlign w:val="bottom"/>
            <w:hideMark/>
          </w:tcPr>
          <w:p w14:paraId="739359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814,6</w:t>
            </w:r>
          </w:p>
        </w:tc>
        <w:tc>
          <w:tcPr>
            <w:tcW w:w="2002" w:type="dxa"/>
            <w:tcBorders>
              <w:top w:val="nil"/>
              <w:left w:val="nil"/>
              <w:bottom w:val="single" w:sz="4" w:space="0" w:color="auto"/>
              <w:right w:val="single" w:sz="4" w:space="0" w:color="auto"/>
            </w:tcBorders>
            <w:shd w:val="clear" w:color="000000" w:fill="FFFFFF"/>
            <w:noWrap/>
            <w:vAlign w:val="bottom"/>
            <w:hideMark/>
          </w:tcPr>
          <w:p w14:paraId="76E06A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A6140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519,8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FE337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85,5</w:t>
            </w:r>
          </w:p>
        </w:tc>
      </w:tr>
      <w:tr w:rsidR="00761800" w:rsidRPr="00761800" w14:paraId="43934EB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42453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Mаджарово</w:t>
            </w:r>
          </w:p>
        </w:tc>
        <w:tc>
          <w:tcPr>
            <w:tcW w:w="146" w:type="dxa"/>
            <w:tcBorders>
              <w:top w:val="nil"/>
              <w:left w:val="nil"/>
              <w:bottom w:val="single" w:sz="4" w:space="0" w:color="auto"/>
              <w:right w:val="nil"/>
            </w:tcBorders>
            <w:shd w:val="clear" w:color="000000" w:fill="FFFFFF"/>
          </w:tcPr>
          <w:p w14:paraId="50A02E78"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C2397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2 928,4</w:t>
            </w:r>
          </w:p>
        </w:tc>
        <w:tc>
          <w:tcPr>
            <w:tcW w:w="1406" w:type="dxa"/>
            <w:tcBorders>
              <w:top w:val="nil"/>
              <w:left w:val="nil"/>
              <w:bottom w:val="single" w:sz="4" w:space="0" w:color="auto"/>
              <w:right w:val="single" w:sz="4" w:space="0" w:color="auto"/>
            </w:tcBorders>
            <w:shd w:val="clear" w:color="000000" w:fill="FFFFFF"/>
            <w:noWrap/>
            <w:vAlign w:val="bottom"/>
            <w:hideMark/>
          </w:tcPr>
          <w:p w14:paraId="6C6C3E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1 789,5</w:t>
            </w:r>
          </w:p>
        </w:tc>
        <w:tc>
          <w:tcPr>
            <w:tcW w:w="1570" w:type="dxa"/>
            <w:tcBorders>
              <w:top w:val="nil"/>
              <w:left w:val="nil"/>
              <w:bottom w:val="single" w:sz="4" w:space="0" w:color="auto"/>
              <w:right w:val="single" w:sz="4" w:space="0" w:color="auto"/>
            </w:tcBorders>
            <w:shd w:val="clear" w:color="000000" w:fill="FFFFFF"/>
            <w:noWrap/>
            <w:vAlign w:val="bottom"/>
            <w:hideMark/>
          </w:tcPr>
          <w:p w14:paraId="0FADEA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440,4</w:t>
            </w:r>
          </w:p>
        </w:tc>
        <w:tc>
          <w:tcPr>
            <w:tcW w:w="2002" w:type="dxa"/>
            <w:tcBorders>
              <w:top w:val="nil"/>
              <w:left w:val="nil"/>
              <w:bottom w:val="single" w:sz="4" w:space="0" w:color="auto"/>
              <w:right w:val="single" w:sz="4" w:space="0" w:color="auto"/>
            </w:tcBorders>
            <w:shd w:val="clear" w:color="000000" w:fill="FFFFFF"/>
            <w:noWrap/>
            <w:vAlign w:val="bottom"/>
            <w:hideMark/>
          </w:tcPr>
          <w:p w14:paraId="1E17DC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47CA1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638,5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C5F6A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17,5</w:t>
            </w:r>
          </w:p>
        </w:tc>
      </w:tr>
      <w:tr w:rsidR="00761800" w:rsidRPr="00761800" w14:paraId="1E30CF3E"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5409A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Mинерални бани</w:t>
            </w:r>
          </w:p>
        </w:tc>
        <w:tc>
          <w:tcPr>
            <w:tcW w:w="146" w:type="dxa"/>
            <w:tcBorders>
              <w:top w:val="nil"/>
              <w:left w:val="nil"/>
              <w:bottom w:val="single" w:sz="4" w:space="0" w:color="auto"/>
              <w:right w:val="nil"/>
            </w:tcBorders>
            <w:shd w:val="clear" w:color="000000" w:fill="FFFFFF"/>
          </w:tcPr>
          <w:p w14:paraId="1A67914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23E38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4 100,8</w:t>
            </w:r>
          </w:p>
        </w:tc>
        <w:tc>
          <w:tcPr>
            <w:tcW w:w="1406" w:type="dxa"/>
            <w:tcBorders>
              <w:top w:val="nil"/>
              <w:left w:val="nil"/>
              <w:bottom w:val="single" w:sz="4" w:space="0" w:color="auto"/>
              <w:right w:val="single" w:sz="4" w:space="0" w:color="auto"/>
            </w:tcBorders>
            <w:shd w:val="clear" w:color="000000" w:fill="FFFFFF"/>
            <w:noWrap/>
            <w:vAlign w:val="bottom"/>
            <w:hideMark/>
          </w:tcPr>
          <w:p w14:paraId="7816C8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3 111,4</w:t>
            </w:r>
          </w:p>
        </w:tc>
        <w:tc>
          <w:tcPr>
            <w:tcW w:w="1570" w:type="dxa"/>
            <w:tcBorders>
              <w:top w:val="nil"/>
              <w:left w:val="nil"/>
              <w:bottom w:val="single" w:sz="4" w:space="0" w:color="auto"/>
              <w:right w:val="single" w:sz="4" w:space="0" w:color="auto"/>
            </w:tcBorders>
            <w:shd w:val="clear" w:color="000000" w:fill="FFFFFF"/>
            <w:noWrap/>
            <w:vAlign w:val="bottom"/>
            <w:hideMark/>
          </w:tcPr>
          <w:p w14:paraId="1D0A31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365,3</w:t>
            </w:r>
          </w:p>
        </w:tc>
        <w:tc>
          <w:tcPr>
            <w:tcW w:w="2002" w:type="dxa"/>
            <w:tcBorders>
              <w:top w:val="nil"/>
              <w:left w:val="nil"/>
              <w:bottom w:val="single" w:sz="4" w:space="0" w:color="auto"/>
              <w:right w:val="single" w:sz="4" w:space="0" w:color="auto"/>
            </w:tcBorders>
            <w:shd w:val="clear" w:color="000000" w:fill="FFFFFF"/>
            <w:noWrap/>
            <w:vAlign w:val="bottom"/>
            <w:hideMark/>
          </w:tcPr>
          <w:p w14:paraId="2B255C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5347D7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574,2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6203F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22,0</w:t>
            </w:r>
          </w:p>
        </w:tc>
      </w:tr>
      <w:tr w:rsidR="00761800" w:rsidRPr="00761800" w14:paraId="710DB01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518B4A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Cвиленград</w:t>
            </w:r>
          </w:p>
        </w:tc>
        <w:tc>
          <w:tcPr>
            <w:tcW w:w="146" w:type="dxa"/>
            <w:tcBorders>
              <w:top w:val="nil"/>
              <w:left w:val="nil"/>
              <w:bottom w:val="single" w:sz="4" w:space="0" w:color="auto"/>
              <w:right w:val="nil"/>
            </w:tcBorders>
            <w:shd w:val="clear" w:color="000000" w:fill="FFFFFF"/>
          </w:tcPr>
          <w:p w14:paraId="67C0722E"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CE950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16 486,8</w:t>
            </w:r>
          </w:p>
        </w:tc>
        <w:tc>
          <w:tcPr>
            <w:tcW w:w="1406" w:type="dxa"/>
            <w:tcBorders>
              <w:top w:val="nil"/>
              <w:left w:val="nil"/>
              <w:bottom w:val="single" w:sz="4" w:space="0" w:color="auto"/>
              <w:right w:val="single" w:sz="4" w:space="0" w:color="auto"/>
            </w:tcBorders>
            <w:shd w:val="clear" w:color="000000" w:fill="FFFFFF"/>
            <w:noWrap/>
            <w:vAlign w:val="bottom"/>
            <w:hideMark/>
          </w:tcPr>
          <w:p w14:paraId="7DB8F6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14 470,1</w:t>
            </w:r>
          </w:p>
        </w:tc>
        <w:tc>
          <w:tcPr>
            <w:tcW w:w="1570" w:type="dxa"/>
            <w:tcBorders>
              <w:top w:val="nil"/>
              <w:left w:val="nil"/>
              <w:bottom w:val="single" w:sz="4" w:space="0" w:color="auto"/>
              <w:right w:val="single" w:sz="4" w:space="0" w:color="auto"/>
            </w:tcBorders>
            <w:shd w:val="clear" w:color="000000" w:fill="FFFFFF"/>
            <w:noWrap/>
            <w:vAlign w:val="bottom"/>
            <w:hideMark/>
          </w:tcPr>
          <w:p w14:paraId="3BCFB6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893,5</w:t>
            </w:r>
          </w:p>
        </w:tc>
        <w:tc>
          <w:tcPr>
            <w:tcW w:w="2002" w:type="dxa"/>
            <w:tcBorders>
              <w:top w:val="nil"/>
              <w:left w:val="nil"/>
              <w:bottom w:val="single" w:sz="4" w:space="0" w:color="auto"/>
              <w:right w:val="single" w:sz="4" w:space="0" w:color="auto"/>
            </w:tcBorders>
            <w:shd w:val="clear" w:color="000000" w:fill="FFFFFF"/>
            <w:noWrap/>
            <w:vAlign w:val="bottom"/>
            <w:hideMark/>
          </w:tcPr>
          <w:p w14:paraId="2A9E39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31FE6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1 030,3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9D0F9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232,1</w:t>
            </w:r>
          </w:p>
        </w:tc>
      </w:tr>
      <w:tr w:rsidR="00761800" w:rsidRPr="00761800" w14:paraId="0FF89C94"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528DC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Cимеоновград</w:t>
            </w:r>
          </w:p>
        </w:tc>
        <w:tc>
          <w:tcPr>
            <w:tcW w:w="146" w:type="dxa"/>
            <w:tcBorders>
              <w:top w:val="nil"/>
              <w:left w:val="nil"/>
              <w:bottom w:val="single" w:sz="4" w:space="0" w:color="auto"/>
              <w:right w:val="nil"/>
            </w:tcBorders>
            <w:shd w:val="clear" w:color="000000" w:fill="FFFFFF"/>
          </w:tcPr>
          <w:p w14:paraId="7BA340E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0FECD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6 664,8</w:t>
            </w:r>
          </w:p>
        </w:tc>
        <w:tc>
          <w:tcPr>
            <w:tcW w:w="1406" w:type="dxa"/>
            <w:tcBorders>
              <w:top w:val="nil"/>
              <w:left w:val="nil"/>
              <w:bottom w:val="single" w:sz="4" w:space="0" w:color="auto"/>
              <w:right w:val="single" w:sz="4" w:space="0" w:color="auto"/>
            </w:tcBorders>
            <w:shd w:val="clear" w:color="000000" w:fill="FFFFFF"/>
            <w:noWrap/>
            <w:vAlign w:val="bottom"/>
            <w:hideMark/>
          </w:tcPr>
          <w:p w14:paraId="0A1F1F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5 494,8</w:t>
            </w:r>
          </w:p>
        </w:tc>
        <w:tc>
          <w:tcPr>
            <w:tcW w:w="1570" w:type="dxa"/>
            <w:tcBorders>
              <w:top w:val="nil"/>
              <w:left w:val="nil"/>
              <w:bottom w:val="single" w:sz="4" w:space="0" w:color="auto"/>
              <w:right w:val="single" w:sz="4" w:space="0" w:color="auto"/>
            </w:tcBorders>
            <w:shd w:val="clear" w:color="000000" w:fill="FFFFFF"/>
            <w:noWrap/>
            <w:vAlign w:val="bottom"/>
            <w:hideMark/>
          </w:tcPr>
          <w:p w14:paraId="671726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746,0</w:t>
            </w:r>
          </w:p>
        </w:tc>
        <w:tc>
          <w:tcPr>
            <w:tcW w:w="2002" w:type="dxa"/>
            <w:tcBorders>
              <w:top w:val="nil"/>
              <w:left w:val="nil"/>
              <w:bottom w:val="single" w:sz="4" w:space="0" w:color="auto"/>
              <w:right w:val="single" w:sz="4" w:space="0" w:color="auto"/>
            </w:tcBorders>
            <w:shd w:val="clear" w:color="000000" w:fill="FFFFFF"/>
            <w:noWrap/>
            <w:vAlign w:val="bottom"/>
            <w:hideMark/>
          </w:tcPr>
          <w:p w14:paraId="7E3195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F4DA7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405,0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11A10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41,9</w:t>
            </w:r>
          </w:p>
        </w:tc>
      </w:tr>
      <w:tr w:rsidR="00761800" w:rsidRPr="00761800" w14:paraId="18F24BD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F9BA0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Cтамболово</w:t>
            </w:r>
          </w:p>
        </w:tc>
        <w:tc>
          <w:tcPr>
            <w:tcW w:w="146" w:type="dxa"/>
            <w:tcBorders>
              <w:top w:val="nil"/>
              <w:left w:val="nil"/>
              <w:bottom w:val="single" w:sz="4" w:space="0" w:color="auto"/>
              <w:right w:val="nil"/>
            </w:tcBorders>
            <w:shd w:val="clear" w:color="000000" w:fill="FFFFFF"/>
          </w:tcPr>
          <w:p w14:paraId="2071B39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502C4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5 600,1</w:t>
            </w:r>
          </w:p>
        </w:tc>
        <w:tc>
          <w:tcPr>
            <w:tcW w:w="1406" w:type="dxa"/>
            <w:tcBorders>
              <w:top w:val="nil"/>
              <w:left w:val="nil"/>
              <w:bottom w:val="single" w:sz="4" w:space="0" w:color="auto"/>
              <w:right w:val="single" w:sz="4" w:space="0" w:color="auto"/>
            </w:tcBorders>
            <w:shd w:val="clear" w:color="000000" w:fill="FFFFFF"/>
            <w:noWrap/>
            <w:vAlign w:val="bottom"/>
            <w:hideMark/>
          </w:tcPr>
          <w:p w14:paraId="162AE2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3 759,3</w:t>
            </w:r>
          </w:p>
        </w:tc>
        <w:tc>
          <w:tcPr>
            <w:tcW w:w="1570" w:type="dxa"/>
            <w:tcBorders>
              <w:top w:val="nil"/>
              <w:left w:val="nil"/>
              <w:bottom w:val="single" w:sz="4" w:space="0" w:color="auto"/>
              <w:right w:val="single" w:sz="4" w:space="0" w:color="auto"/>
            </w:tcBorders>
            <w:shd w:val="clear" w:color="000000" w:fill="FFFFFF"/>
            <w:noWrap/>
            <w:vAlign w:val="bottom"/>
            <w:hideMark/>
          </w:tcPr>
          <w:p w14:paraId="06414C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727,0</w:t>
            </w:r>
          </w:p>
        </w:tc>
        <w:tc>
          <w:tcPr>
            <w:tcW w:w="2002" w:type="dxa"/>
            <w:tcBorders>
              <w:top w:val="nil"/>
              <w:left w:val="nil"/>
              <w:bottom w:val="single" w:sz="4" w:space="0" w:color="auto"/>
              <w:right w:val="single" w:sz="4" w:space="0" w:color="auto"/>
            </w:tcBorders>
            <w:shd w:val="clear" w:color="000000" w:fill="FFFFFF"/>
            <w:noWrap/>
            <w:vAlign w:val="bottom"/>
            <w:hideMark/>
          </w:tcPr>
          <w:p w14:paraId="121733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F0F5B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1 032,1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B3485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25,0</w:t>
            </w:r>
          </w:p>
        </w:tc>
      </w:tr>
      <w:tr w:rsidR="00761800" w:rsidRPr="00761800" w14:paraId="41F0D696"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254C7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Tополовград</w:t>
            </w:r>
          </w:p>
        </w:tc>
        <w:tc>
          <w:tcPr>
            <w:tcW w:w="146" w:type="dxa"/>
            <w:tcBorders>
              <w:top w:val="nil"/>
              <w:left w:val="nil"/>
              <w:bottom w:val="single" w:sz="4" w:space="0" w:color="auto"/>
              <w:right w:val="nil"/>
            </w:tcBorders>
            <w:shd w:val="clear" w:color="000000" w:fill="FFFFFF"/>
          </w:tcPr>
          <w:p w14:paraId="297878D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DC18D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8 667,4</w:t>
            </w:r>
          </w:p>
        </w:tc>
        <w:tc>
          <w:tcPr>
            <w:tcW w:w="1406" w:type="dxa"/>
            <w:tcBorders>
              <w:top w:val="nil"/>
              <w:left w:val="nil"/>
              <w:bottom w:val="single" w:sz="4" w:space="0" w:color="auto"/>
              <w:right w:val="single" w:sz="4" w:space="0" w:color="auto"/>
            </w:tcBorders>
            <w:shd w:val="clear" w:color="000000" w:fill="FFFFFF"/>
            <w:noWrap/>
            <w:vAlign w:val="bottom"/>
            <w:hideMark/>
          </w:tcPr>
          <w:p w14:paraId="5569D1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6 945,2</w:t>
            </w:r>
          </w:p>
        </w:tc>
        <w:tc>
          <w:tcPr>
            <w:tcW w:w="1570" w:type="dxa"/>
            <w:tcBorders>
              <w:top w:val="nil"/>
              <w:left w:val="nil"/>
              <w:bottom w:val="single" w:sz="4" w:space="0" w:color="auto"/>
              <w:right w:val="single" w:sz="4" w:space="0" w:color="auto"/>
            </w:tcBorders>
            <w:shd w:val="clear" w:color="000000" w:fill="FFFFFF"/>
            <w:noWrap/>
            <w:vAlign w:val="bottom"/>
            <w:hideMark/>
          </w:tcPr>
          <w:p w14:paraId="578F83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896,5</w:t>
            </w:r>
          </w:p>
        </w:tc>
        <w:tc>
          <w:tcPr>
            <w:tcW w:w="2002" w:type="dxa"/>
            <w:tcBorders>
              <w:top w:val="nil"/>
              <w:left w:val="nil"/>
              <w:bottom w:val="single" w:sz="4" w:space="0" w:color="auto"/>
              <w:right w:val="single" w:sz="4" w:space="0" w:color="auto"/>
            </w:tcBorders>
            <w:shd w:val="clear" w:color="000000" w:fill="FFFFFF"/>
            <w:noWrap/>
            <w:vAlign w:val="bottom"/>
            <w:hideMark/>
          </w:tcPr>
          <w:p w14:paraId="37B055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2DDC4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770,9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0C3C8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95,6</w:t>
            </w:r>
          </w:p>
        </w:tc>
      </w:tr>
      <w:tr w:rsidR="00761800" w:rsidRPr="00761800" w14:paraId="2C0039B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F65066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Xарманли</w:t>
            </w:r>
          </w:p>
        </w:tc>
        <w:tc>
          <w:tcPr>
            <w:tcW w:w="146" w:type="dxa"/>
            <w:tcBorders>
              <w:top w:val="nil"/>
              <w:left w:val="nil"/>
              <w:bottom w:val="single" w:sz="4" w:space="0" w:color="auto"/>
              <w:right w:val="nil"/>
            </w:tcBorders>
            <w:shd w:val="clear" w:color="000000" w:fill="FFFFFF"/>
          </w:tcPr>
          <w:p w14:paraId="71B40D1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367EE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15 888,0</w:t>
            </w:r>
          </w:p>
        </w:tc>
        <w:tc>
          <w:tcPr>
            <w:tcW w:w="1406" w:type="dxa"/>
            <w:tcBorders>
              <w:top w:val="nil"/>
              <w:left w:val="nil"/>
              <w:bottom w:val="single" w:sz="4" w:space="0" w:color="auto"/>
              <w:right w:val="single" w:sz="4" w:space="0" w:color="auto"/>
            </w:tcBorders>
            <w:shd w:val="clear" w:color="000000" w:fill="FFFFFF"/>
            <w:noWrap/>
            <w:vAlign w:val="bottom"/>
            <w:hideMark/>
          </w:tcPr>
          <w:p w14:paraId="65222F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13 187,9</w:t>
            </w:r>
          </w:p>
        </w:tc>
        <w:tc>
          <w:tcPr>
            <w:tcW w:w="1570" w:type="dxa"/>
            <w:tcBorders>
              <w:top w:val="nil"/>
              <w:left w:val="nil"/>
              <w:bottom w:val="single" w:sz="4" w:space="0" w:color="auto"/>
              <w:right w:val="single" w:sz="4" w:space="0" w:color="auto"/>
            </w:tcBorders>
            <w:shd w:val="clear" w:color="000000" w:fill="FFFFFF"/>
            <w:noWrap/>
            <w:vAlign w:val="bottom"/>
            <w:hideMark/>
          </w:tcPr>
          <w:p w14:paraId="6B7875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1 399,0</w:t>
            </w:r>
          </w:p>
        </w:tc>
        <w:tc>
          <w:tcPr>
            <w:tcW w:w="2002" w:type="dxa"/>
            <w:tcBorders>
              <w:top w:val="nil"/>
              <w:left w:val="nil"/>
              <w:bottom w:val="single" w:sz="4" w:space="0" w:color="auto"/>
              <w:right w:val="single" w:sz="4" w:space="0" w:color="auto"/>
            </w:tcBorders>
            <w:shd w:val="clear" w:color="000000" w:fill="FFFFFF"/>
            <w:noWrap/>
            <w:vAlign w:val="bottom"/>
            <w:hideMark/>
          </w:tcPr>
          <w:p w14:paraId="07339F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97,7</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2752A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1 203,4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3EB11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225,3</w:t>
            </w:r>
          </w:p>
        </w:tc>
      </w:tr>
      <w:tr w:rsidR="00761800" w:rsidRPr="00761800" w14:paraId="6C9068DA"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FB391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Xасково</w:t>
            </w:r>
          </w:p>
        </w:tc>
        <w:tc>
          <w:tcPr>
            <w:tcW w:w="146" w:type="dxa"/>
            <w:tcBorders>
              <w:top w:val="nil"/>
              <w:left w:val="nil"/>
              <w:bottom w:val="single" w:sz="4" w:space="0" w:color="auto"/>
              <w:right w:val="nil"/>
            </w:tcBorders>
            <w:shd w:val="clear" w:color="000000" w:fill="FFFFFF"/>
          </w:tcPr>
          <w:p w14:paraId="46D267F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0EA45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56 362,3</w:t>
            </w:r>
          </w:p>
        </w:tc>
        <w:tc>
          <w:tcPr>
            <w:tcW w:w="1406" w:type="dxa"/>
            <w:tcBorders>
              <w:top w:val="nil"/>
              <w:left w:val="nil"/>
              <w:bottom w:val="single" w:sz="4" w:space="0" w:color="auto"/>
              <w:right w:val="single" w:sz="4" w:space="0" w:color="auto"/>
            </w:tcBorders>
            <w:shd w:val="clear" w:color="000000" w:fill="FFFFFF"/>
            <w:noWrap/>
            <w:vAlign w:val="bottom"/>
            <w:hideMark/>
          </w:tcPr>
          <w:p w14:paraId="068079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51 434,3</w:t>
            </w:r>
          </w:p>
        </w:tc>
        <w:tc>
          <w:tcPr>
            <w:tcW w:w="1570" w:type="dxa"/>
            <w:tcBorders>
              <w:top w:val="nil"/>
              <w:left w:val="nil"/>
              <w:bottom w:val="single" w:sz="4" w:space="0" w:color="auto"/>
              <w:right w:val="single" w:sz="4" w:space="0" w:color="auto"/>
            </w:tcBorders>
            <w:shd w:val="clear" w:color="000000" w:fill="FFFFFF"/>
            <w:noWrap/>
            <w:vAlign w:val="bottom"/>
            <w:hideMark/>
          </w:tcPr>
          <w:p w14:paraId="09C335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2 679,1</w:t>
            </w:r>
          </w:p>
        </w:tc>
        <w:tc>
          <w:tcPr>
            <w:tcW w:w="2002" w:type="dxa"/>
            <w:tcBorders>
              <w:top w:val="nil"/>
              <w:left w:val="nil"/>
              <w:bottom w:val="single" w:sz="4" w:space="0" w:color="auto"/>
              <w:right w:val="single" w:sz="4" w:space="0" w:color="auto"/>
            </w:tcBorders>
            <w:shd w:val="clear" w:color="000000" w:fill="FFFFFF"/>
            <w:noWrap/>
            <w:vAlign w:val="bottom"/>
            <w:hideMark/>
          </w:tcPr>
          <w:p w14:paraId="20DF49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122A8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2 121,7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99462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469,9</w:t>
            </w:r>
          </w:p>
        </w:tc>
      </w:tr>
      <w:tr w:rsidR="00761800" w:rsidRPr="00761800" w14:paraId="7E39C6E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B13660F"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323F38D3"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E73B5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7801B2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742089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1F4354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5168B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D032F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D9AFEB3"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98F8A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ШУМЕН</w:t>
            </w:r>
          </w:p>
        </w:tc>
        <w:tc>
          <w:tcPr>
            <w:tcW w:w="146" w:type="dxa"/>
            <w:tcBorders>
              <w:top w:val="nil"/>
              <w:left w:val="nil"/>
              <w:bottom w:val="single" w:sz="4" w:space="0" w:color="auto"/>
              <w:right w:val="nil"/>
            </w:tcBorders>
            <w:shd w:val="clear" w:color="000000" w:fill="FFFFFF"/>
          </w:tcPr>
          <w:p w14:paraId="62D30EDA"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5EDBB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1C3862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3A1C32D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66D652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71B18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577BD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0A8F14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E29CE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Велики Преслав</w:t>
            </w:r>
          </w:p>
        </w:tc>
        <w:tc>
          <w:tcPr>
            <w:tcW w:w="146" w:type="dxa"/>
            <w:tcBorders>
              <w:top w:val="nil"/>
              <w:left w:val="nil"/>
              <w:bottom w:val="single" w:sz="4" w:space="0" w:color="auto"/>
              <w:right w:val="nil"/>
            </w:tcBorders>
            <w:shd w:val="clear" w:color="000000" w:fill="FFFFFF"/>
          </w:tcPr>
          <w:p w14:paraId="74D0BFF2"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760A0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8 967,1</w:t>
            </w:r>
          </w:p>
        </w:tc>
        <w:tc>
          <w:tcPr>
            <w:tcW w:w="1406" w:type="dxa"/>
            <w:tcBorders>
              <w:top w:val="nil"/>
              <w:left w:val="nil"/>
              <w:bottom w:val="single" w:sz="4" w:space="0" w:color="auto"/>
              <w:right w:val="single" w:sz="4" w:space="0" w:color="auto"/>
            </w:tcBorders>
            <w:shd w:val="clear" w:color="000000" w:fill="FFFFFF"/>
            <w:noWrap/>
            <w:vAlign w:val="bottom"/>
            <w:hideMark/>
          </w:tcPr>
          <w:p w14:paraId="210C46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7 523,2</w:t>
            </w:r>
          </w:p>
        </w:tc>
        <w:tc>
          <w:tcPr>
            <w:tcW w:w="1570" w:type="dxa"/>
            <w:tcBorders>
              <w:top w:val="nil"/>
              <w:left w:val="nil"/>
              <w:bottom w:val="single" w:sz="4" w:space="0" w:color="auto"/>
              <w:right w:val="single" w:sz="4" w:space="0" w:color="auto"/>
            </w:tcBorders>
            <w:shd w:val="clear" w:color="000000" w:fill="FFFFFF"/>
            <w:noWrap/>
            <w:vAlign w:val="bottom"/>
            <w:hideMark/>
          </w:tcPr>
          <w:p w14:paraId="6EEFDE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778,9</w:t>
            </w:r>
          </w:p>
        </w:tc>
        <w:tc>
          <w:tcPr>
            <w:tcW w:w="2002" w:type="dxa"/>
            <w:tcBorders>
              <w:top w:val="nil"/>
              <w:left w:val="nil"/>
              <w:bottom w:val="single" w:sz="4" w:space="0" w:color="auto"/>
              <w:right w:val="single" w:sz="4" w:space="0" w:color="auto"/>
            </w:tcBorders>
            <w:shd w:val="clear" w:color="000000" w:fill="FFFFFF"/>
            <w:noWrap/>
            <w:vAlign w:val="bottom"/>
            <w:hideMark/>
          </w:tcPr>
          <w:p w14:paraId="032EA8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00124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595,8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6D6FC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40,0</w:t>
            </w:r>
          </w:p>
        </w:tc>
      </w:tr>
      <w:tr w:rsidR="00761800" w:rsidRPr="00761800" w14:paraId="36AE8BB9"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C3E49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Bенец</w:t>
            </w:r>
          </w:p>
        </w:tc>
        <w:tc>
          <w:tcPr>
            <w:tcW w:w="146" w:type="dxa"/>
            <w:tcBorders>
              <w:top w:val="nil"/>
              <w:left w:val="nil"/>
              <w:bottom w:val="single" w:sz="4" w:space="0" w:color="auto"/>
              <w:right w:val="nil"/>
            </w:tcBorders>
            <w:shd w:val="clear" w:color="000000" w:fill="FFFFFF"/>
          </w:tcPr>
          <w:p w14:paraId="1CA313AC"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73676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5 037,9</w:t>
            </w:r>
          </w:p>
        </w:tc>
        <w:tc>
          <w:tcPr>
            <w:tcW w:w="1406" w:type="dxa"/>
            <w:tcBorders>
              <w:top w:val="nil"/>
              <w:left w:val="nil"/>
              <w:bottom w:val="single" w:sz="4" w:space="0" w:color="auto"/>
              <w:right w:val="single" w:sz="4" w:space="0" w:color="auto"/>
            </w:tcBorders>
            <w:shd w:val="clear" w:color="000000" w:fill="FFFFFF"/>
            <w:noWrap/>
            <w:vAlign w:val="bottom"/>
            <w:hideMark/>
          </w:tcPr>
          <w:p w14:paraId="3F600A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3 721,7</w:t>
            </w:r>
          </w:p>
        </w:tc>
        <w:tc>
          <w:tcPr>
            <w:tcW w:w="1570" w:type="dxa"/>
            <w:tcBorders>
              <w:top w:val="nil"/>
              <w:left w:val="nil"/>
              <w:bottom w:val="single" w:sz="4" w:space="0" w:color="auto"/>
              <w:right w:val="single" w:sz="4" w:space="0" w:color="auto"/>
            </w:tcBorders>
            <w:shd w:val="clear" w:color="000000" w:fill="FFFFFF"/>
            <w:noWrap/>
            <w:vAlign w:val="bottom"/>
            <w:hideMark/>
          </w:tcPr>
          <w:p w14:paraId="627D5B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619,6</w:t>
            </w:r>
          </w:p>
        </w:tc>
        <w:tc>
          <w:tcPr>
            <w:tcW w:w="2002" w:type="dxa"/>
            <w:tcBorders>
              <w:top w:val="nil"/>
              <w:left w:val="nil"/>
              <w:bottom w:val="single" w:sz="4" w:space="0" w:color="auto"/>
              <w:right w:val="single" w:sz="4" w:space="0" w:color="auto"/>
            </w:tcBorders>
            <w:shd w:val="clear" w:color="000000" w:fill="FFFFFF"/>
            <w:noWrap/>
            <w:vAlign w:val="bottom"/>
            <w:hideMark/>
          </w:tcPr>
          <w:p w14:paraId="7E1BF9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24A86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623,5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02857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29,2</w:t>
            </w:r>
          </w:p>
        </w:tc>
      </w:tr>
      <w:tr w:rsidR="00761800" w:rsidRPr="00761800" w14:paraId="31DAC68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13308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Bърбица</w:t>
            </w:r>
          </w:p>
        </w:tc>
        <w:tc>
          <w:tcPr>
            <w:tcW w:w="146" w:type="dxa"/>
            <w:tcBorders>
              <w:top w:val="nil"/>
              <w:left w:val="nil"/>
              <w:bottom w:val="single" w:sz="4" w:space="0" w:color="auto"/>
              <w:right w:val="nil"/>
            </w:tcBorders>
            <w:shd w:val="clear" w:color="000000" w:fill="FFFFFF"/>
          </w:tcPr>
          <w:p w14:paraId="7DDDF85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78C76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6 852,5</w:t>
            </w:r>
          </w:p>
        </w:tc>
        <w:tc>
          <w:tcPr>
            <w:tcW w:w="1406" w:type="dxa"/>
            <w:tcBorders>
              <w:top w:val="nil"/>
              <w:left w:val="nil"/>
              <w:bottom w:val="single" w:sz="4" w:space="0" w:color="auto"/>
              <w:right w:val="single" w:sz="4" w:space="0" w:color="auto"/>
            </w:tcBorders>
            <w:shd w:val="clear" w:color="000000" w:fill="FFFFFF"/>
            <w:noWrap/>
            <w:vAlign w:val="bottom"/>
            <w:hideMark/>
          </w:tcPr>
          <w:p w14:paraId="729A7C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5 320,4</w:t>
            </w:r>
          </w:p>
        </w:tc>
        <w:tc>
          <w:tcPr>
            <w:tcW w:w="1570" w:type="dxa"/>
            <w:tcBorders>
              <w:top w:val="nil"/>
              <w:left w:val="nil"/>
              <w:bottom w:val="single" w:sz="4" w:space="0" w:color="auto"/>
              <w:right w:val="single" w:sz="4" w:space="0" w:color="auto"/>
            </w:tcBorders>
            <w:shd w:val="clear" w:color="000000" w:fill="FFFFFF"/>
            <w:noWrap/>
            <w:vAlign w:val="bottom"/>
            <w:hideMark/>
          </w:tcPr>
          <w:p w14:paraId="2BA1BD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795,1</w:t>
            </w:r>
          </w:p>
        </w:tc>
        <w:tc>
          <w:tcPr>
            <w:tcW w:w="2002" w:type="dxa"/>
            <w:tcBorders>
              <w:top w:val="nil"/>
              <w:left w:val="nil"/>
              <w:bottom w:val="single" w:sz="4" w:space="0" w:color="auto"/>
              <w:right w:val="single" w:sz="4" w:space="0" w:color="auto"/>
            </w:tcBorders>
            <w:shd w:val="clear" w:color="000000" w:fill="FFFFFF"/>
            <w:noWrap/>
            <w:vAlign w:val="bottom"/>
            <w:hideMark/>
          </w:tcPr>
          <w:p w14:paraId="76FDF5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7D107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682,6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928EB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75,2</w:t>
            </w:r>
          </w:p>
        </w:tc>
      </w:tr>
      <w:tr w:rsidR="00761800" w:rsidRPr="00761800" w14:paraId="376BC40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0FDE3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Kаолиново</w:t>
            </w:r>
          </w:p>
        </w:tc>
        <w:tc>
          <w:tcPr>
            <w:tcW w:w="146" w:type="dxa"/>
            <w:tcBorders>
              <w:top w:val="nil"/>
              <w:left w:val="nil"/>
              <w:bottom w:val="single" w:sz="4" w:space="0" w:color="auto"/>
              <w:right w:val="nil"/>
            </w:tcBorders>
            <w:shd w:val="clear" w:color="000000" w:fill="FFFFFF"/>
          </w:tcPr>
          <w:p w14:paraId="170BD9DF"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CB1F5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8 422,8</w:t>
            </w:r>
          </w:p>
        </w:tc>
        <w:tc>
          <w:tcPr>
            <w:tcW w:w="1406" w:type="dxa"/>
            <w:tcBorders>
              <w:top w:val="nil"/>
              <w:left w:val="nil"/>
              <w:bottom w:val="single" w:sz="4" w:space="0" w:color="auto"/>
              <w:right w:val="single" w:sz="4" w:space="0" w:color="auto"/>
            </w:tcBorders>
            <w:shd w:val="clear" w:color="000000" w:fill="FFFFFF"/>
            <w:noWrap/>
            <w:vAlign w:val="bottom"/>
            <w:hideMark/>
          </w:tcPr>
          <w:p w14:paraId="122D10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6 669,2</w:t>
            </w:r>
          </w:p>
        </w:tc>
        <w:tc>
          <w:tcPr>
            <w:tcW w:w="1570" w:type="dxa"/>
            <w:tcBorders>
              <w:top w:val="nil"/>
              <w:left w:val="nil"/>
              <w:bottom w:val="single" w:sz="4" w:space="0" w:color="auto"/>
              <w:right w:val="single" w:sz="4" w:space="0" w:color="auto"/>
            </w:tcBorders>
            <w:shd w:val="clear" w:color="000000" w:fill="FFFFFF"/>
            <w:noWrap/>
            <w:vAlign w:val="bottom"/>
            <w:hideMark/>
          </w:tcPr>
          <w:p w14:paraId="65D36B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983,7</w:t>
            </w:r>
          </w:p>
        </w:tc>
        <w:tc>
          <w:tcPr>
            <w:tcW w:w="2002" w:type="dxa"/>
            <w:tcBorders>
              <w:top w:val="nil"/>
              <w:left w:val="nil"/>
              <w:bottom w:val="single" w:sz="4" w:space="0" w:color="auto"/>
              <w:right w:val="single" w:sz="4" w:space="0" w:color="auto"/>
            </w:tcBorders>
            <w:shd w:val="clear" w:color="000000" w:fill="FFFFFF"/>
            <w:noWrap/>
            <w:vAlign w:val="bottom"/>
            <w:hideMark/>
          </w:tcPr>
          <w:p w14:paraId="7AD90B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738C9F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709,5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4DC02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w:t>
            </w:r>
          </w:p>
        </w:tc>
      </w:tr>
      <w:tr w:rsidR="00761800" w:rsidRPr="00761800" w14:paraId="41ADEA98"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C4C47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Kаспичан</w:t>
            </w:r>
          </w:p>
        </w:tc>
        <w:tc>
          <w:tcPr>
            <w:tcW w:w="146" w:type="dxa"/>
            <w:tcBorders>
              <w:top w:val="nil"/>
              <w:left w:val="nil"/>
              <w:bottom w:val="single" w:sz="4" w:space="0" w:color="auto"/>
              <w:right w:val="nil"/>
            </w:tcBorders>
            <w:shd w:val="clear" w:color="000000" w:fill="FFFFFF"/>
          </w:tcPr>
          <w:p w14:paraId="5553E5F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0EA8F8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6 440,4</w:t>
            </w:r>
          </w:p>
        </w:tc>
        <w:tc>
          <w:tcPr>
            <w:tcW w:w="1406" w:type="dxa"/>
            <w:tcBorders>
              <w:top w:val="nil"/>
              <w:left w:val="nil"/>
              <w:bottom w:val="single" w:sz="4" w:space="0" w:color="auto"/>
              <w:right w:val="single" w:sz="4" w:space="0" w:color="auto"/>
            </w:tcBorders>
            <w:shd w:val="clear" w:color="000000" w:fill="FFFFFF"/>
            <w:noWrap/>
            <w:vAlign w:val="bottom"/>
            <w:hideMark/>
          </w:tcPr>
          <w:p w14:paraId="034FA8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5 383,9</w:t>
            </w:r>
          </w:p>
        </w:tc>
        <w:tc>
          <w:tcPr>
            <w:tcW w:w="1570" w:type="dxa"/>
            <w:tcBorders>
              <w:top w:val="nil"/>
              <w:left w:val="nil"/>
              <w:bottom w:val="single" w:sz="4" w:space="0" w:color="auto"/>
              <w:right w:val="single" w:sz="4" w:space="0" w:color="auto"/>
            </w:tcBorders>
            <w:shd w:val="clear" w:color="000000" w:fill="FFFFFF"/>
            <w:noWrap/>
            <w:vAlign w:val="bottom"/>
            <w:hideMark/>
          </w:tcPr>
          <w:p w14:paraId="220A5D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549,1</w:t>
            </w:r>
          </w:p>
        </w:tc>
        <w:tc>
          <w:tcPr>
            <w:tcW w:w="2002" w:type="dxa"/>
            <w:tcBorders>
              <w:top w:val="nil"/>
              <w:left w:val="nil"/>
              <w:bottom w:val="single" w:sz="4" w:space="0" w:color="auto"/>
              <w:right w:val="single" w:sz="4" w:space="0" w:color="auto"/>
            </w:tcBorders>
            <w:shd w:val="clear" w:color="000000" w:fill="FFFFFF"/>
            <w:noWrap/>
            <w:vAlign w:val="bottom"/>
            <w:hideMark/>
          </w:tcPr>
          <w:p w14:paraId="02ACA3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34142F2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461,5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562FD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50,8</w:t>
            </w:r>
          </w:p>
        </w:tc>
      </w:tr>
      <w:tr w:rsidR="00761800" w:rsidRPr="00761800" w14:paraId="75520CA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480DB1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Hикола Kозлево</w:t>
            </w:r>
          </w:p>
        </w:tc>
        <w:tc>
          <w:tcPr>
            <w:tcW w:w="146" w:type="dxa"/>
            <w:tcBorders>
              <w:top w:val="nil"/>
              <w:left w:val="nil"/>
              <w:bottom w:val="single" w:sz="4" w:space="0" w:color="auto"/>
              <w:right w:val="nil"/>
            </w:tcBorders>
            <w:shd w:val="clear" w:color="000000" w:fill="FFFFFF"/>
          </w:tcPr>
          <w:p w14:paraId="505A4F6B"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3A5A7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5 827,1</w:t>
            </w:r>
          </w:p>
        </w:tc>
        <w:tc>
          <w:tcPr>
            <w:tcW w:w="1406" w:type="dxa"/>
            <w:tcBorders>
              <w:top w:val="nil"/>
              <w:left w:val="nil"/>
              <w:bottom w:val="single" w:sz="4" w:space="0" w:color="auto"/>
              <w:right w:val="single" w:sz="4" w:space="0" w:color="auto"/>
            </w:tcBorders>
            <w:shd w:val="clear" w:color="000000" w:fill="FFFFFF"/>
            <w:noWrap/>
            <w:vAlign w:val="bottom"/>
            <w:hideMark/>
          </w:tcPr>
          <w:p w14:paraId="7521F9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4 748,8</w:t>
            </w:r>
          </w:p>
        </w:tc>
        <w:tc>
          <w:tcPr>
            <w:tcW w:w="1570" w:type="dxa"/>
            <w:tcBorders>
              <w:top w:val="nil"/>
              <w:left w:val="nil"/>
              <w:bottom w:val="single" w:sz="4" w:space="0" w:color="auto"/>
              <w:right w:val="single" w:sz="4" w:space="0" w:color="auto"/>
            </w:tcBorders>
            <w:shd w:val="clear" w:color="000000" w:fill="FFFFFF"/>
            <w:noWrap/>
            <w:vAlign w:val="bottom"/>
            <w:hideMark/>
          </w:tcPr>
          <w:p w14:paraId="337226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557,8</w:t>
            </w:r>
          </w:p>
        </w:tc>
        <w:tc>
          <w:tcPr>
            <w:tcW w:w="2002" w:type="dxa"/>
            <w:tcBorders>
              <w:top w:val="nil"/>
              <w:left w:val="nil"/>
              <w:bottom w:val="single" w:sz="4" w:space="0" w:color="auto"/>
              <w:right w:val="single" w:sz="4" w:space="0" w:color="auto"/>
            </w:tcBorders>
            <w:shd w:val="clear" w:color="000000" w:fill="FFFFFF"/>
            <w:noWrap/>
            <w:vAlign w:val="bottom"/>
            <w:hideMark/>
          </w:tcPr>
          <w:p w14:paraId="3D38D9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39,5</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8F041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481,0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41F06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29,5</w:t>
            </w:r>
          </w:p>
        </w:tc>
      </w:tr>
      <w:tr w:rsidR="00761800" w:rsidRPr="00761800" w14:paraId="628D5025"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7BC18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Hови пазар</w:t>
            </w:r>
          </w:p>
        </w:tc>
        <w:tc>
          <w:tcPr>
            <w:tcW w:w="146" w:type="dxa"/>
            <w:tcBorders>
              <w:top w:val="nil"/>
              <w:left w:val="nil"/>
              <w:bottom w:val="single" w:sz="4" w:space="0" w:color="auto"/>
              <w:right w:val="nil"/>
            </w:tcBorders>
            <w:shd w:val="clear" w:color="000000" w:fill="FFFFFF"/>
          </w:tcPr>
          <w:p w14:paraId="3606570D"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C465D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15 373,8</w:t>
            </w:r>
          </w:p>
        </w:tc>
        <w:tc>
          <w:tcPr>
            <w:tcW w:w="1406" w:type="dxa"/>
            <w:tcBorders>
              <w:top w:val="nil"/>
              <w:left w:val="nil"/>
              <w:bottom w:val="single" w:sz="4" w:space="0" w:color="auto"/>
              <w:right w:val="single" w:sz="4" w:space="0" w:color="auto"/>
            </w:tcBorders>
            <w:shd w:val="clear" w:color="000000" w:fill="FFFFFF"/>
            <w:noWrap/>
            <w:vAlign w:val="bottom"/>
            <w:hideMark/>
          </w:tcPr>
          <w:p w14:paraId="227602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13 582,7</w:t>
            </w:r>
          </w:p>
        </w:tc>
        <w:tc>
          <w:tcPr>
            <w:tcW w:w="1570" w:type="dxa"/>
            <w:tcBorders>
              <w:top w:val="nil"/>
              <w:left w:val="nil"/>
              <w:bottom w:val="single" w:sz="4" w:space="0" w:color="auto"/>
              <w:right w:val="single" w:sz="4" w:space="0" w:color="auto"/>
            </w:tcBorders>
            <w:shd w:val="clear" w:color="000000" w:fill="FFFFFF"/>
            <w:noWrap/>
            <w:vAlign w:val="bottom"/>
            <w:hideMark/>
          </w:tcPr>
          <w:p w14:paraId="245281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946,6</w:t>
            </w:r>
          </w:p>
        </w:tc>
        <w:tc>
          <w:tcPr>
            <w:tcW w:w="2002" w:type="dxa"/>
            <w:tcBorders>
              <w:top w:val="nil"/>
              <w:left w:val="nil"/>
              <w:bottom w:val="single" w:sz="4" w:space="0" w:color="auto"/>
              <w:right w:val="single" w:sz="4" w:space="0" w:color="auto"/>
            </w:tcBorders>
            <w:shd w:val="clear" w:color="000000" w:fill="FFFFFF"/>
            <w:noWrap/>
            <w:vAlign w:val="bottom"/>
            <w:hideMark/>
          </w:tcPr>
          <w:p w14:paraId="0C4ED5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86,9</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76689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757,6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3BDC7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103,2</w:t>
            </w:r>
          </w:p>
        </w:tc>
      </w:tr>
      <w:tr w:rsidR="00761800" w:rsidRPr="00761800" w14:paraId="087E61E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24891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Cмядово</w:t>
            </w:r>
          </w:p>
        </w:tc>
        <w:tc>
          <w:tcPr>
            <w:tcW w:w="146" w:type="dxa"/>
            <w:tcBorders>
              <w:top w:val="nil"/>
              <w:left w:val="nil"/>
              <w:bottom w:val="single" w:sz="4" w:space="0" w:color="auto"/>
              <w:right w:val="nil"/>
            </w:tcBorders>
            <w:shd w:val="clear" w:color="000000" w:fill="FFFFFF"/>
          </w:tcPr>
          <w:p w14:paraId="150C6BB0"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88BF8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8 212,5</w:t>
            </w:r>
          </w:p>
        </w:tc>
        <w:tc>
          <w:tcPr>
            <w:tcW w:w="1406" w:type="dxa"/>
            <w:tcBorders>
              <w:top w:val="nil"/>
              <w:left w:val="nil"/>
              <w:bottom w:val="single" w:sz="4" w:space="0" w:color="auto"/>
              <w:right w:val="single" w:sz="4" w:space="0" w:color="auto"/>
            </w:tcBorders>
            <w:shd w:val="clear" w:color="000000" w:fill="FFFFFF"/>
            <w:noWrap/>
            <w:vAlign w:val="bottom"/>
            <w:hideMark/>
          </w:tcPr>
          <w:p w14:paraId="4CD6D3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7 159,2</w:t>
            </w:r>
          </w:p>
        </w:tc>
        <w:tc>
          <w:tcPr>
            <w:tcW w:w="1570" w:type="dxa"/>
            <w:tcBorders>
              <w:top w:val="nil"/>
              <w:left w:val="nil"/>
              <w:bottom w:val="single" w:sz="4" w:space="0" w:color="auto"/>
              <w:right w:val="single" w:sz="4" w:space="0" w:color="auto"/>
            </w:tcBorders>
            <w:shd w:val="clear" w:color="000000" w:fill="FFFFFF"/>
            <w:noWrap/>
            <w:vAlign w:val="bottom"/>
            <w:hideMark/>
          </w:tcPr>
          <w:p w14:paraId="686BB6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585,5</w:t>
            </w:r>
          </w:p>
        </w:tc>
        <w:tc>
          <w:tcPr>
            <w:tcW w:w="2002" w:type="dxa"/>
            <w:tcBorders>
              <w:top w:val="nil"/>
              <w:left w:val="nil"/>
              <w:bottom w:val="single" w:sz="4" w:space="0" w:color="auto"/>
              <w:right w:val="single" w:sz="4" w:space="0" w:color="auto"/>
            </w:tcBorders>
            <w:shd w:val="clear" w:color="000000" w:fill="FFFFFF"/>
            <w:noWrap/>
            <w:vAlign w:val="bottom"/>
            <w:hideMark/>
          </w:tcPr>
          <w:p w14:paraId="074CB9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29,2</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56636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438,6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D57B3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40,0</w:t>
            </w:r>
          </w:p>
        </w:tc>
      </w:tr>
      <w:tr w:rsidR="00761800" w:rsidRPr="00761800" w14:paraId="5F38D14B"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37DDD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Xитрино</w:t>
            </w:r>
          </w:p>
        </w:tc>
        <w:tc>
          <w:tcPr>
            <w:tcW w:w="146" w:type="dxa"/>
            <w:tcBorders>
              <w:top w:val="nil"/>
              <w:left w:val="nil"/>
              <w:bottom w:val="single" w:sz="4" w:space="0" w:color="auto"/>
              <w:right w:val="nil"/>
            </w:tcBorders>
            <w:shd w:val="clear" w:color="000000" w:fill="FFFFFF"/>
          </w:tcPr>
          <w:p w14:paraId="3EA6DBB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24753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4 672,3</w:t>
            </w:r>
          </w:p>
        </w:tc>
        <w:tc>
          <w:tcPr>
            <w:tcW w:w="1406" w:type="dxa"/>
            <w:tcBorders>
              <w:top w:val="nil"/>
              <w:left w:val="nil"/>
              <w:bottom w:val="single" w:sz="4" w:space="0" w:color="auto"/>
              <w:right w:val="single" w:sz="4" w:space="0" w:color="auto"/>
            </w:tcBorders>
            <w:shd w:val="clear" w:color="000000" w:fill="FFFFFF"/>
            <w:noWrap/>
            <w:vAlign w:val="bottom"/>
            <w:hideMark/>
          </w:tcPr>
          <w:p w14:paraId="25571C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2 996,0</w:t>
            </w:r>
          </w:p>
        </w:tc>
        <w:tc>
          <w:tcPr>
            <w:tcW w:w="1570" w:type="dxa"/>
            <w:tcBorders>
              <w:top w:val="nil"/>
              <w:left w:val="nil"/>
              <w:bottom w:val="single" w:sz="4" w:space="0" w:color="auto"/>
              <w:right w:val="single" w:sz="4" w:space="0" w:color="auto"/>
            </w:tcBorders>
            <w:shd w:val="clear" w:color="000000" w:fill="FFFFFF"/>
            <w:noWrap/>
            <w:vAlign w:val="bottom"/>
            <w:hideMark/>
          </w:tcPr>
          <w:p w14:paraId="19F555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648,3</w:t>
            </w:r>
          </w:p>
        </w:tc>
        <w:tc>
          <w:tcPr>
            <w:tcW w:w="2002" w:type="dxa"/>
            <w:tcBorders>
              <w:top w:val="nil"/>
              <w:left w:val="nil"/>
              <w:bottom w:val="single" w:sz="4" w:space="0" w:color="auto"/>
              <w:right w:val="single" w:sz="4" w:space="0" w:color="auto"/>
            </w:tcBorders>
            <w:shd w:val="clear" w:color="000000" w:fill="FFFFFF"/>
            <w:noWrap/>
            <w:vAlign w:val="bottom"/>
            <w:hideMark/>
          </w:tcPr>
          <w:p w14:paraId="73EB36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109,1</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219AAA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918,9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5977A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17,3</w:t>
            </w:r>
          </w:p>
        </w:tc>
      </w:tr>
      <w:tr w:rsidR="00761800" w:rsidRPr="00761800" w14:paraId="47BABCC2"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21C21C5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Шумен</w:t>
            </w:r>
          </w:p>
        </w:tc>
        <w:tc>
          <w:tcPr>
            <w:tcW w:w="146" w:type="dxa"/>
            <w:tcBorders>
              <w:top w:val="nil"/>
              <w:left w:val="nil"/>
              <w:bottom w:val="single" w:sz="4" w:space="0" w:color="auto"/>
              <w:right w:val="nil"/>
            </w:tcBorders>
            <w:shd w:val="clear" w:color="000000" w:fill="FFFFFF"/>
          </w:tcPr>
          <w:p w14:paraId="2EC6E7C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FB604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64 116,2</w:t>
            </w:r>
          </w:p>
        </w:tc>
        <w:tc>
          <w:tcPr>
            <w:tcW w:w="1406" w:type="dxa"/>
            <w:tcBorders>
              <w:top w:val="nil"/>
              <w:left w:val="nil"/>
              <w:bottom w:val="single" w:sz="4" w:space="0" w:color="auto"/>
              <w:right w:val="single" w:sz="4" w:space="0" w:color="auto"/>
            </w:tcBorders>
            <w:shd w:val="clear" w:color="000000" w:fill="FFFFFF"/>
            <w:noWrap/>
            <w:vAlign w:val="bottom"/>
            <w:hideMark/>
          </w:tcPr>
          <w:p w14:paraId="24E001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59 425,8</w:t>
            </w:r>
          </w:p>
        </w:tc>
        <w:tc>
          <w:tcPr>
            <w:tcW w:w="1570" w:type="dxa"/>
            <w:tcBorders>
              <w:top w:val="nil"/>
              <w:left w:val="nil"/>
              <w:bottom w:val="single" w:sz="4" w:space="0" w:color="auto"/>
              <w:right w:val="single" w:sz="4" w:space="0" w:color="auto"/>
            </w:tcBorders>
            <w:shd w:val="clear" w:color="000000" w:fill="FFFFFF"/>
            <w:noWrap/>
            <w:vAlign w:val="bottom"/>
            <w:hideMark/>
          </w:tcPr>
          <w:p w14:paraId="40AF12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2 611,5</w:t>
            </w:r>
          </w:p>
        </w:tc>
        <w:tc>
          <w:tcPr>
            <w:tcW w:w="2002" w:type="dxa"/>
            <w:tcBorders>
              <w:top w:val="nil"/>
              <w:left w:val="nil"/>
              <w:bottom w:val="single" w:sz="4" w:space="0" w:color="auto"/>
              <w:right w:val="single" w:sz="4" w:space="0" w:color="auto"/>
            </w:tcBorders>
            <w:shd w:val="clear" w:color="000000" w:fill="FFFFFF"/>
            <w:noWrap/>
            <w:vAlign w:val="bottom"/>
            <w:hideMark/>
          </w:tcPr>
          <w:p w14:paraId="175A93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175,6</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8C880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1 903,3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EF428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714,4</w:t>
            </w:r>
          </w:p>
        </w:tc>
      </w:tr>
      <w:tr w:rsidR="00761800" w:rsidRPr="00761800" w14:paraId="07255EAF"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1E82D73" w14:textId="77777777" w:rsidR="00761800" w:rsidRPr="00761800" w:rsidRDefault="00761800" w:rsidP="00761800">
            <w:pPr>
              <w:rPr>
                <w:rFonts w:ascii="Times New Roman" w:hAnsi="Times New Roman"/>
                <w:sz w:val="22"/>
                <w:szCs w:val="22"/>
                <w:u w:val="single"/>
                <w:lang w:eastAsia="bg-BG"/>
              </w:rPr>
            </w:pPr>
          </w:p>
        </w:tc>
        <w:tc>
          <w:tcPr>
            <w:tcW w:w="146" w:type="dxa"/>
            <w:tcBorders>
              <w:top w:val="nil"/>
              <w:left w:val="nil"/>
              <w:bottom w:val="single" w:sz="4" w:space="0" w:color="auto"/>
              <w:right w:val="nil"/>
            </w:tcBorders>
            <w:shd w:val="clear" w:color="000000" w:fill="FFFFFF"/>
          </w:tcPr>
          <w:p w14:paraId="23247FDA"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4A4997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043F2F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0718E3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60D5AE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09681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8FCD9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330DF40"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3FAE26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ЯМБОЛ</w:t>
            </w:r>
          </w:p>
        </w:tc>
        <w:tc>
          <w:tcPr>
            <w:tcW w:w="146" w:type="dxa"/>
            <w:tcBorders>
              <w:top w:val="nil"/>
              <w:left w:val="nil"/>
              <w:bottom w:val="single" w:sz="4" w:space="0" w:color="auto"/>
              <w:right w:val="nil"/>
            </w:tcBorders>
            <w:shd w:val="clear" w:color="000000" w:fill="FFFFFF"/>
          </w:tcPr>
          <w:p w14:paraId="17131952"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52BF19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single" w:sz="4" w:space="0" w:color="auto"/>
              <w:right w:val="single" w:sz="4" w:space="0" w:color="auto"/>
            </w:tcBorders>
            <w:shd w:val="clear" w:color="000000" w:fill="FFFFFF"/>
            <w:noWrap/>
            <w:vAlign w:val="bottom"/>
            <w:hideMark/>
          </w:tcPr>
          <w:p w14:paraId="0837E0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single" w:sz="4" w:space="0" w:color="auto"/>
              <w:right w:val="single" w:sz="4" w:space="0" w:color="auto"/>
            </w:tcBorders>
            <w:shd w:val="clear" w:color="000000" w:fill="FFFFFF"/>
            <w:noWrap/>
            <w:vAlign w:val="bottom"/>
            <w:hideMark/>
          </w:tcPr>
          <w:p w14:paraId="62A690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single" w:sz="4" w:space="0" w:color="auto"/>
              <w:right w:val="single" w:sz="4" w:space="0" w:color="auto"/>
            </w:tcBorders>
            <w:shd w:val="clear" w:color="000000" w:fill="FFFFFF"/>
            <w:noWrap/>
            <w:vAlign w:val="bottom"/>
            <w:hideMark/>
          </w:tcPr>
          <w:p w14:paraId="2AF2D9C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199D1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5081C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97FF8B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64F17A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Болярово          </w:t>
            </w:r>
          </w:p>
        </w:tc>
        <w:tc>
          <w:tcPr>
            <w:tcW w:w="146" w:type="dxa"/>
            <w:tcBorders>
              <w:top w:val="nil"/>
              <w:left w:val="nil"/>
              <w:bottom w:val="single" w:sz="4" w:space="0" w:color="auto"/>
              <w:right w:val="nil"/>
            </w:tcBorders>
            <w:shd w:val="clear" w:color="000000" w:fill="FFFFFF"/>
          </w:tcPr>
          <w:p w14:paraId="1F021C64"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2F07E8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6 885,0</w:t>
            </w:r>
          </w:p>
        </w:tc>
        <w:tc>
          <w:tcPr>
            <w:tcW w:w="1406" w:type="dxa"/>
            <w:tcBorders>
              <w:top w:val="nil"/>
              <w:left w:val="nil"/>
              <w:bottom w:val="single" w:sz="4" w:space="0" w:color="auto"/>
              <w:right w:val="single" w:sz="4" w:space="0" w:color="auto"/>
            </w:tcBorders>
            <w:shd w:val="clear" w:color="000000" w:fill="FFFFFF"/>
            <w:noWrap/>
            <w:vAlign w:val="bottom"/>
            <w:hideMark/>
          </w:tcPr>
          <w:p w14:paraId="5D5FAA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5 429,3</w:t>
            </w:r>
          </w:p>
        </w:tc>
        <w:tc>
          <w:tcPr>
            <w:tcW w:w="1570" w:type="dxa"/>
            <w:tcBorders>
              <w:top w:val="nil"/>
              <w:left w:val="nil"/>
              <w:bottom w:val="single" w:sz="4" w:space="0" w:color="auto"/>
              <w:right w:val="single" w:sz="4" w:space="0" w:color="auto"/>
            </w:tcBorders>
            <w:shd w:val="clear" w:color="000000" w:fill="FFFFFF"/>
            <w:noWrap/>
            <w:vAlign w:val="bottom"/>
            <w:hideMark/>
          </w:tcPr>
          <w:p w14:paraId="3A150D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553,7</w:t>
            </w:r>
          </w:p>
        </w:tc>
        <w:tc>
          <w:tcPr>
            <w:tcW w:w="2002" w:type="dxa"/>
            <w:tcBorders>
              <w:top w:val="nil"/>
              <w:left w:val="nil"/>
              <w:bottom w:val="single" w:sz="4" w:space="0" w:color="auto"/>
              <w:right w:val="single" w:sz="4" w:space="0" w:color="auto"/>
            </w:tcBorders>
            <w:shd w:val="clear" w:color="000000" w:fill="FFFFFF"/>
            <w:noWrap/>
            <w:vAlign w:val="bottom"/>
            <w:hideMark/>
          </w:tcPr>
          <w:p w14:paraId="54BAD7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1EF89C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838,2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29497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54,0</w:t>
            </w:r>
          </w:p>
        </w:tc>
      </w:tr>
      <w:tr w:rsidR="00761800" w:rsidRPr="00761800" w14:paraId="09540BD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1D748E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Eлхово</w:t>
            </w:r>
          </w:p>
        </w:tc>
        <w:tc>
          <w:tcPr>
            <w:tcW w:w="146" w:type="dxa"/>
            <w:tcBorders>
              <w:top w:val="nil"/>
              <w:left w:val="nil"/>
              <w:bottom w:val="single" w:sz="4" w:space="0" w:color="auto"/>
              <w:right w:val="nil"/>
            </w:tcBorders>
            <w:shd w:val="clear" w:color="000000" w:fill="FFFFFF"/>
          </w:tcPr>
          <w:p w14:paraId="1B9307D3"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29FF6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11 062,2</w:t>
            </w:r>
          </w:p>
        </w:tc>
        <w:tc>
          <w:tcPr>
            <w:tcW w:w="1406" w:type="dxa"/>
            <w:tcBorders>
              <w:top w:val="nil"/>
              <w:left w:val="nil"/>
              <w:bottom w:val="single" w:sz="4" w:space="0" w:color="auto"/>
              <w:right w:val="single" w:sz="4" w:space="0" w:color="auto"/>
            </w:tcBorders>
            <w:shd w:val="clear" w:color="000000" w:fill="FFFFFF"/>
            <w:noWrap/>
            <w:vAlign w:val="bottom"/>
            <w:hideMark/>
          </w:tcPr>
          <w:p w14:paraId="7DB601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8 932,8</w:t>
            </w:r>
          </w:p>
        </w:tc>
        <w:tc>
          <w:tcPr>
            <w:tcW w:w="1570" w:type="dxa"/>
            <w:tcBorders>
              <w:top w:val="nil"/>
              <w:left w:val="nil"/>
              <w:bottom w:val="single" w:sz="4" w:space="0" w:color="auto"/>
              <w:right w:val="single" w:sz="4" w:space="0" w:color="auto"/>
            </w:tcBorders>
            <w:shd w:val="clear" w:color="000000" w:fill="FFFFFF"/>
            <w:noWrap/>
            <w:vAlign w:val="bottom"/>
            <w:hideMark/>
          </w:tcPr>
          <w:p w14:paraId="4A5E1A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1 106,1</w:t>
            </w:r>
          </w:p>
        </w:tc>
        <w:tc>
          <w:tcPr>
            <w:tcW w:w="2002" w:type="dxa"/>
            <w:tcBorders>
              <w:top w:val="nil"/>
              <w:left w:val="nil"/>
              <w:bottom w:val="single" w:sz="4" w:space="0" w:color="auto"/>
              <w:right w:val="single" w:sz="4" w:space="0" w:color="auto"/>
            </w:tcBorders>
            <w:shd w:val="clear" w:color="000000" w:fill="FFFFFF"/>
            <w:noWrap/>
            <w:vAlign w:val="bottom"/>
            <w:hideMark/>
          </w:tcPr>
          <w:p w14:paraId="172129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73,3</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6E333C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950,0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E9230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62,0</w:t>
            </w:r>
          </w:p>
        </w:tc>
      </w:tr>
      <w:tr w:rsidR="00761800" w:rsidRPr="00761800" w14:paraId="090E7501"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7857C3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Cтралджа</w:t>
            </w:r>
          </w:p>
        </w:tc>
        <w:tc>
          <w:tcPr>
            <w:tcW w:w="146" w:type="dxa"/>
            <w:tcBorders>
              <w:top w:val="nil"/>
              <w:left w:val="nil"/>
              <w:bottom w:val="single" w:sz="4" w:space="0" w:color="auto"/>
              <w:right w:val="nil"/>
            </w:tcBorders>
            <w:shd w:val="clear" w:color="000000" w:fill="FFFFFF"/>
          </w:tcPr>
          <w:p w14:paraId="59F3D16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79B536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9 791,7</w:t>
            </w:r>
          </w:p>
        </w:tc>
        <w:tc>
          <w:tcPr>
            <w:tcW w:w="1406" w:type="dxa"/>
            <w:tcBorders>
              <w:top w:val="nil"/>
              <w:left w:val="nil"/>
              <w:bottom w:val="single" w:sz="4" w:space="0" w:color="auto"/>
              <w:right w:val="single" w:sz="4" w:space="0" w:color="auto"/>
            </w:tcBorders>
            <w:shd w:val="clear" w:color="000000" w:fill="FFFFFF"/>
            <w:noWrap/>
            <w:vAlign w:val="bottom"/>
            <w:hideMark/>
          </w:tcPr>
          <w:p w14:paraId="37F513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7 757,7</w:t>
            </w:r>
          </w:p>
        </w:tc>
        <w:tc>
          <w:tcPr>
            <w:tcW w:w="1570" w:type="dxa"/>
            <w:tcBorders>
              <w:top w:val="nil"/>
              <w:left w:val="nil"/>
              <w:bottom w:val="single" w:sz="4" w:space="0" w:color="auto"/>
              <w:right w:val="single" w:sz="4" w:space="0" w:color="auto"/>
            </w:tcBorders>
            <w:shd w:val="clear" w:color="000000" w:fill="FFFFFF"/>
            <w:noWrap/>
            <w:vAlign w:val="bottom"/>
            <w:hideMark/>
          </w:tcPr>
          <w:p w14:paraId="4FF5B4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973,4</w:t>
            </w:r>
          </w:p>
        </w:tc>
        <w:tc>
          <w:tcPr>
            <w:tcW w:w="2002" w:type="dxa"/>
            <w:tcBorders>
              <w:top w:val="nil"/>
              <w:left w:val="nil"/>
              <w:bottom w:val="single" w:sz="4" w:space="0" w:color="auto"/>
              <w:right w:val="single" w:sz="4" w:space="0" w:color="auto"/>
            </w:tcBorders>
            <w:shd w:val="clear" w:color="000000" w:fill="FFFFFF"/>
            <w:noWrap/>
            <w:vAlign w:val="bottom"/>
            <w:hideMark/>
          </w:tcPr>
          <w:p w14:paraId="20197B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73,8</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C9BD7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986,8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1A02D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114,9</w:t>
            </w:r>
          </w:p>
        </w:tc>
      </w:tr>
      <w:tr w:rsidR="00761800" w:rsidRPr="00761800" w14:paraId="088C4FC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AAB58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„Tунджа”</w:t>
            </w:r>
          </w:p>
        </w:tc>
        <w:tc>
          <w:tcPr>
            <w:tcW w:w="146" w:type="dxa"/>
            <w:tcBorders>
              <w:top w:val="nil"/>
              <w:left w:val="nil"/>
              <w:bottom w:val="single" w:sz="4" w:space="0" w:color="auto"/>
              <w:right w:val="nil"/>
            </w:tcBorders>
            <w:shd w:val="clear" w:color="000000" w:fill="FFFFFF"/>
          </w:tcPr>
          <w:p w14:paraId="6A755F8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33DE9B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14 553,2</w:t>
            </w:r>
          </w:p>
        </w:tc>
        <w:tc>
          <w:tcPr>
            <w:tcW w:w="1406" w:type="dxa"/>
            <w:tcBorders>
              <w:top w:val="nil"/>
              <w:left w:val="nil"/>
              <w:bottom w:val="single" w:sz="4" w:space="0" w:color="auto"/>
              <w:right w:val="single" w:sz="4" w:space="0" w:color="auto"/>
            </w:tcBorders>
            <w:shd w:val="clear" w:color="000000" w:fill="FFFFFF"/>
            <w:noWrap/>
            <w:vAlign w:val="bottom"/>
            <w:hideMark/>
          </w:tcPr>
          <w:p w14:paraId="7E0DE3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11 182,4</w:t>
            </w:r>
          </w:p>
        </w:tc>
        <w:tc>
          <w:tcPr>
            <w:tcW w:w="1570" w:type="dxa"/>
            <w:tcBorders>
              <w:top w:val="nil"/>
              <w:left w:val="nil"/>
              <w:bottom w:val="single" w:sz="4" w:space="0" w:color="auto"/>
              <w:right w:val="single" w:sz="4" w:space="0" w:color="auto"/>
            </w:tcBorders>
            <w:shd w:val="clear" w:color="000000" w:fill="FFFFFF"/>
            <w:noWrap/>
            <w:vAlign w:val="bottom"/>
            <w:hideMark/>
          </w:tcPr>
          <w:p w14:paraId="75ED93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1 398,9</w:t>
            </w:r>
          </w:p>
        </w:tc>
        <w:tc>
          <w:tcPr>
            <w:tcW w:w="2002" w:type="dxa"/>
            <w:tcBorders>
              <w:top w:val="nil"/>
              <w:left w:val="nil"/>
              <w:bottom w:val="single" w:sz="4" w:space="0" w:color="auto"/>
              <w:right w:val="single" w:sz="4" w:space="0" w:color="auto"/>
            </w:tcBorders>
            <w:shd w:val="clear" w:color="000000" w:fill="FFFFFF"/>
            <w:noWrap/>
            <w:vAlign w:val="bottom"/>
            <w:hideMark/>
          </w:tcPr>
          <w:p w14:paraId="36415D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134,0</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04BC92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1 837,9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15016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129,9</w:t>
            </w:r>
          </w:p>
        </w:tc>
      </w:tr>
      <w:tr w:rsidR="00761800" w:rsidRPr="00761800" w14:paraId="45BCBDBD" w14:textId="77777777" w:rsidTr="00406B4D">
        <w:trPr>
          <w:gridAfter w:val="1"/>
          <w:wAfter w:w="8" w:type="dxa"/>
          <w:trHeight w:val="300"/>
        </w:trPr>
        <w:tc>
          <w:tcPr>
            <w:tcW w:w="5064" w:type="dxa"/>
            <w:tcBorders>
              <w:top w:val="nil"/>
              <w:left w:val="single" w:sz="4" w:space="0" w:color="auto"/>
              <w:bottom w:val="single" w:sz="4" w:space="0" w:color="auto"/>
              <w:right w:val="single" w:sz="4" w:space="0" w:color="auto"/>
            </w:tcBorders>
            <w:shd w:val="clear" w:color="000000" w:fill="FFFFFF"/>
            <w:noWrap/>
            <w:vAlign w:val="bottom"/>
            <w:hideMark/>
          </w:tcPr>
          <w:p w14:paraId="09DE2C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Ямбол</w:t>
            </w:r>
          </w:p>
        </w:tc>
        <w:tc>
          <w:tcPr>
            <w:tcW w:w="146" w:type="dxa"/>
            <w:tcBorders>
              <w:top w:val="nil"/>
              <w:left w:val="nil"/>
              <w:bottom w:val="single" w:sz="4" w:space="0" w:color="auto"/>
              <w:right w:val="nil"/>
            </w:tcBorders>
            <w:shd w:val="clear" w:color="000000" w:fill="FFFFFF"/>
          </w:tcPr>
          <w:p w14:paraId="2B69EA07" w14:textId="77777777" w:rsidR="00761800" w:rsidRPr="00761800" w:rsidRDefault="00761800" w:rsidP="00761800">
            <w:pPr>
              <w:jc w:val="right"/>
              <w:rPr>
                <w:rFonts w:ascii="Times New Roman" w:hAnsi="Times New Roman"/>
                <w:sz w:val="22"/>
                <w:szCs w:val="22"/>
                <w:lang w:eastAsia="bg-BG"/>
              </w:rPr>
            </w:pPr>
          </w:p>
        </w:tc>
        <w:tc>
          <w:tcPr>
            <w:tcW w:w="1453" w:type="dxa"/>
            <w:tcBorders>
              <w:top w:val="nil"/>
              <w:left w:val="nil"/>
              <w:bottom w:val="single" w:sz="4" w:space="0" w:color="auto"/>
              <w:right w:val="single" w:sz="4" w:space="0" w:color="auto"/>
            </w:tcBorders>
            <w:shd w:val="clear" w:color="000000" w:fill="FFFFFF"/>
            <w:noWrap/>
            <w:vAlign w:val="bottom"/>
            <w:hideMark/>
          </w:tcPr>
          <w:p w14:paraId="1943C6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47 078,5</w:t>
            </w:r>
          </w:p>
        </w:tc>
        <w:tc>
          <w:tcPr>
            <w:tcW w:w="1406" w:type="dxa"/>
            <w:tcBorders>
              <w:top w:val="nil"/>
              <w:left w:val="nil"/>
              <w:bottom w:val="single" w:sz="4" w:space="0" w:color="auto"/>
              <w:right w:val="single" w:sz="4" w:space="0" w:color="auto"/>
            </w:tcBorders>
            <w:shd w:val="clear" w:color="000000" w:fill="FFFFFF"/>
            <w:noWrap/>
            <w:vAlign w:val="bottom"/>
            <w:hideMark/>
          </w:tcPr>
          <w:p w14:paraId="5820A3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44 328,1</w:t>
            </w:r>
          </w:p>
        </w:tc>
        <w:tc>
          <w:tcPr>
            <w:tcW w:w="1570" w:type="dxa"/>
            <w:tcBorders>
              <w:top w:val="nil"/>
              <w:left w:val="nil"/>
              <w:bottom w:val="single" w:sz="4" w:space="0" w:color="auto"/>
              <w:right w:val="single" w:sz="4" w:space="0" w:color="auto"/>
            </w:tcBorders>
            <w:shd w:val="clear" w:color="000000" w:fill="FFFFFF"/>
            <w:noWrap/>
            <w:vAlign w:val="bottom"/>
            <w:hideMark/>
          </w:tcPr>
          <w:p w14:paraId="773AFB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2 090,8</w:t>
            </w:r>
          </w:p>
        </w:tc>
        <w:tc>
          <w:tcPr>
            <w:tcW w:w="2002" w:type="dxa"/>
            <w:tcBorders>
              <w:top w:val="nil"/>
              <w:left w:val="nil"/>
              <w:bottom w:val="single" w:sz="4" w:space="0" w:color="auto"/>
              <w:right w:val="single" w:sz="4" w:space="0" w:color="auto"/>
            </w:tcBorders>
            <w:shd w:val="clear" w:color="000000" w:fill="FFFFFF"/>
            <w:noWrap/>
            <w:vAlign w:val="bottom"/>
            <w:hideMark/>
          </w:tcPr>
          <w:p w14:paraId="2CC969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19,4</w:t>
            </w:r>
          </w:p>
        </w:tc>
        <w:tc>
          <w:tcPr>
            <w:tcW w:w="1418" w:type="dxa"/>
            <w:gridSpan w:val="2"/>
            <w:tcBorders>
              <w:top w:val="nil"/>
              <w:left w:val="nil"/>
              <w:bottom w:val="single" w:sz="4" w:space="0" w:color="auto"/>
              <w:right w:val="single" w:sz="4" w:space="0" w:color="auto"/>
            </w:tcBorders>
            <w:shd w:val="clear" w:color="000000" w:fill="FFFFFF"/>
            <w:noWrap/>
            <w:vAlign w:val="bottom"/>
            <w:hideMark/>
          </w:tcPr>
          <w:p w14:paraId="45E75A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640,2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78C8AF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245,4</w:t>
            </w:r>
          </w:p>
        </w:tc>
      </w:tr>
      <w:tr w:rsidR="00761800" w:rsidRPr="00761800" w14:paraId="019CBDDD" w14:textId="77777777" w:rsidTr="00406B4D">
        <w:trPr>
          <w:gridAfter w:val="1"/>
          <w:wAfter w:w="8" w:type="dxa"/>
          <w:trHeight w:val="98"/>
        </w:trPr>
        <w:tc>
          <w:tcPr>
            <w:tcW w:w="5064" w:type="dxa"/>
            <w:tcBorders>
              <w:top w:val="nil"/>
              <w:left w:val="single" w:sz="4" w:space="0" w:color="auto"/>
              <w:bottom w:val="nil"/>
              <w:right w:val="single" w:sz="4" w:space="0" w:color="auto"/>
            </w:tcBorders>
            <w:shd w:val="clear" w:color="000000" w:fill="FFFFFF"/>
            <w:noWrap/>
            <w:vAlign w:val="bottom"/>
            <w:hideMark/>
          </w:tcPr>
          <w:p w14:paraId="74C7CD7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6" w:type="dxa"/>
            <w:tcBorders>
              <w:top w:val="nil"/>
              <w:left w:val="nil"/>
              <w:bottom w:val="nil"/>
              <w:right w:val="nil"/>
            </w:tcBorders>
            <w:shd w:val="clear" w:color="000000" w:fill="FFFFFF"/>
          </w:tcPr>
          <w:p w14:paraId="3022CF03" w14:textId="77777777" w:rsidR="00761800" w:rsidRPr="00761800" w:rsidRDefault="00761800" w:rsidP="00761800">
            <w:pPr>
              <w:rPr>
                <w:rFonts w:ascii="Times New Roman" w:hAnsi="Times New Roman"/>
                <w:sz w:val="22"/>
                <w:szCs w:val="22"/>
                <w:lang w:eastAsia="bg-BG"/>
              </w:rPr>
            </w:pPr>
          </w:p>
        </w:tc>
        <w:tc>
          <w:tcPr>
            <w:tcW w:w="1453" w:type="dxa"/>
            <w:tcBorders>
              <w:top w:val="nil"/>
              <w:left w:val="nil"/>
              <w:bottom w:val="nil"/>
              <w:right w:val="single" w:sz="4" w:space="0" w:color="auto"/>
            </w:tcBorders>
            <w:shd w:val="clear" w:color="000000" w:fill="FFFFFF"/>
            <w:noWrap/>
            <w:vAlign w:val="bottom"/>
            <w:hideMark/>
          </w:tcPr>
          <w:p w14:paraId="426C6C2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06" w:type="dxa"/>
            <w:tcBorders>
              <w:top w:val="nil"/>
              <w:left w:val="nil"/>
              <w:bottom w:val="nil"/>
              <w:right w:val="single" w:sz="4" w:space="0" w:color="auto"/>
            </w:tcBorders>
            <w:shd w:val="clear" w:color="000000" w:fill="FFFFFF"/>
            <w:noWrap/>
            <w:vAlign w:val="bottom"/>
            <w:hideMark/>
          </w:tcPr>
          <w:p w14:paraId="547DC1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570" w:type="dxa"/>
            <w:tcBorders>
              <w:top w:val="nil"/>
              <w:left w:val="nil"/>
              <w:bottom w:val="nil"/>
              <w:right w:val="single" w:sz="4" w:space="0" w:color="auto"/>
            </w:tcBorders>
            <w:shd w:val="clear" w:color="000000" w:fill="FFFFFF"/>
            <w:noWrap/>
            <w:vAlign w:val="bottom"/>
            <w:hideMark/>
          </w:tcPr>
          <w:p w14:paraId="776C81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2002" w:type="dxa"/>
            <w:tcBorders>
              <w:top w:val="nil"/>
              <w:left w:val="nil"/>
              <w:bottom w:val="nil"/>
              <w:right w:val="single" w:sz="4" w:space="0" w:color="auto"/>
            </w:tcBorders>
            <w:shd w:val="clear" w:color="000000" w:fill="FFFFFF"/>
            <w:noWrap/>
            <w:vAlign w:val="bottom"/>
            <w:hideMark/>
          </w:tcPr>
          <w:p w14:paraId="18B4F5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418" w:type="dxa"/>
            <w:gridSpan w:val="2"/>
            <w:tcBorders>
              <w:top w:val="nil"/>
              <w:left w:val="nil"/>
              <w:bottom w:val="nil"/>
              <w:right w:val="single" w:sz="4" w:space="0" w:color="auto"/>
            </w:tcBorders>
            <w:shd w:val="clear" w:color="000000" w:fill="FFFFFF"/>
            <w:noWrap/>
            <w:vAlign w:val="bottom"/>
            <w:hideMark/>
          </w:tcPr>
          <w:p w14:paraId="714368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701" w:type="dxa"/>
            <w:gridSpan w:val="2"/>
            <w:tcBorders>
              <w:top w:val="nil"/>
              <w:left w:val="nil"/>
              <w:bottom w:val="nil"/>
              <w:right w:val="single" w:sz="4" w:space="0" w:color="auto"/>
            </w:tcBorders>
            <w:shd w:val="clear" w:color="auto" w:fill="auto"/>
            <w:noWrap/>
            <w:vAlign w:val="bottom"/>
            <w:hideMark/>
          </w:tcPr>
          <w:p w14:paraId="42102D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89E11F6" w14:textId="77777777" w:rsidTr="00406B4D">
        <w:trPr>
          <w:gridAfter w:val="1"/>
          <w:wAfter w:w="8" w:type="dxa"/>
          <w:trHeight w:val="330"/>
        </w:trPr>
        <w:tc>
          <w:tcPr>
            <w:tcW w:w="5064" w:type="dxa"/>
            <w:tcBorders>
              <w:top w:val="double" w:sz="6" w:space="0" w:color="auto"/>
              <w:left w:val="single" w:sz="4" w:space="0" w:color="auto"/>
              <w:bottom w:val="double" w:sz="6" w:space="0" w:color="auto"/>
              <w:right w:val="single" w:sz="4" w:space="0" w:color="auto"/>
            </w:tcBorders>
            <w:shd w:val="clear" w:color="000000" w:fill="FFFFFF"/>
            <w:noWrap/>
            <w:vAlign w:val="bottom"/>
            <w:hideMark/>
          </w:tcPr>
          <w:p w14:paraId="752C89F8"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ВСИЧКО:</w:t>
            </w:r>
          </w:p>
        </w:tc>
        <w:tc>
          <w:tcPr>
            <w:tcW w:w="146" w:type="dxa"/>
            <w:tcBorders>
              <w:top w:val="double" w:sz="6" w:space="0" w:color="auto"/>
              <w:left w:val="nil"/>
              <w:bottom w:val="double" w:sz="6" w:space="0" w:color="auto"/>
              <w:right w:val="nil"/>
            </w:tcBorders>
            <w:shd w:val="clear" w:color="000000" w:fill="FFFFFF"/>
          </w:tcPr>
          <w:p w14:paraId="48B5E242" w14:textId="77777777" w:rsidR="00761800" w:rsidRPr="00761800" w:rsidRDefault="00761800" w:rsidP="00761800">
            <w:pPr>
              <w:jc w:val="right"/>
              <w:rPr>
                <w:rFonts w:ascii="Times New Roman" w:hAnsi="Times New Roman"/>
                <w:b/>
                <w:bCs/>
                <w:sz w:val="22"/>
                <w:szCs w:val="22"/>
                <w:lang w:eastAsia="bg-BG"/>
              </w:rPr>
            </w:pPr>
          </w:p>
        </w:tc>
        <w:tc>
          <w:tcPr>
            <w:tcW w:w="1453" w:type="dxa"/>
            <w:tcBorders>
              <w:top w:val="double" w:sz="6" w:space="0" w:color="auto"/>
              <w:left w:val="nil"/>
              <w:bottom w:val="double" w:sz="6" w:space="0" w:color="auto"/>
              <w:right w:val="single" w:sz="4" w:space="0" w:color="auto"/>
            </w:tcBorders>
            <w:shd w:val="clear" w:color="000000" w:fill="FFFFFF"/>
            <w:noWrap/>
            <w:vAlign w:val="bottom"/>
            <w:hideMark/>
          </w:tcPr>
          <w:p w14:paraId="04B5EA67"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4 887 464,0</w:t>
            </w:r>
          </w:p>
        </w:tc>
        <w:tc>
          <w:tcPr>
            <w:tcW w:w="1406" w:type="dxa"/>
            <w:tcBorders>
              <w:top w:val="double" w:sz="6" w:space="0" w:color="auto"/>
              <w:left w:val="nil"/>
              <w:bottom w:val="double" w:sz="6" w:space="0" w:color="auto"/>
              <w:right w:val="single" w:sz="4" w:space="0" w:color="auto"/>
            </w:tcBorders>
            <w:shd w:val="clear" w:color="000000" w:fill="FFFFFF"/>
            <w:noWrap/>
            <w:vAlign w:val="bottom"/>
            <w:hideMark/>
          </w:tcPr>
          <w:p w14:paraId="51EE1E86"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4 351 706,0</w:t>
            </w:r>
          </w:p>
        </w:tc>
        <w:tc>
          <w:tcPr>
            <w:tcW w:w="1570" w:type="dxa"/>
            <w:tcBorders>
              <w:top w:val="double" w:sz="6" w:space="0" w:color="auto"/>
              <w:left w:val="nil"/>
              <w:bottom w:val="double" w:sz="6" w:space="0" w:color="auto"/>
              <w:right w:val="single" w:sz="4" w:space="0" w:color="auto"/>
            </w:tcBorders>
            <w:shd w:val="clear" w:color="000000" w:fill="FFFFFF"/>
            <w:noWrap/>
            <w:vAlign w:val="bottom"/>
            <w:hideMark/>
          </w:tcPr>
          <w:p w14:paraId="3715E1DB"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255 658,0</w:t>
            </w:r>
          </w:p>
        </w:tc>
        <w:tc>
          <w:tcPr>
            <w:tcW w:w="2002" w:type="dxa"/>
            <w:tcBorders>
              <w:top w:val="double" w:sz="6" w:space="0" w:color="auto"/>
              <w:left w:val="nil"/>
              <w:bottom w:val="double" w:sz="6" w:space="0" w:color="auto"/>
              <w:right w:val="single" w:sz="4" w:space="0" w:color="auto"/>
            </w:tcBorders>
            <w:shd w:val="clear" w:color="000000" w:fill="FFFFFF"/>
            <w:noWrap/>
            <w:vAlign w:val="bottom"/>
            <w:hideMark/>
          </w:tcPr>
          <w:p w14:paraId="5D866CF7"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25 100,0</w:t>
            </w:r>
          </w:p>
        </w:tc>
        <w:tc>
          <w:tcPr>
            <w:tcW w:w="1418" w:type="dxa"/>
            <w:gridSpan w:val="2"/>
            <w:tcBorders>
              <w:top w:val="double" w:sz="6" w:space="0" w:color="auto"/>
              <w:left w:val="nil"/>
              <w:bottom w:val="double" w:sz="6" w:space="0" w:color="auto"/>
              <w:right w:val="single" w:sz="4" w:space="0" w:color="auto"/>
            </w:tcBorders>
            <w:shd w:val="clear" w:color="000000" w:fill="FFFFFF"/>
            <w:noWrap/>
            <w:vAlign w:val="bottom"/>
            <w:hideMark/>
          </w:tcPr>
          <w:p w14:paraId="090F3AD7"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255 000,0</w:t>
            </w:r>
          </w:p>
        </w:tc>
        <w:tc>
          <w:tcPr>
            <w:tcW w:w="1701" w:type="dxa"/>
            <w:gridSpan w:val="2"/>
            <w:tcBorders>
              <w:top w:val="double" w:sz="6" w:space="0" w:color="auto"/>
              <w:left w:val="nil"/>
              <w:bottom w:val="double" w:sz="6" w:space="0" w:color="auto"/>
              <w:right w:val="single" w:sz="4" w:space="0" w:color="auto"/>
            </w:tcBorders>
            <w:shd w:val="clear" w:color="auto" w:fill="auto"/>
            <w:noWrap/>
            <w:vAlign w:val="bottom"/>
            <w:hideMark/>
          </w:tcPr>
          <w:p w14:paraId="28510E4B"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40 500,0</w:t>
            </w:r>
          </w:p>
        </w:tc>
      </w:tr>
    </w:tbl>
    <w:p w14:paraId="7323E57A" w14:textId="77777777" w:rsidR="00761800" w:rsidRPr="00761800" w:rsidRDefault="00761800" w:rsidP="00761800">
      <w:pPr>
        <w:rPr>
          <w:rFonts w:ascii="Times New Roman" w:hAnsi="Times New Roman"/>
          <w:sz w:val="22"/>
          <w:szCs w:val="22"/>
          <w:lang w:eastAsia="bg-BG"/>
        </w:rPr>
      </w:pPr>
    </w:p>
    <w:p w14:paraId="432774BA" w14:textId="77777777" w:rsidR="00761800" w:rsidRPr="00761800" w:rsidRDefault="00761800" w:rsidP="00761800">
      <w:pPr>
        <w:spacing w:after="160" w:line="259" w:lineRule="auto"/>
        <w:rPr>
          <w:rFonts w:ascii="Times New Roman" w:hAnsi="Times New Roman"/>
          <w:sz w:val="22"/>
          <w:szCs w:val="22"/>
          <w:lang w:eastAsia="bg-BG"/>
        </w:rPr>
      </w:pPr>
      <w:r w:rsidRPr="00761800">
        <w:rPr>
          <w:rFonts w:ascii="Times New Roman" w:hAnsi="Times New Roman"/>
          <w:b/>
          <w:sz w:val="22"/>
          <w:szCs w:val="22"/>
          <w:lang w:eastAsia="bg-BG"/>
        </w:rPr>
        <w:t>Чл. 52.</w:t>
      </w:r>
      <w:r w:rsidRPr="00761800">
        <w:rPr>
          <w:rFonts w:ascii="Times New Roman" w:hAnsi="Times New Roman"/>
          <w:sz w:val="22"/>
          <w:szCs w:val="22"/>
          <w:lang w:eastAsia="bg-BG"/>
        </w:rPr>
        <w:t xml:space="preserve"> Определя стойностните показатели на общините за делегираните от държавата дейности, както следва:</w:t>
      </w:r>
    </w:p>
    <w:tbl>
      <w:tblPr>
        <w:tblW w:w="15309" w:type="dxa"/>
        <w:tblLayout w:type="fixed"/>
        <w:tblCellMar>
          <w:left w:w="70" w:type="dxa"/>
          <w:right w:w="70" w:type="dxa"/>
        </w:tblCellMar>
        <w:tblLook w:val="04A0" w:firstRow="1" w:lastRow="0" w:firstColumn="1" w:lastColumn="0" w:noHBand="0" w:noVBand="1"/>
      </w:tblPr>
      <w:tblGrid>
        <w:gridCol w:w="2835"/>
        <w:gridCol w:w="1911"/>
        <w:gridCol w:w="1118"/>
        <w:gridCol w:w="1257"/>
        <w:gridCol w:w="1384"/>
        <w:gridCol w:w="1134"/>
        <w:gridCol w:w="1277"/>
        <w:gridCol w:w="1040"/>
        <w:gridCol w:w="1087"/>
        <w:gridCol w:w="1040"/>
        <w:gridCol w:w="1226"/>
      </w:tblGrid>
      <w:tr w:rsidR="00761800" w:rsidRPr="00761800" w14:paraId="3FBAF32E" w14:textId="77777777" w:rsidTr="00406B4D">
        <w:trPr>
          <w:trHeight w:val="300"/>
        </w:trPr>
        <w:tc>
          <w:tcPr>
            <w:tcW w:w="2835" w:type="dxa"/>
            <w:tcBorders>
              <w:top w:val="nil"/>
              <w:left w:val="nil"/>
              <w:bottom w:val="single" w:sz="4" w:space="0" w:color="auto"/>
              <w:right w:val="nil"/>
            </w:tcBorders>
            <w:shd w:val="clear" w:color="000000" w:fill="FFFFFF"/>
            <w:noWrap/>
            <w:vAlign w:val="bottom"/>
            <w:hideMark/>
          </w:tcPr>
          <w:p w14:paraId="5BB5E3B4"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911" w:type="dxa"/>
            <w:tcBorders>
              <w:top w:val="nil"/>
              <w:left w:val="nil"/>
              <w:bottom w:val="nil"/>
              <w:right w:val="nil"/>
            </w:tcBorders>
            <w:shd w:val="clear" w:color="000000" w:fill="FFFFFF"/>
            <w:noWrap/>
            <w:vAlign w:val="bottom"/>
            <w:hideMark/>
          </w:tcPr>
          <w:p w14:paraId="6BED4BF3"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118" w:type="dxa"/>
            <w:tcBorders>
              <w:top w:val="nil"/>
              <w:left w:val="nil"/>
              <w:bottom w:val="nil"/>
              <w:right w:val="nil"/>
            </w:tcBorders>
            <w:shd w:val="clear" w:color="000000" w:fill="FFFFFF"/>
            <w:noWrap/>
            <w:vAlign w:val="bottom"/>
            <w:hideMark/>
          </w:tcPr>
          <w:p w14:paraId="0987A8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nil"/>
              <w:right w:val="nil"/>
            </w:tcBorders>
            <w:shd w:val="clear" w:color="000000" w:fill="FFFFFF"/>
            <w:noWrap/>
            <w:vAlign w:val="bottom"/>
            <w:hideMark/>
          </w:tcPr>
          <w:p w14:paraId="3449E7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nil"/>
              <w:right w:val="nil"/>
            </w:tcBorders>
            <w:shd w:val="clear" w:color="000000" w:fill="FFFFFF"/>
            <w:noWrap/>
            <w:vAlign w:val="bottom"/>
            <w:hideMark/>
          </w:tcPr>
          <w:p w14:paraId="124CDB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nil"/>
              <w:right w:val="nil"/>
            </w:tcBorders>
            <w:shd w:val="clear" w:color="000000" w:fill="FFFFFF"/>
            <w:noWrap/>
            <w:vAlign w:val="bottom"/>
            <w:hideMark/>
          </w:tcPr>
          <w:p w14:paraId="298569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nil"/>
              <w:right w:val="nil"/>
            </w:tcBorders>
            <w:shd w:val="clear" w:color="000000" w:fill="FFFFFF"/>
            <w:noWrap/>
            <w:vAlign w:val="bottom"/>
            <w:hideMark/>
          </w:tcPr>
          <w:p w14:paraId="7E2354A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nil"/>
              <w:right w:val="nil"/>
            </w:tcBorders>
            <w:shd w:val="clear" w:color="000000" w:fill="FFFFFF"/>
            <w:noWrap/>
            <w:vAlign w:val="bottom"/>
            <w:hideMark/>
          </w:tcPr>
          <w:p w14:paraId="2C7452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nil"/>
              <w:right w:val="nil"/>
            </w:tcBorders>
            <w:shd w:val="clear" w:color="000000" w:fill="FFFFFF"/>
            <w:noWrap/>
            <w:vAlign w:val="bottom"/>
            <w:hideMark/>
          </w:tcPr>
          <w:p w14:paraId="059E45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nil"/>
              <w:right w:val="nil"/>
            </w:tcBorders>
            <w:shd w:val="clear" w:color="000000" w:fill="FFFFFF"/>
            <w:noWrap/>
            <w:vAlign w:val="bottom"/>
            <w:hideMark/>
          </w:tcPr>
          <w:p w14:paraId="23DB80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nil"/>
              <w:right w:val="nil"/>
            </w:tcBorders>
            <w:shd w:val="clear" w:color="000000" w:fill="FFFFFF"/>
            <w:noWrap/>
            <w:vAlign w:val="bottom"/>
            <w:hideMark/>
          </w:tcPr>
          <w:p w14:paraId="36ED11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(хил. евро)</w:t>
            </w:r>
          </w:p>
        </w:tc>
      </w:tr>
      <w:tr w:rsidR="00761800" w:rsidRPr="00761800" w14:paraId="0C5CBECD" w14:textId="77777777" w:rsidTr="00406B4D">
        <w:trPr>
          <w:trHeight w:val="300"/>
        </w:trPr>
        <w:tc>
          <w:tcPr>
            <w:tcW w:w="2835" w:type="dxa"/>
            <w:tcBorders>
              <w:top w:val="single" w:sz="4" w:space="0" w:color="auto"/>
              <w:left w:val="single" w:sz="4" w:space="0" w:color="auto"/>
              <w:bottom w:val="nil"/>
              <w:right w:val="single" w:sz="4" w:space="0" w:color="auto"/>
            </w:tcBorders>
            <w:shd w:val="clear" w:color="000000" w:fill="FFFFFF"/>
            <w:noWrap/>
            <w:vAlign w:val="bottom"/>
            <w:hideMark/>
          </w:tcPr>
          <w:p w14:paraId="020FF1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911" w:type="dxa"/>
            <w:tcBorders>
              <w:top w:val="single" w:sz="4" w:space="0" w:color="auto"/>
              <w:left w:val="nil"/>
              <w:bottom w:val="nil"/>
              <w:right w:val="nil"/>
            </w:tcBorders>
            <w:shd w:val="clear" w:color="000000" w:fill="FFFFFF"/>
            <w:noWrap/>
            <w:vAlign w:val="bottom"/>
            <w:hideMark/>
          </w:tcPr>
          <w:p w14:paraId="389E275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Разходи за</w:t>
            </w:r>
          </w:p>
        </w:tc>
        <w:tc>
          <w:tcPr>
            <w:tcW w:w="10563"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657AB8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в т.ч.</w:t>
            </w:r>
          </w:p>
        </w:tc>
      </w:tr>
      <w:tr w:rsidR="00761800" w:rsidRPr="00761800" w14:paraId="0FD13A9A" w14:textId="77777777" w:rsidTr="00406B4D">
        <w:trPr>
          <w:trHeight w:val="300"/>
        </w:trPr>
        <w:tc>
          <w:tcPr>
            <w:tcW w:w="2835" w:type="dxa"/>
            <w:tcBorders>
              <w:top w:val="nil"/>
              <w:left w:val="single" w:sz="4" w:space="0" w:color="auto"/>
              <w:bottom w:val="nil"/>
              <w:right w:val="single" w:sz="4" w:space="0" w:color="auto"/>
            </w:tcBorders>
            <w:shd w:val="clear" w:color="000000" w:fill="FFFFFF"/>
            <w:noWrap/>
            <w:vAlign w:val="bottom"/>
            <w:hideMark/>
          </w:tcPr>
          <w:p w14:paraId="5D108700"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911" w:type="dxa"/>
            <w:tcBorders>
              <w:top w:val="nil"/>
              <w:left w:val="nil"/>
              <w:bottom w:val="nil"/>
              <w:right w:val="single" w:sz="4" w:space="0" w:color="auto"/>
            </w:tcBorders>
            <w:shd w:val="clear" w:color="000000" w:fill="FFFFFF"/>
            <w:noWrap/>
            <w:vAlign w:val="bottom"/>
            <w:hideMark/>
          </w:tcPr>
          <w:p w14:paraId="5E18049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делегирани</w:t>
            </w:r>
          </w:p>
        </w:tc>
        <w:tc>
          <w:tcPr>
            <w:tcW w:w="1118" w:type="dxa"/>
            <w:tcBorders>
              <w:top w:val="nil"/>
              <w:left w:val="nil"/>
              <w:bottom w:val="nil"/>
              <w:right w:val="nil"/>
            </w:tcBorders>
            <w:shd w:val="clear" w:color="000000" w:fill="FFFFFF"/>
            <w:noWrap/>
            <w:vAlign w:val="bottom"/>
            <w:hideMark/>
          </w:tcPr>
          <w:p w14:paraId="5A75A6F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Общинска</w:t>
            </w:r>
          </w:p>
        </w:tc>
        <w:tc>
          <w:tcPr>
            <w:tcW w:w="2641"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E92565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в т.ч. за:</w:t>
            </w:r>
          </w:p>
        </w:tc>
        <w:tc>
          <w:tcPr>
            <w:tcW w:w="1134" w:type="dxa"/>
            <w:tcBorders>
              <w:top w:val="nil"/>
              <w:left w:val="nil"/>
              <w:bottom w:val="nil"/>
              <w:right w:val="single" w:sz="4" w:space="0" w:color="auto"/>
            </w:tcBorders>
            <w:shd w:val="clear" w:color="000000" w:fill="FFFFFF"/>
            <w:noWrap/>
            <w:vAlign w:val="bottom"/>
            <w:hideMark/>
          </w:tcPr>
          <w:p w14:paraId="7F0681C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Отбрана и</w:t>
            </w:r>
          </w:p>
        </w:tc>
        <w:tc>
          <w:tcPr>
            <w:tcW w:w="1277" w:type="dxa"/>
            <w:tcBorders>
              <w:top w:val="nil"/>
              <w:left w:val="nil"/>
              <w:bottom w:val="nil"/>
              <w:right w:val="single" w:sz="4" w:space="0" w:color="auto"/>
            </w:tcBorders>
            <w:shd w:val="clear" w:color="000000" w:fill="FFFFFF"/>
            <w:noWrap/>
            <w:vAlign w:val="bottom"/>
            <w:hideMark/>
          </w:tcPr>
          <w:p w14:paraId="37AD57A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Образова-</w:t>
            </w:r>
          </w:p>
        </w:tc>
        <w:tc>
          <w:tcPr>
            <w:tcW w:w="1040" w:type="dxa"/>
            <w:tcBorders>
              <w:top w:val="nil"/>
              <w:left w:val="nil"/>
              <w:bottom w:val="nil"/>
              <w:right w:val="single" w:sz="4" w:space="0" w:color="auto"/>
            </w:tcBorders>
            <w:shd w:val="clear" w:color="000000" w:fill="FFFFFF"/>
            <w:noWrap/>
            <w:vAlign w:val="bottom"/>
            <w:hideMark/>
          </w:tcPr>
          <w:p w14:paraId="1009847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Здраве-</w:t>
            </w:r>
          </w:p>
        </w:tc>
        <w:tc>
          <w:tcPr>
            <w:tcW w:w="1087" w:type="dxa"/>
            <w:tcBorders>
              <w:top w:val="nil"/>
              <w:left w:val="nil"/>
              <w:bottom w:val="nil"/>
              <w:right w:val="single" w:sz="4" w:space="0" w:color="auto"/>
            </w:tcBorders>
            <w:shd w:val="clear" w:color="000000" w:fill="FFFFFF"/>
            <w:noWrap/>
            <w:vAlign w:val="bottom"/>
            <w:hideMark/>
          </w:tcPr>
          <w:p w14:paraId="582B329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Социални</w:t>
            </w:r>
          </w:p>
        </w:tc>
        <w:tc>
          <w:tcPr>
            <w:tcW w:w="1040" w:type="dxa"/>
            <w:tcBorders>
              <w:top w:val="nil"/>
              <w:left w:val="nil"/>
              <w:bottom w:val="nil"/>
              <w:right w:val="single" w:sz="4" w:space="0" w:color="auto"/>
            </w:tcBorders>
            <w:shd w:val="clear" w:color="000000" w:fill="FFFFFF"/>
            <w:noWrap/>
            <w:vAlign w:val="bottom"/>
            <w:hideMark/>
          </w:tcPr>
          <w:p w14:paraId="0C411D5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Култура</w:t>
            </w:r>
          </w:p>
        </w:tc>
        <w:tc>
          <w:tcPr>
            <w:tcW w:w="1226" w:type="dxa"/>
            <w:tcBorders>
              <w:top w:val="nil"/>
              <w:left w:val="nil"/>
              <w:bottom w:val="nil"/>
              <w:right w:val="single" w:sz="4" w:space="0" w:color="auto"/>
            </w:tcBorders>
            <w:shd w:val="clear" w:color="000000" w:fill="FFFFFF"/>
            <w:noWrap/>
            <w:vAlign w:val="bottom"/>
            <w:hideMark/>
          </w:tcPr>
          <w:p w14:paraId="390F021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Икономически</w:t>
            </w:r>
          </w:p>
        </w:tc>
      </w:tr>
      <w:tr w:rsidR="00761800" w:rsidRPr="00761800" w14:paraId="1C3B6F0C" w14:textId="77777777" w:rsidTr="00406B4D">
        <w:trPr>
          <w:trHeight w:val="300"/>
        </w:trPr>
        <w:tc>
          <w:tcPr>
            <w:tcW w:w="2835" w:type="dxa"/>
            <w:tcBorders>
              <w:top w:val="nil"/>
              <w:left w:val="single" w:sz="4" w:space="0" w:color="auto"/>
              <w:bottom w:val="nil"/>
              <w:right w:val="single" w:sz="4" w:space="0" w:color="auto"/>
            </w:tcBorders>
            <w:shd w:val="clear" w:color="000000" w:fill="FFFFFF"/>
            <w:noWrap/>
            <w:vAlign w:val="bottom"/>
            <w:hideMark/>
          </w:tcPr>
          <w:p w14:paraId="68C1E98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Общини</w:t>
            </w:r>
          </w:p>
        </w:tc>
        <w:tc>
          <w:tcPr>
            <w:tcW w:w="1911" w:type="dxa"/>
            <w:tcBorders>
              <w:top w:val="nil"/>
              <w:left w:val="nil"/>
              <w:bottom w:val="nil"/>
              <w:right w:val="single" w:sz="4" w:space="0" w:color="auto"/>
            </w:tcBorders>
            <w:shd w:val="clear" w:color="000000" w:fill="FFFFFF"/>
            <w:noWrap/>
            <w:vAlign w:val="bottom"/>
            <w:hideMark/>
          </w:tcPr>
          <w:p w14:paraId="7228DA1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от държавата</w:t>
            </w:r>
          </w:p>
        </w:tc>
        <w:tc>
          <w:tcPr>
            <w:tcW w:w="1118" w:type="dxa"/>
            <w:tcBorders>
              <w:top w:val="nil"/>
              <w:left w:val="nil"/>
              <w:bottom w:val="nil"/>
              <w:right w:val="single" w:sz="4" w:space="0" w:color="auto"/>
            </w:tcBorders>
            <w:shd w:val="clear" w:color="000000" w:fill="FFFFFF"/>
            <w:noWrap/>
            <w:vAlign w:val="bottom"/>
            <w:hideMark/>
          </w:tcPr>
          <w:p w14:paraId="2443ED2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админи-</w:t>
            </w:r>
          </w:p>
        </w:tc>
        <w:tc>
          <w:tcPr>
            <w:tcW w:w="1257" w:type="dxa"/>
            <w:tcBorders>
              <w:top w:val="nil"/>
              <w:left w:val="nil"/>
              <w:bottom w:val="nil"/>
              <w:right w:val="single" w:sz="4" w:space="0" w:color="auto"/>
            </w:tcBorders>
            <w:shd w:val="clear" w:color="000000" w:fill="FFFFFF"/>
            <w:noWrap/>
            <w:vAlign w:val="bottom"/>
            <w:hideMark/>
          </w:tcPr>
          <w:p w14:paraId="5CEE364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кметове</w:t>
            </w:r>
          </w:p>
        </w:tc>
        <w:tc>
          <w:tcPr>
            <w:tcW w:w="1384" w:type="dxa"/>
            <w:tcBorders>
              <w:top w:val="nil"/>
              <w:left w:val="nil"/>
              <w:bottom w:val="nil"/>
              <w:right w:val="single" w:sz="4" w:space="0" w:color="auto"/>
            </w:tcBorders>
            <w:shd w:val="clear" w:color="000000" w:fill="FFFFFF"/>
            <w:noWrap/>
            <w:vAlign w:val="bottom"/>
            <w:hideMark/>
          </w:tcPr>
          <w:p w14:paraId="39A6243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служители</w:t>
            </w:r>
          </w:p>
        </w:tc>
        <w:tc>
          <w:tcPr>
            <w:tcW w:w="1134" w:type="dxa"/>
            <w:tcBorders>
              <w:top w:val="nil"/>
              <w:left w:val="nil"/>
              <w:bottom w:val="nil"/>
              <w:right w:val="single" w:sz="4" w:space="0" w:color="auto"/>
            </w:tcBorders>
            <w:shd w:val="clear" w:color="000000" w:fill="FFFFFF"/>
            <w:noWrap/>
            <w:vAlign w:val="bottom"/>
            <w:hideMark/>
          </w:tcPr>
          <w:p w14:paraId="35C7BEE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сигурност</w:t>
            </w:r>
          </w:p>
        </w:tc>
        <w:tc>
          <w:tcPr>
            <w:tcW w:w="1277" w:type="dxa"/>
            <w:tcBorders>
              <w:top w:val="nil"/>
              <w:left w:val="nil"/>
              <w:bottom w:val="nil"/>
              <w:right w:val="single" w:sz="4" w:space="0" w:color="auto"/>
            </w:tcBorders>
            <w:shd w:val="clear" w:color="000000" w:fill="FFFFFF"/>
            <w:noWrap/>
            <w:vAlign w:val="bottom"/>
            <w:hideMark/>
          </w:tcPr>
          <w:p w14:paraId="4AF2650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ние</w:t>
            </w:r>
          </w:p>
        </w:tc>
        <w:tc>
          <w:tcPr>
            <w:tcW w:w="1040" w:type="dxa"/>
            <w:tcBorders>
              <w:top w:val="nil"/>
              <w:left w:val="nil"/>
              <w:bottom w:val="nil"/>
              <w:right w:val="single" w:sz="4" w:space="0" w:color="auto"/>
            </w:tcBorders>
            <w:shd w:val="clear" w:color="000000" w:fill="FFFFFF"/>
            <w:noWrap/>
            <w:vAlign w:val="bottom"/>
            <w:hideMark/>
          </w:tcPr>
          <w:p w14:paraId="501991B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опазване</w:t>
            </w:r>
          </w:p>
        </w:tc>
        <w:tc>
          <w:tcPr>
            <w:tcW w:w="1087" w:type="dxa"/>
            <w:tcBorders>
              <w:top w:val="nil"/>
              <w:left w:val="nil"/>
              <w:bottom w:val="nil"/>
              <w:right w:val="single" w:sz="4" w:space="0" w:color="auto"/>
            </w:tcBorders>
            <w:shd w:val="clear" w:color="000000" w:fill="FFFFFF"/>
            <w:noWrap/>
            <w:vAlign w:val="bottom"/>
            <w:hideMark/>
          </w:tcPr>
          <w:p w14:paraId="7FF89FE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услуги</w:t>
            </w:r>
          </w:p>
        </w:tc>
        <w:tc>
          <w:tcPr>
            <w:tcW w:w="1040" w:type="dxa"/>
            <w:tcBorders>
              <w:top w:val="nil"/>
              <w:left w:val="nil"/>
              <w:bottom w:val="nil"/>
              <w:right w:val="single" w:sz="4" w:space="0" w:color="auto"/>
            </w:tcBorders>
            <w:shd w:val="clear" w:color="000000" w:fill="FFFFFF"/>
            <w:noWrap/>
            <w:vAlign w:val="bottom"/>
            <w:hideMark/>
          </w:tcPr>
          <w:p w14:paraId="001A58A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nil"/>
              <w:right w:val="single" w:sz="4" w:space="0" w:color="auto"/>
            </w:tcBorders>
            <w:shd w:val="clear" w:color="000000" w:fill="FFFFFF"/>
            <w:noWrap/>
            <w:vAlign w:val="bottom"/>
            <w:hideMark/>
          </w:tcPr>
          <w:p w14:paraId="0DC6BC8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дейности</w:t>
            </w:r>
          </w:p>
        </w:tc>
      </w:tr>
      <w:tr w:rsidR="00761800" w:rsidRPr="00761800" w14:paraId="38C317C0" w14:textId="77777777" w:rsidTr="00406B4D">
        <w:trPr>
          <w:trHeight w:val="300"/>
        </w:trPr>
        <w:tc>
          <w:tcPr>
            <w:tcW w:w="2835" w:type="dxa"/>
            <w:tcBorders>
              <w:top w:val="nil"/>
              <w:left w:val="single" w:sz="4" w:space="0" w:color="auto"/>
              <w:bottom w:val="nil"/>
              <w:right w:val="single" w:sz="4" w:space="0" w:color="auto"/>
            </w:tcBorders>
            <w:shd w:val="clear" w:color="000000" w:fill="FFFFFF"/>
            <w:noWrap/>
            <w:vAlign w:val="bottom"/>
            <w:hideMark/>
          </w:tcPr>
          <w:p w14:paraId="2F1FE5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911" w:type="dxa"/>
            <w:tcBorders>
              <w:top w:val="nil"/>
              <w:left w:val="nil"/>
              <w:bottom w:val="nil"/>
              <w:right w:val="single" w:sz="4" w:space="0" w:color="auto"/>
            </w:tcBorders>
            <w:shd w:val="clear" w:color="000000" w:fill="FFFFFF"/>
            <w:noWrap/>
            <w:vAlign w:val="bottom"/>
            <w:hideMark/>
          </w:tcPr>
          <w:p w14:paraId="75BBD4D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дейности</w:t>
            </w:r>
          </w:p>
        </w:tc>
        <w:tc>
          <w:tcPr>
            <w:tcW w:w="1118" w:type="dxa"/>
            <w:tcBorders>
              <w:top w:val="nil"/>
              <w:left w:val="nil"/>
              <w:bottom w:val="nil"/>
              <w:right w:val="single" w:sz="4" w:space="0" w:color="auto"/>
            </w:tcBorders>
            <w:shd w:val="clear" w:color="000000" w:fill="FFFFFF"/>
            <w:noWrap/>
            <w:vAlign w:val="bottom"/>
            <w:hideMark/>
          </w:tcPr>
          <w:p w14:paraId="41E26ED7"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страция</w:t>
            </w:r>
          </w:p>
        </w:tc>
        <w:tc>
          <w:tcPr>
            <w:tcW w:w="1257" w:type="dxa"/>
            <w:tcBorders>
              <w:top w:val="nil"/>
              <w:left w:val="nil"/>
              <w:bottom w:val="nil"/>
              <w:right w:val="single" w:sz="4" w:space="0" w:color="auto"/>
            </w:tcBorders>
            <w:shd w:val="clear" w:color="000000" w:fill="FFFFFF"/>
            <w:noWrap/>
            <w:vAlign w:val="bottom"/>
            <w:hideMark/>
          </w:tcPr>
          <w:p w14:paraId="26C3037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и кметски</w:t>
            </w:r>
          </w:p>
        </w:tc>
        <w:tc>
          <w:tcPr>
            <w:tcW w:w="1384" w:type="dxa"/>
            <w:tcBorders>
              <w:top w:val="nil"/>
              <w:left w:val="nil"/>
              <w:bottom w:val="nil"/>
              <w:right w:val="single" w:sz="4" w:space="0" w:color="auto"/>
            </w:tcBorders>
            <w:shd w:val="clear" w:color="000000" w:fill="FFFFFF"/>
            <w:noWrap/>
            <w:vAlign w:val="bottom"/>
            <w:hideMark/>
          </w:tcPr>
          <w:p w14:paraId="2268285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xml:space="preserve">в общинска </w:t>
            </w:r>
          </w:p>
        </w:tc>
        <w:tc>
          <w:tcPr>
            <w:tcW w:w="1134" w:type="dxa"/>
            <w:tcBorders>
              <w:top w:val="nil"/>
              <w:left w:val="nil"/>
              <w:bottom w:val="nil"/>
              <w:right w:val="single" w:sz="4" w:space="0" w:color="auto"/>
            </w:tcBorders>
            <w:shd w:val="clear" w:color="000000" w:fill="FFFFFF"/>
            <w:noWrap/>
            <w:vAlign w:val="bottom"/>
            <w:hideMark/>
          </w:tcPr>
          <w:p w14:paraId="10E0A27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nil"/>
              <w:right w:val="single" w:sz="4" w:space="0" w:color="auto"/>
            </w:tcBorders>
            <w:shd w:val="clear" w:color="000000" w:fill="FFFFFF"/>
            <w:noWrap/>
            <w:vAlign w:val="bottom"/>
            <w:hideMark/>
          </w:tcPr>
          <w:p w14:paraId="14C4A72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nil"/>
              <w:right w:val="single" w:sz="4" w:space="0" w:color="auto"/>
            </w:tcBorders>
            <w:shd w:val="clear" w:color="000000" w:fill="FFFFFF"/>
            <w:noWrap/>
            <w:vAlign w:val="bottom"/>
            <w:hideMark/>
          </w:tcPr>
          <w:p w14:paraId="574DAF2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nil"/>
              <w:right w:val="single" w:sz="4" w:space="0" w:color="auto"/>
            </w:tcBorders>
            <w:shd w:val="clear" w:color="000000" w:fill="FFFFFF"/>
            <w:noWrap/>
            <w:vAlign w:val="bottom"/>
            <w:hideMark/>
          </w:tcPr>
          <w:p w14:paraId="5A4459A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nil"/>
              <w:right w:val="single" w:sz="4" w:space="0" w:color="auto"/>
            </w:tcBorders>
            <w:shd w:val="clear" w:color="000000" w:fill="FFFFFF"/>
            <w:noWrap/>
            <w:vAlign w:val="bottom"/>
            <w:hideMark/>
          </w:tcPr>
          <w:p w14:paraId="0B30659D"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nil"/>
              <w:right w:val="single" w:sz="4" w:space="0" w:color="auto"/>
            </w:tcBorders>
            <w:shd w:val="clear" w:color="000000" w:fill="FFFFFF"/>
            <w:noWrap/>
            <w:vAlign w:val="bottom"/>
            <w:hideMark/>
          </w:tcPr>
          <w:p w14:paraId="5AB6FAD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и услуги</w:t>
            </w:r>
          </w:p>
        </w:tc>
      </w:tr>
      <w:tr w:rsidR="00761800" w:rsidRPr="00761800" w14:paraId="2EDFED00" w14:textId="77777777" w:rsidTr="00406B4D">
        <w:trPr>
          <w:trHeight w:val="138"/>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F72F9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68D366B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118C04B"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nil"/>
              <w:right w:val="single" w:sz="4" w:space="0" w:color="auto"/>
            </w:tcBorders>
            <w:shd w:val="clear" w:color="000000" w:fill="FFFFFF"/>
            <w:noWrap/>
            <w:vAlign w:val="bottom"/>
            <w:hideMark/>
          </w:tcPr>
          <w:p w14:paraId="7D95C5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наместници</w:t>
            </w:r>
          </w:p>
        </w:tc>
        <w:tc>
          <w:tcPr>
            <w:tcW w:w="1384" w:type="dxa"/>
            <w:tcBorders>
              <w:top w:val="nil"/>
              <w:left w:val="nil"/>
              <w:bottom w:val="single" w:sz="4" w:space="0" w:color="auto"/>
              <w:right w:val="single" w:sz="4" w:space="0" w:color="auto"/>
            </w:tcBorders>
            <w:shd w:val="clear" w:color="000000" w:fill="FFFFFF"/>
            <w:hideMark/>
          </w:tcPr>
          <w:p w14:paraId="75B757B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администрация</w:t>
            </w:r>
          </w:p>
        </w:tc>
        <w:tc>
          <w:tcPr>
            <w:tcW w:w="1134" w:type="dxa"/>
            <w:tcBorders>
              <w:top w:val="nil"/>
              <w:left w:val="nil"/>
              <w:bottom w:val="single" w:sz="4" w:space="0" w:color="auto"/>
              <w:right w:val="single" w:sz="4" w:space="0" w:color="auto"/>
            </w:tcBorders>
            <w:shd w:val="clear" w:color="000000" w:fill="FFFFFF"/>
            <w:noWrap/>
            <w:vAlign w:val="bottom"/>
            <w:hideMark/>
          </w:tcPr>
          <w:p w14:paraId="15AC658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11C02E2F"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4B88CC1"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06FC8D20"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1BEC34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2E55DBD9"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AA7D5E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F93D252"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44F86BE8"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1(2+3+4+5+6+7+8)</w:t>
            </w:r>
          </w:p>
        </w:tc>
        <w:tc>
          <w:tcPr>
            <w:tcW w:w="1118" w:type="dxa"/>
            <w:tcBorders>
              <w:top w:val="nil"/>
              <w:left w:val="nil"/>
              <w:bottom w:val="single" w:sz="4" w:space="0" w:color="auto"/>
              <w:right w:val="single" w:sz="4" w:space="0" w:color="auto"/>
            </w:tcBorders>
            <w:shd w:val="clear" w:color="000000" w:fill="FFFFFF"/>
            <w:noWrap/>
            <w:vAlign w:val="bottom"/>
            <w:hideMark/>
          </w:tcPr>
          <w:p w14:paraId="09506E2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w:t>
            </w:r>
          </w:p>
        </w:tc>
        <w:tc>
          <w:tcPr>
            <w:tcW w:w="1257" w:type="dxa"/>
            <w:tcBorders>
              <w:top w:val="single" w:sz="4" w:space="0" w:color="auto"/>
              <w:left w:val="nil"/>
              <w:bottom w:val="single" w:sz="4" w:space="0" w:color="auto"/>
              <w:right w:val="single" w:sz="4" w:space="0" w:color="auto"/>
            </w:tcBorders>
            <w:shd w:val="clear" w:color="000000" w:fill="FFFFFF"/>
            <w:noWrap/>
            <w:vAlign w:val="bottom"/>
            <w:hideMark/>
          </w:tcPr>
          <w:p w14:paraId="6D9DF9CC"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2а</w:t>
            </w:r>
          </w:p>
        </w:tc>
        <w:tc>
          <w:tcPr>
            <w:tcW w:w="1384" w:type="dxa"/>
            <w:tcBorders>
              <w:top w:val="nil"/>
              <w:left w:val="nil"/>
              <w:bottom w:val="single" w:sz="4" w:space="0" w:color="auto"/>
              <w:right w:val="single" w:sz="4" w:space="0" w:color="auto"/>
            </w:tcBorders>
            <w:shd w:val="clear" w:color="000000" w:fill="FFFFFF"/>
            <w:noWrap/>
            <w:vAlign w:val="bottom"/>
            <w:hideMark/>
          </w:tcPr>
          <w:p w14:paraId="6084F314"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2b</w:t>
            </w:r>
          </w:p>
        </w:tc>
        <w:tc>
          <w:tcPr>
            <w:tcW w:w="1134" w:type="dxa"/>
            <w:tcBorders>
              <w:top w:val="nil"/>
              <w:left w:val="nil"/>
              <w:bottom w:val="single" w:sz="4" w:space="0" w:color="auto"/>
              <w:right w:val="single" w:sz="4" w:space="0" w:color="auto"/>
            </w:tcBorders>
            <w:shd w:val="clear" w:color="000000" w:fill="FFFFFF"/>
            <w:noWrap/>
            <w:vAlign w:val="bottom"/>
            <w:hideMark/>
          </w:tcPr>
          <w:p w14:paraId="676E3CBA"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3</w:t>
            </w:r>
          </w:p>
        </w:tc>
        <w:tc>
          <w:tcPr>
            <w:tcW w:w="1277" w:type="dxa"/>
            <w:tcBorders>
              <w:top w:val="nil"/>
              <w:left w:val="nil"/>
              <w:bottom w:val="single" w:sz="4" w:space="0" w:color="auto"/>
              <w:right w:val="single" w:sz="4" w:space="0" w:color="auto"/>
            </w:tcBorders>
            <w:shd w:val="clear" w:color="000000" w:fill="FFFFFF"/>
            <w:noWrap/>
            <w:vAlign w:val="bottom"/>
            <w:hideMark/>
          </w:tcPr>
          <w:p w14:paraId="0B1C8C15"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4</w:t>
            </w:r>
          </w:p>
        </w:tc>
        <w:tc>
          <w:tcPr>
            <w:tcW w:w="1040" w:type="dxa"/>
            <w:tcBorders>
              <w:top w:val="nil"/>
              <w:left w:val="nil"/>
              <w:bottom w:val="single" w:sz="4" w:space="0" w:color="auto"/>
              <w:right w:val="single" w:sz="4" w:space="0" w:color="auto"/>
            </w:tcBorders>
            <w:shd w:val="clear" w:color="000000" w:fill="FFFFFF"/>
            <w:noWrap/>
            <w:vAlign w:val="bottom"/>
            <w:hideMark/>
          </w:tcPr>
          <w:p w14:paraId="6136B34E"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5</w:t>
            </w:r>
          </w:p>
        </w:tc>
        <w:tc>
          <w:tcPr>
            <w:tcW w:w="1087" w:type="dxa"/>
            <w:tcBorders>
              <w:top w:val="nil"/>
              <w:left w:val="nil"/>
              <w:bottom w:val="single" w:sz="4" w:space="0" w:color="auto"/>
              <w:right w:val="single" w:sz="4" w:space="0" w:color="auto"/>
            </w:tcBorders>
            <w:shd w:val="clear" w:color="000000" w:fill="FFFFFF"/>
            <w:noWrap/>
            <w:vAlign w:val="bottom"/>
            <w:hideMark/>
          </w:tcPr>
          <w:p w14:paraId="0A89A196"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6</w:t>
            </w:r>
          </w:p>
        </w:tc>
        <w:tc>
          <w:tcPr>
            <w:tcW w:w="1040" w:type="dxa"/>
            <w:tcBorders>
              <w:top w:val="nil"/>
              <w:left w:val="nil"/>
              <w:bottom w:val="single" w:sz="4" w:space="0" w:color="auto"/>
              <w:right w:val="single" w:sz="4" w:space="0" w:color="auto"/>
            </w:tcBorders>
            <w:shd w:val="clear" w:color="000000" w:fill="FFFFFF"/>
            <w:noWrap/>
            <w:vAlign w:val="bottom"/>
            <w:hideMark/>
          </w:tcPr>
          <w:p w14:paraId="5D08C0B2"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7</w:t>
            </w:r>
          </w:p>
        </w:tc>
        <w:tc>
          <w:tcPr>
            <w:tcW w:w="1226" w:type="dxa"/>
            <w:tcBorders>
              <w:top w:val="nil"/>
              <w:left w:val="nil"/>
              <w:bottom w:val="single" w:sz="4" w:space="0" w:color="auto"/>
              <w:right w:val="single" w:sz="4" w:space="0" w:color="auto"/>
            </w:tcBorders>
            <w:shd w:val="clear" w:color="000000" w:fill="FFFFFF"/>
            <w:noWrap/>
            <w:vAlign w:val="bottom"/>
            <w:hideMark/>
          </w:tcPr>
          <w:p w14:paraId="33D55843" w14:textId="77777777" w:rsidR="00761800" w:rsidRPr="00761800" w:rsidRDefault="00761800" w:rsidP="00761800">
            <w:pPr>
              <w:jc w:val="center"/>
              <w:rPr>
                <w:rFonts w:ascii="Times New Roman" w:hAnsi="Times New Roman"/>
                <w:sz w:val="22"/>
                <w:szCs w:val="22"/>
                <w:lang w:eastAsia="bg-BG"/>
              </w:rPr>
            </w:pPr>
            <w:r w:rsidRPr="00761800">
              <w:rPr>
                <w:rFonts w:ascii="Times New Roman" w:hAnsi="Times New Roman"/>
                <w:sz w:val="22"/>
                <w:szCs w:val="22"/>
                <w:lang w:eastAsia="bg-BG"/>
              </w:rPr>
              <w:t>8</w:t>
            </w:r>
          </w:p>
        </w:tc>
      </w:tr>
      <w:tr w:rsidR="00761800" w:rsidRPr="00761800" w14:paraId="52F0C9D0"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3C52D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БЛАГОЕВГРАД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2E65A4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0C5827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2CEEE7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642A9F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5233DB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2A82B1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2E5A6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6F2B0F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1F30F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4A041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DD6B7D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A7B1D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Банско</w:t>
            </w:r>
          </w:p>
        </w:tc>
        <w:tc>
          <w:tcPr>
            <w:tcW w:w="1911" w:type="dxa"/>
            <w:tcBorders>
              <w:top w:val="nil"/>
              <w:left w:val="nil"/>
              <w:bottom w:val="single" w:sz="4" w:space="0" w:color="auto"/>
              <w:right w:val="single" w:sz="4" w:space="0" w:color="auto"/>
            </w:tcBorders>
            <w:shd w:val="clear" w:color="000000" w:fill="FFFFFF"/>
            <w:noWrap/>
            <w:vAlign w:val="bottom"/>
            <w:hideMark/>
          </w:tcPr>
          <w:p w14:paraId="602502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11 086,6</w:t>
            </w:r>
          </w:p>
        </w:tc>
        <w:tc>
          <w:tcPr>
            <w:tcW w:w="1118" w:type="dxa"/>
            <w:tcBorders>
              <w:top w:val="nil"/>
              <w:left w:val="nil"/>
              <w:bottom w:val="single" w:sz="4" w:space="0" w:color="auto"/>
              <w:right w:val="single" w:sz="4" w:space="0" w:color="auto"/>
            </w:tcBorders>
            <w:shd w:val="clear" w:color="000000" w:fill="FFFFFF"/>
            <w:noWrap/>
            <w:vAlign w:val="bottom"/>
            <w:hideMark/>
          </w:tcPr>
          <w:p w14:paraId="06D3D2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948,4</w:t>
            </w:r>
          </w:p>
        </w:tc>
        <w:tc>
          <w:tcPr>
            <w:tcW w:w="1257" w:type="dxa"/>
            <w:tcBorders>
              <w:top w:val="nil"/>
              <w:left w:val="nil"/>
              <w:bottom w:val="single" w:sz="4" w:space="0" w:color="auto"/>
              <w:right w:val="single" w:sz="4" w:space="0" w:color="auto"/>
            </w:tcBorders>
            <w:shd w:val="clear" w:color="000000" w:fill="FFFFFF"/>
            <w:noWrap/>
            <w:vAlign w:val="bottom"/>
            <w:hideMark/>
          </w:tcPr>
          <w:p w14:paraId="07517B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151,5</w:t>
            </w:r>
          </w:p>
        </w:tc>
        <w:tc>
          <w:tcPr>
            <w:tcW w:w="1384" w:type="dxa"/>
            <w:tcBorders>
              <w:top w:val="nil"/>
              <w:left w:val="nil"/>
              <w:bottom w:val="single" w:sz="4" w:space="0" w:color="auto"/>
              <w:right w:val="single" w:sz="4" w:space="0" w:color="auto"/>
            </w:tcBorders>
            <w:shd w:val="clear" w:color="000000" w:fill="FFFFFF"/>
            <w:noWrap/>
            <w:vAlign w:val="bottom"/>
            <w:hideMark/>
          </w:tcPr>
          <w:p w14:paraId="5BECED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796,9</w:t>
            </w:r>
          </w:p>
        </w:tc>
        <w:tc>
          <w:tcPr>
            <w:tcW w:w="1134" w:type="dxa"/>
            <w:tcBorders>
              <w:top w:val="nil"/>
              <w:left w:val="nil"/>
              <w:bottom w:val="single" w:sz="4" w:space="0" w:color="auto"/>
              <w:right w:val="single" w:sz="4" w:space="0" w:color="auto"/>
            </w:tcBorders>
            <w:shd w:val="clear" w:color="000000" w:fill="FFFFFF"/>
            <w:noWrap/>
            <w:vAlign w:val="bottom"/>
            <w:hideMark/>
          </w:tcPr>
          <w:p w14:paraId="2B609C9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143,5</w:t>
            </w:r>
          </w:p>
        </w:tc>
        <w:tc>
          <w:tcPr>
            <w:tcW w:w="1277" w:type="dxa"/>
            <w:tcBorders>
              <w:top w:val="nil"/>
              <w:left w:val="nil"/>
              <w:bottom w:val="single" w:sz="4" w:space="0" w:color="auto"/>
              <w:right w:val="single" w:sz="4" w:space="0" w:color="auto"/>
            </w:tcBorders>
            <w:shd w:val="clear" w:color="000000" w:fill="FFFFFF"/>
            <w:noWrap/>
            <w:vAlign w:val="bottom"/>
            <w:hideMark/>
          </w:tcPr>
          <w:p w14:paraId="346463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7 076,8</w:t>
            </w:r>
          </w:p>
        </w:tc>
        <w:tc>
          <w:tcPr>
            <w:tcW w:w="1040" w:type="dxa"/>
            <w:tcBorders>
              <w:top w:val="nil"/>
              <w:left w:val="nil"/>
              <w:bottom w:val="single" w:sz="4" w:space="0" w:color="auto"/>
              <w:right w:val="single" w:sz="4" w:space="0" w:color="auto"/>
            </w:tcBorders>
            <w:shd w:val="clear" w:color="000000" w:fill="FFFFFF"/>
            <w:noWrap/>
            <w:vAlign w:val="bottom"/>
            <w:hideMark/>
          </w:tcPr>
          <w:p w14:paraId="0A4B63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307,4</w:t>
            </w:r>
          </w:p>
        </w:tc>
        <w:tc>
          <w:tcPr>
            <w:tcW w:w="1087" w:type="dxa"/>
            <w:tcBorders>
              <w:top w:val="nil"/>
              <w:left w:val="nil"/>
              <w:bottom w:val="single" w:sz="4" w:space="0" w:color="auto"/>
              <w:right w:val="single" w:sz="4" w:space="0" w:color="auto"/>
            </w:tcBorders>
            <w:shd w:val="clear" w:color="000000" w:fill="FFFFFF"/>
            <w:noWrap/>
            <w:vAlign w:val="bottom"/>
            <w:hideMark/>
          </w:tcPr>
          <w:p w14:paraId="092E37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2 051,1</w:t>
            </w:r>
          </w:p>
        </w:tc>
        <w:tc>
          <w:tcPr>
            <w:tcW w:w="1040" w:type="dxa"/>
            <w:tcBorders>
              <w:top w:val="nil"/>
              <w:left w:val="nil"/>
              <w:bottom w:val="single" w:sz="4" w:space="0" w:color="auto"/>
              <w:right w:val="single" w:sz="4" w:space="0" w:color="auto"/>
            </w:tcBorders>
            <w:shd w:val="clear" w:color="000000" w:fill="FFFFFF"/>
            <w:noWrap/>
            <w:vAlign w:val="bottom"/>
            <w:hideMark/>
          </w:tcPr>
          <w:p w14:paraId="4D2171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559,4</w:t>
            </w:r>
          </w:p>
        </w:tc>
        <w:tc>
          <w:tcPr>
            <w:tcW w:w="1226" w:type="dxa"/>
            <w:tcBorders>
              <w:top w:val="nil"/>
              <w:left w:val="nil"/>
              <w:bottom w:val="single" w:sz="4" w:space="0" w:color="auto"/>
              <w:right w:val="single" w:sz="4" w:space="0" w:color="auto"/>
            </w:tcBorders>
            <w:shd w:val="clear" w:color="000000" w:fill="FFFFFF"/>
            <w:noWrap/>
            <w:vAlign w:val="bottom"/>
            <w:hideMark/>
          </w:tcPr>
          <w:p w14:paraId="1714A3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E619E0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156ED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Белица</w:t>
            </w:r>
          </w:p>
        </w:tc>
        <w:tc>
          <w:tcPr>
            <w:tcW w:w="1911" w:type="dxa"/>
            <w:tcBorders>
              <w:top w:val="nil"/>
              <w:left w:val="nil"/>
              <w:bottom w:val="single" w:sz="4" w:space="0" w:color="auto"/>
              <w:right w:val="single" w:sz="4" w:space="0" w:color="auto"/>
            </w:tcBorders>
            <w:shd w:val="clear" w:color="000000" w:fill="FFFFFF"/>
            <w:noWrap/>
            <w:vAlign w:val="bottom"/>
            <w:hideMark/>
          </w:tcPr>
          <w:p w14:paraId="7ED0C5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7 041,6</w:t>
            </w:r>
          </w:p>
        </w:tc>
        <w:tc>
          <w:tcPr>
            <w:tcW w:w="1118" w:type="dxa"/>
            <w:tcBorders>
              <w:top w:val="nil"/>
              <w:left w:val="nil"/>
              <w:bottom w:val="single" w:sz="4" w:space="0" w:color="auto"/>
              <w:right w:val="single" w:sz="4" w:space="0" w:color="auto"/>
            </w:tcBorders>
            <w:shd w:val="clear" w:color="000000" w:fill="FFFFFF"/>
            <w:noWrap/>
            <w:vAlign w:val="bottom"/>
            <w:hideMark/>
          </w:tcPr>
          <w:p w14:paraId="2A382E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903,8</w:t>
            </w:r>
          </w:p>
        </w:tc>
        <w:tc>
          <w:tcPr>
            <w:tcW w:w="1257" w:type="dxa"/>
            <w:tcBorders>
              <w:top w:val="nil"/>
              <w:left w:val="nil"/>
              <w:bottom w:val="single" w:sz="4" w:space="0" w:color="auto"/>
              <w:right w:val="single" w:sz="4" w:space="0" w:color="auto"/>
            </w:tcBorders>
            <w:shd w:val="clear" w:color="000000" w:fill="FFFFFF"/>
            <w:noWrap/>
            <w:vAlign w:val="bottom"/>
            <w:hideMark/>
          </w:tcPr>
          <w:p w14:paraId="485187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217,3</w:t>
            </w:r>
          </w:p>
        </w:tc>
        <w:tc>
          <w:tcPr>
            <w:tcW w:w="1384" w:type="dxa"/>
            <w:tcBorders>
              <w:top w:val="nil"/>
              <w:left w:val="nil"/>
              <w:bottom w:val="single" w:sz="4" w:space="0" w:color="auto"/>
              <w:right w:val="single" w:sz="4" w:space="0" w:color="auto"/>
            </w:tcBorders>
            <w:shd w:val="clear" w:color="000000" w:fill="FFFFFF"/>
            <w:noWrap/>
            <w:vAlign w:val="bottom"/>
            <w:hideMark/>
          </w:tcPr>
          <w:p w14:paraId="7ABDFC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686,5</w:t>
            </w:r>
          </w:p>
        </w:tc>
        <w:tc>
          <w:tcPr>
            <w:tcW w:w="1134" w:type="dxa"/>
            <w:tcBorders>
              <w:top w:val="nil"/>
              <w:left w:val="nil"/>
              <w:bottom w:val="single" w:sz="4" w:space="0" w:color="auto"/>
              <w:right w:val="single" w:sz="4" w:space="0" w:color="auto"/>
            </w:tcBorders>
            <w:shd w:val="clear" w:color="000000" w:fill="FFFFFF"/>
            <w:noWrap/>
            <w:vAlign w:val="bottom"/>
            <w:hideMark/>
          </w:tcPr>
          <w:p w14:paraId="65978B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116,9</w:t>
            </w:r>
          </w:p>
        </w:tc>
        <w:tc>
          <w:tcPr>
            <w:tcW w:w="1277" w:type="dxa"/>
            <w:tcBorders>
              <w:top w:val="nil"/>
              <w:left w:val="nil"/>
              <w:bottom w:val="single" w:sz="4" w:space="0" w:color="auto"/>
              <w:right w:val="single" w:sz="4" w:space="0" w:color="auto"/>
            </w:tcBorders>
            <w:shd w:val="clear" w:color="000000" w:fill="FFFFFF"/>
            <w:noWrap/>
            <w:vAlign w:val="bottom"/>
            <w:hideMark/>
          </w:tcPr>
          <w:p w14:paraId="01D931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4 979,3</w:t>
            </w:r>
          </w:p>
        </w:tc>
        <w:tc>
          <w:tcPr>
            <w:tcW w:w="1040" w:type="dxa"/>
            <w:tcBorders>
              <w:top w:val="nil"/>
              <w:left w:val="nil"/>
              <w:bottom w:val="single" w:sz="4" w:space="0" w:color="auto"/>
              <w:right w:val="single" w:sz="4" w:space="0" w:color="auto"/>
            </w:tcBorders>
            <w:shd w:val="clear" w:color="000000" w:fill="FFFFFF"/>
            <w:noWrap/>
            <w:vAlign w:val="bottom"/>
            <w:hideMark/>
          </w:tcPr>
          <w:p w14:paraId="045737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145,2</w:t>
            </w:r>
          </w:p>
        </w:tc>
        <w:tc>
          <w:tcPr>
            <w:tcW w:w="1087" w:type="dxa"/>
            <w:tcBorders>
              <w:top w:val="nil"/>
              <w:left w:val="nil"/>
              <w:bottom w:val="single" w:sz="4" w:space="0" w:color="auto"/>
              <w:right w:val="single" w:sz="4" w:space="0" w:color="auto"/>
            </w:tcBorders>
            <w:shd w:val="clear" w:color="000000" w:fill="FFFFFF"/>
            <w:noWrap/>
            <w:vAlign w:val="bottom"/>
            <w:hideMark/>
          </w:tcPr>
          <w:p w14:paraId="20F5F0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705,3</w:t>
            </w:r>
          </w:p>
        </w:tc>
        <w:tc>
          <w:tcPr>
            <w:tcW w:w="1040" w:type="dxa"/>
            <w:tcBorders>
              <w:top w:val="nil"/>
              <w:left w:val="nil"/>
              <w:bottom w:val="single" w:sz="4" w:space="0" w:color="auto"/>
              <w:right w:val="single" w:sz="4" w:space="0" w:color="auto"/>
            </w:tcBorders>
            <w:shd w:val="clear" w:color="000000" w:fill="FFFFFF"/>
            <w:noWrap/>
            <w:vAlign w:val="bottom"/>
            <w:hideMark/>
          </w:tcPr>
          <w:p w14:paraId="161617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688E83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E7A1AF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1F84DF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Благоевград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6DD37A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54 732,5</w:t>
            </w:r>
          </w:p>
        </w:tc>
        <w:tc>
          <w:tcPr>
            <w:tcW w:w="1118" w:type="dxa"/>
            <w:tcBorders>
              <w:top w:val="nil"/>
              <w:left w:val="nil"/>
              <w:bottom w:val="single" w:sz="4" w:space="0" w:color="auto"/>
              <w:right w:val="single" w:sz="4" w:space="0" w:color="auto"/>
            </w:tcBorders>
            <w:shd w:val="clear" w:color="000000" w:fill="FFFFFF"/>
            <w:noWrap/>
            <w:vAlign w:val="bottom"/>
            <w:hideMark/>
          </w:tcPr>
          <w:p w14:paraId="65118F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3 837,1</w:t>
            </w:r>
          </w:p>
        </w:tc>
        <w:tc>
          <w:tcPr>
            <w:tcW w:w="1257" w:type="dxa"/>
            <w:tcBorders>
              <w:top w:val="nil"/>
              <w:left w:val="nil"/>
              <w:bottom w:val="single" w:sz="4" w:space="0" w:color="auto"/>
              <w:right w:val="single" w:sz="4" w:space="0" w:color="auto"/>
            </w:tcBorders>
            <w:shd w:val="clear" w:color="000000" w:fill="FFFFFF"/>
            <w:noWrap/>
            <w:vAlign w:val="bottom"/>
            <w:hideMark/>
          </w:tcPr>
          <w:p w14:paraId="6DBBDD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454,8</w:t>
            </w:r>
          </w:p>
        </w:tc>
        <w:tc>
          <w:tcPr>
            <w:tcW w:w="1384" w:type="dxa"/>
            <w:tcBorders>
              <w:top w:val="nil"/>
              <w:left w:val="nil"/>
              <w:bottom w:val="single" w:sz="4" w:space="0" w:color="auto"/>
              <w:right w:val="single" w:sz="4" w:space="0" w:color="auto"/>
            </w:tcBorders>
            <w:shd w:val="clear" w:color="000000" w:fill="FFFFFF"/>
            <w:noWrap/>
            <w:vAlign w:val="bottom"/>
            <w:hideMark/>
          </w:tcPr>
          <w:p w14:paraId="5B3D83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3 382,3</w:t>
            </w:r>
          </w:p>
        </w:tc>
        <w:tc>
          <w:tcPr>
            <w:tcW w:w="1134" w:type="dxa"/>
            <w:tcBorders>
              <w:top w:val="nil"/>
              <w:left w:val="nil"/>
              <w:bottom w:val="single" w:sz="4" w:space="0" w:color="auto"/>
              <w:right w:val="single" w:sz="4" w:space="0" w:color="auto"/>
            </w:tcBorders>
            <w:shd w:val="clear" w:color="000000" w:fill="FFFFFF"/>
            <w:noWrap/>
            <w:vAlign w:val="bottom"/>
            <w:hideMark/>
          </w:tcPr>
          <w:p w14:paraId="61DEF4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309,3</w:t>
            </w:r>
          </w:p>
        </w:tc>
        <w:tc>
          <w:tcPr>
            <w:tcW w:w="1277" w:type="dxa"/>
            <w:tcBorders>
              <w:top w:val="nil"/>
              <w:left w:val="nil"/>
              <w:bottom w:val="single" w:sz="4" w:space="0" w:color="auto"/>
              <w:right w:val="single" w:sz="4" w:space="0" w:color="auto"/>
            </w:tcBorders>
            <w:shd w:val="clear" w:color="000000" w:fill="FFFFFF"/>
            <w:noWrap/>
            <w:vAlign w:val="bottom"/>
            <w:hideMark/>
          </w:tcPr>
          <w:p w14:paraId="415E41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36 370,9</w:t>
            </w:r>
          </w:p>
        </w:tc>
        <w:tc>
          <w:tcPr>
            <w:tcW w:w="1040" w:type="dxa"/>
            <w:tcBorders>
              <w:top w:val="nil"/>
              <w:left w:val="nil"/>
              <w:bottom w:val="single" w:sz="4" w:space="0" w:color="auto"/>
              <w:right w:val="single" w:sz="4" w:space="0" w:color="auto"/>
            </w:tcBorders>
            <w:shd w:val="clear" w:color="000000" w:fill="FFFFFF"/>
            <w:noWrap/>
            <w:vAlign w:val="bottom"/>
            <w:hideMark/>
          </w:tcPr>
          <w:p w14:paraId="57F861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4 536,7</w:t>
            </w:r>
          </w:p>
        </w:tc>
        <w:tc>
          <w:tcPr>
            <w:tcW w:w="1087" w:type="dxa"/>
            <w:tcBorders>
              <w:top w:val="nil"/>
              <w:left w:val="nil"/>
              <w:bottom w:val="single" w:sz="4" w:space="0" w:color="auto"/>
              <w:right w:val="single" w:sz="4" w:space="0" w:color="auto"/>
            </w:tcBorders>
            <w:shd w:val="clear" w:color="000000" w:fill="FFFFFF"/>
            <w:noWrap/>
            <w:vAlign w:val="bottom"/>
            <w:hideMark/>
          </w:tcPr>
          <w:p w14:paraId="6EBB7E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7 605,4</w:t>
            </w:r>
          </w:p>
        </w:tc>
        <w:tc>
          <w:tcPr>
            <w:tcW w:w="1040" w:type="dxa"/>
            <w:tcBorders>
              <w:top w:val="nil"/>
              <w:left w:val="nil"/>
              <w:bottom w:val="single" w:sz="4" w:space="0" w:color="auto"/>
              <w:right w:val="single" w:sz="4" w:space="0" w:color="auto"/>
            </w:tcBorders>
            <w:shd w:val="clear" w:color="000000" w:fill="FFFFFF"/>
            <w:noWrap/>
            <w:vAlign w:val="bottom"/>
            <w:hideMark/>
          </w:tcPr>
          <w:p w14:paraId="29DEC5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2 073,1</w:t>
            </w:r>
          </w:p>
        </w:tc>
        <w:tc>
          <w:tcPr>
            <w:tcW w:w="1226" w:type="dxa"/>
            <w:tcBorders>
              <w:top w:val="nil"/>
              <w:left w:val="nil"/>
              <w:bottom w:val="single" w:sz="4" w:space="0" w:color="auto"/>
              <w:right w:val="single" w:sz="4" w:space="0" w:color="auto"/>
            </w:tcBorders>
            <w:shd w:val="clear" w:color="000000" w:fill="FFFFFF"/>
            <w:noWrap/>
            <w:vAlign w:val="bottom"/>
            <w:hideMark/>
          </w:tcPr>
          <w:p w14:paraId="624DD1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70FA7C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D68D7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Гоце Делчев</w:t>
            </w:r>
          </w:p>
        </w:tc>
        <w:tc>
          <w:tcPr>
            <w:tcW w:w="1911" w:type="dxa"/>
            <w:tcBorders>
              <w:top w:val="nil"/>
              <w:left w:val="nil"/>
              <w:bottom w:val="single" w:sz="4" w:space="0" w:color="auto"/>
              <w:right w:val="single" w:sz="4" w:space="0" w:color="auto"/>
            </w:tcBorders>
            <w:shd w:val="clear" w:color="000000" w:fill="FFFFFF"/>
            <w:noWrap/>
            <w:vAlign w:val="bottom"/>
            <w:hideMark/>
          </w:tcPr>
          <w:p w14:paraId="0A2174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26 001,0</w:t>
            </w:r>
          </w:p>
        </w:tc>
        <w:tc>
          <w:tcPr>
            <w:tcW w:w="1118" w:type="dxa"/>
            <w:tcBorders>
              <w:top w:val="nil"/>
              <w:left w:val="nil"/>
              <w:bottom w:val="single" w:sz="4" w:space="0" w:color="auto"/>
              <w:right w:val="single" w:sz="4" w:space="0" w:color="auto"/>
            </w:tcBorders>
            <w:shd w:val="clear" w:color="000000" w:fill="FFFFFF"/>
            <w:noWrap/>
            <w:vAlign w:val="bottom"/>
            <w:hideMark/>
          </w:tcPr>
          <w:p w14:paraId="408E2B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1 570,8</w:t>
            </w:r>
          </w:p>
        </w:tc>
        <w:tc>
          <w:tcPr>
            <w:tcW w:w="1257" w:type="dxa"/>
            <w:tcBorders>
              <w:top w:val="nil"/>
              <w:left w:val="nil"/>
              <w:bottom w:val="single" w:sz="4" w:space="0" w:color="auto"/>
              <w:right w:val="single" w:sz="4" w:space="0" w:color="auto"/>
            </w:tcBorders>
            <w:shd w:val="clear" w:color="000000" w:fill="FFFFFF"/>
            <w:noWrap/>
            <w:vAlign w:val="bottom"/>
            <w:hideMark/>
          </w:tcPr>
          <w:p w14:paraId="292DF4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202,1</w:t>
            </w:r>
          </w:p>
        </w:tc>
        <w:tc>
          <w:tcPr>
            <w:tcW w:w="1384" w:type="dxa"/>
            <w:tcBorders>
              <w:top w:val="nil"/>
              <w:left w:val="nil"/>
              <w:bottom w:val="single" w:sz="4" w:space="0" w:color="auto"/>
              <w:right w:val="single" w:sz="4" w:space="0" w:color="auto"/>
            </w:tcBorders>
            <w:shd w:val="clear" w:color="000000" w:fill="FFFFFF"/>
            <w:noWrap/>
            <w:vAlign w:val="bottom"/>
            <w:hideMark/>
          </w:tcPr>
          <w:p w14:paraId="630E45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1 368,7</w:t>
            </w:r>
          </w:p>
        </w:tc>
        <w:tc>
          <w:tcPr>
            <w:tcW w:w="1134" w:type="dxa"/>
            <w:tcBorders>
              <w:top w:val="nil"/>
              <w:left w:val="nil"/>
              <w:bottom w:val="single" w:sz="4" w:space="0" w:color="auto"/>
              <w:right w:val="single" w:sz="4" w:space="0" w:color="auto"/>
            </w:tcBorders>
            <w:shd w:val="clear" w:color="000000" w:fill="FFFFFF"/>
            <w:noWrap/>
            <w:vAlign w:val="bottom"/>
            <w:hideMark/>
          </w:tcPr>
          <w:p w14:paraId="359727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171,5</w:t>
            </w:r>
          </w:p>
        </w:tc>
        <w:tc>
          <w:tcPr>
            <w:tcW w:w="1277" w:type="dxa"/>
            <w:tcBorders>
              <w:top w:val="nil"/>
              <w:left w:val="nil"/>
              <w:bottom w:val="single" w:sz="4" w:space="0" w:color="auto"/>
              <w:right w:val="single" w:sz="4" w:space="0" w:color="auto"/>
            </w:tcBorders>
            <w:shd w:val="clear" w:color="000000" w:fill="FFFFFF"/>
            <w:noWrap/>
            <w:vAlign w:val="bottom"/>
            <w:hideMark/>
          </w:tcPr>
          <w:p w14:paraId="02C1F6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18 373,6</w:t>
            </w:r>
          </w:p>
        </w:tc>
        <w:tc>
          <w:tcPr>
            <w:tcW w:w="1040" w:type="dxa"/>
            <w:tcBorders>
              <w:top w:val="nil"/>
              <w:left w:val="nil"/>
              <w:bottom w:val="single" w:sz="4" w:space="0" w:color="auto"/>
              <w:right w:val="single" w:sz="4" w:space="0" w:color="auto"/>
            </w:tcBorders>
            <w:shd w:val="clear" w:color="000000" w:fill="FFFFFF"/>
            <w:noWrap/>
            <w:vAlign w:val="bottom"/>
            <w:hideMark/>
          </w:tcPr>
          <w:p w14:paraId="6609A3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1 249,0</w:t>
            </w:r>
          </w:p>
        </w:tc>
        <w:tc>
          <w:tcPr>
            <w:tcW w:w="1087" w:type="dxa"/>
            <w:tcBorders>
              <w:top w:val="nil"/>
              <w:left w:val="nil"/>
              <w:bottom w:val="single" w:sz="4" w:space="0" w:color="auto"/>
              <w:right w:val="single" w:sz="4" w:space="0" w:color="auto"/>
            </w:tcBorders>
            <w:shd w:val="clear" w:color="000000" w:fill="FFFFFF"/>
            <w:noWrap/>
            <w:vAlign w:val="bottom"/>
            <w:hideMark/>
          </w:tcPr>
          <w:p w14:paraId="1AD4F7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4 171,7</w:t>
            </w:r>
          </w:p>
        </w:tc>
        <w:tc>
          <w:tcPr>
            <w:tcW w:w="1040" w:type="dxa"/>
            <w:tcBorders>
              <w:top w:val="nil"/>
              <w:left w:val="nil"/>
              <w:bottom w:val="single" w:sz="4" w:space="0" w:color="auto"/>
              <w:right w:val="single" w:sz="4" w:space="0" w:color="auto"/>
            </w:tcBorders>
            <w:shd w:val="clear" w:color="000000" w:fill="FFFFFF"/>
            <w:noWrap/>
            <w:vAlign w:val="bottom"/>
            <w:hideMark/>
          </w:tcPr>
          <w:p w14:paraId="771964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464,4</w:t>
            </w:r>
          </w:p>
        </w:tc>
        <w:tc>
          <w:tcPr>
            <w:tcW w:w="1226" w:type="dxa"/>
            <w:tcBorders>
              <w:top w:val="nil"/>
              <w:left w:val="nil"/>
              <w:bottom w:val="single" w:sz="4" w:space="0" w:color="auto"/>
              <w:right w:val="single" w:sz="4" w:space="0" w:color="auto"/>
            </w:tcBorders>
            <w:shd w:val="clear" w:color="000000" w:fill="FFFFFF"/>
            <w:noWrap/>
            <w:vAlign w:val="bottom"/>
            <w:hideMark/>
          </w:tcPr>
          <w:p w14:paraId="242C00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BA53C0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EA420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Гърмен</w:t>
            </w:r>
          </w:p>
        </w:tc>
        <w:tc>
          <w:tcPr>
            <w:tcW w:w="1911" w:type="dxa"/>
            <w:tcBorders>
              <w:top w:val="nil"/>
              <w:left w:val="nil"/>
              <w:bottom w:val="single" w:sz="4" w:space="0" w:color="auto"/>
              <w:right w:val="single" w:sz="4" w:space="0" w:color="auto"/>
            </w:tcBorders>
            <w:shd w:val="clear" w:color="000000" w:fill="FFFFFF"/>
            <w:noWrap/>
            <w:vAlign w:val="bottom"/>
            <w:hideMark/>
          </w:tcPr>
          <w:p w14:paraId="397483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11 337,7</w:t>
            </w:r>
          </w:p>
        </w:tc>
        <w:tc>
          <w:tcPr>
            <w:tcW w:w="1118" w:type="dxa"/>
            <w:tcBorders>
              <w:top w:val="nil"/>
              <w:left w:val="nil"/>
              <w:bottom w:val="single" w:sz="4" w:space="0" w:color="auto"/>
              <w:right w:val="single" w:sz="4" w:space="0" w:color="auto"/>
            </w:tcBorders>
            <w:shd w:val="clear" w:color="000000" w:fill="FFFFFF"/>
            <w:noWrap/>
            <w:vAlign w:val="bottom"/>
            <w:hideMark/>
          </w:tcPr>
          <w:p w14:paraId="45F1DE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1 194,9</w:t>
            </w:r>
          </w:p>
        </w:tc>
        <w:tc>
          <w:tcPr>
            <w:tcW w:w="1257" w:type="dxa"/>
            <w:tcBorders>
              <w:top w:val="nil"/>
              <w:left w:val="nil"/>
              <w:bottom w:val="single" w:sz="4" w:space="0" w:color="auto"/>
              <w:right w:val="single" w:sz="4" w:space="0" w:color="auto"/>
            </w:tcBorders>
            <w:shd w:val="clear" w:color="000000" w:fill="FFFFFF"/>
            <w:noWrap/>
            <w:vAlign w:val="bottom"/>
            <w:hideMark/>
          </w:tcPr>
          <w:p w14:paraId="6AF9DA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288,0</w:t>
            </w:r>
          </w:p>
        </w:tc>
        <w:tc>
          <w:tcPr>
            <w:tcW w:w="1384" w:type="dxa"/>
            <w:tcBorders>
              <w:top w:val="nil"/>
              <w:left w:val="nil"/>
              <w:bottom w:val="single" w:sz="4" w:space="0" w:color="auto"/>
              <w:right w:val="single" w:sz="4" w:space="0" w:color="auto"/>
            </w:tcBorders>
            <w:shd w:val="clear" w:color="000000" w:fill="FFFFFF"/>
            <w:noWrap/>
            <w:vAlign w:val="bottom"/>
            <w:hideMark/>
          </w:tcPr>
          <w:p w14:paraId="0E4575F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906,9</w:t>
            </w:r>
          </w:p>
        </w:tc>
        <w:tc>
          <w:tcPr>
            <w:tcW w:w="1134" w:type="dxa"/>
            <w:tcBorders>
              <w:top w:val="nil"/>
              <w:left w:val="nil"/>
              <w:bottom w:val="single" w:sz="4" w:space="0" w:color="auto"/>
              <w:right w:val="single" w:sz="4" w:space="0" w:color="auto"/>
            </w:tcBorders>
            <w:shd w:val="clear" w:color="000000" w:fill="FFFFFF"/>
            <w:noWrap/>
            <w:vAlign w:val="bottom"/>
            <w:hideMark/>
          </w:tcPr>
          <w:p w14:paraId="19CC05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110,6</w:t>
            </w:r>
          </w:p>
        </w:tc>
        <w:tc>
          <w:tcPr>
            <w:tcW w:w="1277" w:type="dxa"/>
            <w:tcBorders>
              <w:top w:val="nil"/>
              <w:left w:val="nil"/>
              <w:bottom w:val="single" w:sz="4" w:space="0" w:color="auto"/>
              <w:right w:val="single" w:sz="4" w:space="0" w:color="auto"/>
            </w:tcBorders>
            <w:shd w:val="clear" w:color="000000" w:fill="FFFFFF"/>
            <w:noWrap/>
            <w:vAlign w:val="bottom"/>
            <w:hideMark/>
          </w:tcPr>
          <w:p w14:paraId="42F0B9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9 171,5</w:t>
            </w:r>
          </w:p>
        </w:tc>
        <w:tc>
          <w:tcPr>
            <w:tcW w:w="1040" w:type="dxa"/>
            <w:tcBorders>
              <w:top w:val="nil"/>
              <w:left w:val="nil"/>
              <w:bottom w:val="single" w:sz="4" w:space="0" w:color="auto"/>
              <w:right w:val="single" w:sz="4" w:space="0" w:color="auto"/>
            </w:tcBorders>
            <w:shd w:val="clear" w:color="000000" w:fill="FFFFFF"/>
            <w:noWrap/>
            <w:vAlign w:val="bottom"/>
            <w:hideMark/>
          </w:tcPr>
          <w:p w14:paraId="27F984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191,9</w:t>
            </w:r>
          </w:p>
        </w:tc>
        <w:tc>
          <w:tcPr>
            <w:tcW w:w="1087" w:type="dxa"/>
            <w:tcBorders>
              <w:top w:val="nil"/>
              <w:left w:val="nil"/>
              <w:bottom w:val="single" w:sz="4" w:space="0" w:color="auto"/>
              <w:right w:val="single" w:sz="4" w:space="0" w:color="auto"/>
            </w:tcBorders>
            <w:shd w:val="clear" w:color="000000" w:fill="FFFFFF"/>
            <w:noWrap/>
            <w:vAlign w:val="bottom"/>
            <w:hideMark/>
          </w:tcPr>
          <w:p w14:paraId="2A56E7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500,2</w:t>
            </w:r>
          </w:p>
        </w:tc>
        <w:tc>
          <w:tcPr>
            <w:tcW w:w="1040" w:type="dxa"/>
            <w:tcBorders>
              <w:top w:val="nil"/>
              <w:left w:val="nil"/>
              <w:bottom w:val="single" w:sz="4" w:space="0" w:color="auto"/>
              <w:right w:val="single" w:sz="4" w:space="0" w:color="auto"/>
            </w:tcBorders>
            <w:shd w:val="clear" w:color="000000" w:fill="FFFFFF"/>
            <w:noWrap/>
            <w:vAlign w:val="bottom"/>
            <w:hideMark/>
          </w:tcPr>
          <w:p w14:paraId="62F846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69B6FA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115A640"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CFC42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Kресна</w:t>
            </w:r>
          </w:p>
        </w:tc>
        <w:tc>
          <w:tcPr>
            <w:tcW w:w="1911" w:type="dxa"/>
            <w:tcBorders>
              <w:top w:val="nil"/>
              <w:left w:val="nil"/>
              <w:bottom w:val="single" w:sz="4" w:space="0" w:color="auto"/>
              <w:right w:val="single" w:sz="4" w:space="0" w:color="auto"/>
            </w:tcBorders>
            <w:shd w:val="clear" w:color="000000" w:fill="FFFFFF"/>
            <w:noWrap/>
            <w:vAlign w:val="bottom"/>
            <w:hideMark/>
          </w:tcPr>
          <w:p w14:paraId="748ACC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3 531,5</w:t>
            </w:r>
          </w:p>
        </w:tc>
        <w:tc>
          <w:tcPr>
            <w:tcW w:w="1118" w:type="dxa"/>
            <w:tcBorders>
              <w:top w:val="nil"/>
              <w:left w:val="nil"/>
              <w:bottom w:val="single" w:sz="4" w:space="0" w:color="auto"/>
              <w:right w:val="single" w:sz="4" w:space="0" w:color="auto"/>
            </w:tcBorders>
            <w:shd w:val="clear" w:color="000000" w:fill="FFFFFF"/>
            <w:noWrap/>
            <w:vAlign w:val="bottom"/>
            <w:hideMark/>
          </w:tcPr>
          <w:p w14:paraId="0BD893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655,9</w:t>
            </w:r>
          </w:p>
        </w:tc>
        <w:tc>
          <w:tcPr>
            <w:tcW w:w="1257" w:type="dxa"/>
            <w:tcBorders>
              <w:top w:val="nil"/>
              <w:left w:val="nil"/>
              <w:bottom w:val="single" w:sz="4" w:space="0" w:color="auto"/>
              <w:right w:val="single" w:sz="4" w:space="0" w:color="auto"/>
            </w:tcBorders>
            <w:shd w:val="clear" w:color="000000" w:fill="FFFFFF"/>
            <w:noWrap/>
            <w:vAlign w:val="bottom"/>
            <w:hideMark/>
          </w:tcPr>
          <w:p w14:paraId="0E99C8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116,3</w:t>
            </w:r>
          </w:p>
        </w:tc>
        <w:tc>
          <w:tcPr>
            <w:tcW w:w="1384" w:type="dxa"/>
            <w:tcBorders>
              <w:top w:val="nil"/>
              <w:left w:val="nil"/>
              <w:bottom w:val="single" w:sz="4" w:space="0" w:color="auto"/>
              <w:right w:val="single" w:sz="4" w:space="0" w:color="auto"/>
            </w:tcBorders>
            <w:shd w:val="clear" w:color="000000" w:fill="FFFFFF"/>
            <w:noWrap/>
            <w:vAlign w:val="bottom"/>
            <w:hideMark/>
          </w:tcPr>
          <w:p w14:paraId="3CA6EF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539,6</w:t>
            </w:r>
          </w:p>
        </w:tc>
        <w:tc>
          <w:tcPr>
            <w:tcW w:w="1134" w:type="dxa"/>
            <w:tcBorders>
              <w:top w:val="nil"/>
              <w:left w:val="nil"/>
              <w:bottom w:val="single" w:sz="4" w:space="0" w:color="auto"/>
              <w:right w:val="single" w:sz="4" w:space="0" w:color="auto"/>
            </w:tcBorders>
            <w:shd w:val="clear" w:color="000000" w:fill="FFFFFF"/>
            <w:noWrap/>
            <w:vAlign w:val="bottom"/>
            <w:hideMark/>
          </w:tcPr>
          <w:p w14:paraId="6B4B12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115,1</w:t>
            </w:r>
          </w:p>
        </w:tc>
        <w:tc>
          <w:tcPr>
            <w:tcW w:w="1277" w:type="dxa"/>
            <w:tcBorders>
              <w:top w:val="nil"/>
              <w:left w:val="nil"/>
              <w:bottom w:val="single" w:sz="4" w:space="0" w:color="auto"/>
              <w:right w:val="single" w:sz="4" w:space="0" w:color="auto"/>
            </w:tcBorders>
            <w:shd w:val="clear" w:color="000000" w:fill="FFFFFF"/>
            <w:noWrap/>
            <w:vAlign w:val="bottom"/>
            <w:hideMark/>
          </w:tcPr>
          <w:p w14:paraId="3A1914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1 682,0</w:t>
            </w:r>
          </w:p>
        </w:tc>
        <w:tc>
          <w:tcPr>
            <w:tcW w:w="1040" w:type="dxa"/>
            <w:tcBorders>
              <w:top w:val="nil"/>
              <w:left w:val="nil"/>
              <w:bottom w:val="single" w:sz="4" w:space="0" w:color="auto"/>
              <w:right w:val="single" w:sz="4" w:space="0" w:color="auto"/>
            </w:tcBorders>
            <w:shd w:val="clear" w:color="000000" w:fill="FFFFFF"/>
            <w:noWrap/>
            <w:vAlign w:val="bottom"/>
            <w:hideMark/>
          </w:tcPr>
          <w:p w14:paraId="6F334F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283,3</w:t>
            </w:r>
          </w:p>
        </w:tc>
        <w:tc>
          <w:tcPr>
            <w:tcW w:w="1087" w:type="dxa"/>
            <w:tcBorders>
              <w:top w:val="nil"/>
              <w:left w:val="nil"/>
              <w:bottom w:val="single" w:sz="4" w:space="0" w:color="auto"/>
              <w:right w:val="single" w:sz="4" w:space="0" w:color="auto"/>
            </w:tcBorders>
            <w:shd w:val="clear" w:color="000000" w:fill="FFFFFF"/>
            <w:noWrap/>
            <w:vAlign w:val="bottom"/>
            <w:hideMark/>
          </w:tcPr>
          <w:p w14:paraId="1E84AB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727,8</w:t>
            </w:r>
          </w:p>
        </w:tc>
        <w:tc>
          <w:tcPr>
            <w:tcW w:w="1040" w:type="dxa"/>
            <w:tcBorders>
              <w:top w:val="nil"/>
              <w:left w:val="nil"/>
              <w:bottom w:val="single" w:sz="4" w:space="0" w:color="auto"/>
              <w:right w:val="single" w:sz="4" w:space="0" w:color="auto"/>
            </w:tcBorders>
            <w:shd w:val="clear" w:color="000000" w:fill="FFFFFF"/>
            <w:noWrap/>
            <w:vAlign w:val="bottom"/>
            <w:hideMark/>
          </w:tcPr>
          <w:p w14:paraId="62AEF1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67,4</w:t>
            </w:r>
          </w:p>
        </w:tc>
        <w:tc>
          <w:tcPr>
            <w:tcW w:w="1226" w:type="dxa"/>
            <w:tcBorders>
              <w:top w:val="nil"/>
              <w:left w:val="nil"/>
              <w:bottom w:val="single" w:sz="4" w:space="0" w:color="auto"/>
              <w:right w:val="single" w:sz="4" w:space="0" w:color="auto"/>
            </w:tcBorders>
            <w:shd w:val="clear" w:color="000000" w:fill="FFFFFF"/>
            <w:noWrap/>
            <w:vAlign w:val="bottom"/>
            <w:hideMark/>
          </w:tcPr>
          <w:p w14:paraId="6C6105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0A1CDE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697DD8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Петрич</w:t>
            </w:r>
          </w:p>
        </w:tc>
        <w:tc>
          <w:tcPr>
            <w:tcW w:w="1911" w:type="dxa"/>
            <w:tcBorders>
              <w:top w:val="nil"/>
              <w:left w:val="nil"/>
              <w:bottom w:val="single" w:sz="4" w:space="0" w:color="auto"/>
              <w:right w:val="single" w:sz="4" w:space="0" w:color="auto"/>
            </w:tcBorders>
            <w:shd w:val="clear" w:color="000000" w:fill="FFFFFF"/>
            <w:noWrap/>
            <w:vAlign w:val="bottom"/>
            <w:hideMark/>
          </w:tcPr>
          <w:p w14:paraId="5B19B2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28 607,8</w:t>
            </w:r>
          </w:p>
        </w:tc>
        <w:tc>
          <w:tcPr>
            <w:tcW w:w="1118" w:type="dxa"/>
            <w:tcBorders>
              <w:top w:val="nil"/>
              <w:left w:val="nil"/>
              <w:bottom w:val="single" w:sz="4" w:space="0" w:color="auto"/>
              <w:right w:val="single" w:sz="4" w:space="0" w:color="auto"/>
            </w:tcBorders>
            <w:shd w:val="clear" w:color="000000" w:fill="FFFFFF"/>
            <w:noWrap/>
            <w:vAlign w:val="bottom"/>
            <w:hideMark/>
          </w:tcPr>
          <w:p w14:paraId="03E280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2 928,8</w:t>
            </w:r>
          </w:p>
        </w:tc>
        <w:tc>
          <w:tcPr>
            <w:tcW w:w="1257" w:type="dxa"/>
            <w:tcBorders>
              <w:top w:val="nil"/>
              <w:left w:val="nil"/>
              <w:bottom w:val="single" w:sz="4" w:space="0" w:color="auto"/>
              <w:right w:val="single" w:sz="4" w:space="0" w:color="auto"/>
            </w:tcBorders>
            <w:shd w:val="clear" w:color="000000" w:fill="FFFFFF"/>
            <w:noWrap/>
            <w:vAlign w:val="bottom"/>
            <w:hideMark/>
          </w:tcPr>
          <w:p w14:paraId="236A21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700,7</w:t>
            </w:r>
          </w:p>
        </w:tc>
        <w:tc>
          <w:tcPr>
            <w:tcW w:w="1384" w:type="dxa"/>
            <w:tcBorders>
              <w:top w:val="nil"/>
              <w:left w:val="nil"/>
              <w:bottom w:val="single" w:sz="4" w:space="0" w:color="auto"/>
              <w:right w:val="single" w:sz="4" w:space="0" w:color="auto"/>
            </w:tcBorders>
            <w:shd w:val="clear" w:color="000000" w:fill="FFFFFF"/>
            <w:noWrap/>
            <w:vAlign w:val="bottom"/>
            <w:hideMark/>
          </w:tcPr>
          <w:p w14:paraId="398F21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2 228,1</w:t>
            </w:r>
          </w:p>
        </w:tc>
        <w:tc>
          <w:tcPr>
            <w:tcW w:w="1134" w:type="dxa"/>
            <w:tcBorders>
              <w:top w:val="nil"/>
              <w:left w:val="nil"/>
              <w:bottom w:val="single" w:sz="4" w:space="0" w:color="auto"/>
              <w:right w:val="single" w:sz="4" w:space="0" w:color="auto"/>
            </w:tcBorders>
            <w:shd w:val="clear" w:color="000000" w:fill="FFFFFF"/>
            <w:noWrap/>
            <w:vAlign w:val="bottom"/>
            <w:hideMark/>
          </w:tcPr>
          <w:p w14:paraId="42FCDD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192,7</w:t>
            </w:r>
          </w:p>
        </w:tc>
        <w:tc>
          <w:tcPr>
            <w:tcW w:w="1277" w:type="dxa"/>
            <w:tcBorders>
              <w:top w:val="nil"/>
              <w:left w:val="nil"/>
              <w:bottom w:val="single" w:sz="4" w:space="0" w:color="auto"/>
              <w:right w:val="single" w:sz="4" w:space="0" w:color="auto"/>
            </w:tcBorders>
            <w:shd w:val="clear" w:color="000000" w:fill="FFFFFF"/>
            <w:noWrap/>
            <w:vAlign w:val="bottom"/>
            <w:hideMark/>
          </w:tcPr>
          <w:p w14:paraId="79C320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21 982,3</w:t>
            </w:r>
          </w:p>
        </w:tc>
        <w:tc>
          <w:tcPr>
            <w:tcW w:w="1040" w:type="dxa"/>
            <w:tcBorders>
              <w:top w:val="nil"/>
              <w:left w:val="nil"/>
              <w:bottom w:val="single" w:sz="4" w:space="0" w:color="auto"/>
              <w:right w:val="single" w:sz="4" w:space="0" w:color="auto"/>
            </w:tcBorders>
            <w:shd w:val="clear" w:color="000000" w:fill="FFFFFF"/>
            <w:noWrap/>
            <w:vAlign w:val="bottom"/>
            <w:hideMark/>
          </w:tcPr>
          <w:p w14:paraId="4DB732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895,3</w:t>
            </w:r>
          </w:p>
        </w:tc>
        <w:tc>
          <w:tcPr>
            <w:tcW w:w="1087" w:type="dxa"/>
            <w:tcBorders>
              <w:top w:val="nil"/>
              <w:left w:val="nil"/>
              <w:bottom w:val="single" w:sz="4" w:space="0" w:color="auto"/>
              <w:right w:val="single" w:sz="4" w:space="0" w:color="auto"/>
            </w:tcBorders>
            <w:shd w:val="clear" w:color="000000" w:fill="FFFFFF"/>
            <w:noWrap/>
            <w:vAlign w:val="bottom"/>
            <w:hideMark/>
          </w:tcPr>
          <w:p w14:paraId="0808CB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2 159,1</w:t>
            </w:r>
          </w:p>
        </w:tc>
        <w:tc>
          <w:tcPr>
            <w:tcW w:w="1040" w:type="dxa"/>
            <w:tcBorders>
              <w:top w:val="nil"/>
              <w:left w:val="nil"/>
              <w:bottom w:val="single" w:sz="4" w:space="0" w:color="auto"/>
              <w:right w:val="single" w:sz="4" w:space="0" w:color="auto"/>
            </w:tcBorders>
            <w:shd w:val="clear" w:color="000000" w:fill="FFFFFF"/>
            <w:noWrap/>
            <w:vAlign w:val="bottom"/>
            <w:hideMark/>
          </w:tcPr>
          <w:p w14:paraId="548553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449,6</w:t>
            </w:r>
          </w:p>
        </w:tc>
        <w:tc>
          <w:tcPr>
            <w:tcW w:w="1226" w:type="dxa"/>
            <w:tcBorders>
              <w:top w:val="nil"/>
              <w:left w:val="nil"/>
              <w:bottom w:val="single" w:sz="4" w:space="0" w:color="auto"/>
              <w:right w:val="single" w:sz="4" w:space="0" w:color="auto"/>
            </w:tcBorders>
            <w:shd w:val="clear" w:color="000000" w:fill="FFFFFF"/>
            <w:noWrap/>
            <w:vAlign w:val="bottom"/>
            <w:hideMark/>
          </w:tcPr>
          <w:p w14:paraId="19E77C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6ECC1C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A6485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Pазлог</w:t>
            </w:r>
          </w:p>
        </w:tc>
        <w:tc>
          <w:tcPr>
            <w:tcW w:w="1911" w:type="dxa"/>
            <w:tcBorders>
              <w:top w:val="nil"/>
              <w:left w:val="nil"/>
              <w:bottom w:val="single" w:sz="4" w:space="0" w:color="auto"/>
              <w:right w:val="single" w:sz="4" w:space="0" w:color="auto"/>
            </w:tcBorders>
            <w:shd w:val="clear" w:color="000000" w:fill="FFFFFF"/>
            <w:noWrap/>
            <w:vAlign w:val="bottom"/>
            <w:hideMark/>
          </w:tcPr>
          <w:p w14:paraId="3D554D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14 412,8</w:t>
            </w:r>
          </w:p>
        </w:tc>
        <w:tc>
          <w:tcPr>
            <w:tcW w:w="1118" w:type="dxa"/>
            <w:tcBorders>
              <w:top w:val="nil"/>
              <w:left w:val="nil"/>
              <w:bottom w:val="single" w:sz="4" w:space="0" w:color="auto"/>
              <w:right w:val="single" w:sz="4" w:space="0" w:color="auto"/>
            </w:tcBorders>
            <w:shd w:val="clear" w:color="000000" w:fill="FFFFFF"/>
            <w:noWrap/>
            <w:vAlign w:val="bottom"/>
            <w:hideMark/>
          </w:tcPr>
          <w:p w14:paraId="0C98D4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1 164,8</w:t>
            </w:r>
          </w:p>
        </w:tc>
        <w:tc>
          <w:tcPr>
            <w:tcW w:w="1257" w:type="dxa"/>
            <w:tcBorders>
              <w:top w:val="nil"/>
              <w:left w:val="nil"/>
              <w:bottom w:val="single" w:sz="4" w:space="0" w:color="auto"/>
              <w:right w:val="single" w:sz="4" w:space="0" w:color="auto"/>
            </w:tcBorders>
            <w:shd w:val="clear" w:color="000000" w:fill="FFFFFF"/>
            <w:noWrap/>
            <w:vAlign w:val="bottom"/>
            <w:hideMark/>
          </w:tcPr>
          <w:p w14:paraId="5E119C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163,3</w:t>
            </w:r>
          </w:p>
        </w:tc>
        <w:tc>
          <w:tcPr>
            <w:tcW w:w="1384" w:type="dxa"/>
            <w:tcBorders>
              <w:top w:val="nil"/>
              <w:left w:val="nil"/>
              <w:bottom w:val="single" w:sz="4" w:space="0" w:color="auto"/>
              <w:right w:val="single" w:sz="4" w:space="0" w:color="auto"/>
            </w:tcBorders>
            <w:shd w:val="clear" w:color="000000" w:fill="FFFFFF"/>
            <w:noWrap/>
            <w:vAlign w:val="bottom"/>
            <w:hideMark/>
          </w:tcPr>
          <w:p w14:paraId="64A2D5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1 001,5</w:t>
            </w:r>
          </w:p>
        </w:tc>
        <w:tc>
          <w:tcPr>
            <w:tcW w:w="1134" w:type="dxa"/>
            <w:tcBorders>
              <w:top w:val="nil"/>
              <w:left w:val="nil"/>
              <w:bottom w:val="single" w:sz="4" w:space="0" w:color="auto"/>
              <w:right w:val="single" w:sz="4" w:space="0" w:color="auto"/>
            </w:tcBorders>
            <w:shd w:val="clear" w:color="000000" w:fill="FFFFFF"/>
            <w:noWrap/>
            <w:vAlign w:val="bottom"/>
            <w:hideMark/>
          </w:tcPr>
          <w:p w14:paraId="55DA02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150,3</w:t>
            </w:r>
          </w:p>
        </w:tc>
        <w:tc>
          <w:tcPr>
            <w:tcW w:w="1277" w:type="dxa"/>
            <w:tcBorders>
              <w:top w:val="nil"/>
              <w:left w:val="nil"/>
              <w:bottom w:val="single" w:sz="4" w:space="0" w:color="auto"/>
              <w:right w:val="single" w:sz="4" w:space="0" w:color="auto"/>
            </w:tcBorders>
            <w:shd w:val="clear" w:color="000000" w:fill="FFFFFF"/>
            <w:noWrap/>
            <w:vAlign w:val="bottom"/>
            <w:hideMark/>
          </w:tcPr>
          <w:p w14:paraId="27B04D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9 568,2</w:t>
            </w:r>
          </w:p>
        </w:tc>
        <w:tc>
          <w:tcPr>
            <w:tcW w:w="1040" w:type="dxa"/>
            <w:tcBorders>
              <w:top w:val="nil"/>
              <w:left w:val="nil"/>
              <w:bottom w:val="single" w:sz="4" w:space="0" w:color="auto"/>
              <w:right w:val="single" w:sz="4" w:space="0" w:color="auto"/>
            </w:tcBorders>
            <w:shd w:val="clear" w:color="000000" w:fill="FFFFFF"/>
            <w:noWrap/>
            <w:vAlign w:val="bottom"/>
            <w:hideMark/>
          </w:tcPr>
          <w:p w14:paraId="3195CD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384,3</w:t>
            </w:r>
          </w:p>
        </w:tc>
        <w:tc>
          <w:tcPr>
            <w:tcW w:w="1087" w:type="dxa"/>
            <w:tcBorders>
              <w:top w:val="nil"/>
              <w:left w:val="nil"/>
              <w:bottom w:val="single" w:sz="4" w:space="0" w:color="auto"/>
              <w:right w:val="single" w:sz="4" w:space="0" w:color="auto"/>
            </w:tcBorders>
            <w:shd w:val="clear" w:color="000000" w:fill="FFFFFF"/>
            <w:noWrap/>
            <w:vAlign w:val="bottom"/>
            <w:hideMark/>
          </w:tcPr>
          <w:p w14:paraId="5B02D8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2 695,6</w:t>
            </w:r>
          </w:p>
        </w:tc>
        <w:tc>
          <w:tcPr>
            <w:tcW w:w="1040" w:type="dxa"/>
            <w:tcBorders>
              <w:top w:val="nil"/>
              <w:left w:val="nil"/>
              <w:bottom w:val="single" w:sz="4" w:space="0" w:color="auto"/>
              <w:right w:val="single" w:sz="4" w:space="0" w:color="auto"/>
            </w:tcBorders>
            <w:shd w:val="clear" w:color="000000" w:fill="FFFFFF"/>
            <w:noWrap/>
            <w:vAlign w:val="bottom"/>
            <w:hideMark/>
          </w:tcPr>
          <w:p w14:paraId="174218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449,6</w:t>
            </w:r>
          </w:p>
        </w:tc>
        <w:tc>
          <w:tcPr>
            <w:tcW w:w="1226" w:type="dxa"/>
            <w:tcBorders>
              <w:top w:val="nil"/>
              <w:left w:val="nil"/>
              <w:bottom w:val="single" w:sz="4" w:space="0" w:color="auto"/>
              <w:right w:val="single" w:sz="4" w:space="0" w:color="auto"/>
            </w:tcBorders>
            <w:shd w:val="clear" w:color="000000" w:fill="FFFFFF"/>
            <w:noWrap/>
            <w:vAlign w:val="bottom"/>
            <w:hideMark/>
          </w:tcPr>
          <w:p w14:paraId="5DBAEB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A9E315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3D35C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Cандански</w:t>
            </w:r>
          </w:p>
        </w:tc>
        <w:tc>
          <w:tcPr>
            <w:tcW w:w="1911" w:type="dxa"/>
            <w:tcBorders>
              <w:top w:val="nil"/>
              <w:left w:val="nil"/>
              <w:bottom w:val="single" w:sz="4" w:space="0" w:color="auto"/>
              <w:right w:val="single" w:sz="4" w:space="0" w:color="auto"/>
            </w:tcBorders>
            <w:shd w:val="clear" w:color="000000" w:fill="FFFFFF"/>
            <w:noWrap/>
            <w:vAlign w:val="bottom"/>
            <w:hideMark/>
          </w:tcPr>
          <w:p w14:paraId="7E93F0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25 993,6</w:t>
            </w:r>
          </w:p>
        </w:tc>
        <w:tc>
          <w:tcPr>
            <w:tcW w:w="1118" w:type="dxa"/>
            <w:tcBorders>
              <w:top w:val="nil"/>
              <w:left w:val="nil"/>
              <w:bottom w:val="single" w:sz="4" w:space="0" w:color="auto"/>
              <w:right w:val="single" w:sz="4" w:space="0" w:color="auto"/>
            </w:tcBorders>
            <w:shd w:val="clear" w:color="000000" w:fill="FFFFFF"/>
            <w:noWrap/>
            <w:vAlign w:val="bottom"/>
            <w:hideMark/>
          </w:tcPr>
          <w:p w14:paraId="0C7E9B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2 098,2</w:t>
            </w:r>
          </w:p>
        </w:tc>
        <w:tc>
          <w:tcPr>
            <w:tcW w:w="1257" w:type="dxa"/>
            <w:tcBorders>
              <w:top w:val="nil"/>
              <w:left w:val="nil"/>
              <w:bottom w:val="single" w:sz="4" w:space="0" w:color="auto"/>
              <w:right w:val="single" w:sz="4" w:space="0" w:color="auto"/>
            </w:tcBorders>
            <w:shd w:val="clear" w:color="000000" w:fill="FFFFFF"/>
            <w:noWrap/>
            <w:vAlign w:val="bottom"/>
            <w:hideMark/>
          </w:tcPr>
          <w:p w14:paraId="701C48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566,0</w:t>
            </w:r>
          </w:p>
        </w:tc>
        <w:tc>
          <w:tcPr>
            <w:tcW w:w="1384" w:type="dxa"/>
            <w:tcBorders>
              <w:top w:val="nil"/>
              <w:left w:val="nil"/>
              <w:bottom w:val="single" w:sz="4" w:space="0" w:color="auto"/>
              <w:right w:val="single" w:sz="4" w:space="0" w:color="auto"/>
            </w:tcBorders>
            <w:shd w:val="clear" w:color="000000" w:fill="FFFFFF"/>
            <w:noWrap/>
            <w:vAlign w:val="bottom"/>
            <w:hideMark/>
          </w:tcPr>
          <w:p w14:paraId="0811B7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1 532,2</w:t>
            </w:r>
          </w:p>
        </w:tc>
        <w:tc>
          <w:tcPr>
            <w:tcW w:w="1134" w:type="dxa"/>
            <w:tcBorders>
              <w:top w:val="nil"/>
              <w:left w:val="nil"/>
              <w:bottom w:val="single" w:sz="4" w:space="0" w:color="auto"/>
              <w:right w:val="single" w:sz="4" w:space="0" w:color="auto"/>
            </w:tcBorders>
            <w:shd w:val="clear" w:color="000000" w:fill="FFFFFF"/>
            <w:noWrap/>
            <w:vAlign w:val="bottom"/>
            <w:hideMark/>
          </w:tcPr>
          <w:p w14:paraId="2AB9E34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191,9</w:t>
            </w:r>
          </w:p>
        </w:tc>
        <w:tc>
          <w:tcPr>
            <w:tcW w:w="1277" w:type="dxa"/>
            <w:tcBorders>
              <w:top w:val="nil"/>
              <w:left w:val="nil"/>
              <w:bottom w:val="single" w:sz="4" w:space="0" w:color="auto"/>
              <w:right w:val="single" w:sz="4" w:space="0" w:color="auto"/>
            </w:tcBorders>
            <w:shd w:val="clear" w:color="000000" w:fill="FFFFFF"/>
            <w:noWrap/>
            <w:vAlign w:val="bottom"/>
            <w:hideMark/>
          </w:tcPr>
          <w:p w14:paraId="384FCC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18 854,8</w:t>
            </w:r>
          </w:p>
        </w:tc>
        <w:tc>
          <w:tcPr>
            <w:tcW w:w="1040" w:type="dxa"/>
            <w:tcBorders>
              <w:top w:val="nil"/>
              <w:left w:val="nil"/>
              <w:bottom w:val="single" w:sz="4" w:space="0" w:color="auto"/>
              <w:right w:val="single" w:sz="4" w:space="0" w:color="auto"/>
            </w:tcBorders>
            <w:shd w:val="clear" w:color="000000" w:fill="FFFFFF"/>
            <w:noWrap/>
            <w:vAlign w:val="bottom"/>
            <w:hideMark/>
          </w:tcPr>
          <w:p w14:paraId="686E5B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1 371,3</w:t>
            </w:r>
          </w:p>
        </w:tc>
        <w:tc>
          <w:tcPr>
            <w:tcW w:w="1087" w:type="dxa"/>
            <w:tcBorders>
              <w:top w:val="nil"/>
              <w:left w:val="nil"/>
              <w:bottom w:val="single" w:sz="4" w:space="0" w:color="auto"/>
              <w:right w:val="single" w:sz="4" w:space="0" w:color="auto"/>
            </w:tcBorders>
            <w:shd w:val="clear" w:color="000000" w:fill="FFFFFF"/>
            <w:noWrap/>
            <w:vAlign w:val="bottom"/>
            <w:hideMark/>
          </w:tcPr>
          <w:p w14:paraId="6CAEC7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2 686,4</w:t>
            </w:r>
          </w:p>
        </w:tc>
        <w:tc>
          <w:tcPr>
            <w:tcW w:w="1040" w:type="dxa"/>
            <w:tcBorders>
              <w:top w:val="nil"/>
              <w:left w:val="nil"/>
              <w:bottom w:val="single" w:sz="4" w:space="0" w:color="auto"/>
              <w:right w:val="single" w:sz="4" w:space="0" w:color="auto"/>
            </w:tcBorders>
            <w:shd w:val="clear" w:color="000000" w:fill="FFFFFF"/>
            <w:noWrap/>
            <w:vAlign w:val="bottom"/>
            <w:hideMark/>
          </w:tcPr>
          <w:p w14:paraId="083562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791,0</w:t>
            </w:r>
          </w:p>
        </w:tc>
        <w:tc>
          <w:tcPr>
            <w:tcW w:w="1226" w:type="dxa"/>
            <w:tcBorders>
              <w:top w:val="nil"/>
              <w:left w:val="nil"/>
              <w:bottom w:val="single" w:sz="4" w:space="0" w:color="auto"/>
              <w:right w:val="single" w:sz="4" w:space="0" w:color="auto"/>
            </w:tcBorders>
            <w:shd w:val="clear" w:color="000000" w:fill="FFFFFF"/>
            <w:noWrap/>
            <w:vAlign w:val="bottom"/>
            <w:hideMark/>
          </w:tcPr>
          <w:p w14:paraId="02FEF8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FC7580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1D6D4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Cатовча</w:t>
            </w:r>
          </w:p>
        </w:tc>
        <w:tc>
          <w:tcPr>
            <w:tcW w:w="1911" w:type="dxa"/>
            <w:tcBorders>
              <w:top w:val="nil"/>
              <w:left w:val="nil"/>
              <w:bottom w:val="single" w:sz="4" w:space="0" w:color="auto"/>
              <w:right w:val="single" w:sz="4" w:space="0" w:color="auto"/>
            </w:tcBorders>
            <w:shd w:val="clear" w:color="000000" w:fill="FFFFFF"/>
            <w:noWrap/>
            <w:vAlign w:val="bottom"/>
            <w:hideMark/>
          </w:tcPr>
          <w:p w14:paraId="59902A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10 012,1</w:t>
            </w:r>
          </w:p>
        </w:tc>
        <w:tc>
          <w:tcPr>
            <w:tcW w:w="1118" w:type="dxa"/>
            <w:tcBorders>
              <w:top w:val="nil"/>
              <w:left w:val="nil"/>
              <w:bottom w:val="single" w:sz="4" w:space="0" w:color="auto"/>
              <w:right w:val="single" w:sz="4" w:space="0" w:color="auto"/>
            </w:tcBorders>
            <w:shd w:val="clear" w:color="000000" w:fill="FFFFFF"/>
            <w:noWrap/>
            <w:vAlign w:val="bottom"/>
            <w:hideMark/>
          </w:tcPr>
          <w:p w14:paraId="0ABD72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1 191,8</w:t>
            </w:r>
          </w:p>
        </w:tc>
        <w:tc>
          <w:tcPr>
            <w:tcW w:w="1257" w:type="dxa"/>
            <w:tcBorders>
              <w:top w:val="nil"/>
              <w:left w:val="nil"/>
              <w:bottom w:val="single" w:sz="4" w:space="0" w:color="auto"/>
              <w:right w:val="single" w:sz="4" w:space="0" w:color="auto"/>
            </w:tcBorders>
            <w:shd w:val="clear" w:color="000000" w:fill="FFFFFF"/>
            <w:noWrap/>
            <w:vAlign w:val="bottom"/>
            <w:hideMark/>
          </w:tcPr>
          <w:p w14:paraId="20DB04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261,1</w:t>
            </w:r>
          </w:p>
        </w:tc>
        <w:tc>
          <w:tcPr>
            <w:tcW w:w="1384" w:type="dxa"/>
            <w:tcBorders>
              <w:top w:val="nil"/>
              <w:left w:val="nil"/>
              <w:bottom w:val="single" w:sz="4" w:space="0" w:color="auto"/>
              <w:right w:val="single" w:sz="4" w:space="0" w:color="auto"/>
            </w:tcBorders>
            <w:shd w:val="clear" w:color="000000" w:fill="FFFFFF"/>
            <w:noWrap/>
            <w:vAlign w:val="bottom"/>
            <w:hideMark/>
          </w:tcPr>
          <w:p w14:paraId="0D44D0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930,7</w:t>
            </w:r>
          </w:p>
        </w:tc>
        <w:tc>
          <w:tcPr>
            <w:tcW w:w="1134" w:type="dxa"/>
            <w:tcBorders>
              <w:top w:val="nil"/>
              <w:left w:val="nil"/>
              <w:bottom w:val="single" w:sz="4" w:space="0" w:color="auto"/>
              <w:right w:val="single" w:sz="4" w:space="0" w:color="auto"/>
            </w:tcBorders>
            <w:shd w:val="clear" w:color="000000" w:fill="FFFFFF"/>
            <w:noWrap/>
            <w:vAlign w:val="bottom"/>
            <w:hideMark/>
          </w:tcPr>
          <w:p w14:paraId="2402FD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128,5</w:t>
            </w:r>
          </w:p>
        </w:tc>
        <w:tc>
          <w:tcPr>
            <w:tcW w:w="1277" w:type="dxa"/>
            <w:tcBorders>
              <w:top w:val="nil"/>
              <w:left w:val="nil"/>
              <w:bottom w:val="single" w:sz="4" w:space="0" w:color="auto"/>
              <w:right w:val="single" w:sz="4" w:space="0" w:color="auto"/>
            </w:tcBorders>
            <w:shd w:val="clear" w:color="000000" w:fill="FFFFFF"/>
            <w:noWrap/>
            <w:vAlign w:val="bottom"/>
            <w:hideMark/>
          </w:tcPr>
          <w:p w14:paraId="21BB97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7 320,5</w:t>
            </w:r>
          </w:p>
        </w:tc>
        <w:tc>
          <w:tcPr>
            <w:tcW w:w="1040" w:type="dxa"/>
            <w:tcBorders>
              <w:top w:val="nil"/>
              <w:left w:val="nil"/>
              <w:bottom w:val="single" w:sz="4" w:space="0" w:color="auto"/>
              <w:right w:val="single" w:sz="4" w:space="0" w:color="auto"/>
            </w:tcBorders>
            <w:shd w:val="clear" w:color="000000" w:fill="FFFFFF"/>
            <w:noWrap/>
            <w:vAlign w:val="bottom"/>
            <w:hideMark/>
          </w:tcPr>
          <w:p w14:paraId="34AF52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652,6</w:t>
            </w:r>
          </w:p>
        </w:tc>
        <w:tc>
          <w:tcPr>
            <w:tcW w:w="1087" w:type="dxa"/>
            <w:tcBorders>
              <w:top w:val="nil"/>
              <w:left w:val="nil"/>
              <w:bottom w:val="single" w:sz="4" w:space="0" w:color="auto"/>
              <w:right w:val="single" w:sz="4" w:space="0" w:color="auto"/>
            </w:tcBorders>
            <w:shd w:val="clear" w:color="000000" w:fill="FFFFFF"/>
            <w:noWrap/>
            <w:vAlign w:val="bottom"/>
            <w:hideMark/>
          </w:tcPr>
          <w:p w14:paraId="44F16C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516,4</w:t>
            </w:r>
          </w:p>
        </w:tc>
        <w:tc>
          <w:tcPr>
            <w:tcW w:w="1040" w:type="dxa"/>
            <w:tcBorders>
              <w:top w:val="nil"/>
              <w:left w:val="nil"/>
              <w:bottom w:val="single" w:sz="4" w:space="0" w:color="auto"/>
              <w:right w:val="single" w:sz="4" w:space="0" w:color="auto"/>
            </w:tcBorders>
            <w:shd w:val="clear" w:color="000000" w:fill="FFFFFF"/>
            <w:noWrap/>
            <w:vAlign w:val="bottom"/>
            <w:hideMark/>
          </w:tcPr>
          <w:p w14:paraId="7CE710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202,3</w:t>
            </w:r>
          </w:p>
        </w:tc>
        <w:tc>
          <w:tcPr>
            <w:tcW w:w="1226" w:type="dxa"/>
            <w:tcBorders>
              <w:top w:val="nil"/>
              <w:left w:val="nil"/>
              <w:bottom w:val="single" w:sz="4" w:space="0" w:color="auto"/>
              <w:right w:val="single" w:sz="4" w:space="0" w:color="auto"/>
            </w:tcBorders>
            <w:shd w:val="clear" w:color="000000" w:fill="FFFFFF"/>
            <w:noWrap/>
            <w:vAlign w:val="bottom"/>
            <w:hideMark/>
          </w:tcPr>
          <w:p w14:paraId="4782CB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CE6FB3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D89F2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Cимитли</w:t>
            </w:r>
          </w:p>
        </w:tc>
        <w:tc>
          <w:tcPr>
            <w:tcW w:w="1911" w:type="dxa"/>
            <w:tcBorders>
              <w:top w:val="nil"/>
              <w:left w:val="nil"/>
              <w:bottom w:val="single" w:sz="4" w:space="0" w:color="auto"/>
              <w:right w:val="single" w:sz="4" w:space="0" w:color="auto"/>
            </w:tcBorders>
            <w:shd w:val="clear" w:color="000000" w:fill="FFFFFF"/>
            <w:noWrap/>
            <w:vAlign w:val="bottom"/>
            <w:hideMark/>
          </w:tcPr>
          <w:p w14:paraId="502E6A9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10 119,8</w:t>
            </w:r>
          </w:p>
        </w:tc>
        <w:tc>
          <w:tcPr>
            <w:tcW w:w="1118" w:type="dxa"/>
            <w:tcBorders>
              <w:top w:val="nil"/>
              <w:left w:val="nil"/>
              <w:bottom w:val="single" w:sz="4" w:space="0" w:color="auto"/>
              <w:right w:val="single" w:sz="4" w:space="0" w:color="auto"/>
            </w:tcBorders>
            <w:shd w:val="clear" w:color="000000" w:fill="FFFFFF"/>
            <w:noWrap/>
            <w:vAlign w:val="bottom"/>
            <w:hideMark/>
          </w:tcPr>
          <w:p w14:paraId="1FBC54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1 073,4</w:t>
            </w:r>
          </w:p>
        </w:tc>
        <w:tc>
          <w:tcPr>
            <w:tcW w:w="1257" w:type="dxa"/>
            <w:tcBorders>
              <w:top w:val="nil"/>
              <w:left w:val="nil"/>
              <w:bottom w:val="single" w:sz="4" w:space="0" w:color="auto"/>
              <w:right w:val="single" w:sz="4" w:space="0" w:color="auto"/>
            </w:tcBorders>
            <w:shd w:val="clear" w:color="000000" w:fill="FFFFFF"/>
            <w:noWrap/>
            <w:vAlign w:val="bottom"/>
            <w:hideMark/>
          </w:tcPr>
          <w:p w14:paraId="170012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256,0</w:t>
            </w:r>
          </w:p>
        </w:tc>
        <w:tc>
          <w:tcPr>
            <w:tcW w:w="1384" w:type="dxa"/>
            <w:tcBorders>
              <w:top w:val="nil"/>
              <w:left w:val="nil"/>
              <w:bottom w:val="single" w:sz="4" w:space="0" w:color="auto"/>
              <w:right w:val="single" w:sz="4" w:space="0" w:color="auto"/>
            </w:tcBorders>
            <w:shd w:val="clear" w:color="000000" w:fill="FFFFFF"/>
            <w:noWrap/>
            <w:vAlign w:val="bottom"/>
            <w:hideMark/>
          </w:tcPr>
          <w:p w14:paraId="78E1BC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817,4</w:t>
            </w:r>
          </w:p>
        </w:tc>
        <w:tc>
          <w:tcPr>
            <w:tcW w:w="1134" w:type="dxa"/>
            <w:tcBorders>
              <w:top w:val="nil"/>
              <w:left w:val="nil"/>
              <w:bottom w:val="single" w:sz="4" w:space="0" w:color="auto"/>
              <w:right w:val="single" w:sz="4" w:space="0" w:color="auto"/>
            </w:tcBorders>
            <w:shd w:val="clear" w:color="000000" w:fill="FFFFFF"/>
            <w:noWrap/>
            <w:vAlign w:val="bottom"/>
            <w:hideMark/>
          </w:tcPr>
          <w:p w14:paraId="070D18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133,8</w:t>
            </w:r>
          </w:p>
        </w:tc>
        <w:tc>
          <w:tcPr>
            <w:tcW w:w="1277" w:type="dxa"/>
            <w:tcBorders>
              <w:top w:val="nil"/>
              <w:left w:val="nil"/>
              <w:bottom w:val="single" w:sz="4" w:space="0" w:color="auto"/>
              <w:right w:val="single" w:sz="4" w:space="0" w:color="auto"/>
            </w:tcBorders>
            <w:shd w:val="clear" w:color="000000" w:fill="FFFFFF"/>
            <w:noWrap/>
            <w:vAlign w:val="bottom"/>
            <w:hideMark/>
          </w:tcPr>
          <w:p w14:paraId="1C725F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5 357,2</w:t>
            </w:r>
          </w:p>
        </w:tc>
        <w:tc>
          <w:tcPr>
            <w:tcW w:w="1040" w:type="dxa"/>
            <w:tcBorders>
              <w:top w:val="nil"/>
              <w:left w:val="nil"/>
              <w:bottom w:val="single" w:sz="4" w:space="0" w:color="auto"/>
              <w:right w:val="single" w:sz="4" w:space="0" w:color="auto"/>
            </w:tcBorders>
            <w:shd w:val="clear" w:color="000000" w:fill="FFFFFF"/>
            <w:noWrap/>
            <w:vAlign w:val="bottom"/>
            <w:hideMark/>
          </w:tcPr>
          <w:p w14:paraId="6ABA89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229,4</w:t>
            </w:r>
          </w:p>
        </w:tc>
        <w:tc>
          <w:tcPr>
            <w:tcW w:w="1087" w:type="dxa"/>
            <w:tcBorders>
              <w:top w:val="nil"/>
              <w:left w:val="nil"/>
              <w:bottom w:val="single" w:sz="4" w:space="0" w:color="auto"/>
              <w:right w:val="single" w:sz="4" w:space="0" w:color="auto"/>
            </w:tcBorders>
            <w:shd w:val="clear" w:color="000000" w:fill="FFFFFF"/>
            <w:noWrap/>
            <w:vAlign w:val="bottom"/>
            <w:hideMark/>
          </w:tcPr>
          <w:p w14:paraId="112AB4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3 134,9</w:t>
            </w:r>
          </w:p>
        </w:tc>
        <w:tc>
          <w:tcPr>
            <w:tcW w:w="1040" w:type="dxa"/>
            <w:tcBorders>
              <w:top w:val="nil"/>
              <w:left w:val="nil"/>
              <w:bottom w:val="single" w:sz="4" w:space="0" w:color="auto"/>
              <w:right w:val="single" w:sz="4" w:space="0" w:color="auto"/>
            </w:tcBorders>
            <w:shd w:val="clear" w:color="000000" w:fill="FFFFFF"/>
            <w:noWrap/>
            <w:vAlign w:val="bottom"/>
            <w:hideMark/>
          </w:tcPr>
          <w:p w14:paraId="2E5723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5FECDC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76D866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43FC8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Cтрумяни</w:t>
            </w:r>
          </w:p>
        </w:tc>
        <w:tc>
          <w:tcPr>
            <w:tcW w:w="1911" w:type="dxa"/>
            <w:tcBorders>
              <w:top w:val="nil"/>
              <w:left w:val="nil"/>
              <w:bottom w:val="single" w:sz="4" w:space="0" w:color="auto"/>
              <w:right w:val="single" w:sz="4" w:space="0" w:color="auto"/>
            </w:tcBorders>
            <w:shd w:val="clear" w:color="000000" w:fill="FFFFFF"/>
            <w:noWrap/>
            <w:vAlign w:val="bottom"/>
            <w:hideMark/>
          </w:tcPr>
          <w:p w14:paraId="7DEFD2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4 949,4</w:t>
            </w:r>
          </w:p>
        </w:tc>
        <w:tc>
          <w:tcPr>
            <w:tcW w:w="1118" w:type="dxa"/>
            <w:tcBorders>
              <w:top w:val="nil"/>
              <w:left w:val="nil"/>
              <w:bottom w:val="single" w:sz="4" w:space="0" w:color="auto"/>
              <w:right w:val="single" w:sz="4" w:space="0" w:color="auto"/>
            </w:tcBorders>
            <w:shd w:val="clear" w:color="000000" w:fill="FFFFFF"/>
            <w:noWrap/>
            <w:vAlign w:val="bottom"/>
            <w:hideMark/>
          </w:tcPr>
          <w:p w14:paraId="746C26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774,5</w:t>
            </w:r>
          </w:p>
        </w:tc>
        <w:tc>
          <w:tcPr>
            <w:tcW w:w="1257" w:type="dxa"/>
            <w:tcBorders>
              <w:top w:val="nil"/>
              <w:left w:val="nil"/>
              <w:bottom w:val="single" w:sz="4" w:space="0" w:color="auto"/>
              <w:right w:val="single" w:sz="4" w:space="0" w:color="auto"/>
            </w:tcBorders>
            <w:shd w:val="clear" w:color="000000" w:fill="FFFFFF"/>
            <w:noWrap/>
            <w:vAlign w:val="bottom"/>
            <w:hideMark/>
          </w:tcPr>
          <w:p w14:paraId="740F37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230,7</w:t>
            </w:r>
          </w:p>
        </w:tc>
        <w:tc>
          <w:tcPr>
            <w:tcW w:w="1384" w:type="dxa"/>
            <w:tcBorders>
              <w:top w:val="nil"/>
              <w:left w:val="nil"/>
              <w:bottom w:val="single" w:sz="4" w:space="0" w:color="auto"/>
              <w:right w:val="single" w:sz="4" w:space="0" w:color="auto"/>
            </w:tcBorders>
            <w:shd w:val="clear" w:color="000000" w:fill="FFFFFF"/>
            <w:noWrap/>
            <w:vAlign w:val="bottom"/>
            <w:hideMark/>
          </w:tcPr>
          <w:p w14:paraId="06C1B8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543,8</w:t>
            </w:r>
          </w:p>
        </w:tc>
        <w:tc>
          <w:tcPr>
            <w:tcW w:w="1134" w:type="dxa"/>
            <w:tcBorders>
              <w:top w:val="nil"/>
              <w:left w:val="nil"/>
              <w:bottom w:val="single" w:sz="4" w:space="0" w:color="auto"/>
              <w:right w:val="single" w:sz="4" w:space="0" w:color="auto"/>
            </w:tcBorders>
            <w:shd w:val="clear" w:color="000000" w:fill="FFFFFF"/>
            <w:noWrap/>
            <w:vAlign w:val="bottom"/>
            <w:hideMark/>
          </w:tcPr>
          <w:p w14:paraId="50CF57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132,6</w:t>
            </w:r>
          </w:p>
        </w:tc>
        <w:tc>
          <w:tcPr>
            <w:tcW w:w="1277" w:type="dxa"/>
            <w:tcBorders>
              <w:top w:val="nil"/>
              <w:left w:val="nil"/>
              <w:bottom w:val="single" w:sz="4" w:space="0" w:color="auto"/>
              <w:right w:val="single" w:sz="4" w:space="0" w:color="auto"/>
            </w:tcBorders>
            <w:shd w:val="clear" w:color="000000" w:fill="FFFFFF"/>
            <w:noWrap/>
            <w:vAlign w:val="bottom"/>
            <w:hideMark/>
          </w:tcPr>
          <w:p w14:paraId="3D57A7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1 872,3</w:t>
            </w:r>
          </w:p>
        </w:tc>
        <w:tc>
          <w:tcPr>
            <w:tcW w:w="1040" w:type="dxa"/>
            <w:tcBorders>
              <w:top w:val="nil"/>
              <w:left w:val="nil"/>
              <w:bottom w:val="single" w:sz="4" w:space="0" w:color="auto"/>
              <w:right w:val="single" w:sz="4" w:space="0" w:color="auto"/>
            </w:tcBorders>
            <w:shd w:val="clear" w:color="000000" w:fill="FFFFFF"/>
            <w:noWrap/>
            <w:vAlign w:val="bottom"/>
            <w:hideMark/>
          </w:tcPr>
          <w:p w14:paraId="66C8CC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134,1</w:t>
            </w:r>
          </w:p>
        </w:tc>
        <w:tc>
          <w:tcPr>
            <w:tcW w:w="1087" w:type="dxa"/>
            <w:tcBorders>
              <w:top w:val="nil"/>
              <w:left w:val="nil"/>
              <w:bottom w:val="single" w:sz="4" w:space="0" w:color="auto"/>
              <w:right w:val="single" w:sz="4" w:space="0" w:color="auto"/>
            </w:tcBorders>
            <w:shd w:val="clear" w:color="000000" w:fill="FFFFFF"/>
            <w:noWrap/>
            <w:vAlign w:val="bottom"/>
            <w:hideMark/>
          </w:tcPr>
          <w:p w14:paraId="4048E2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1 901,0</w:t>
            </w:r>
          </w:p>
        </w:tc>
        <w:tc>
          <w:tcPr>
            <w:tcW w:w="1040" w:type="dxa"/>
            <w:tcBorders>
              <w:top w:val="nil"/>
              <w:left w:val="nil"/>
              <w:bottom w:val="single" w:sz="4" w:space="0" w:color="auto"/>
              <w:right w:val="single" w:sz="4" w:space="0" w:color="auto"/>
            </w:tcBorders>
            <w:shd w:val="clear" w:color="000000" w:fill="FFFFFF"/>
            <w:noWrap/>
            <w:vAlign w:val="bottom"/>
            <w:hideMark/>
          </w:tcPr>
          <w:p w14:paraId="472B98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134,9</w:t>
            </w:r>
          </w:p>
        </w:tc>
        <w:tc>
          <w:tcPr>
            <w:tcW w:w="1226" w:type="dxa"/>
            <w:tcBorders>
              <w:top w:val="nil"/>
              <w:left w:val="nil"/>
              <w:bottom w:val="single" w:sz="4" w:space="0" w:color="auto"/>
              <w:right w:val="single" w:sz="4" w:space="0" w:color="auto"/>
            </w:tcBorders>
            <w:shd w:val="clear" w:color="000000" w:fill="FFFFFF"/>
            <w:noWrap/>
            <w:vAlign w:val="bottom"/>
            <w:hideMark/>
          </w:tcPr>
          <w:p w14:paraId="6E7AC89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4307D9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FC9A62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Xаджидимово</w:t>
            </w:r>
          </w:p>
        </w:tc>
        <w:tc>
          <w:tcPr>
            <w:tcW w:w="1911" w:type="dxa"/>
            <w:tcBorders>
              <w:top w:val="nil"/>
              <w:left w:val="nil"/>
              <w:bottom w:val="single" w:sz="4" w:space="0" w:color="auto"/>
              <w:right w:val="single" w:sz="4" w:space="0" w:color="auto"/>
            </w:tcBorders>
            <w:shd w:val="clear" w:color="000000" w:fill="FFFFFF"/>
            <w:noWrap/>
            <w:vAlign w:val="bottom"/>
            <w:hideMark/>
          </w:tcPr>
          <w:p w14:paraId="35F93C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5 510,3</w:t>
            </w:r>
          </w:p>
        </w:tc>
        <w:tc>
          <w:tcPr>
            <w:tcW w:w="1118" w:type="dxa"/>
            <w:tcBorders>
              <w:top w:val="nil"/>
              <w:left w:val="nil"/>
              <w:bottom w:val="single" w:sz="4" w:space="0" w:color="auto"/>
              <w:right w:val="single" w:sz="4" w:space="0" w:color="auto"/>
            </w:tcBorders>
            <w:shd w:val="clear" w:color="000000" w:fill="FFFFFF"/>
            <w:noWrap/>
            <w:vAlign w:val="bottom"/>
            <w:hideMark/>
          </w:tcPr>
          <w:p w14:paraId="3598BB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931,1</w:t>
            </w:r>
          </w:p>
        </w:tc>
        <w:tc>
          <w:tcPr>
            <w:tcW w:w="1257" w:type="dxa"/>
            <w:tcBorders>
              <w:top w:val="nil"/>
              <w:left w:val="nil"/>
              <w:bottom w:val="single" w:sz="4" w:space="0" w:color="auto"/>
              <w:right w:val="single" w:sz="4" w:space="0" w:color="auto"/>
            </w:tcBorders>
            <w:shd w:val="clear" w:color="000000" w:fill="FFFFFF"/>
            <w:noWrap/>
            <w:vAlign w:val="bottom"/>
            <w:hideMark/>
          </w:tcPr>
          <w:p w14:paraId="3F6C0E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244,1</w:t>
            </w:r>
          </w:p>
        </w:tc>
        <w:tc>
          <w:tcPr>
            <w:tcW w:w="1384" w:type="dxa"/>
            <w:tcBorders>
              <w:top w:val="nil"/>
              <w:left w:val="nil"/>
              <w:bottom w:val="single" w:sz="4" w:space="0" w:color="auto"/>
              <w:right w:val="single" w:sz="4" w:space="0" w:color="auto"/>
            </w:tcBorders>
            <w:shd w:val="clear" w:color="000000" w:fill="FFFFFF"/>
            <w:noWrap/>
            <w:vAlign w:val="bottom"/>
            <w:hideMark/>
          </w:tcPr>
          <w:p w14:paraId="2F70C4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687,0</w:t>
            </w:r>
          </w:p>
        </w:tc>
        <w:tc>
          <w:tcPr>
            <w:tcW w:w="1134" w:type="dxa"/>
            <w:tcBorders>
              <w:top w:val="nil"/>
              <w:left w:val="nil"/>
              <w:bottom w:val="single" w:sz="4" w:space="0" w:color="auto"/>
              <w:right w:val="single" w:sz="4" w:space="0" w:color="auto"/>
            </w:tcBorders>
            <w:shd w:val="clear" w:color="000000" w:fill="FFFFFF"/>
            <w:noWrap/>
            <w:vAlign w:val="bottom"/>
            <w:hideMark/>
          </w:tcPr>
          <w:p w14:paraId="143063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113,8</w:t>
            </w:r>
          </w:p>
        </w:tc>
        <w:tc>
          <w:tcPr>
            <w:tcW w:w="1277" w:type="dxa"/>
            <w:tcBorders>
              <w:top w:val="nil"/>
              <w:left w:val="nil"/>
              <w:bottom w:val="single" w:sz="4" w:space="0" w:color="auto"/>
              <w:right w:val="single" w:sz="4" w:space="0" w:color="auto"/>
            </w:tcBorders>
            <w:shd w:val="clear" w:color="000000" w:fill="FFFFFF"/>
            <w:noWrap/>
            <w:vAlign w:val="bottom"/>
            <w:hideMark/>
          </w:tcPr>
          <w:p w14:paraId="1F6DE9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4 094,3</w:t>
            </w:r>
          </w:p>
        </w:tc>
        <w:tc>
          <w:tcPr>
            <w:tcW w:w="1040" w:type="dxa"/>
            <w:tcBorders>
              <w:top w:val="nil"/>
              <w:left w:val="nil"/>
              <w:bottom w:val="single" w:sz="4" w:space="0" w:color="auto"/>
              <w:right w:val="single" w:sz="4" w:space="0" w:color="auto"/>
            </w:tcBorders>
            <w:shd w:val="clear" w:color="000000" w:fill="FFFFFF"/>
            <w:noWrap/>
            <w:vAlign w:val="bottom"/>
            <w:hideMark/>
          </w:tcPr>
          <w:p w14:paraId="56A2B5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96,7</w:t>
            </w:r>
          </w:p>
        </w:tc>
        <w:tc>
          <w:tcPr>
            <w:tcW w:w="1087" w:type="dxa"/>
            <w:tcBorders>
              <w:top w:val="nil"/>
              <w:left w:val="nil"/>
              <w:bottom w:val="single" w:sz="4" w:space="0" w:color="auto"/>
              <w:right w:val="single" w:sz="4" w:space="0" w:color="auto"/>
            </w:tcBorders>
            <w:shd w:val="clear" w:color="000000" w:fill="FFFFFF"/>
            <w:noWrap/>
            <w:vAlign w:val="bottom"/>
            <w:hideMark/>
          </w:tcPr>
          <w:p w14:paraId="3B0D60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150,8</w:t>
            </w:r>
          </w:p>
        </w:tc>
        <w:tc>
          <w:tcPr>
            <w:tcW w:w="1040" w:type="dxa"/>
            <w:tcBorders>
              <w:top w:val="nil"/>
              <w:left w:val="nil"/>
              <w:bottom w:val="single" w:sz="4" w:space="0" w:color="auto"/>
              <w:right w:val="single" w:sz="4" w:space="0" w:color="auto"/>
            </w:tcBorders>
            <w:shd w:val="clear" w:color="000000" w:fill="FFFFFF"/>
            <w:noWrap/>
            <w:vAlign w:val="bottom"/>
            <w:hideMark/>
          </w:tcPr>
          <w:p w14:paraId="0B3FEB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123,6</w:t>
            </w:r>
          </w:p>
        </w:tc>
        <w:tc>
          <w:tcPr>
            <w:tcW w:w="1226" w:type="dxa"/>
            <w:tcBorders>
              <w:top w:val="nil"/>
              <w:left w:val="nil"/>
              <w:bottom w:val="single" w:sz="4" w:space="0" w:color="auto"/>
              <w:right w:val="single" w:sz="4" w:space="0" w:color="auto"/>
            </w:tcBorders>
            <w:shd w:val="clear" w:color="000000" w:fill="FFFFFF"/>
            <w:noWrap/>
            <w:vAlign w:val="bottom"/>
            <w:hideMark/>
          </w:tcPr>
          <w:p w14:paraId="2E32F6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25A63E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34FB86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Якоруда</w:t>
            </w:r>
          </w:p>
        </w:tc>
        <w:tc>
          <w:tcPr>
            <w:tcW w:w="1911" w:type="dxa"/>
            <w:tcBorders>
              <w:top w:val="nil"/>
              <w:left w:val="nil"/>
              <w:bottom w:val="single" w:sz="4" w:space="0" w:color="auto"/>
              <w:right w:val="single" w:sz="4" w:space="0" w:color="auto"/>
            </w:tcBorders>
            <w:shd w:val="clear" w:color="000000" w:fill="FFFFFF"/>
            <w:noWrap/>
            <w:vAlign w:val="bottom"/>
            <w:hideMark/>
          </w:tcPr>
          <w:p w14:paraId="2462A6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6 207,6</w:t>
            </w:r>
          </w:p>
        </w:tc>
        <w:tc>
          <w:tcPr>
            <w:tcW w:w="1118" w:type="dxa"/>
            <w:tcBorders>
              <w:top w:val="nil"/>
              <w:left w:val="nil"/>
              <w:bottom w:val="single" w:sz="4" w:space="0" w:color="auto"/>
              <w:right w:val="single" w:sz="4" w:space="0" w:color="auto"/>
            </w:tcBorders>
            <w:shd w:val="clear" w:color="000000" w:fill="FFFFFF"/>
            <w:noWrap/>
            <w:vAlign w:val="bottom"/>
            <w:hideMark/>
          </w:tcPr>
          <w:p w14:paraId="7793CC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858,1</w:t>
            </w:r>
          </w:p>
        </w:tc>
        <w:tc>
          <w:tcPr>
            <w:tcW w:w="1257" w:type="dxa"/>
            <w:tcBorders>
              <w:top w:val="nil"/>
              <w:left w:val="nil"/>
              <w:bottom w:val="single" w:sz="4" w:space="0" w:color="auto"/>
              <w:right w:val="single" w:sz="4" w:space="0" w:color="auto"/>
            </w:tcBorders>
            <w:shd w:val="clear" w:color="000000" w:fill="FFFFFF"/>
            <w:noWrap/>
            <w:vAlign w:val="bottom"/>
            <w:hideMark/>
          </w:tcPr>
          <w:p w14:paraId="7C2B18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158,3</w:t>
            </w:r>
          </w:p>
        </w:tc>
        <w:tc>
          <w:tcPr>
            <w:tcW w:w="1384" w:type="dxa"/>
            <w:tcBorders>
              <w:top w:val="nil"/>
              <w:left w:val="nil"/>
              <w:bottom w:val="single" w:sz="4" w:space="0" w:color="auto"/>
              <w:right w:val="single" w:sz="4" w:space="0" w:color="auto"/>
            </w:tcBorders>
            <w:shd w:val="clear" w:color="000000" w:fill="FFFFFF"/>
            <w:noWrap/>
            <w:vAlign w:val="bottom"/>
            <w:hideMark/>
          </w:tcPr>
          <w:p w14:paraId="1C5852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699,8</w:t>
            </w:r>
          </w:p>
        </w:tc>
        <w:tc>
          <w:tcPr>
            <w:tcW w:w="1134" w:type="dxa"/>
            <w:tcBorders>
              <w:top w:val="nil"/>
              <w:left w:val="nil"/>
              <w:bottom w:val="single" w:sz="4" w:space="0" w:color="auto"/>
              <w:right w:val="single" w:sz="4" w:space="0" w:color="auto"/>
            </w:tcBorders>
            <w:shd w:val="clear" w:color="000000" w:fill="FFFFFF"/>
            <w:noWrap/>
            <w:vAlign w:val="bottom"/>
            <w:hideMark/>
          </w:tcPr>
          <w:p w14:paraId="035A1F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130,2</w:t>
            </w:r>
          </w:p>
        </w:tc>
        <w:tc>
          <w:tcPr>
            <w:tcW w:w="1277" w:type="dxa"/>
            <w:tcBorders>
              <w:top w:val="nil"/>
              <w:left w:val="nil"/>
              <w:bottom w:val="single" w:sz="4" w:space="0" w:color="auto"/>
              <w:right w:val="single" w:sz="4" w:space="0" w:color="auto"/>
            </w:tcBorders>
            <w:shd w:val="clear" w:color="000000" w:fill="FFFFFF"/>
            <w:noWrap/>
            <w:vAlign w:val="bottom"/>
            <w:hideMark/>
          </w:tcPr>
          <w:p w14:paraId="33746F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4 433,3</w:t>
            </w:r>
          </w:p>
        </w:tc>
        <w:tc>
          <w:tcPr>
            <w:tcW w:w="1040" w:type="dxa"/>
            <w:tcBorders>
              <w:top w:val="nil"/>
              <w:left w:val="nil"/>
              <w:bottom w:val="single" w:sz="4" w:space="0" w:color="auto"/>
              <w:right w:val="single" w:sz="4" w:space="0" w:color="auto"/>
            </w:tcBorders>
            <w:shd w:val="clear" w:color="000000" w:fill="FFFFFF"/>
            <w:noWrap/>
            <w:vAlign w:val="bottom"/>
            <w:hideMark/>
          </w:tcPr>
          <w:p w14:paraId="14D5AA2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132,1</w:t>
            </w:r>
          </w:p>
        </w:tc>
        <w:tc>
          <w:tcPr>
            <w:tcW w:w="1087" w:type="dxa"/>
            <w:tcBorders>
              <w:top w:val="nil"/>
              <w:left w:val="nil"/>
              <w:bottom w:val="single" w:sz="4" w:space="0" w:color="auto"/>
              <w:right w:val="single" w:sz="4" w:space="0" w:color="auto"/>
            </w:tcBorders>
            <w:shd w:val="clear" w:color="000000" w:fill="FFFFFF"/>
            <w:noWrap/>
            <w:vAlign w:val="bottom"/>
            <w:hideMark/>
          </w:tcPr>
          <w:p w14:paraId="63EE79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552,8</w:t>
            </w:r>
          </w:p>
        </w:tc>
        <w:tc>
          <w:tcPr>
            <w:tcW w:w="1040" w:type="dxa"/>
            <w:tcBorders>
              <w:top w:val="nil"/>
              <w:left w:val="nil"/>
              <w:bottom w:val="single" w:sz="4" w:space="0" w:color="auto"/>
              <w:right w:val="single" w:sz="4" w:space="0" w:color="auto"/>
            </w:tcBorders>
            <w:shd w:val="clear" w:color="000000" w:fill="FFFFFF"/>
            <w:noWrap/>
            <w:vAlign w:val="bottom"/>
            <w:hideMark/>
          </w:tcPr>
          <w:p w14:paraId="4EC0DE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101,1</w:t>
            </w:r>
          </w:p>
        </w:tc>
        <w:tc>
          <w:tcPr>
            <w:tcW w:w="1226" w:type="dxa"/>
            <w:tcBorders>
              <w:top w:val="nil"/>
              <w:left w:val="nil"/>
              <w:bottom w:val="single" w:sz="4" w:space="0" w:color="auto"/>
              <w:right w:val="single" w:sz="4" w:space="0" w:color="auto"/>
            </w:tcBorders>
            <w:shd w:val="clear" w:color="000000" w:fill="FFFFFF"/>
            <w:noWrap/>
            <w:vAlign w:val="bottom"/>
            <w:hideMark/>
          </w:tcPr>
          <w:p w14:paraId="582AF0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E123DE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0B76E3B"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780CBB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B70EE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568C3C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CF3C1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0E5EBA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6321CE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2FF7A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3E0B86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B27219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0741B0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3314E6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CDE37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БУРГАС</w:t>
            </w:r>
          </w:p>
        </w:tc>
        <w:tc>
          <w:tcPr>
            <w:tcW w:w="1911" w:type="dxa"/>
            <w:tcBorders>
              <w:top w:val="nil"/>
              <w:left w:val="nil"/>
              <w:bottom w:val="single" w:sz="4" w:space="0" w:color="auto"/>
              <w:right w:val="single" w:sz="4" w:space="0" w:color="auto"/>
            </w:tcBorders>
            <w:shd w:val="clear" w:color="000000" w:fill="FFFFFF"/>
            <w:noWrap/>
            <w:vAlign w:val="bottom"/>
            <w:hideMark/>
          </w:tcPr>
          <w:p w14:paraId="14075F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79F3A5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131197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24F01C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2A933B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6D50BC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D4949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0F9E5C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961DF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AB6D5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91C4C9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598BF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Aйтос   </w:t>
            </w:r>
          </w:p>
        </w:tc>
        <w:tc>
          <w:tcPr>
            <w:tcW w:w="1911" w:type="dxa"/>
            <w:tcBorders>
              <w:top w:val="nil"/>
              <w:left w:val="nil"/>
              <w:bottom w:val="single" w:sz="4" w:space="0" w:color="auto"/>
              <w:right w:val="single" w:sz="4" w:space="0" w:color="auto"/>
            </w:tcBorders>
            <w:shd w:val="clear" w:color="000000" w:fill="FFFFFF"/>
            <w:noWrap/>
            <w:vAlign w:val="bottom"/>
            <w:hideMark/>
          </w:tcPr>
          <w:p w14:paraId="00097A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16 820,4</w:t>
            </w:r>
          </w:p>
        </w:tc>
        <w:tc>
          <w:tcPr>
            <w:tcW w:w="1118" w:type="dxa"/>
            <w:tcBorders>
              <w:top w:val="nil"/>
              <w:left w:val="nil"/>
              <w:bottom w:val="single" w:sz="4" w:space="0" w:color="auto"/>
              <w:right w:val="single" w:sz="4" w:space="0" w:color="auto"/>
            </w:tcBorders>
            <w:shd w:val="clear" w:color="000000" w:fill="FFFFFF"/>
            <w:noWrap/>
            <w:vAlign w:val="bottom"/>
            <w:hideMark/>
          </w:tcPr>
          <w:p w14:paraId="069BAF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1 669,0</w:t>
            </w:r>
          </w:p>
        </w:tc>
        <w:tc>
          <w:tcPr>
            <w:tcW w:w="1257" w:type="dxa"/>
            <w:tcBorders>
              <w:top w:val="nil"/>
              <w:left w:val="nil"/>
              <w:bottom w:val="single" w:sz="4" w:space="0" w:color="auto"/>
              <w:right w:val="single" w:sz="4" w:space="0" w:color="auto"/>
            </w:tcBorders>
            <w:shd w:val="clear" w:color="000000" w:fill="FFFFFF"/>
            <w:noWrap/>
            <w:vAlign w:val="bottom"/>
            <w:hideMark/>
          </w:tcPr>
          <w:p w14:paraId="1DAF0B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301,6</w:t>
            </w:r>
          </w:p>
        </w:tc>
        <w:tc>
          <w:tcPr>
            <w:tcW w:w="1384" w:type="dxa"/>
            <w:tcBorders>
              <w:top w:val="nil"/>
              <w:left w:val="nil"/>
              <w:bottom w:val="single" w:sz="4" w:space="0" w:color="auto"/>
              <w:right w:val="single" w:sz="4" w:space="0" w:color="auto"/>
            </w:tcBorders>
            <w:shd w:val="clear" w:color="000000" w:fill="FFFFFF"/>
            <w:noWrap/>
            <w:vAlign w:val="bottom"/>
            <w:hideMark/>
          </w:tcPr>
          <w:p w14:paraId="5F54BB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1 367,4</w:t>
            </w:r>
          </w:p>
        </w:tc>
        <w:tc>
          <w:tcPr>
            <w:tcW w:w="1134" w:type="dxa"/>
            <w:tcBorders>
              <w:top w:val="nil"/>
              <w:left w:val="nil"/>
              <w:bottom w:val="single" w:sz="4" w:space="0" w:color="auto"/>
              <w:right w:val="single" w:sz="4" w:space="0" w:color="auto"/>
            </w:tcBorders>
            <w:shd w:val="clear" w:color="000000" w:fill="FFFFFF"/>
            <w:noWrap/>
            <w:vAlign w:val="bottom"/>
            <w:hideMark/>
          </w:tcPr>
          <w:p w14:paraId="50A688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180,5</w:t>
            </w:r>
          </w:p>
        </w:tc>
        <w:tc>
          <w:tcPr>
            <w:tcW w:w="1277" w:type="dxa"/>
            <w:tcBorders>
              <w:top w:val="nil"/>
              <w:left w:val="nil"/>
              <w:bottom w:val="single" w:sz="4" w:space="0" w:color="auto"/>
              <w:right w:val="single" w:sz="4" w:space="0" w:color="auto"/>
            </w:tcBorders>
            <w:shd w:val="clear" w:color="000000" w:fill="FFFFFF"/>
            <w:noWrap/>
            <w:vAlign w:val="bottom"/>
            <w:hideMark/>
          </w:tcPr>
          <w:p w14:paraId="1FD842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12 950,8</w:t>
            </w:r>
          </w:p>
        </w:tc>
        <w:tc>
          <w:tcPr>
            <w:tcW w:w="1040" w:type="dxa"/>
            <w:tcBorders>
              <w:top w:val="nil"/>
              <w:left w:val="nil"/>
              <w:bottom w:val="single" w:sz="4" w:space="0" w:color="auto"/>
              <w:right w:val="single" w:sz="4" w:space="0" w:color="auto"/>
            </w:tcBorders>
            <w:shd w:val="clear" w:color="000000" w:fill="FFFFFF"/>
            <w:noWrap/>
            <w:vAlign w:val="bottom"/>
            <w:hideMark/>
          </w:tcPr>
          <w:p w14:paraId="4685B1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382,2</w:t>
            </w:r>
          </w:p>
        </w:tc>
        <w:tc>
          <w:tcPr>
            <w:tcW w:w="1087" w:type="dxa"/>
            <w:tcBorders>
              <w:top w:val="nil"/>
              <w:left w:val="nil"/>
              <w:bottom w:val="single" w:sz="4" w:space="0" w:color="auto"/>
              <w:right w:val="single" w:sz="4" w:space="0" w:color="auto"/>
            </w:tcBorders>
            <w:shd w:val="clear" w:color="000000" w:fill="FFFFFF"/>
            <w:noWrap/>
            <w:vAlign w:val="bottom"/>
            <w:hideMark/>
          </w:tcPr>
          <w:p w14:paraId="11EE5E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1 368,1</w:t>
            </w:r>
          </w:p>
        </w:tc>
        <w:tc>
          <w:tcPr>
            <w:tcW w:w="1040" w:type="dxa"/>
            <w:tcBorders>
              <w:top w:val="nil"/>
              <w:left w:val="nil"/>
              <w:bottom w:val="single" w:sz="4" w:space="0" w:color="auto"/>
              <w:right w:val="single" w:sz="4" w:space="0" w:color="auto"/>
            </w:tcBorders>
            <w:shd w:val="clear" w:color="000000" w:fill="FFFFFF"/>
            <w:noWrap/>
            <w:vAlign w:val="bottom"/>
            <w:hideMark/>
          </w:tcPr>
          <w:p w14:paraId="00B254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269,8</w:t>
            </w:r>
          </w:p>
        </w:tc>
        <w:tc>
          <w:tcPr>
            <w:tcW w:w="1226" w:type="dxa"/>
            <w:tcBorders>
              <w:top w:val="nil"/>
              <w:left w:val="nil"/>
              <w:bottom w:val="single" w:sz="4" w:space="0" w:color="auto"/>
              <w:right w:val="single" w:sz="4" w:space="0" w:color="auto"/>
            </w:tcBorders>
            <w:shd w:val="clear" w:color="000000" w:fill="FFFFFF"/>
            <w:noWrap/>
            <w:vAlign w:val="bottom"/>
            <w:hideMark/>
          </w:tcPr>
          <w:p w14:paraId="546F339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1BD18E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DB2AB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Бургас         </w:t>
            </w:r>
          </w:p>
        </w:tc>
        <w:tc>
          <w:tcPr>
            <w:tcW w:w="1911" w:type="dxa"/>
            <w:tcBorders>
              <w:top w:val="nil"/>
              <w:left w:val="nil"/>
              <w:bottom w:val="single" w:sz="4" w:space="0" w:color="auto"/>
              <w:right w:val="single" w:sz="4" w:space="0" w:color="auto"/>
            </w:tcBorders>
            <w:shd w:val="clear" w:color="000000" w:fill="FFFFFF"/>
            <w:noWrap/>
            <w:vAlign w:val="bottom"/>
            <w:hideMark/>
          </w:tcPr>
          <w:p w14:paraId="2A71B5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141 990,7</w:t>
            </w:r>
          </w:p>
        </w:tc>
        <w:tc>
          <w:tcPr>
            <w:tcW w:w="1118" w:type="dxa"/>
            <w:tcBorders>
              <w:top w:val="nil"/>
              <w:left w:val="nil"/>
              <w:bottom w:val="single" w:sz="4" w:space="0" w:color="auto"/>
              <w:right w:val="single" w:sz="4" w:space="0" w:color="auto"/>
            </w:tcBorders>
            <w:shd w:val="clear" w:color="000000" w:fill="FFFFFF"/>
            <w:noWrap/>
            <w:vAlign w:val="bottom"/>
            <w:hideMark/>
          </w:tcPr>
          <w:p w14:paraId="673A1C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7 646,1</w:t>
            </w:r>
          </w:p>
        </w:tc>
        <w:tc>
          <w:tcPr>
            <w:tcW w:w="1257" w:type="dxa"/>
            <w:tcBorders>
              <w:top w:val="nil"/>
              <w:left w:val="nil"/>
              <w:bottom w:val="single" w:sz="4" w:space="0" w:color="auto"/>
              <w:right w:val="single" w:sz="4" w:space="0" w:color="auto"/>
            </w:tcBorders>
            <w:shd w:val="clear" w:color="000000" w:fill="FFFFFF"/>
            <w:noWrap/>
            <w:vAlign w:val="bottom"/>
            <w:hideMark/>
          </w:tcPr>
          <w:p w14:paraId="3B6E5B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220,7</w:t>
            </w:r>
          </w:p>
        </w:tc>
        <w:tc>
          <w:tcPr>
            <w:tcW w:w="1384" w:type="dxa"/>
            <w:tcBorders>
              <w:top w:val="nil"/>
              <w:left w:val="nil"/>
              <w:bottom w:val="single" w:sz="4" w:space="0" w:color="auto"/>
              <w:right w:val="single" w:sz="4" w:space="0" w:color="auto"/>
            </w:tcBorders>
            <w:shd w:val="clear" w:color="000000" w:fill="FFFFFF"/>
            <w:noWrap/>
            <w:vAlign w:val="bottom"/>
            <w:hideMark/>
          </w:tcPr>
          <w:p w14:paraId="13BA19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7 425,4</w:t>
            </w:r>
          </w:p>
        </w:tc>
        <w:tc>
          <w:tcPr>
            <w:tcW w:w="1134" w:type="dxa"/>
            <w:tcBorders>
              <w:top w:val="nil"/>
              <w:left w:val="nil"/>
              <w:bottom w:val="single" w:sz="4" w:space="0" w:color="auto"/>
              <w:right w:val="single" w:sz="4" w:space="0" w:color="auto"/>
            </w:tcBorders>
            <w:shd w:val="clear" w:color="000000" w:fill="FFFFFF"/>
            <w:noWrap/>
            <w:vAlign w:val="bottom"/>
            <w:hideMark/>
          </w:tcPr>
          <w:p w14:paraId="656179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495,8</w:t>
            </w:r>
          </w:p>
        </w:tc>
        <w:tc>
          <w:tcPr>
            <w:tcW w:w="1277" w:type="dxa"/>
            <w:tcBorders>
              <w:top w:val="nil"/>
              <w:left w:val="nil"/>
              <w:bottom w:val="single" w:sz="4" w:space="0" w:color="auto"/>
              <w:right w:val="single" w:sz="4" w:space="0" w:color="auto"/>
            </w:tcBorders>
            <w:shd w:val="clear" w:color="000000" w:fill="FFFFFF"/>
            <w:noWrap/>
            <w:vAlign w:val="bottom"/>
            <w:hideMark/>
          </w:tcPr>
          <w:p w14:paraId="677B03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113 570,6</w:t>
            </w:r>
          </w:p>
        </w:tc>
        <w:tc>
          <w:tcPr>
            <w:tcW w:w="1040" w:type="dxa"/>
            <w:tcBorders>
              <w:top w:val="nil"/>
              <w:left w:val="nil"/>
              <w:bottom w:val="single" w:sz="4" w:space="0" w:color="auto"/>
              <w:right w:val="single" w:sz="4" w:space="0" w:color="auto"/>
            </w:tcBorders>
            <w:shd w:val="clear" w:color="000000" w:fill="FFFFFF"/>
            <w:noWrap/>
            <w:vAlign w:val="bottom"/>
            <w:hideMark/>
          </w:tcPr>
          <w:p w14:paraId="753161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6 708,8</w:t>
            </w:r>
          </w:p>
        </w:tc>
        <w:tc>
          <w:tcPr>
            <w:tcW w:w="1087" w:type="dxa"/>
            <w:tcBorders>
              <w:top w:val="nil"/>
              <w:left w:val="nil"/>
              <w:bottom w:val="single" w:sz="4" w:space="0" w:color="auto"/>
              <w:right w:val="single" w:sz="4" w:space="0" w:color="auto"/>
            </w:tcBorders>
            <w:shd w:val="clear" w:color="000000" w:fill="FFFFFF"/>
            <w:noWrap/>
            <w:vAlign w:val="bottom"/>
            <w:hideMark/>
          </w:tcPr>
          <w:p w14:paraId="028263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10 812,8</w:t>
            </w:r>
          </w:p>
        </w:tc>
        <w:tc>
          <w:tcPr>
            <w:tcW w:w="1040" w:type="dxa"/>
            <w:tcBorders>
              <w:top w:val="nil"/>
              <w:left w:val="nil"/>
              <w:bottom w:val="single" w:sz="4" w:space="0" w:color="auto"/>
              <w:right w:val="single" w:sz="4" w:space="0" w:color="auto"/>
            </w:tcBorders>
            <w:shd w:val="clear" w:color="000000" w:fill="FFFFFF"/>
            <w:noWrap/>
            <w:vAlign w:val="bottom"/>
            <w:hideMark/>
          </w:tcPr>
          <w:p w14:paraId="5F1F82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2 756,6</w:t>
            </w:r>
          </w:p>
        </w:tc>
        <w:tc>
          <w:tcPr>
            <w:tcW w:w="1226" w:type="dxa"/>
            <w:tcBorders>
              <w:top w:val="nil"/>
              <w:left w:val="nil"/>
              <w:bottom w:val="single" w:sz="4" w:space="0" w:color="auto"/>
              <w:right w:val="single" w:sz="4" w:space="0" w:color="auto"/>
            </w:tcBorders>
            <w:shd w:val="clear" w:color="000000" w:fill="FFFFFF"/>
            <w:noWrap/>
            <w:vAlign w:val="bottom"/>
            <w:hideMark/>
          </w:tcPr>
          <w:p w14:paraId="56E8F2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8A383E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E718B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Kамено</w:t>
            </w:r>
          </w:p>
        </w:tc>
        <w:tc>
          <w:tcPr>
            <w:tcW w:w="1911" w:type="dxa"/>
            <w:tcBorders>
              <w:top w:val="nil"/>
              <w:left w:val="nil"/>
              <w:bottom w:val="single" w:sz="4" w:space="0" w:color="auto"/>
              <w:right w:val="single" w:sz="4" w:space="0" w:color="auto"/>
            </w:tcBorders>
            <w:shd w:val="clear" w:color="000000" w:fill="FFFFFF"/>
            <w:noWrap/>
            <w:vAlign w:val="bottom"/>
            <w:hideMark/>
          </w:tcPr>
          <w:p w14:paraId="34F4D9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7 171,6</w:t>
            </w:r>
          </w:p>
        </w:tc>
        <w:tc>
          <w:tcPr>
            <w:tcW w:w="1118" w:type="dxa"/>
            <w:tcBorders>
              <w:top w:val="nil"/>
              <w:left w:val="nil"/>
              <w:bottom w:val="single" w:sz="4" w:space="0" w:color="auto"/>
              <w:right w:val="single" w:sz="4" w:space="0" w:color="auto"/>
            </w:tcBorders>
            <w:shd w:val="clear" w:color="000000" w:fill="FFFFFF"/>
            <w:noWrap/>
            <w:vAlign w:val="bottom"/>
            <w:hideMark/>
          </w:tcPr>
          <w:p w14:paraId="3043E8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991,1</w:t>
            </w:r>
          </w:p>
        </w:tc>
        <w:tc>
          <w:tcPr>
            <w:tcW w:w="1257" w:type="dxa"/>
            <w:tcBorders>
              <w:top w:val="nil"/>
              <w:left w:val="nil"/>
              <w:bottom w:val="single" w:sz="4" w:space="0" w:color="auto"/>
              <w:right w:val="single" w:sz="4" w:space="0" w:color="auto"/>
            </w:tcBorders>
            <w:shd w:val="clear" w:color="000000" w:fill="FFFFFF"/>
            <w:noWrap/>
            <w:vAlign w:val="bottom"/>
            <w:hideMark/>
          </w:tcPr>
          <w:p w14:paraId="3846F1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234,1</w:t>
            </w:r>
          </w:p>
        </w:tc>
        <w:tc>
          <w:tcPr>
            <w:tcW w:w="1384" w:type="dxa"/>
            <w:tcBorders>
              <w:top w:val="nil"/>
              <w:left w:val="nil"/>
              <w:bottom w:val="single" w:sz="4" w:space="0" w:color="auto"/>
              <w:right w:val="single" w:sz="4" w:space="0" w:color="auto"/>
            </w:tcBorders>
            <w:shd w:val="clear" w:color="000000" w:fill="FFFFFF"/>
            <w:noWrap/>
            <w:vAlign w:val="bottom"/>
            <w:hideMark/>
          </w:tcPr>
          <w:p w14:paraId="14B5B8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757,0</w:t>
            </w:r>
          </w:p>
        </w:tc>
        <w:tc>
          <w:tcPr>
            <w:tcW w:w="1134" w:type="dxa"/>
            <w:tcBorders>
              <w:top w:val="nil"/>
              <w:left w:val="nil"/>
              <w:bottom w:val="single" w:sz="4" w:space="0" w:color="auto"/>
              <w:right w:val="single" w:sz="4" w:space="0" w:color="auto"/>
            </w:tcBorders>
            <w:shd w:val="clear" w:color="000000" w:fill="FFFFFF"/>
            <w:noWrap/>
            <w:vAlign w:val="bottom"/>
            <w:hideMark/>
          </w:tcPr>
          <w:p w14:paraId="1A6A7D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158,8</w:t>
            </w:r>
          </w:p>
        </w:tc>
        <w:tc>
          <w:tcPr>
            <w:tcW w:w="1277" w:type="dxa"/>
            <w:tcBorders>
              <w:top w:val="nil"/>
              <w:left w:val="nil"/>
              <w:bottom w:val="single" w:sz="4" w:space="0" w:color="auto"/>
              <w:right w:val="single" w:sz="4" w:space="0" w:color="auto"/>
            </w:tcBorders>
            <w:shd w:val="clear" w:color="000000" w:fill="FFFFFF"/>
            <w:noWrap/>
            <w:vAlign w:val="bottom"/>
            <w:hideMark/>
          </w:tcPr>
          <w:p w14:paraId="025C0E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3 428,5</w:t>
            </w:r>
          </w:p>
        </w:tc>
        <w:tc>
          <w:tcPr>
            <w:tcW w:w="1040" w:type="dxa"/>
            <w:tcBorders>
              <w:top w:val="nil"/>
              <w:left w:val="nil"/>
              <w:bottom w:val="single" w:sz="4" w:space="0" w:color="auto"/>
              <w:right w:val="single" w:sz="4" w:space="0" w:color="auto"/>
            </w:tcBorders>
            <w:shd w:val="clear" w:color="000000" w:fill="FFFFFF"/>
            <w:noWrap/>
            <w:vAlign w:val="bottom"/>
            <w:hideMark/>
          </w:tcPr>
          <w:p w14:paraId="20AA0C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113,8</w:t>
            </w:r>
          </w:p>
        </w:tc>
        <w:tc>
          <w:tcPr>
            <w:tcW w:w="1087" w:type="dxa"/>
            <w:tcBorders>
              <w:top w:val="nil"/>
              <w:left w:val="nil"/>
              <w:bottom w:val="single" w:sz="4" w:space="0" w:color="auto"/>
              <w:right w:val="single" w:sz="4" w:space="0" w:color="auto"/>
            </w:tcBorders>
            <w:shd w:val="clear" w:color="000000" w:fill="FFFFFF"/>
            <w:noWrap/>
            <w:vAlign w:val="bottom"/>
            <w:hideMark/>
          </w:tcPr>
          <w:p w14:paraId="36AE9E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2 232,1</w:t>
            </w:r>
          </w:p>
        </w:tc>
        <w:tc>
          <w:tcPr>
            <w:tcW w:w="1040" w:type="dxa"/>
            <w:tcBorders>
              <w:top w:val="nil"/>
              <w:left w:val="nil"/>
              <w:bottom w:val="single" w:sz="4" w:space="0" w:color="auto"/>
              <w:right w:val="single" w:sz="4" w:space="0" w:color="auto"/>
            </w:tcBorders>
            <w:shd w:val="clear" w:color="000000" w:fill="FFFFFF"/>
            <w:noWrap/>
            <w:vAlign w:val="bottom"/>
            <w:hideMark/>
          </w:tcPr>
          <w:p w14:paraId="640E61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247,3</w:t>
            </w:r>
          </w:p>
        </w:tc>
        <w:tc>
          <w:tcPr>
            <w:tcW w:w="1226" w:type="dxa"/>
            <w:tcBorders>
              <w:top w:val="nil"/>
              <w:left w:val="nil"/>
              <w:bottom w:val="single" w:sz="4" w:space="0" w:color="auto"/>
              <w:right w:val="single" w:sz="4" w:space="0" w:color="auto"/>
            </w:tcBorders>
            <w:shd w:val="clear" w:color="000000" w:fill="FFFFFF"/>
            <w:noWrap/>
            <w:vAlign w:val="bottom"/>
            <w:hideMark/>
          </w:tcPr>
          <w:p w14:paraId="16BBAB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F24A44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4079CC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Kарнобат</w:t>
            </w:r>
          </w:p>
        </w:tc>
        <w:tc>
          <w:tcPr>
            <w:tcW w:w="1911" w:type="dxa"/>
            <w:tcBorders>
              <w:top w:val="nil"/>
              <w:left w:val="nil"/>
              <w:bottom w:val="single" w:sz="4" w:space="0" w:color="auto"/>
              <w:right w:val="single" w:sz="4" w:space="0" w:color="auto"/>
            </w:tcBorders>
            <w:shd w:val="clear" w:color="000000" w:fill="FFFFFF"/>
            <w:noWrap/>
            <w:vAlign w:val="bottom"/>
            <w:hideMark/>
          </w:tcPr>
          <w:p w14:paraId="6316DE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17 617,0</w:t>
            </w:r>
          </w:p>
        </w:tc>
        <w:tc>
          <w:tcPr>
            <w:tcW w:w="1118" w:type="dxa"/>
            <w:tcBorders>
              <w:top w:val="nil"/>
              <w:left w:val="nil"/>
              <w:bottom w:val="single" w:sz="4" w:space="0" w:color="auto"/>
              <w:right w:val="single" w:sz="4" w:space="0" w:color="auto"/>
            </w:tcBorders>
            <w:shd w:val="clear" w:color="000000" w:fill="FFFFFF"/>
            <w:noWrap/>
            <w:vAlign w:val="bottom"/>
            <w:hideMark/>
          </w:tcPr>
          <w:p w14:paraId="7F7039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1 600,7</w:t>
            </w:r>
          </w:p>
        </w:tc>
        <w:tc>
          <w:tcPr>
            <w:tcW w:w="1257" w:type="dxa"/>
            <w:tcBorders>
              <w:top w:val="nil"/>
              <w:left w:val="nil"/>
              <w:bottom w:val="single" w:sz="4" w:space="0" w:color="auto"/>
              <w:right w:val="single" w:sz="4" w:space="0" w:color="auto"/>
            </w:tcBorders>
            <w:shd w:val="clear" w:color="000000" w:fill="FFFFFF"/>
            <w:noWrap/>
            <w:vAlign w:val="bottom"/>
            <w:hideMark/>
          </w:tcPr>
          <w:p w14:paraId="0F5D70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478,5</w:t>
            </w:r>
          </w:p>
        </w:tc>
        <w:tc>
          <w:tcPr>
            <w:tcW w:w="1384" w:type="dxa"/>
            <w:tcBorders>
              <w:top w:val="nil"/>
              <w:left w:val="nil"/>
              <w:bottom w:val="single" w:sz="4" w:space="0" w:color="auto"/>
              <w:right w:val="single" w:sz="4" w:space="0" w:color="auto"/>
            </w:tcBorders>
            <w:shd w:val="clear" w:color="000000" w:fill="FFFFFF"/>
            <w:noWrap/>
            <w:vAlign w:val="bottom"/>
            <w:hideMark/>
          </w:tcPr>
          <w:p w14:paraId="0EBF3A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1 122,2</w:t>
            </w:r>
          </w:p>
        </w:tc>
        <w:tc>
          <w:tcPr>
            <w:tcW w:w="1134" w:type="dxa"/>
            <w:tcBorders>
              <w:top w:val="nil"/>
              <w:left w:val="nil"/>
              <w:bottom w:val="single" w:sz="4" w:space="0" w:color="auto"/>
              <w:right w:val="single" w:sz="4" w:space="0" w:color="auto"/>
            </w:tcBorders>
            <w:shd w:val="clear" w:color="000000" w:fill="FFFFFF"/>
            <w:noWrap/>
            <w:vAlign w:val="bottom"/>
            <w:hideMark/>
          </w:tcPr>
          <w:p w14:paraId="593CE2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175,5</w:t>
            </w:r>
          </w:p>
        </w:tc>
        <w:tc>
          <w:tcPr>
            <w:tcW w:w="1277" w:type="dxa"/>
            <w:tcBorders>
              <w:top w:val="nil"/>
              <w:left w:val="nil"/>
              <w:bottom w:val="single" w:sz="4" w:space="0" w:color="auto"/>
              <w:right w:val="single" w:sz="4" w:space="0" w:color="auto"/>
            </w:tcBorders>
            <w:shd w:val="clear" w:color="000000" w:fill="FFFFFF"/>
            <w:noWrap/>
            <w:vAlign w:val="bottom"/>
            <w:hideMark/>
          </w:tcPr>
          <w:p w14:paraId="0FBB45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11 148,1</w:t>
            </w:r>
          </w:p>
        </w:tc>
        <w:tc>
          <w:tcPr>
            <w:tcW w:w="1040" w:type="dxa"/>
            <w:tcBorders>
              <w:top w:val="nil"/>
              <w:left w:val="nil"/>
              <w:bottom w:val="single" w:sz="4" w:space="0" w:color="auto"/>
              <w:right w:val="single" w:sz="4" w:space="0" w:color="auto"/>
            </w:tcBorders>
            <w:shd w:val="clear" w:color="000000" w:fill="FFFFFF"/>
            <w:noWrap/>
            <w:vAlign w:val="bottom"/>
            <w:hideMark/>
          </w:tcPr>
          <w:p w14:paraId="1E6B1C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326,4</w:t>
            </w:r>
          </w:p>
        </w:tc>
        <w:tc>
          <w:tcPr>
            <w:tcW w:w="1087" w:type="dxa"/>
            <w:tcBorders>
              <w:top w:val="nil"/>
              <w:left w:val="nil"/>
              <w:bottom w:val="single" w:sz="4" w:space="0" w:color="auto"/>
              <w:right w:val="single" w:sz="4" w:space="0" w:color="auto"/>
            </w:tcBorders>
            <w:shd w:val="clear" w:color="000000" w:fill="FFFFFF"/>
            <w:noWrap/>
            <w:vAlign w:val="bottom"/>
            <w:hideMark/>
          </w:tcPr>
          <w:p w14:paraId="0E252A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3 950,4</w:t>
            </w:r>
          </w:p>
        </w:tc>
        <w:tc>
          <w:tcPr>
            <w:tcW w:w="1040" w:type="dxa"/>
            <w:tcBorders>
              <w:top w:val="nil"/>
              <w:left w:val="nil"/>
              <w:bottom w:val="single" w:sz="4" w:space="0" w:color="auto"/>
              <w:right w:val="single" w:sz="4" w:space="0" w:color="auto"/>
            </w:tcBorders>
            <w:shd w:val="clear" w:color="000000" w:fill="FFFFFF"/>
            <w:noWrap/>
            <w:vAlign w:val="bottom"/>
            <w:hideMark/>
          </w:tcPr>
          <w:p w14:paraId="42CC87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415,9</w:t>
            </w:r>
          </w:p>
        </w:tc>
        <w:tc>
          <w:tcPr>
            <w:tcW w:w="1226" w:type="dxa"/>
            <w:tcBorders>
              <w:top w:val="nil"/>
              <w:left w:val="nil"/>
              <w:bottom w:val="single" w:sz="4" w:space="0" w:color="auto"/>
              <w:right w:val="single" w:sz="4" w:space="0" w:color="auto"/>
            </w:tcBorders>
            <w:shd w:val="clear" w:color="000000" w:fill="FFFFFF"/>
            <w:noWrap/>
            <w:vAlign w:val="bottom"/>
            <w:hideMark/>
          </w:tcPr>
          <w:p w14:paraId="3B6C91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347C62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BBFEF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Mалко Tърново</w:t>
            </w:r>
          </w:p>
        </w:tc>
        <w:tc>
          <w:tcPr>
            <w:tcW w:w="1911" w:type="dxa"/>
            <w:tcBorders>
              <w:top w:val="nil"/>
              <w:left w:val="nil"/>
              <w:bottom w:val="single" w:sz="4" w:space="0" w:color="auto"/>
              <w:right w:val="single" w:sz="4" w:space="0" w:color="auto"/>
            </w:tcBorders>
            <w:shd w:val="clear" w:color="000000" w:fill="FFFFFF"/>
            <w:noWrap/>
            <w:vAlign w:val="bottom"/>
            <w:hideMark/>
          </w:tcPr>
          <w:p w14:paraId="1D5C46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3 323,2</w:t>
            </w:r>
          </w:p>
        </w:tc>
        <w:tc>
          <w:tcPr>
            <w:tcW w:w="1118" w:type="dxa"/>
            <w:tcBorders>
              <w:top w:val="nil"/>
              <w:left w:val="nil"/>
              <w:bottom w:val="single" w:sz="4" w:space="0" w:color="auto"/>
              <w:right w:val="single" w:sz="4" w:space="0" w:color="auto"/>
            </w:tcBorders>
            <w:shd w:val="clear" w:color="000000" w:fill="FFFFFF"/>
            <w:noWrap/>
            <w:vAlign w:val="bottom"/>
            <w:hideMark/>
          </w:tcPr>
          <w:p w14:paraId="77FE02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627,2</w:t>
            </w:r>
          </w:p>
        </w:tc>
        <w:tc>
          <w:tcPr>
            <w:tcW w:w="1257" w:type="dxa"/>
            <w:tcBorders>
              <w:top w:val="nil"/>
              <w:left w:val="nil"/>
              <w:bottom w:val="single" w:sz="4" w:space="0" w:color="auto"/>
              <w:right w:val="single" w:sz="4" w:space="0" w:color="auto"/>
            </w:tcBorders>
            <w:shd w:val="clear" w:color="000000" w:fill="FFFFFF"/>
            <w:noWrap/>
            <w:vAlign w:val="bottom"/>
            <w:hideMark/>
          </w:tcPr>
          <w:p w14:paraId="66C5BC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158,3</w:t>
            </w:r>
          </w:p>
        </w:tc>
        <w:tc>
          <w:tcPr>
            <w:tcW w:w="1384" w:type="dxa"/>
            <w:tcBorders>
              <w:top w:val="nil"/>
              <w:left w:val="nil"/>
              <w:bottom w:val="single" w:sz="4" w:space="0" w:color="auto"/>
              <w:right w:val="single" w:sz="4" w:space="0" w:color="auto"/>
            </w:tcBorders>
            <w:shd w:val="clear" w:color="000000" w:fill="FFFFFF"/>
            <w:noWrap/>
            <w:vAlign w:val="bottom"/>
            <w:hideMark/>
          </w:tcPr>
          <w:p w14:paraId="4AE773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468,9</w:t>
            </w:r>
          </w:p>
        </w:tc>
        <w:tc>
          <w:tcPr>
            <w:tcW w:w="1134" w:type="dxa"/>
            <w:tcBorders>
              <w:top w:val="nil"/>
              <w:left w:val="nil"/>
              <w:bottom w:val="single" w:sz="4" w:space="0" w:color="auto"/>
              <w:right w:val="single" w:sz="4" w:space="0" w:color="auto"/>
            </w:tcBorders>
            <w:shd w:val="clear" w:color="000000" w:fill="FFFFFF"/>
            <w:noWrap/>
            <w:vAlign w:val="bottom"/>
            <w:hideMark/>
          </w:tcPr>
          <w:p w14:paraId="2C4CE6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139,8</w:t>
            </w:r>
          </w:p>
        </w:tc>
        <w:tc>
          <w:tcPr>
            <w:tcW w:w="1277" w:type="dxa"/>
            <w:tcBorders>
              <w:top w:val="nil"/>
              <w:left w:val="nil"/>
              <w:bottom w:val="single" w:sz="4" w:space="0" w:color="auto"/>
              <w:right w:val="single" w:sz="4" w:space="0" w:color="auto"/>
            </w:tcBorders>
            <w:shd w:val="clear" w:color="000000" w:fill="FFFFFF"/>
            <w:noWrap/>
            <w:vAlign w:val="bottom"/>
            <w:hideMark/>
          </w:tcPr>
          <w:p w14:paraId="1D3A2A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1 205,4</w:t>
            </w:r>
          </w:p>
        </w:tc>
        <w:tc>
          <w:tcPr>
            <w:tcW w:w="1040" w:type="dxa"/>
            <w:tcBorders>
              <w:top w:val="nil"/>
              <w:left w:val="nil"/>
              <w:bottom w:val="single" w:sz="4" w:space="0" w:color="auto"/>
              <w:right w:val="single" w:sz="4" w:space="0" w:color="auto"/>
            </w:tcBorders>
            <w:shd w:val="clear" w:color="000000" w:fill="FFFFFF"/>
            <w:noWrap/>
            <w:vAlign w:val="bottom"/>
            <w:hideMark/>
          </w:tcPr>
          <w:p w14:paraId="5B8BBD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42,4</w:t>
            </w:r>
          </w:p>
        </w:tc>
        <w:tc>
          <w:tcPr>
            <w:tcW w:w="1087" w:type="dxa"/>
            <w:tcBorders>
              <w:top w:val="nil"/>
              <w:left w:val="nil"/>
              <w:bottom w:val="single" w:sz="4" w:space="0" w:color="auto"/>
              <w:right w:val="single" w:sz="4" w:space="0" w:color="auto"/>
            </w:tcBorders>
            <w:shd w:val="clear" w:color="000000" w:fill="FFFFFF"/>
            <w:noWrap/>
            <w:vAlign w:val="bottom"/>
            <w:hideMark/>
          </w:tcPr>
          <w:p w14:paraId="1AFC2C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1 142,6</w:t>
            </w:r>
          </w:p>
        </w:tc>
        <w:tc>
          <w:tcPr>
            <w:tcW w:w="1040" w:type="dxa"/>
            <w:tcBorders>
              <w:top w:val="nil"/>
              <w:left w:val="nil"/>
              <w:bottom w:val="single" w:sz="4" w:space="0" w:color="auto"/>
              <w:right w:val="single" w:sz="4" w:space="0" w:color="auto"/>
            </w:tcBorders>
            <w:shd w:val="clear" w:color="000000" w:fill="FFFFFF"/>
            <w:noWrap/>
            <w:vAlign w:val="bottom"/>
            <w:hideMark/>
          </w:tcPr>
          <w:p w14:paraId="573391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165,8</w:t>
            </w:r>
          </w:p>
        </w:tc>
        <w:tc>
          <w:tcPr>
            <w:tcW w:w="1226" w:type="dxa"/>
            <w:tcBorders>
              <w:top w:val="nil"/>
              <w:left w:val="nil"/>
              <w:bottom w:val="single" w:sz="4" w:space="0" w:color="auto"/>
              <w:right w:val="single" w:sz="4" w:space="0" w:color="auto"/>
            </w:tcBorders>
            <w:shd w:val="clear" w:color="000000" w:fill="FFFFFF"/>
            <w:noWrap/>
            <w:vAlign w:val="bottom"/>
            <w:hideMark/>
          </w:tcPr>
          <w:p w14:paraId="7070D2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C6F046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38977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Hесебър</w:t>
            </w:r>
          </w:p>
        </w:tc>
        <w:tc>
          <w:tcPr>
            <w:tcW w:w="1911" w:type="dxa"/>
            <w:tcBorders>
              <w:top w:val="nil"/>
              <w:left w:val="nil"/>
              <w:bottom w:val="single" w:sz="4" w:space="0" w:color="auto"/>
              <w:right w:val="single" w:sz="4" w:space="0" w:color="auto"/>
            </w:tcBorders>
            <w:shd w:val="clear" w:color="000000" w:fill="FFFFFF"/>
            <w:noWrap/>
            <w:vAlign w:val="bottom"/>
            <w:hideMark/>
          </w:tcPr>
          <w:p w14:paraId="2BB084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17 384,4</w:t>
            </w:r>
          </w:p>
        </w:tc>
        <w:tc>
          <w:tcPr>
            <w:tcW w:w="1118" w:type="dxa"/>
            <w:tcBorders>
              <w:top w:val="nil"/>
              <w:left w:val="nil"/>
              <w:bottom w:val="single" w:sz="4" w:space="0" w:color="auto"/>
              <w:right w:val="single" w:sz="4" w:space="0" w:color="auto"/>
            </w:tcBorders>
            <w:shd w:val="clear" w:color="000000" w:fill="FFFFFF"/>
            <w:noWrap/>
            <w:vAlign w:val="bottom"/>
            <w:hideMark/>
          </w:tcPr>
          <w:p w14:paraId="2DE1A3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1 441,4</w:t>
            </w:r>
          </w:p>
        </w:tc>
        <w:tc>
          <w:tcPr>
            <w:tcW w:w="1257" w:type="dxa"/>
            <w:tcBorders>
              <w:top w:val="nil"/>
              <w:left w:val="nil"/>
              <w:bottom w:val="single" w:sz="4" w:space="0" w:color="auto"/>
              <w:right w:val="single" w:sz="4" w:space="0" w:color="auto"/>
            </w:tcBorders>
            <w:shd w:val="clear" w:color="000000" w:fill="FFFFFF"/>
            <w:noWrap/>
            <w:vAlign w:val="bottom"/>
            <w:hideMark/>
          </w:tcPr>
          <w:p w14:paraId="445A7D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224,0</w:t>
            </w:r>
          </w:p>
        </w:tc>
        <w:tc>
          <w:tcPr>
            <w:tcW w:w="1384" w:type="dxa"/>
            <w:tcBorders>
              <w:top w:val="nil"/>
              <w:left w:val="nil"/>
              <w:bottom w:val="single" w:sz="4" w:space="0" w:color="auto"/>
              <w:right w:val="single" w:sz="4" w:space="0" w:color="auto"/>
            </w:tcBorders>
            <w:shd w:val="clear" w:color="000000" w:fill="FFFFFF"/>
            <w:noWrap/>
            <w:vAlign w:val="bottom"/>
            <w:hideMark/>
          </w:tcPr>
          <w:p w14:paraId="5E8715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1 217,4</w:t>
            </w:r>
          </w:p>
        </w:tc>
        <w:tc>
          <w:tcPr>
            <w:tcW w:w="1134" w:type="dxa"/>
            <w:tcBorders>
              <w:top w:val="nil"/>
              <w:left w:val="nil"/>
              <w:bottom w:val="single" w:sz="4" w:space="0" w:color="auto"/>
              <w:right w:val="single" w:sz="4" w:space="0" w:color="auto"/>
            </w:tcBorders>
            <w:shd w:val="clear" w:color="000000" w:fill="FFFFFF"/>
            <w:noWrap/>
            <w:vAlign w:val="bottom"/>
            <w:hideMark/>
          </w:tcPr>
          <w:p w14:paraId="7F5461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200,9</w:t>
            </w:r>
          </w:p>
        </w:tc>
        <w:tc>
          <w:tcPr>
            <w:tcW w:w="1277" w:type="dxa"/>
            <w:tcBorders>
              <w:top w:val="nil"/>
              <w:left w:val="nil"/>
              <w:bottom w:val="single" w:sz="4" w:space="0" w:color="auto"/>
              <w:right w:val="single" w:sz="4" w:space="0" w:color="auto"/>
            </w:tcBorders>
            <w:shd w:val="clear" w:color="000000" w:fill="FFFFFF"/>
            <w:noWrap/>
            <w:vAlign w:val="bottom"/>
            <w:hideMark/>
          </w:tcPr>
          <w:p w14:paraId="6336F4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14 270,0</w:t>
            </w:r>
          </w:p>
        </w:tc>
        <w:tc>
          <w:tcPr>
            <w:tcW w:w="1040" w:type="dxa"/>
            <w:tcBorders>
              <w:top w:val="nil"/>
              <w:left w:val="nil"/>
              <w:bottom w:val="single" w:sz="4" w:space="0" w:color="auto"/>
              <w:right w:val="single" w:sz="4" w:space="0" w:color="auto"/>
            </w:tcBorders>
            <w:shd w:val="clear" w:color="000000" w:fill="FFFFFF"/>
            <w:noWrap/>
            <w:vAlign w:val="bottom"/>
            <w:hideMark/>
          </w:tcPr>
          <w:p w14:paraId="4E4B75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537,4</w:t>
            </w:r>
          </w:p>
        </w:tc>
        <w:tc>
          <w:tcPr>
            <w:tcW w:w="1087" w:type="dxa"/>
            <w:tcBorders>
              <w:top w:val="nil"/>
              <w:left w:val="nil"/>
              <w:bottom w:val="single" w:sz="4" w:space="0" w:color="auto"/>
              <w:right w:val="single" w:sz="4" w:space="0" w:color="auto"/>
            </w:tcBorders>
            <w:shd w:val="clear" w:color="000000" w:fill="FFFFFF"/>
            <w:noWrap/>
            <w:vAlign w:val="bottom"/>
            <w:hideMark/>
          </w:tcPr>
          <w:p w14:paraId="3FE6A3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687,4</w:t>
            </w:r>
          </w:p>
        </w:tc>
        <w:tc>
          <w:tcPr>
            <w:tcW w:w="1040" w:type="dxa"/>
            <w:tcBorders>
              <w:top w:val="nil"/>
              <w:left w:val="nil"/>
              <w:bottom w:val="single" w:sz="4" w:space="0" w:color="auto"/>
              <w:right w:val="single" w:sz="4" w:space="0" w:color="auto"/>
            </w:tcBorders>
            <w:shd w:val="clear" w:color="000000" w:fill="FFFFFF"/>
            <w:noWrap/>
            <w:vAlign w:val="bottom"/>
            <w:hideMark/>
          </w:tcPr>
          <w:p w14:paraId="0E1C8C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247,3</w:t>
            </w:r>
          </w:p>
        </w:tc>
        <w:tc>
          <w:tcPr>
            <w:tcW w:w="1226" w:type="dxa"/>
            <w:tcBorders>
              <w:top w:val="nil"/>
              <w:left w:val="nil"/>
              <w:bottom w:val="single" w:sz="4" w:space="0" w:color="auto"/>
              <w:right w:val="single" w:sz="4" w:space="0" w:color="auto"/>
            </w:tcBorders>
            <w:shd w:val="clear" w:color="000000" w:fill="FFFFFF"/>
            <w:noWrap/>
            <w:vAlign w:val="bottom"/>
            <w:hideMark/>
          </w:tcPr>
          <w:p w14:paraId="7856FE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EBF922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A0937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Поморие</w:t>
            </w:r>
          </w:p>
        </w:tc>
        <w:tc>
          <w:tcPr>
            <w:tcW w:w="1911" w:type="dxa"/>
            <w:tcBorders>
              <w:top w:val="nil"/>
              <w:left w:val="nil"/>
              <w:bottom w:val="single" w:sz="4" w:space="0" w:color="auto"/>
              <w:right w:val="single" w:sz="4" w:space="0" w:color="auto"/>
            </w:tcBorders>
            <w:shd w:val="clear" w:color="000000" w:fill="FFFFFF"/>
            <w:noWrap/>
            <w:vAlign w:val="bottom"/>
            <w:hideMark/>
          </w:tcPr>
          <w:p w14:paraId="1E934C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16 704,3</w:t>
            </w:r>
          </w:p>
        </w:tc>
        <w:tc>
          <w:tcPr>
            <w:tcW w:w="1118" w:type="dxa"/>
            <w:tcBorders>
              <w:top w:val="nil"/>
              <w:left w:val="nil"/>
              <w:bottom w:val="single" w:sz="4" w:space="0" w:color="auto"/>
              <w:right w:val="single" w:sz="4" w:space="0" w:color="auto"/>
            </w:tcBorders>
            <w:shd w:val="clear" w:color="000000" w:fill="FFFFFF"/>
            <w:noWrap/>
            <w:vAlign w:val="bottom"/>
            <w:hideMark/>
          </w:tcPr>
          <w:p w14:paraId="13E571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1 505,4</w:t>
            </w:r>
          </w:p>
        </w:tc>
        <w:tc>
          <w:tcPr>
            <w:tcW w:w="1257" w:type="dxa"/>
            <w:tcBorders>
              <w:top w:val="nil"/>
              <w:left w:val="nil"/>
              <w:bottom w:val="single" w:sz="4" w:space="0" w:color="auto"/>
              <w:right w:val="single" w:sz="4" w:space="0" w:color="auto"/>
            </w:tcBorders>
            <w:shd w:val="clear" w:color="000000" w:fill="FFFFFF"/>
            <w:noWrap/>
            <w:vAlign w:val="bottom"/>
            <w:hideMark/>
          </w:tcPr>
          <w:p w14:paraId="644FE7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288,0</w:t>
            </w:r>
          </w:p>
        </w:tc>
        <w:tc>
          <w:tcPr>
            <w:tcW w:w="1384" w:type="dxa"/>
            <w:tcBorders>
              <w:top w:val="nil"/>
              <w:left w:val="nil"/>
              <w:bottom w:val="single" w:sz="4" w:space="0" w:color="auto"/>
              <w:right w:val="single" w:sz="4" w:space="0" w:color="auto"/>
            </w:tcBorders>
            <w:shd w:val="clear" w:color="000000" w:fill="FFFFFF"/>
            <w:noWrap/>
            <w:vAlign w:val="bottom"/>
            <w:hideMark/>
          </w:tcPr>
          <w:p w14:paraId="68744D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1 217,4</w:t>
            </w:r>
          </w:p>
        </w:tc>
        <w:tc>
          <w:tcPr>
            <w:tcW w:w="1134" w:type="dxa"/>
            <w:tcBorders>
              <w:top w:val="nil"/>
              <w:left w:val="nil"/>
              <w:bottom w:val="single" w:sz="4" w:space="0" w:color="auto"/>
              <w:right w:val="single" w:sz="4" w:space="0" w:color="auto"/>
            </w:tcBorders>
            <w:shd w:val="clear" w:color="000000" w:fill="FFFFFF"/>
            <w:noWrap/>
            <w:vAlign w:val="bottom"/>
            <w:hideMark/>
          </w:tcPr>
          <w:p w14:paraId="50D098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158,3</w:t>
            </w:r>
          </w:p>
        </w:tc>
        <w:tc>
          <w:tcPr>
            <w:tcW w:w="1277" w:type="dxa"/>
            <w:tcBorders>
              <w:top w:val="nil"/>
              <w:left w:val="nil"/>
              <w:bottom w:val="single" w:sz="4" w:space="0" w:color="auto"/>
              <w:right w:val="single" w:sz="4" w:space="0" w:color="auto"/>
            </w:tcBorders>
            <w:shd w:val="clear" w:color="000000" w:fill="FFFFFF"/>
            <w:noWrap/>
            <w:vAlign w:val="bottom"/>
            <w:hideMark/>
          </w:tcPr>
          <w:p w14:paraId="6D899E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12 000,0</w:t>
            </w:r>
          </w:p>
        </w:tc>
        <w:tc>
          <w:tcPr>
            <w:tcW w:w="1040" w:type="dxa"/>
            <w:tcBorders>
              <w:top w:val="nil"/>
              <w:left w:val="nil"/>
              <w:bottom w:val="single" w:sz="4" w:space="0" w:color="auto"/>
              <w:right w:val="single" w:sz="4" w:space="0" w:color="auto"/>
            </w:tcBorders>
            <w:shd w:val="clear" w:color="000000" w:fill="FFFFFF"/>
            <w:noWrap/>
            <w:vAlign w:val="bottom"/>
            <w:hideMark/>
          </w:tcPr>
          <w:p w14:paraId="539F66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366,0</w:t>
            </w:r>
          </w:p>
        </w:tc>
        <w:tc>
          <w:tcPr>
            <w:tcW w:w="1087" w:type="dxa"/>
            <w:tcBorders>
              <w:top w:val="nil"/>
              <w:left w:val="nil"/>
              <w:bottom w:val="single" w:sz="4" w:space="0" w:color="auto"/>
              <w:right w:val="single" w:sz="4" w:space="0" w:color="auto"/>
            </w:tcBorders>
            <w:shd w:val="clear" w:color="000000" w:fill="FFFFFF"/>
            <w:noWrap/>
            <w:vAlign w:val="bottom"/>
            <w:hideMark/>
          </w:tcPr>
          <w:p w14:paraId="25370E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2 213,8</w:t>
            </w:r>
          </w:p>
        </w:tc>
        <w:tc>
          <w:tcPr>
            <w:tcW w:w="1040" w:type="dxa"/>
            <w:tcBorders>
              <w:top w:val="nil"/>
              <w:left w:val="nil"/>
              <w:bottom w:val="single" w:sz="4" w:space="0" w:color="auto"/>
              <w:right w:val="single" w:sz="4" w:space="0" w:color="auto"/>
            </w:tcBorders>
            <w:shd w:val="clear" w:color="000000" w:fill="FFFFFF"/>
            <w:noWrap/>
            <w:vAlign w:val="bottom"/>
            <w:hideMark/>
          </w:tcPr>
          <w:p w14:paraId="4C2E6A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460,8</w:t>
            </w:r>
          </w:p>
        </w:tc>
        <w:tc>
          <w:tcPr>
            <w:tcW w:w="1226" w:type="dxa"/>
            <w:tcBorders>
              <w:top w:val="nil"/>
              <w:left w:val="nil"/>
              <w:bottom w:val="single" w:sz="4" w:space="0" w:color="auto"/>
              <w:right w:val="single" w:sz="4" w:space="0" w:color="auto"/>
            </w:tcBorders>
            <w:shd w:val="clear" w:color="000000" w:fill="FFFFFF"/>
            <w:noWrap/>
            <w:vAlign w:val="bottom"/>
            <w:hideMark/>
          </w:tcPr>
          <w:p w14:paraId="2BBEB8A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926B75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6578D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Приморско</w:t>
            </w:r>
          </w:p>
        </w:tc>
        <w:tc>
          <w:tcPr>
            <w:tcW w:w="1911" w:type="dxa"/>
            <w:tcBorders>
              <w:top w:val="nil"/>
              <w:left w:val="nil"/>
              <w:bottom w:val="single" w:sz="4" w:space="0" w:color="auto"/>
              <w:right w:val="single" w:sz="4" w:space="0" w:color="auto"/>
            </w:tcBorders>
            <w:shd w:val="clear" w:color="000000" w:fill="FFFFFF"/>
            <w:noWrap/>
            <w:vAlign w:val="bottom"/>
            <w:hideMark/>
          </w:tcPr>
          <w:p w14:paraId="07D101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4 295,6</w:t>
            </w:r>
          </w:p>
        </w:tc>
        <w:tc>
          <w:tcPr>
            <w:tcW w:w="1118" w:type="dxa"/>
            <w:tcBorders>
              <w:top w:val="nil"/>
              <w:left w:val="nil"/>
              <w:bottom w:val="single" w:sz="4" w:space="0" w:color="auto"/>
              <w:right w:val="single" w:sz="4" w:space="0" w:color="auto"/>
            </w:tcBorders>
            <w:shd w:val="clear" w:color="000000" w:fill="FFFFFF"/>
            <w:noWrap/>
            <w:vAlign w:val="bottom"/>
            <w:hideMark/>
          </w:tcPr>
          <w:p w14:paraId="782C83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704,0</w:t>
            </w:r>
          </w:p>
        </w:tc>
        <w:tc>
          <w:tcPr>
            <w:tcW w:w="1257" w:type="dxa"/>
            <w:tcBorders>
              <w:top w:val="nil"/>
              <w:left w:val="nil"/>
              <w:bottom w:val="single" w:sz="4" w:space="0" w:color="auto"/>
              <w:right w:val="single" w:sz="4" w:space="0" w:color="auto"/>
            </w:tcBorders>
            <w:shd w:val="clear" w:color="000000" w:fill="FFFFFF"/>
            <w:noWrap/>
            <w:vAlign w:val="bottom"/>
            <w:hideMark/>
          </w:tcPr>
          <w:p w14:paraId="5EB12D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121,3</w:t>
            </w:r>
          </w:p>
        </w:tc>
        <w:tc>
          <w:tcPr>
            <w:tcW w:w="1384" w:type="dxa"/>
            <w:tcBorders>
              <w:top w:val="nil"/>
              <w:left w:val="nil"/>
              <w:bottom w:val="single" w:sz="4" w:space="0" w:color="auto"/>
              <w:right w:val="single" w:sz="4" w:space="0" w:color="auto"/>
            </w:tcBorders>
            <w:shd w:val="clear" w:color="000000" w:fill="FFFFFF"/>
            <w:noWrap/>
            <w:vAlign w:val="bottom"/>
            <w:hideMark/>
          </w:tcPr>
          <w:p w14:paraId="4E3578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582,7</w:t>
            </w:r>
          </w:p>
        </w:tc>
        <w:tc>
          <w:tcPr>
            <w:tcW w:w="1134" w:type="dxa"/>
            <w:tcBorders>
              <w:top w:val="nil"/>
              <w:left w:val="nil"/>
              <w:bottom w:val="single" w:sz="4" w:space="0" w:color="auto"/>
              <w:right w:val="single" w:sz="4" w:space="0" w:color="auto"/>
            </w:tcBorders>
            <w:shd w:val="clear" w:color="000000" w:fill="FFFFFF"/>
            <w:noWrap/>
            <w:vAlign w:val="bottom"/>
            <w:hideMark/>
          </w:tcPr>
          <w:p w14:paraId="745F2D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117,9</w:t>
            </w:r>
          </w:p>
        </w:tc>
        <w:tc>
          <w:tcPr>
            <w:tcW w:w="1277" w:type="dxa"/>
            <w:tcBorders>
              <w:top w:val="nil"/>
              <w:left w:val="nil"/>
              <w:bottom w:val="single" w:sz="4" w:space="0" w:color="auto"/>
              <w:right w:val="single" w:sz="4" w:space="0" w:color="auto"/>
            </w:tcBorders>
            <w:shd w:val="clear" w:color="000000" w:fill="FFFFFF"/>
            <w:noWrap/>
            <w:vAlign w:val="bottom"/>
            <w:hideMark/>
          </w:tcPr>
          <w:p w14:paraId="0266B3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2 397,1</w:t>
            </w:r>
          </w:p>
        </w:tc>
        <w:tc>
          <w:tcPr>
            <w:tcW w:w="1040" w:type="dxa"/>
            <w:tcBorders>
              <w:top w:val="nil"/>
              <w:left w:val="nil"/>
              <w:bottom w:val="single" w:sz="4" w:space="0" w:color="auto"/>
              <w:right w:val="single" w:sz="4" w:space="0" w:color="auto"/>
            </w:tcBorders>
            <w:shd w:val="clear" w:color="000000" w:fill="FFFFFF"/>
            <w:noWrap/>
            <w:vAlign w:val="bottom"/>
            <w:hideMark/>
          </w:tcPr>
          <w:p w14:paraId="390828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116,3</w:t>
            </w:r>
          </w:p>
        </w:tc>
        <w:tc>
          <w:tcPr>
            <w:tcW w:w="1087" w:type="dxa"/>
            <w:tcBorders>
              <w:top w:val="nil"/>
              <w:left w:val="nil"/>
              <w:bottom w:val="single" w:sz="4" w:space="0" w:color="auto"/>
              <w:right w:val="single" w:sz="4" w:space="0" w:color="auto"/>
            </w:tcBorders>
            <w:shd w:val="clear" w:color="000000" w:fill="FFFFFF"/>
            <w:noWrap/>
            <w:vAlign w:val="bottom"/>
            <w:hideMark/>
          </w:tcPr>
          <w:p w14:paraId="0917CD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825,4</w:t>
            </w:r>
          </w:p>
        </w:tc>
        <w:tc>
          <w:tcPr>
            <w:tcW w:w="1040" w:type="dxa"/>
            <w:tcBorders>
              <w:top w:val="nil"/>
              <w:left w:val="nil"/>
              <w:bottom w:val="single" w:sz="4" w:space="0" w:color="auto"/>
              <w:right w:val="single" w:sz="4" w:space="0" w:color="auto"/>
            </w:tcBorders>
            <w:shd w:val="clear" w:color="000000" w:fill="FFFFFF"/>
            <w:noWrap/>
            <w:vAlign w:val="bottom"/>
            <w:hideMark/>
          </w:tcPr>
          <w:p w14:paraId="7123E1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134,9</w:t>
            </w:r>
          </w:p>
        </w:tc>
        <w:tc>
          <w:tcPr>
            <w:tcW w:w="1226" w:type="dxa"/>
            <w:tcBorders>
              <w:top w:val="nil"/>
              <w:left w:val="nil"/>
              <w:bottom w:val="single" w:sz="4" w:space="0" w:color="auto"/>
              <w:right w:val="single" w:sz="4" w:space="0" w:color="auto"/>
            </w:tcBorders>
            <w:shd w:val="clear" w:color="000000" w:fill="FFFFFF"/>
            <w:noWrap/>
            <w:vAlign w:val="bottom"/>
            <w:hideMark/>
          </w:tcPr>
          <w:p w14:paraId="089DCF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9108700"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D5403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Pуен</w:t>
            </w:r>
          </w:p>
        </w:tc>
        <w:tc>
          <w:tcPr>
            <w:tcW w:w="1911" w:type="dxa"/>
            <w:tcBorders>
              <w:top w:val="nil"/>
              <w:left w:val="nil"/>
              <w:bottom w:val="single" w:sz="4" w:space="0" w:color="auto"/>
              <w:right w:val="single" w:sz="4" w:space="0" w:color="auto"/>
            </w:tcBorders>
            <w:shd w:val="clear" w:color="000000" w:fill="FFFFFF"/>
            <w:noWrap/>
            <w:vAlign w:val="bottom"/>
            <w:hideMark/>
          </w:tcPr>
          <w:p w14:paraId="2B080A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14 904,2</w:t>
            </w:r>
          </w:p>
        </w:tc>
        <w:tc>
          <w:tcPr>
            <w:tcW w:w="1118" w:type="dxa"/>
            <w:tcBorders>
              <w:top w:val="nil"/>
              <w:left w:val="nil"/>
              <w:bottom w:val="single" w:sz="4" w:space="0" w:color="auto"/>
              <w:right w:val="single" w:sz="4" w:space="0" w:color="auto"/>
            </w:tcBorders>
            <w:shd w:val="clear" w:color="000000" w:fill="FFFFFF"/>
            <w:noWrap/>
            <w:vAlign w:val="bottom"/>
            <w:hideMark/>
          </w:tcPr>
          <w:p w14:paraId="6E90A5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2 091,4</w:t>
            </w:r>
          </w:p>
        </w:tc>
        <w:tc>
          <w:tcPr>
            <w:tcW w:w="1257" w:type="dxa"/>
            <w:tcBorders>
              <w:top w:val="nil"/>
              <w:left w:val="nil"/>
              <w:bottom w:val="single" w:sz="4" w:space="0" w:color="auto"/>
              <w:right w:val="single" w:sz="4" w:space="0" w:color="auto"/>
            </w:tcBorders>
            <w:shd w:val="clear" w:color="000000" w:fill="FFFFFF"/>
            <w:noWrap/>
            <w:vAlign w:val="bottom"/>
            <w:hideMark/>
          </w:tcPr>
          <w:p w14:paraId="3E303C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672,1</w:t>
            </w:r>
          </w:p>
        </w:tc>
        <w:tc>
          <w:tcPr>
            <w:tcW w:w="1384" w:type="dxa"/>
            <w:tcBorders>
              <w:top w:val="nil"/>
              <w:left w:val="nil"/>
              <w:bottom w:val="single" w:sz="4" w:space="0" w:color="auto"/>
              <w:right w:val="single" w:sz="4" w:space="0" w:color="auto"/>
            </w:tcBorders>
            <w:shd w:val="clear" w:color="000000" w:fill="FFFFFF"/>
            <w:noWrap/>
            <w:vAlign w:val="bottom"/>
            <w:hideMark/>
          </w:tcPr>
          <w:p w14:paraId="5B93C1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1 419,3</w:t>
            </w:r>
          </w:p>
        </w:tc>
        <w:tc>
          <w:tcPr>
            <w:tcW w:w="1134" w:type="dxa"/>
            <w:tcBorders>
              <w:top w:val="nil"/>
              <w:left w:val="nil"/>
              <w:bottom w:val="single" w:sz="4" w:space="0" w:color="auto"/>
              <w:right w:val="single" w:sz="4" w:space="0" w:color="auto"/>
            </w:tcBorders>
            <w:shd w:val="clear" w:color="000000" w:fill="FFFFFF"/>
            <w:noWrap/>
            <w:vAlign w:val="bottom"/>
            <w:hideMark/>
          </w:tcPr>
          <w:p w14:paraId="4E6165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137,2</w:t>
            </w:r>
          </w:p>
        </w:tc>
        <w:tc>
          <w:tcPr>
            <w:tcW w:w="1277" w:type="dxa"/>
            <w:tcBorders>
              <w:top w:val="nil"/>
              <w:left w:val="nil"/>
              <w:bottom w:val="single" w:sz="4" w:space="0" w:color="auto"/>
              <w:right w:val="single" w:sz="4" w:space="0" w:color="auto"/>
            </w:tcBorders>
            <w:shd w:val="clear" w:color="000000" w:fill="FFFFFF"/>
            <w:noWrap/>
            <w:vAlign w:val="bottom"/>
            <w:hideMark/>
          </w:tcPr>
          <w:p w14:paraId="097E4E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11 848,2</w:t>
            </w:r>
          </w:p>
        </w:tc>
        <w:tc>
          <w:tcPr>
            <w:tcW w:w="1040" w:type="dxa"/>
            <w:tcBorders>
              <w:top w:val="nil"/>
              <w:left w:val="nil"/>
              <w:bottom w:val="single" w:sz="4" w:space="0" w:color="auto"/>
              <w:right w:val="single" w:sz="4" w:space="0" w:color="auto"/>
            </w:tcBorders>
            <w:shd w:val="clear" w:color="000000" w:fill="FFFFFF"/>
            <w:noWrap/>
            <w:vAlign w:val="bottom"/>
            <w:hideMark/>
          </w:tcPr>
          <w:p w14:paraId="4DA901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195,1</w:t>
            </w:r>
          </w:p>
        </w:tc>
        <w:tc>
          <w:tcPr>
            <w:tcW w:w="1087" w:type="dxa"/>
            <w:tcBorders>
              <w:top w:val="nil"/>
              <w:left w:val="nil"/>
              <w:bottom w:val="single" w:sz="4" w:space="0" w:color="auto"/>
              <w:right w:val="single" w:sz="4" w:space="0" w:color="auto"/>
            </w:tcBorders>
            <w:shd w:val="clear" w:color="000000" w:fill="FFFFFF"/>
            <w:noWrap/>
            <w:vAlign w:val="bottom"/>
            <w:hideMark/>
          </w:tcPr>
          <w:p w14:paraId="67B2F5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396,2</w:t>
            </w:r>
          </w:p>
        </w:tc>
        <w:tc>
          <w:tcPr>
            <w:tcW w:w="1040" w:type="dxa"/>
            <w:tcBorders>
              <w:top w:val="nil"/>
              <w:left w:val="nil"/>
              <w:bottom w:val="single" w:sz="4" w:space="0" w:color="auto"/>
              <w:right w:val="single" w:sz="4" w:space="0" w:color="auto"/>
            </w:tcBorders>
            <w:shd w:val="clear" w:color="000000" w:fill="FFFFFF"/>
            <w:noWrap/>
            <w:vAlign w:val="bottom"/>
            <w:hideMark/>
          </w:tcPr>
          <w:p w14:paraId="5791BD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236,1</w:t>
            </w:r>
          </w:p>
        </w:tc>
        <w:tc>
          <w:tcPr>
            <w:tcW w:w="1226" w:type="dxa"/>
            <w:tcBorders>
              <w:top w:val="nil"/>
              <w:left w:val="nil"/>
              <w:bottom w:val="single" w:sz="4" w:space="0" w:color="auto"/>
              <w:right w:val="single" w:sz="4" w:space="0" w:color="auto"/>
            </w:tcBorders>
            <w:shd w:val="clear" w:color="000000" w:fill="FFFFFF"/>
            <w:noWrap/>
            <w:vAlign w:val="bottom"/>
            <w:hideMark/>
          </w:tcPr>
          <w:p w14:paraId="0D282B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29C2DA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A17E6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Cозопол</w:t>
            </w:r>
          </w:p>
        </w:tc>
        <w:tc>
          <w:tcPr>
            <w:tcW w:w="1911" w:type="dxa"/>
            <w:tcBorders>
              <w:top w:val="nil"/>
              <w:left w:val="nil"/>
              <w:bottom w:val="single" w:sz="4" w:space="0" w:color="auto"/>
              <w:right w:val="single" w:sz="4" w:space="0" w:color="auto"/>
            </w:tcBorders>
            <w:shd w:val="clear" w:color="000000" w:fill="FFFFFF"/>
            <w:noWrap/>
            <w:vAlign w:val="bottom"/>
            <w:hideMark/>
          </w:tcPr>
          <w:p w14:paraId="31FD9A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6 936,4</w:t>
            </w:r>
          </w:p>
        </w:tc>
        <w:tc>
          <w:tcPr>
            <w:tcW w:w="1118" w:type="dxa"/>
            <w:tcBorders>
              <w:top w:val="nil"/>
              <w:left w:val="nil"/>
              <w:bottom w:val="single" w:sz="4" w:space="0" w:color="auto"/>
              <w:right w:val="single" w:sz="4" w:space="0" w:color="auto"/>
            </w:tcBorders>
            <w:shd w:val="clear" w:color="000000" w:fill="FFFFFF"/>
            <w:noWrap/>
            <w:vAlign w:val="bottom"/>
            <w:hideMark/>
          </w:tcPr>
          <w:p w14:paraId="6919B5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1 007,5</w:t>
            </w:r>
          </w:p>
        </w:tc>
        <w:tc>
          <w:tcPr>
            <w:tcW w:w="1257" w:type="dxa"/>
            <w:tcBorders>
              <w:top w:val="nil"/>
              <w:left w:val="nil"/>
              <w:bottom w:val="single" w:sz="4" w:space="0" w:color="auto"/>
              <w:right w:val="single" w:sz="4" w:space="0" w:color="auto"/>
            </w:tcBorders>
            <w:shd w:val="clear" w:color="000000" w:fill="FFFFFF"/>
            <w:noWrap/>
            <w:vAlign w:val="bottom"/>
            <w:hideMark/>
          </w:tcPr>
          <w:p w14:paraId="1A61D1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218,9</w:t>
            </w:r>
          </w:p>
        </w:tc>
        <w:tc>
          <w:tcPr>
            <w:tcW w:w="1384" w:type="dxa"/>
            <w:tcBorders>
              <w:top w:val="nil"/>
              <w:left w:val="nil"/>
              <w:bottom w:val="single" w:sz="4" w:space="0" w:color="auto"/>
              <w:right w:val="single" w:sz="4" w:space="0" w:color="auto"/>
            </w:tcBorders>
            <w:shd w:val="clear" w:color="000000" w:fill="FFFFFF"/>
            <w:noWrap/>
            <w:vAlign w:val="bottom"/>
            <w:hideMark/>
          </w:tcPr>
          <w:p w14:paraId="359E82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788,6</w:t>
            </w:r>
          </w:p>
        </w:tc>
        <w:tc>
          <w:tcPr>
            <w:tcW w:w="1134" w:type="dxa"/>
            <w:tcBorders>
              <w:top w:val="nil"/>
              <w:left w:val="nil"/>
              <w:bottom w:val="single" w:sz="4" w:space="0" w:color="auto"/>
              <w:right w:val="single" w:sz="4" w:space="0" w:color="auto"/>
            </w:tcBorders>
            <w:shd w:val="clear" w:color="000000" w:fill="FFFFFF"/>
            <w:noWrap/>
            <w:vAlign w:val="bottom"/>
            <w:hideMark/>
          </w:tcPr>
          <w:p w14:paraId="1D0D7F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161,6</w:t>
            </w:r>
          </w:p>
        </w:tc>
        <w:tc>
          <w:tcPr>
            <w:tcW w:w="1277" w:type="dxa"/>
            <w:tcBorders>
              <w:top w:val="nil"/>
              <w:left w:val="nil"/>
              <w:bottom w:val="single" w:sz="4" w:space="0" w:color="auto"/>
              <w:right w:val="single" w:sz="4" w:space="0" w:color="auto"/>
            </w:tcBorders>
            <w:shd w:val="clear" w:color="000000" w:fill="FFFFFF"/>
            <w:noWrap/>
            <w:vAlign w:val="bottom"/>
            <w:hideMark/>
          </w:tcPr>
          <w:p w14:paraId="29E595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4 311,8</w:t>
            </w:r>
          </w:p>
        </w:tc>
        <w:tc>
          <w:tcPr>
            <w:tcW w:w="1040" w:type="dxa"/>
            <w:tcBorders>
              <w:top w:val="nil"/>
              <w:left w:val="nil"/>
              <w:bottom w:val="single" w:sz="4" w:space="0" w:color="auto"/>
              <w:right w:val="single" w:sz="4" w:space="0" w:color="auto"/>
            </w:tcBorders>
            <w:shd w:val="clear" w:color="000000" w:fill="FFFFFF"/>
            <w:noWrap/>
            <w:vAlign w:val="bottom"/>
            <w:hideMark/>
          </w:tcPr>
          <w:p w14:paraId="679BDC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121,2</w:t>
            </w:r>
          </w:p>
        </w:tc>
        <w:tc>
          <w:tcPr>
            <w:tcW w:w="1087" w:type="dxa"/>
            <w:tcBorders>
              <w:top w:val="nil"/>
              <w:left w:val="nil"/>
              <w:bottom w:val="single" w:sz="4" w:space="0" w:color="auto"/>
              <w:right w:val="single" w:sz="4" w:space="0" w:color="auto"/>
            </w:tcBorders>
            <w:shd w:val="clear" w:color="000000" w:fill="FFFFFF"/>
            <w:noWrap/>
            <w:vAlign w:val="bottom"/>
            <w:hideMark/>
          </w:tcPr>
          <w:p w14:paraId="61556E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999,4</w:t>
            </w:r>
          </w:p>
        </w:tc>
        <w:tc>
          <w:tcPr>
            <w:tcW w:w="1040" w:type="dxa"/>
            <w:tcBorders>
              <w:top w:val="nil"/>
              <w:left w:val="nil"/>
              <w:bottom w:val="single" w:sz="4" w:space="0" w:color="auto"/>
              <w:right w:val="single" w:sz="4" w:space="0" w:color="auto"/>
            </w:tcBorders>
            <w:shd w:val="clear" w:color="000000" w:fill="FFFFFF"/>
            <w:noWrap/>
            <w:vAlign w:val="bottom"/>
            <w:hideMark/>
          </w:tcPr>
          <w:p w14:paraId="25787E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334,9</w:t>
            </w:r>
          </w:p>
        </w:tc>
        <w:tc>
          <w:tcPr>
            <w:tcW w:w="1226" w:type="dxa"/>
            <w:tcBorders>
              <w:top w:val="nil"/>
              <w:left w:val="nil"/>
              <w:bottom w:val="single" w:sz="4" w:space="0" w:color="auto"/>
              <w:right w:val="single" w:sz="4" w:space="0" w:color="auto"/>
            </w:tcBorders>
            <w:shd w:val="clear" w:color="000000" w:fill="FFFFFF"/>
            <w:noWrap/>
            <w:vAlign w:val="bottom"/>
            <w:hideMark/>
          </w:tcPr>
          <w:p w14:paraId="1A87462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F40213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C910C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Средец</w:t>
            </w:r>
          </w:p>
        </w:tc>
        <w:tc>
          <w:tcPr>
            <w:tcW w:w="1911" w:type="dxa"/>
            <w:tcBorders>
              <w:top w:val="nil"/>
              <w:left w:val="nil"/>
              <w:bottom w:val="single" w:sz="4" w:space="0" w:color="auto"/>
              <w:right w:val="single" w:sz="4" w:space="0" w:color="auto"/>
            </w:tcBorders>
            <w:shd w:val="clear" w:color="000000" w:fill="FFFFFF"/>
            <w:noWrap/>
            <w:vAlign w:val="bottom"/>
            <w:hideMark/>
          </w:tcPr>
          <w:p w14:paraId="73AAD4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10 748,9</w:t>
            </w:r>
          </w:p>
        </w:tc>
        <w:tc>
          <w:tcPr>
            <w:tcW w:w="1118" w:type="dxa"/>
            <w:tcBorders>
              <w:top w:val="nil"/>
              <w:left w:val="nil"/>
              <w:bottom w:val="single" w:sz="4" w:space="0" w:color="auto"/>
              <w:right w:val="single" w:sz="4" w:space="0" w:color="auto"/>
            </w:tcBorders>
            <w:shd w:val="clear" w:color="000000" w:fill="FFFFFF"/>
            <w:noWrap/>
            <w:vAlign w:val="bottom"/>
            <w:hideMark/>
          </w:tcPr>
          <w:p w14:paraId="7BB7F5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1 166,0</w:t>
            </w:r>
          </w:p>
        </w:tc>
        <w:tc>
          <w:tcPr>
            <w:tcW w:w="1257" w:type="dxa"/>
            <w:tcBorders>
              <w:top w:val="nil"/>
              <w:left w:val="nil"/>
              <w:bottom w:val="single" w:sz="4" w:space="0" w:color="auto"/>
              <w:right w:val="single" w:sz="4" w:space="0" w:color="auto"/>
            </w:tcBorders>
            <w:shd w:val="clear" w:color="000000" w:fill="FFFFFF"/>
            <w:noWrap/>
            <w:vAlign w:val="bottom"/>
            <w:hideMark/>
          </w:tcPr>
          <w:p w14:paraId="5B4E07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384,1</w:t>
            </w:r>
          </w:p>
        </w:tc>
        <w:tc>
          <w:tcPr>
            <w:tcW w:w="1384" w:type="dxa"/>
            <w:tcBorders>
              <w:top w:val="nil"/>
              <w:left w:val="nil"/>
              <w:bottom w:val="single" w:sz="4" w:space="0" w:color="auto"/>
              <w:right w:val="single" w:sz="4" w:space="0" w:color="auto"/>
            </w:tcBorders>
            <w:shd w:val="clear" w:color="000000" w:fill="FFFFFF"/>
            <w:noWrap/>
            <w:vAlign w:val="bottom"/>
            <w:hideMark/>
          </w:tcPr>
          <w:p w14:paraId="5B7F8B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781,9</w:t>
            </w:r>
          </w:p>
        </w:tc>
        <w:tc>
          <w:tcPr>
            <w:tcW w:w="1134" w:type="dxa"/>
            <w:tcBorders>
              <w:top w:val="nil"/>
              <w:left w:val="nil"/>
              <w:bottom w:val="single" w:sz="4" w:space="0" w:color="auto"/>
              <w:right w:val="single" w:sz="4" w:space="0" w:color="auto"/>
            </w:tcBorders>
            <w:shd w:val="clear" w:color="000000" w:fill="FFFFFF"/>
            <w:noWrap/>
            <w:vAlign w:val="bottom"/>
            <w:hideMark/>
          </w:tcPr>
          <w:p w14:paraId="47077E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162,3</w:t>
            </w:r>
          </w:p>
        </w:tc>
        <w:tc>
          <w:tcPr>
            <w:tcW w:w="1277" w:type="dxa"/>
            <w:tcBorders>
              <w:top w:val="nil"/>
              <w:left w:val="nil"/>
              <w:bottom w:val="single" w:sz="4" w:space="0" w:color="auto"/>
              <w:right w:val="single" w:sz="4" w:space="0" w:color="auto"/>
            </w:tcBorders>
            <w:shd w:val="clear" w:color="000000" w:fill="FFFFFF"/>
            <w:noWrap/>
            <w:vAlign w:val="bottom"/>
            <w:hideMark/>
          </w:tcPr>
          <w:p w14:paraId="057D33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6 386,6</w:t>
            </w:r>
          </w:p>
        </w:tc>
        <w:tc>
          <w:tcPr>
            <w:tcW w:w="1040" w:type="dxa"/>
            <w:tcBorders>
              <w:top w:val="nil"/>
              <w:left w:val="nil"/>
              <w:bottom w:val="single" w:sz="4" w:space="0" w:color="auto"/>
              <w:right w:val="single" w:sz="4" w:space="0" w:color="auto"/>
            </w:tcBorders>
            <w:shd w:val="clear" w:color="000000" w:fill="FFFFFF"/>
            <w:noWrap/>
            <w:vAlign w:val="bottom"/>
            <w:hideMark/>
          </w:tcPr>
          <w:p w14:paraId="2F3D5F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240,3</w:t>
            </w:r>
          </w:p>
        </w:tc>
        <w:tc>
          <w:tcPr>
            <w:tcW w:w="1087" w:type="dxa"/>
            <w:tcBorders>
              <w:top w:val="nil"/>
              <w:left w:val="nil"/>
              <w:bottom w:val="single" w:sz="4" w:space="0" w:color="auto"/>
              <w:right w:val="single" w:sz="4" w:space="0" w:color="auto"/>
            </w:tcBorders>
            <w:shd w:val="clear" w:color="000000" w:fill="FFFFFF"/>
            <w:noWrap/>
            <w:vAlign w:val="bottom"/>
            <w:hideMark/>
          </w:tcPr>
          <w:p w14:paraId="608AE2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2 385,0</w:t>
            </w:r>
          </w:p>
        </w:tc>
        <w:tc>
          <w:tcPr>
            <w:tcW w:w="1040" w:type="dxa"/>
            <w:tcBorders>
              <w:top w:val="nil"/>
              <w:left w:val="nil"/>
              <w:bottom w:val="single" w:sz="4" w:space="0" w:color="auto"/>
              <w:right w:val="single" w:sz="4" w:space="0" w:color="auto"/>
            </w:tcBorders>
            <w:shd w:val="clear" w:color="000000" w:fill="FFFFFF"/>
            <w:noWrap/>
            <w:vAlign w:val="bottom"/>
            <w:hideMark/>
          </w:tcPr>
          <w:p w14:paraId="4B30A1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408,7</w:t>
            </w:r>
          </w:p>
        </w:tc>
        <w:tc>
          <w:tcPr>
            <w:tcW w:w="1226" w:type="dxa"/>
            <w:tcBorders>
              <w:top w:val="nil"/>
              <w:left w:val="nil"/>
              <w:bottom w:val="single" w:sz="4" w:space="0" w:color="auto"/>
              <w:right w:val="single" w:sz="4" w:space="0" w:color="auto"/>
            </w:tcBorders>
            <w:shd w:val="clear" w:color="000000" w:fill="FFFFFF"/>
            <w:noWrap/>
            <w:vAlign w:val="bottom"/>
            <w:hideMark/>
          </w:tcPr>
          <w:p w14:paraId="23BCDB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988450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A4634A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Cунгурларе</w:t>
            </w:r>
          </w:p>
        </w:tc>
        <w:tc>
          <w:tcPr>
            <w:tcW w:w="1911" w:type="dxa"/>
            <w:tcBorders>
              <w:top w:val="nil"/>
              <w:left w:val="nil"/>
              <w:bottom w:val="single" w:sz="4" w:space="0" w:color="auto"/>
              <w:right w:val="single" w:sz="4" w:space="0" w:color="auto"/>
            </w:tcBorders>
            <w:shd w:val="clear" w:color="000000" w:fill="FFFFFF"/>
            <w:noWrap/>
            <w:vAlign w:val="bottom"/>
            <w:hideMark/>
          </w:tcPr>
          <w:p w14:paraId="725E10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8 713,0</w:t>
            </w:r>
          </w:p>
        </w:tc>
        <w:tc>
          <w:tcPr>
            <w:tcW w:w="1118" w:type="dxa"/>
            <w:tcBorders>
              <w:top w:val="nil"/>
              <w:left w:val="nil"/>
              <w:bottom w:val="single" w:sz="4" w:space="0" w:color="auto"/>
              <w:right w:val="single" w:sz="4" w:space="0" w:color="auto"/>
            </w:tcBorders>
            <w:shd w:val="clear" w:color="000000" w:fill="FFFFFF"/>
            <w:noWrap/>
            <w:vAlign w:val="bottom"/>
            <w:hideMark/>
          </w:tcPr>
          <w:p w14:paraId="1DBB57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1 178,0</w:t>
            </w:r>
          </w:p>
        </w:tc>
        <w:tc>
          <w:tcPr>
            <w:tcW w:w="1257" w:type="dxa"/>
            <w:tcBorders>
              <w:top w:val="nil"/>
              <w:left w:val="nil"/>
              <w:bottom w:val="single" w:sz="4" w:space="0" w:color="auto"/>
              <w:right w:val="single" w:sz="4" w:space="0" w:color="auto"/>
            </w:tcBorders>
            <w:shd w:val="clear" w:color="000000" w:fill="FFFFFF"/>
            <w:noWrap/>
            <w:vAlign w:val="bottom"/>
            <w:hideMark/>
          </w:tcPr>
          <w:p w14:paraId="370714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404,2</w:t>
            </w:r>
          </w:p>
        </w:tc>
        <w:tc>
          <w:tcPr>
            <w:tcW w:w="1384" w:type="dxa"/>
            <w:tcBorders>
              <w:top w:val="nil"/>
              <w:left w:val="nil"/>
              <w:bottom w:val="single" w:sz="4" w:space="0" w:color="auto"/>
              <w:right w:val="single" w:sz="4" w:space="0" w:color="auto"/>
            </w:tcBorders>
            <w:shd w:val="clear" w:color="000000" w:fill="FFFFFF"/>
            <w:noWrap/>
            <w:vAlign w:val="bottom"/>
            <w:hideMark/>
          </w:tcPr>
          <w:p w14:paraId="25B75F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773,8</w:t>
            </w:r>
          </w:p>
        </w:tc>
        <w:tc>
          <w:tcPr>
            <w:tcW w:w="1134" w:type="dxa"/>
            <w:tcBorders>
              <w:top w:val="nil"/>
              <w:left w:val="nil"/>
              <w:bottom w:val="single" w:sz="4" w:space="0" w:color="auto"/>
              <w:right w:val="single" w:sz="4" w:space="0" w:color="auto"/>
            </w:tcBorders>
            <w:shd w:val="clear" w:color="000000" w:fill="FFFFFF"/>
            <w:noWrap/>
            <w:vAlign w:val="bottom"/>
            <w:hideMark/>
          </w:tcPr>
          <w:p w14:paraId="06E185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148,9</w:t>
            </w:r>
          </w:p>
        </w:tc>
        <w:tc>
          <w:tcPr>
            <w:tcW w:w="1277" w:type="dxa"/>
            <w:tcBorders>
              <w:top w:val="nil"/>
              <w:left w:val="nil"/>
              <w:bottom w:val="single" w:sz="4" w:space="0" w:color="auto"/>
              <w:right w:val="single" w:sz="4" w:space="0" w:color="auto"/>
            </w:tcBorders>
            <w:shd w:val="clear" w:color="000000" w:fill="FFFFFF"/>
            <w:noWrap/>
            <w:vAlign w:val="bottom"/>
            <w:hideMark/>
          </w:tcPr>
          <w:p w14:paraId="14D0E1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5 596,0</w:t>
            </w:r>
          </w:p>
        </w:tc>
        <w:tc>
          <w:tcPr>
            <w:tcW w:w="1040" w:type="dxa"/>
            <w:tcBorders>
              <w:top w:val="nil"/>
              <w:left w:val="nil"/>
              <w:bottom w:val="single" w:sz="4" w:space="0" w:color="auto"/>
              <w:right w:val="single" w:sz="4" w:space="0" w:color="auto"/>
            </w:tcBorders>
            <w:shd w:val="clear" w:color="000000" w:fill="FFFFFF"/>
            <w:noWrap/>
            <w:vAlign w:val="bottom"/>
            <w:hideMark/>
          </w:tcPr>
          <w:p w14:paraId="2C6A03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196,0</w:t>
            </w:r>
          </w:p>
        </w:tc>
        <w:tc>
          <w:tcPr>
            <w:tcW w:w="1087" w:type="dxa"/>
            <w:tcBorders>
              <w:top w:val="nil"/>
              <w:left w:val="nil"/>
              <w:bottom w:val="single" w:sz="4" w:space="0" w:color="auto"/>
              <w:right w:val="single" w:sz="4" w:space="0" w:color="auto"/>
            </w:tcBorders>
            <w:shd w:val="clear" w:color="000000" w:fill="FFFFFF"/>
            <w:noWrap/>
            <w:vAlign w:val="bottom"/>
            <w:hideMark/>
          </w:tcPr>
          <w:p w14:paraId="7A240C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1 268,1</w:t>
            </w:r>
          </w:p>
        </w:tc>
        <w:tc>
          <w:tcPr>
            <w:tcW w:w="1040" w:type="dxa"/>
            <w:tcBorders>
              <w:top w:val="nil"/>
              <w:left w:val="nil"/>
              <w:bottom w:val="single" w:sz="4" w:space="0" w:color="auto"/>
              <w:right w:val="single" w:sz="4" w:space="0" w:color="auto"/>
            </w:tcBorders>
            <w:shd w:val="clear" w:color="000000" w:fill="FFFFFF"/>
            <w:noWrap/>
            <w:vAlign w:val="bottom"/>
            <w:hideMark/>
          </w:tcPr>
          <w:p w14:paraId="54047A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326,0</w:t>
            </w:r>
          </w:p>
        </w:tc>
        <w:tc>
          <w:tcPr>
            <w:tcW w:w="1226" w:type="dxa"/>
            <w:tcBorders>
              <w:top w:val="nil"/>
              <w:left w:val="nil"/>
              <w:bottom w:val="single" w:sz="4" w:space="0" w:color="auto"/>
              <w:right w:val="single" w:sz="4" w:space="0" w:color="auto"/>
            </w:tcBorders>
            <w:shd w:val="clear" w:color="000000" w:fill="FFFFFF"/>
            <w:noWrap/>
            <w:vAlign w:val="bottom"/>
            <w:hideMark/>
          </w:tcPr>
          <w:p w14:paraId="4AE761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12F05E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BCE03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Царево</w:t>
            </w:r>
          </w:p>
        </w:tc>
        <w:tc>
          <w:tcPr>
            <w:tcW w:w="1911" w:type="dxa"/>
            <w:tcBorders>
              <w:top w:val="nil"/>
              <w:left w:val="nil"/>
              <w:bottom w:val="single" w:sz="4" w:space="0" w:color="auto"/>
              <w:right w:val="single" w:sz="4" w:space="0" w:color="auto"/>
            </w:tcBorders>
            <w:shd w:val="clear" w:color="000000" w:fill="FFFFFF"/>
            <w:noWrap/>
            <w:vAlign w:val="bottom"/>
            <w:hideMark/>
          </w:tcPr>
          <w:p w14:paraId="5956EE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5 540,6</w:t>
            </w:r>
          </w:p>
        </w:tc>
        <w:tc>
          <w:tcPr>
            <w:tcW w:w="1118" w:type="dxa"/>
            <w:tcBorders>
              <w:top w:val="nil"/>
              <w:left w:val="nil"/>
              <w:bottom w:val="single" w:sz="4" w:space="0" w:color="auto"/>
              <w:right w:val="single" w:sz="4" w:space="0" w:color="auto"/>
            </w:tcBorders>
            <w:shd w:val="clear" w:color="000000" w:fill="FFFFFF"/>
            <w:noWrap/>
            <w:vAlign w:val="bottom"/>
            <w:hideMark/>
          </w:tcPr>
          <w:p w14:paraId="7701A4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873,3</w:t>
            </w:r>
          </w:p>
        </w:tc>
        <w:tc>
          <w:tcPr>
            <w:tcW w:w="1257" w:type="dxa"/>
            <w:tcBorders>
              <w:top w:val="nil"/>
              <w:left w:val="nil"/>
              <w:bottom w:val="single" w:sz="4" w:space="0" w:color="auto"/>
              <w:right w:val="single" w:sz="4" w:space="0" w:color="auto"/>
            </w:tcBorders>
            <w:shd w:val="clear" w:color="000000" w:fill="FFFFFF"/>
            <w:noWrap/>
            <w:vAlign w:val="bottom"/>
            <w:hideMark/>
          </w:tcPr>
          <w:p w14:paraId="150D74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215,6</w:t>
            </w:r>
          </w:p>
        </w:tc>
        <w:tc>
          <w:tcPr>
            <w:tcW w:w="1384" w:type="dxa"/>
            <w:tcBorders>
              <w:top w:val="nil"/>
              <w:left w:val="nil"/>
              <w:bottom w:val="single" w:sz="4" w:space="0" w:color="auto"/>
              <w:right w:val="single" w:sz="4" w:space="0" w:color="auto"/>
            </w:tcBorders>
            <w:shd w:val="clear" w:color="000000" w:fill="FFFFFF"/>
            <w:noWrap/>
            <w:vAlign w:val="bottom"/>
            <w:hideMark/>
          </w:tcPr>
          <w:p w14:paraId="403C99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657,7</w:t>
            </w:r>
          </w:p>
        </w:tc>
        <w:tc>
          <w:tcPr>
            <w:tcW w:w="1134" w:type="dxa"/>
            <w:tcBorders>
              <w:top w:val="nil"/>
              <w:left w:val="nil"/>
              <w:bottom w:val="single" w:sz="4" w:space="0" w:color="auto"/>
              <w:right w:val="single" w:sz="4" w:space="0" w:color="auto"/>
            </w:tcBorders>
            <w:shd w:val="clear" w:color="000000" w:fill="FFFFFF"/>
            <w:noWrap/>
            <w:vAlign w:val="bottom"/>
            <w:hideMark/>
          </w:tcPr>
          <w:p w14:paraId="6FE0E0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142,4</w:t>
            </w:r>
          </w:p>
        </w:tc>
        <w:tc>
          <w:tcPr>
            <w:tcW w:w="1277" w:type="dxa"/>
            <w:tcBorders>
              <w:top w:val="nil"/>
              <w:left w:val="nil"/>
              <w:bottom w:val="single" w:sz="4" w:space="0" w:color="auto"/>
              <w:right w:val="single" w:sz="4" w:space="0" w:color="auto"/>
            </w:tcBorders>
            <w:shd w:val="clear" w:color="000000" w:fill="FFFFFF"/>
            <w:noWrap/>
            <w:vAlign w:val="bottom"/>
            <w:hideMark/>
          </w:tcPr>
          <w:p w14:paraId="21187B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3 863,0</w:t>
            </w:r>
          </w:p>
        </w:tc>
        <w:tc>
          <w:tcPr>
            <w:tcW w:w="1040" w:type="dxa"/>
            <w:tcBorders>
              <w:top w:val="nil"/>
              <w:left w:val="nil"/>
              <w:bottom w:val="single" w:sz="4" w:space="0" w:color="auto"/>
              <w:right w:val="single" w:sz="4" w:space="0" w:color="auto"/>
            </w:tcBorders>
            <w:shd w:val="clear" w:color="000000" w:fill="FFFFFF"/>
            <w:noWrap/>
            <w:vAlign w:val="bottom"/>
            <w:hideMark/>
          </w:tcPr>
          <w:p w14:paraId="4335AE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147,9</w:t>
            </w:r>
          </w:p>
        </w:tc>
        <w:tc>
          <w:tcPr>
            <w:tcW w:w="1087" w:type="dxa"/>
            <w:tcBorders>
              <w:top w:val="nil"/>
              <w:left w:val="nil"/>
              <w:bottom w:val="single" w:sz="4" w:space="0" w:color="auto"/>
              <w:right w:val="single" w:sz="4" w:space="0" w:color="auto"/>
            </w:tcBorders>
            <w:shd w:val="clear" w:color="000000" w:fill="FFFFFF"/>
            <w:noWrap/>
            <w:vAlign w:val="bottom"/>
            <w:hideMark/>
          </w:tcPr>
          <w:p w14:paraId="7D637D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334,1</w:t>
            </w:r>
          </w:p>
        </w:tc>
        <w:tc>
          <w:tcPr>
            <w:tcW w:w="1040" w:type="dxa"/>
            <w:tcBorders>
              <w:top w:val="nil"/>
              <w:left w:val="nil"/>
              <w:bottom w:val="single" w:sz="4" w:space="0" w:color="auto"/>
              <w:right w:val="single" w:sz="4" w:space="0" w:color="auto"/>
            </w:tcBorders>
            <w:shd w:val="clear" w:color="000000" w:fill="FFFFFF"/>
            <w:noWrap/>
            <w:vAlign w:val="bottom"/>
            <w:hideMark/>
          </w:tcPr>
          <w:p w14:paraId="6CDEAB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179,9</w:t>
            </w:r>
          </w:p>
        </w:tc>
        <w:tc>
          <w:tcPr>
            <w:tcW w:w="1226" w:type="dxa"/>
            <w:tcBorders>
              <w:top w:val="nil"/>
              <w:left w:val="nil"/>
              <w:bottom w:val="single" w:sz="4" w:space="0" w:color="auto"/>
              <w:right w:val="single" w:sz="4" w:space="0" w:color="auto"/>
            </w:tcBorders>
            <w:shd w:val="clear" w:color="000000" w:fill="FFFFFF"/>
            <w:noWrap/>
            <w:vAlign w:val="bottom"/>
            <w:hideMark/>
          </w:tcPr>
          <w:p w14:paraId="355C4E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DE68C7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4028A04"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2075BB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5FA72E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2B9DF7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663AEF5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7DFDBC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0A2E61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04F9E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7979B05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C6FD4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793052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51EEBF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0A6CD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ВАРНА</w:t>
            </w:r>
          </w:p>
        </w:tc>
        <w:tc>
          <w:tcPr>
            <w:tcW w:w="1911" w:type="dxa"/>
            <w:tcBorders>
              <w:top w:val="nil"/>
              <w:left w:val="nil"/>
              <w:bottom w:val="single" w:sz="4" w:space="0" w:color="auto"/>
              <w:right w:val="single" w:sz="4" w:space="0" w:color="auto"/>
            </w:tcBorders>
            <w:shd w:val="clear" w:color="000000" w:fill="FFFFFF"/>
            <w:noWrap/>
            <w:vAlign w:val="bottom"/>
            <w:hideMark/>
          </w:tcPr>
          <w:p w14:paraId="3A37C9A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093F03F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518843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7385AF0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6A9944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14F1B7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811F9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04A594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F4A8CE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A0D8E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829C49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E4FCE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Aврен</w:t>
            </w:r>
          </w:p>
        </w:tc>
        <w:tc>
          <w:tcPr>
            <w:tcW w:w="1911" w:type="dxa"/>
            <w:tcBorders>
              <w:top w:val="nil"/>
              <w:left w:val="nil"/>
              <w:bottom w:val="single" w:sz="4" w:space="0" w:color="auto"/>
              <w:right w:val="single" w:sz="4" w:space="0" w:color="auto"/>
            </w:tcBorders>
            <w:shd w:val="clear" w:color="000000" w:fill="FFFFFF"/>
            <w:noWrap/>
            <w:vAlign w:val="bottom"/>
            <w:hideMark/>
          </w:tcPr>
          <w:p w14:paraId="26C442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4 486,8</w:t>
            </w:r>
          </w:p>
        </w:tc>
        <w:tc>
          <w:tcPr>
            <w:tcW w:w="1118" w:type="dxa"/>
            <w:tcBorders>
              <w:top w:val="nil"/>
              <w:left w:val="nil"/>
              <w:bottom w:val="single" w:sz="4" w:space="0" w:color="auto"/>
              <w:right w:val="single" w:sz="4" w:space="0" w:color="auto"/>
            </w:tcBorders>
            <w:shd w:val="clear" w:color="000000" w:fill="FFFFFF"/>
            <w:noWrap/>
            <w:vAlign w:val="bottom"/>
            <w:hideMark/>
          </w:tcPr>
          <w:p w14:paraId="522523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912,8</w:t>
            </w:r>
          </w:p>
        </w:tc>
        <w:tc>
          <w:tcPr>
            <w:tcW w:w="1257" w:type="dxa"/>
            <w:tcBorders>
              <w:top w:val="nil"/>
              <w:left w:val="nil"/>
              <w:bottom w:val="single" w:sz="4" w:space="0" w:color="auto"/>
              <w:right w:val="single" w:sz="4" w:space="0" w:color="auto"/>
            </w:tcBorders>
            <w:shd w:val="clear" w:color="000000" w:fill="FFFFFF"/>
            <w:noWrap/>
            <w:vAlign w:val="bottom"/>
            <w:hideMark/>
          </w:tcPr>
          <w:p w14:paraId="75DDA6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276,2</w:t>
            </w:r>
          </w:p>
        </w:tc>
        <w:tc>
          <w:tcPr>
            <w:tcW w:w="1384" w:type="dxa"/>
            <w:tcBorders>
              <w:top w:val="nil"/>
              <w:left w:val="nil"/>
              <w:bottom w:val="single" w:sz="4" w:space="0" w:color="auto"/>
              <w:right w:val="single" w:sz="4" w:space="0" w:color="auto"/>
            </w:tcBorders>
            <w:shd w:val="clear" w:color="000000" w:fill="FFFFFF"/>
            <w:noWrap/>
            <w:vAlign w:val="bottom"/>
            <w:hideMark/>
          </w:tcPr>
          <w:p w14:paraId="534F5E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636,6</w:t>
            </w:r>
          </w:p>
        </w:tc>
        <w:tc>
          <w:tcPr>
            <w:tcW w:w="1134" w:type="dxa"/>
            <w:tcBorders>
              <w:top w:val="nil"/>
              <w:left w:val="nil"/>
              <w:bottom w:val="single" w:sz="4" w:space="0" w:color="auto"/>
              <w:right w:val="single" w:sz="4" w:space="0" w:color="auto"/>
            </w:tcBorders>
            <w:shd w:val="clear" w:color="000000" w:fill="FFFFFF"/>
            <w:noWrap/>
            <w:vAlign w:val="bottom"/>
            <w:hideMark/>
          </w:tcPr>
          <w:p w14:paraId="26F8EF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128,1</w:t>
            </w:r>
          </w:p>
        </w:tc>
        <w:tc>
          <w:tcPr>
            <w:tcW w:w="1277" w:type="dxa"/>
            <w:tcBorders>
              <w:top w:val="nil"/>
              <w:left w:val="nil"/>
              <w:bottom w:val="single" w:sz="4" w:space="0" w:color="auto"/>
              <w:right w:val="single" w:sz="4" w:space="0" w:color="auto"/>
            </w:tcBorders>
            <w:shd w:val="clear" w:color="000000" w:fill="FFFFFF"/>
            <w:noWrap/>
            <w:vAlign w:val="bottom"/>
            <w:hideMark/>
          </w:tcPr>
          <w:p w14:paraId="3706202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3 055,3</w:t>
            </w:r>
          </w:p>
        </w:tc>
        <w:tc>
          <w:tcPr>
            <w:tcW w:w="1040" w:type="dxa"/>
            <w:tcBorders>
              <w:top w:val="nil"/>
              <w:left w:val="nil"/>
              <w:bottom w:val="single" w:sz="4" w:space="0" w:color="auto"/>
              <w:right w:val="single" w:sz="4" w:space="0" w:color="auto"/>
            </w:tcBorders>
            <w:shd w:val="clear" w:color="000000" w:fill="FFFFFF"/>
            <w:noWrap/>
            <w:vAlign w:val="bottom"/>
            <w:hideMark/>
          </w:tcPr>
          <w:p w14:paraId="010D81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55,0</w:t>
            </w:r>
          </w:p>
        </w:tc>
        <w:tc>
          <w:tcPr>
            <w:tcW w:w="1087" w:type="dxa"/>
            <w:tcBorders>
              <w:top w:val="nil"/>
              <w:left w:val="nil"/>
              <w:bottom w:val="single" w:sz="4" w:space="0" w:color="auto"/>
              <w:right w:val="single" w:sz="4" w:space="0" w:color="auto"/>
            </w:tcBorders>
            <w:shd w:val="clear" w:color="000000" w:fill="FFFFFF"/>
            <w:noWrap/>
            <w:vAlign w:val="bottom"/>
            <w:hideMark/>
          </w:tcPr>
          <w:p w14:paraId="7E1B5D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144,5</w:t>
            </w:r>
          </w:p>
        </w:tc>
        <w:tc>
          <w:tcPr>
            <w:tcW w:w="1040" w:type="dxa"/>
            <w:tcBorders>
              <w:top w:val="nil"/>
              <w:left w:val="nil"/>
              <w:bottom w:val="single" w:sz="4" w:space="0" w:color="auto"/>
              <w:right w:val="single" w:sz="4" w:space="0" w:color="auto"/>
            </w:tcBorders>
            <w:shd w:val="clear" w:color="000000" w:fill="FFFFFF"/>
            <w:noWrap/>
            <w:vAlign w:val="bottom"/>
            <w:hideMark/>
          </w:tcPr>
          <w:p w14:paraId="7ADB28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44A565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72CB53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5673F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Aксаково</w:t>
            </w:r>
          </w:p>
        </w:tc>
        <w:tc>
          <w:tcPr>
            <w:tcW w:w="1911" w:type="dxa"/>
            <w:tcBorders>
              <w:top w:val="nil"/>
              <w:left w:val="nil"/>
              <w:bottom w:val="single" w:sz="4" w:space="0" w:color="auto"/>
              <w:right w:val="single" w:sz="4" w:space="0" w:color="auto"/>
            </w:tcBorders>
            <w:shd w:val="clear" w:color="000000" w:fill="FFFFFF"/>
            <w:noWrap/>
            <w:vAlign w:val="bottom"/>
            <w:hideMark/>
          </w:tcPr>
          <w:p w14:paraId="34F914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10 879,6</w:t>
            </w:r>
          </w:p>
        </w:tc>
        <w:tc>
          <w:tcPr>
            <w:tcW w:w="1118" w:type="dxa"/>
            <w:tcBorders>
              <w:top w:val="nil"/>
              <w:left w:val="nil"/>
              <w:bottom w:val="single" w:sz="4" w:space="0" w:color="auto"/>
              <w:right w:val="single" w:sz="4" w:space="0" w:color="auto"/>
            </w:tcBorders>
            <w:shd w:val="clear" w:color="000000" w:fill="FFFFFF"/>
            <w:noWrap/>
            <w:vAlign w:val="bottom"/>
            <w:hideMark/>
          </w:tcPr>
          <w:p w14:paraId="528FE0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1 363,7</w:t>
            </w:r>
          </w:p>
        </w:tc>
        <w:tc>
          <w:tcPr>
            <w:tcW w:w="1257" w:type="dxa"/>
            <w:tcBorders>
              <w:top w:val="nil"/>
              <w:left w:val="nil"/>
              <w:bottom w:val="single" w:sz="4" w:space="0" w:color="auto"/>
              <w:right w:val="single" w:sz="4" w:space="0" w:color="auto"/>
            </w:tcBorders>
            <w:shd w:val="clear" w:color="000000" w:fill="FFFFFF"/>
            <w:noWrap/>
            <w:vAlign w:val="bottom"/>
            <w:hideMark/>
          </w:tcPr>
          <w:p w14:paraId="74B777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368,9</w:t>
            </w:r>
          </w:p>
        </w:tc>
        <w:tc>
          <w:tcPr>
            <w:tcW w:w="1384" w:type="dxa"/>
            <w:tcBorders>
              <w:top w:val="nil"/>
              <w:left w:val="nil"/>
              <w:bottom w:val="single" w:sz="4" w:space="0" w:color="auto"/>
              <w:right w:val="single" w:sz="4" w:space="0" w:color="auto"/>
            </w:tcBorders>
            <w:shd w:val="clear" w:color="000000" w:fill="FFFFFF"/>
            <w:noWrap/>
            <w:vAlign w:val="bottom"/>
            <w:hideMark/>
          </w:tcPr>
          <w:p w14:paraId="3D823D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994,8</w:t>
            </w:r>
          </w:p>
        </w:tc>
        <w:tc>
          <w:tcPr>
            <w:tcW w:w="1134" w:type="dxa"/>
            <w:tcBorders>
              <w:top w:val="nil"/>
              <w:left w:val="nil"/>
              <w:bottom w:val="single" w:sz="4" w:space="0" w:color="auto"/>
              <w:right w:val="single" w:sz="4" w:space="0" w:color="auto"/>
            </w:tcBorders>
            <w:shd w:val="clear" w:color="000000" w:fill="FFFFFF"/>
            <w:noWrap/>
            <w:vAlign w:val="bottom"/>
            <w:hideMark/>
          </w:tcPr>
          <w:p w14:paraId="486D4B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148,0</w:t>
            </w:r>
          </w:p>
        </w:tc>
        <w:tc>
          <w:tcPr>
            <w:tcW w:w="1277" w:type="dxa"/>
            <w:tcBorders>
              <w:top w:val="nil"/>
              <w:left w:val="nil"/>
              <w:bottom w:val="single" w:sz="4" w:space="0" w:color="auto"/>
              <w:right w:val="single" w:sz="4" w:space="0" w:color="auto"/>
            </w:tcBorders>
            <w:shd w:val="clear" w:color="000000" w:fill="FFFFFF"/>
            <w:noWrap/>
            <w:vAlign w:val="bottom"/>
            <w:hideMark/>
          </w:tcPr>
          <w:p w14:paraId="2404D2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8 220,8</w:t>
            </w:r>
          </w:p>
        </w:tc>
        <w:tc>
          <w:tcPr>
            <w:tcW w:w="1040" w:type="dxa"/>
            <w:tcBorders>
              <w:top w:val="nil"/>
              <w:left w:val="nil"/>
              <w:bottom w:val="single" w:sz="4" w:space="0" w:color="auto"/>
              <w:right w:val="single" w:sz="4" w:space="0" w:color="auto"/>
            </w:tcBorders>
            <w:shd w:val="clear" w:color="000000" w:fill="FFFFFF"/>
            <w:noWrap/>
            <w:vAlign w:val="bottom"/>
            <w:hideMark/>
          </w:tcPr>
          <w:p w14:paraId="67F92C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317,1</w:t>
            </w:r>
          </w:p>
        </w:tc>
        <w:tc>
          <w:tcPr>
            <w:tcW w:w="1087" w:type="dxa"/>
            <w:tcBorders>
              <w:top w:val="nil"/>
              <w:left w:val="nil"/>
              <w:bottom w:val="single" w:sz="4" w:space="0" w:color="auto"/>
              <w:right w:val="single" w:sz="4" w:space="0" w:color="auto"/>
            </w:tcBorders>
            <w:shd w:val="clear" w:color="000000" w:fill="FFFFFF"/>
            <w:noWrap/>
            <w:vAlign w:val="bottom"/>
            <w:hideMark/>
          </w:tcPr>
          <w:p w14:paraId="5D3F71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571,5</w:t>
            </w:r>
          </w:p>
        </w:tc>
        <w:tc>
          <w:tcPr>
            <w:tcW w:w="1040" w:type="dxa"/>
            <w:tcBorders>
              <w:top w:val="nil"/>
              <w:left w:val="nil"/>
              <w:bottom w:val="single" w:sz="4" w:space="0" w:color="auto"/>
              <w:right w:val="single" w:sz="4" w:space="0" w:color="auto"/>
            </w:tcBorders>
            <w:shd w:val="clear" w:color="000000" w:fill="FFFFFF"/>
            <w:noWrap/>
            <w:vAlign w:val="bottom"/>
            <w:hideMark/>
          </w:tcPr>
          <w:p w14:paraId="65DEE2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258,5</w:t>
            </w:r>
          </w:p>
        </w:tc>
        <w:tc>
          <w:tcPr>
            <w:tcW w:w="1226" w:type="dxa"/>
            <w:tcBorders>
              <w:top w:val="nil"/>
              <w:left w:val="nil"/>
              <w:bottom w:val="single" w:sz="4" w:space="0" w:color="auto"/>
              <w:right w:val="single" w:sz="4" w:space="0" w:color="auto"/>
            </w:tcBorders>
            <w:shd w:val="clear" w:color="000000" w:fill="FFFFFF"/>
            <w:noWrap/>
            <w:vAlign w:val="bottom"/>
            <w:hideMark/>
          </w:tcPr>
          <w:p w14:paraId="329E1F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F606BE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931E9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Белослав</w:t>
            </w:r>
          </w:p>
        </w:tc>
        <w:tc>
          <w:tcPr>
            <w:tcW w:w="1911" w:type="dxa"/>
            <w:tcBorders>
              <w:top w:val="nil"/>
              <w:left w:val="nil"/>
              <w:bottom w:val="single" w:sz="4" w:space="0" w:color="auto"/>
              <w:right w:val="single" w:sz="4" w:space="0" w:color="auto"/>
            </w:tcBorders>
            <w:shd w:val="clear" w:color="000000" w:fill="FFFFFF"/>
            <w:noWrap/>
            <w:vAlign w:val="bottom"/>
            <w:hideMark/>
          </w:tcPr>
          <w:p w14:paraId="5ADCCB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9 132,1</w:t>
            </w:r>
          </w:p>
        </w:tc>
        <w:tc>
          <w:tcPr>
            <w:tcW w:w="1118" w:type="dxa"/>
            <w:tcBorders>
              <w:top w:val="nil"/>
              <w:left w:val="nil"/>
              <w:bottom w:val="single" w:sz="4" w:space="0" w:color="auto"/>
              <w:right w:val="single" w:sz="4" w:space="0" w:color="auto"/>
            </w:tcBorders>
            <w:shd w:val="clear" w:color="000000" w:fill="FFFFFF"/>
            <w:noWrap/>
            <w:vAlign w:val="bottom"/>
            <w:hideMark/>
          </w:tcPr>
          <w:p w14:paraId="6367DF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802,0</w:t>
            </w:r>
          </w:p>
        </w:tc>
        <w:tc>
          <w:tcPr>
            <w:tcW w:w="1257" w:type="dxa"/>
            <w:tcBorders>
              <w:top w:val="nil"/>
              <w:left w:val="nil"/>
              <w:bottom w:val="single" w:sz="4" w:space="0" w:color="auto"/>
              <w:right w:val="single" w:sz="4" w:space="0" w:color="auto"/>
            </w:tcBorders>
            <w:shd w:val="clear" w:color="000000" w:fill="FFFFFF"/>
            <w:noWrap/>
            <w:vAlign w:val="bottom"/>
            <w:hideMark/>
          </w:tcPr>
          <w:p w14:paraId="22FC39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92,6</w:t>
            </w:r>
          </w:p>
        </w:tc>
        <w:tc>
          <w:tcPr>
            <w:tcW w:w="1384" w:type="dxa"/>
            <w:tcBorders>
              <w:top w:val="nil"/>
              <w:left w:val="nil"/>
              <w:bottom w:val="single" w:sz="4" w:space="0" w:color="auto"/>
              <w:right w:val="single" w:sz="4" w:space="0" w:color="auto"/>
            </w:tcBorders>
            <w:shd w:val="clear" w:color="000000" w:fill="FFFFFF"/>
            <w:noWrap/>
            <w:vAlign w:val="bottom"/>
            <w:hideMark/>
          </w:tcPr>
          <w:p w14:paraId="4148EE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709,4</w:t>
            </w:r>
          </w:p>
        </w:tc>
        <w:tc>
          <w:tcPr>
            <w:tcW w:w="1134" w:type="dxa"/>
            <w:tcBorders>
              <w:top w:val="nil"/>
              <w:left w:val="nil"/>
              <w:bottom w:val="single" w:sz="4" w:space="0" w:color="auto"/>
              <w:right w:val="single" w:sz="4" w:space="0" w:color="auto"/>
            </w:tcBorders>
            <w:shd w:val="clear" w:color="000000" w:fill="FFFFFF"/>
            <w:noWrap/>
            <w:vAlign w:val="bottom"/>
            <w:hideMark/>
          </w:tcPr>
          <w:p w14:paraId="25F87D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148,8</w:t>
            </w:r>
          </w:p>
        </w:tc>
        <w:tc>
          <w:tcPr>
            <w:tcW w:w="1277" w:type="dxa"/>
            <w:tcBorders>
              <w:top w:val="nil"/>
              <w:left w:val="nil"/>
              <w:bottom w:val="single" w:sz="4" w:space="0" w:color="auto"/>
              <w:right w:val="single" w:sz="4" w:space="0" w:color="auto"/>
            </w:tcBorders>
            <w:shd w:val="clear" w:color="000000" w:fill="FFFFFF"/>
            <w:noWrap/>
            <w:vAlign w:val="bottom"/>
            <w:hideMark/>
          </w:tcPr>
          <w:p w14:paraId="48FDC7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5 490,1</w:t>
            </w:r>
          </w:p>
        </w:tc>
        <w:tc>
          <w:tcPr>
            <w:tcW w:w="1040" w:type="dxa"/>
            <w:tcBorders>
              <w:top w:val="nil"/>
              <w:left w:val="nil"/>
              <w:bottom w:val="single" w:sz="4" w:space="0" w:color="auto"/>
              <w:right w:val="single" w:sz="4" w:space="0" w:color="auto"/>
            </w:tcBorders>
            <w:shd w:val="clear" w:color="000000" w:fill="FFFFFF"/>
            <w:noWrap/>
            <w:vAlign w:val="bottom"/>
            <w:hideMark/>
          </w:tcPr>
          <w:p w14:paraId="4ACD31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247,1</w:t>
            </w:r>
          </w:p>
        </w:tc>
        <w:tc>
          <w:tcPr>
            <w:tcW w:w="1087" w:type="dxa"/>
            <w:tcBorders>
              <w:top w:val="nil"/>
              <w:left w:val="nil"/>
              <w:bottom w:val="single" w:sz="4" w:space="0" w:color="auto"/>
              <w:right w:val="single" w:sz="4" w:space="0" w:color="auto"/>
            </w:tcBorders>
            <w:shd w:val="clear" w:color="000000" w:fill="FFFFFF"/>
            <w:noWrap/>
            <w:vAlign w:val="bottom"/>
            <w:hideMark/>
          </w:tcPr>
          <w:p w14:paraId="3CF6A6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125,8</w:t>
            </w:r>
          </w:p>
        </w:tc>
        <w:tc>
          <w:tcPr>
            <w:tcW w:w="1040" w:type="dxa"/>
            <w:tcBorders>
              <w:top w:val="nil"/>
              <w:left w:val="nil"/>
              <w:bottom w:val="single" w:sz="4" w:space="0" w:color="auto"/>
              <w:right w:val="single" w:sz="4" w:space="0" w:color="auto"/>
            </w:tcBorders>
            <w:shd w:val="clear" w:color="000000" w:fill="FFFFFF"/>
            <w:noWrap/>
            <w:vAlign w:val="bottom"/>
            <w:hideMark/>
          </w:tcPr>
          <w:p w14:paraId="5D5A122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157,4</w:t>
            </w:r>
          </w:p>
        </w:tc>
        <w:tc>
          <w:tcPr>
            <w:tcW w:w="1226" w:type="dxa"/>
            <w:tcBorders>
              <w:top w:val="nil"/>
              <w:left w:val="nil"/>
              <w:bottom w:val="single" w:sz="4" w:space="0" w:color="auto"/>
              <w:right w:val="single" w:sz="4" w:space="0" w:color="auto"/>
            </w:tcBorders>
            <w:shd w:val="clear" w:color="000000" w:fill="FFFFFF"/>
            <w:noWrap/>
            <w:vAlign w:val="bottom"/>
            <w:hideMark/>
          </w:tcPr>
          <w:p w14:paraId="637876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2 160,9</w:t>
            </w:r>
          </w:p>
        </w:tc>
      </w:tr>
      <w:tr w:rsidR="00761800" w:rsidRPr="00761800" w14:paraId="799BD40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11757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Бяла</w:t>
            </w:r>
          </w:p>
        </w:tc>
        <w:tc>
          <w:tcPr>
            <w:tcW w:w="1911" w:type="dxa"/>
            <w:tcBorders>
              <w:top w:val="nil"/>
              <w:left w:val="nil"/>
              <w:bottom w:val="single" w:sz="4" w:space="0" w:color="auto"/>
              <w:right w:val="single" w:sz="4" w:space="0" w:color="auto"/>
            </w:tcBorders>
            <w:shd w:val="clear" w:color="000000" w:fill="FFFFFF"/>
            <w:noWrap/>
            <w:vAlign w:val="bottom"/>
            <w:hideMark/>
          </w:tcPr>
          <w:p w14:paraId="078F3A4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3 129,6</w:t>
            </w:r>
          </w:p>
        </w:tc>
        <w:tc>
          <w:tcPr>
            <w:tcW w:w="1118" w:type="dxa"/>
            <w:tcBorders>
              <w:top w:val="nil"/>
              <w:left w:val="nil"/>
              <w:bottom w:val="single" w:sz="4" w:space="0" w:color="auto"/>
              <w:right w:val="single" w:sz="4" w:space="0" w:color="auto"/>
            </w:tcBorders>
            <w:shd w:val="clear" w:color="000000" w:fill="FFFFFF"/>
            <w:noWrap/>
            <w:vAlign w:val="bottom"/>
            <w:hideMark/>
          </w:tcPr>
          <w:p w14:paraId="1CBA4B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588,9</w:t>
            </w:r>
          </w:p>
        </w:tc>
        <w:tc>
          <w:tcPr>
            <w:tcW w:w="1257" w:type="dxa"/>
            <w:tcBorders>
              <w:top w:val="nil"/>
              <w:left w:val="nil"/>
              <w:bottom w:val="single" w:sz="4" w:space="0" w:color="auto"/>
              <w:right w:val="single" w:sz="4" w:space="0" w:color="auto"/>
            </w:tcBorders>
            <w:shd w:val="clear" w:color="000000" w:fill="FFFFFF"/>
            <w:noWrap/>
            <w:vAlign w:val="bottom"/>
            <w:hideMark/>
          </w:tcPr>
          <w:p w14:paraId="31E65B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101,1</w:t>
            </w:r>
          </w:p>
        </w:tc>
        <w:tc>
          <w:tcPr>
            <w:tcW w:w="1384" w:type="dxa"/>
            <w:tcBorders>
              <w:top w:val="nil"/>
              <w:left w:val="nil"/>
              <w:bottom w:val="single" w:sz="4" w:space="0" w:color="auto"/>
              <w:right w:val="single" w:sz="4" w:space="0" w:color="auto"/>
            </w:tcBorders>
            <w:shd w:val="clear" w:color="000000" w:fill="FFFFFF"/>
            <w:noWrap/>
            <w:vAlign w:val="bottom"/>
            <w:hideMark/>
          </w:tcPr>
          <w:p w14:paraId="6D4C4C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487,8</w:t>
            </w:r>
          </w:p>
        </w:tc>
        <w:tc>
          <w:tcPr>
            <w:tcW w:w="1134" w:type="dxa"/>
            <w:tcBorders>
              <w:top w:val="nil"/>
              <w:left w:val="nil"/>
              <w:bottom w:val="single" w:sz="4" w:space="0" w:color="auto"/>
              <w:right w:val="single" w:sz="4" w:space="0" w:color="auto"/>
            </w:tcBorders>
            <w:shd w:val="clear" w:color="000000" w:fill="FFFFFF"/>
            <w:noWrap/>
            <w:vAlign w:val="bottom"/>
            <w:hideMark/>
          </w:tcPr>
          <w:p w14:paraId="231B5B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110,1</w:t>
            </w:r>
          </w:p>
        </w:tc>
        <w:tc>
          <w:tcPr>
            <w:tcW w:w="1277" w:type="dxa"/>
            <w:tcBorders>
              <w:top w:val="nil"/>
              <w:left w:val="nil"/>
              <w:bottom w:val="single" w:sz="4" w:space="0" w:color="auto"/>
              <w:right w:val="single" w:sz="4" w:space="0" w:color="auto"/>
            </w:tcBorders>
            <w:shd w:val="clear" w:color="000000" w:fill="FFFFFF"/>
            <w:noWrap/>
            <w:vAlign w:val="bottom"/>
            <w:hideMark/>
          </w:tcPr>
          <w:p w14:paraId="6BA4D3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1 581,7</w:t>
            </w:r>
          </w:p>
        </w:tc>
        <w:tc>
          <w:tcPr>
            <w:tcW w:w="1040" w:type="dxa"/>
            <w:tcBorders>
              <w:top w:val="nil"/>
              <w:left w:val="nil"/>
              <w:bottom w:val="single" w:sz="4" w:space="0" w:color="auto"/>
              <w:right w:val="single" w:sz="4" w:space="0" w:color="auto"/>
            </w:tcBorders>
            <w:shd w:val="clear" w:color="000000" w:fill="FFFFFF"/>
            <w:noWrap/>
            <w:vAlign w:val="bottom"/>
            <w:hideMark/>
          </w:tcPr>
          <w:p w14:paraId="2D585FD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31,5</w:t>
            </w:r>
          </w:p>
        </w:tc>
        <w:tc>
          <w:tcPr>
            <w:tcW w:w="1087" w:type="dxa"/>
            <w:tcBorders>
              <w:top w:val="nil"/>
              <w:left w:val="nil"/>
              <w:bottom w:val="single" w:sz="4" w:space="0" w:color="auto"/>
              <w:right w:val="single" w:sz="4" w:space="0" w:color="auto"/>
            </w:tcBorders>
            <w:shd w:val="clear" w:color="000000" w:fill="FFFFFF"/>
            <w:noWrap/>
            <w:vAlign w:val="bottom"/>
            <w:hideMark/>
          </w:tcPr>
          <w:p w14:paraId="3262BC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705,1</w:t>
            </w:r>
          </w:p>
        </w:tc>
        <w:tc>
          <w:tcPr>
            <w:tcW w:w="1040" w:type="dxa"/>
            <w:tcBorders>
              <w:top w:val="nil"/>
              <w:left w:val="nil"/>
              <w:bottom w:val="single" w:sz="4" w:space="0" w:color="auto"/>
              <w:right w:val="single" w:sz="4" w:space="0" w:color="auto"/>
            </w:tcBorders>
            <w:shd w:val="clear" w:color="000000" w:fill="FFFFFF"/>
            <w:noWrap/>
            <w:vAlign w:val="bottom"/>
            <w:hideMark/>
          </w:tcPr>
          <w:p w14:paraId="10E4DB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112,3</w:t>
            </w:r>
          </w:p>
        </w:tc>
        <w:tc>
          <w:tcPr>
            <w:tcW w:w="1226" w:type="dxa"/>
            <w:tcBorders>
              <w:top w:val="nil"/>
              <w:left w:val="nil"/>
              <w:bottom w:val="single" w:sz="4" w:space="0" w:color="auto"/>
              <w:right w:val="single" w:sz="4" w:space="0" w:color="auto"/>
            </w:tcBorders>
            <w:shd w:val="clear" w:color="000000" w:fill="FFFFFF"/>
            <w:noWrap/>
            <w:vAlign w:val="bottom"/>
            <w:hideMark/>
          </w:tcPr>
          <w:p w14:paraId="36C689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166A27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A224D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Bарна</w:t>
            </w:r>
          </w:p>
        </w:tc>
        <w:tc>
          <w:tcPr>
            <w:tcW w:w="1911" w:type="dxa"/>
            <w:tcBorders>
              <w:top w:val="nil"/>
              <w:left w:val="nil"/>
              <w:bottom w:val="single" w:sz="4" w:space="0" w:color="auto"/>
              <w:right w:val="single" w:sz="4" w:space="0" w:color="auto"/>
            </w:tcBorders>
            <w:shd w:val="clear" w:color="000000" w:fill="FFFFFF"/>
            <w:noWrap/>
            <w:vAlign w:val="bottom"/>
            <w:hideMark/>
          </w:tcPr>
          <w:p w14:paraId="410758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193 564,0</w:t>
            </w:r>
          </w:p>
        </w:tc>
        <w:tc>
          <w:tcPr>
            <w:tcW w:w="1118" w:type="dxa"/>
            <w:tcBorders>
              <w:top w:val="nil"/>
              <w:left w:val="nil"/>
              <w:bottom w:val="single" w:sz="4" w:space="0" w:color="auto"/>
              <w:right w:val="single" w:sz="4" w:space="0" w:color="auto"/>
            </w:tcBorders>
            <w:shd w:val="clear" w:color="000000" w:fill="FFFFFF"/>
            <w:noWrap/>
            <w:vAlign w:val="bottom"/>
            <w:hideMark/>
          </w:tcPr>
          <w:p w14:paraId="51CC74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13 929,6</w:t>
            </w:r>
          </w:p>
        </w:tc>
        <w:tc>
          <w:tcPr>
            <w:tcW w:w="1257" w:type="dxa"/>
            <w:tcBorders>
              <w:top w:val="nil"/>
              <w:left w:val="nil"/>
              <w:bottom w:val="single" w:sz="4" w:space="0" w:color="auto"/>
              <w:right w:val="single" w:sz="4" w:space="0" w:color="auto"/>
            </w:tcBorders>
            <w:shd w:val="clear" w:color="000000" w:fill="FFFFFF"/>
            <w:noWrap/>
            <w:vAlign w:val="bottom"/>
            <w:hideMark/>
          </w:tcPr>
          <w:p w14:paraId="2BAE95D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335,2</w:t>
            </w:r>
          </w:p>
        </w:tc>
        <w:tc>
          <w:tcPr>
            <w:tcW w:w="1384" w:type="dxa"/>
            <w:tcBorders>
              <w:top w:val="nil"/>
              <w:left w:val="nil"/>
              <w:bottom w:val="single" w:sz="4" w:space="0" w:color="auto"/>
              <w:right w:val="single" w:sz="4" w:space="0" w:color="auto"/>
            </w:tcBorders>
            <w:shd w:val="clear" w:color="000000" w:fill="FFFFFF"/>
            <w:noWrap/>
            <w:vAlign w:val="bottom"/>
            <w:hideMark/>
          </w:tcPr>
          <w:p w14:paraId="63B843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13 594,4</w:t>
            </w:r>
          </w:p>
        </w:tc>
        <w:tc>
          <w:tcPr>
            <w:tcW w:w="1134" w:type="dxa"/>
            <w:tcBorders>
              <w:top w:val="nil"/>
              <w:left w:val="nil"/>
              <w:bottom w:val="single" w:sz="4" w:space="0" w:color="auto"/>
              <w:right w:val="single" w:sz="4" w:space="0" w:color="auto"/>
            </w:tcBorders>
            <w:shd w:val="clear" w:color="000000" w:fill="FFFFFF"/>
            <w:noWrap/>
            <w:vAlign w:val="bottom"/>
            <w:hideMark/>
          </w:tcPr>
          <w:p w14:paraId="2F00C9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1 165,5</w:t>
            </w:r>
          </w:p>
        </w:tc>
        <w:tc>
          <w:tcPr>
            <w:tcW w:w="1277" w:type="dxa"/>
            <w:tcBorders>
              <w:top w:val="nil"/>
              <w:left w:val="nil"/>
              <w:bottom w:val="single" w:sz="4" w:space="0" w:color="auto"/>
              <w:right w:val="single" w:sz="4" w:space="0" w:color="auto"/>
            </w:tcBorders>
            <w:shd w:val="clear" w:color="000000" w:fill="FFFFFF"/>
            <w:noWrap/>
            <w:vAlign w:val="bottom"/>
            <w:hideMark/>
          </w:tcPr>
          <w:p w14:paraId="4C349B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142 380,5</w:t>
            </w:r>
          </w:p>
        </w:tc>
        <w:tc>
          <w:tcPr>
            <w:tcW w:w="1040" w:type="dxa"/>
            <w:tcBorders>
              <w:top w:val="nil"/>
              <w:left w:val="nil"/>
              <w:bottom w:val="single" w:sz="4" w:space="0" w:color="auto"/>
              <w:right w:val="single" w:sz="4" w:space="0" w:color="auto"/>
            </w:tcBorders>
            <w:shd w:val="clear" w:color="000000" w:fill="FFFFFF"/>
            <w:noWrap/>
            <w:vAlign w:val="bottom"/>
            <w:hideMark/>
          </w:tcPr>
          <w:p w14:paraId="1933BB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15 256,7</w:t>
            </w:r>
          </w:p>
        </w:tc>
        <w:tc>
          <w:tcPr>
            <w:tcW w:w="1087" w:type="dxa"/>
            <w:tcBorders>
              <w:top w:val="nil"/>
              <w:left w:val="nil"/>
              <w:bottom w:val="single" w:sz="4" w:space="0" w:color="auto"/>
              <w:right w:val="single" w:sz="4" w:space="0" w:color="auto"/>
            </w:tcBorders>
            <w:shd w:val="clear" w:color="000000" w:fill="FFFFFF"/>
            <w:noWrap/>
            <w:vAlign w:val="bottom"/>
            <w:hideMark/>
          </w:tcPr>
          <w:p w14:paraId="70B805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16 384,4</w:t>
            </w:r>
          </w:p>
        </w:tc>
        <w:tc>
          <w:tcPr>
            <w:tcW w:w="1040" w:type="dxa"/>
            <w:tcBorders>
              <w:top w:val="nil"/>
              <w:left w:val="nil"/>
              <w:bottom w:val="single" w:sz="4" w:space="0" w:color="auto"/>
              <w:right w:val="single" w:sz="4" w:space="0" w:color="auto"/>
            </w:tcBorders>
            <w:shd w:val="clear" w:color="000000" w:fill="FFFFFF"/>
            <w:noWrap/>
            <w:vAlign w:val="bottom"/>
            <w:hideMark/>
          </w:tcPr>
          <w:p w14:paraId="5EB061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4 447,3</w:t>
            </w:r>
          </w:p>
        </w:tc>
        <w:tc>
          <w:tcPr>
            <w:tcW w:w="1226" w:type="dxa"/>
            <w:tcBorders>
              <w:top w:val="nil"/>
              <w:left w:val="nil"/>
              <w:bottom w:val="single" w:sz="4" w:space="0" w:color="auto"/>
              <w:right w:val="single" w:sz="4" w:space="0" w:color="auto"/>
            </w:tcBorders>
            <w:shd w:val="clear" w:color="000000" w:fill="FFFFFF"/>
            <w:noWrap/>
            <w:vAlign w:val="bottom"/>
            <w:hideMark/>
          </w:tcPr>
          <w:p w14:paraId="2FA393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FF5809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97327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Bетрино</w:t>
            </w:r>
          </w:p>
        </w:tc>
        <w:tc>
          <w:tcPr>
            <w:tcW w:w="1911" w:type="dxa"/>
            <w:tcBorders>
              <w:top w:val="nil"/>
              <w:left w:val="nil"/>
              <w:bottom w:val="single" w:sz="4" w:space="0" w:color="auto"/>
              <w:right w:val="single" w:sz="4" w:space="0" w:color="auto"/>
            </w:tcBorders>
            <w:shd w:val="clear" w:color="000000" w:fill="FFFFFF"/>
            <w:noWrap/>
            <w:vAlign w:val="bottom"/>
            <w:hideMark/>
          </w:tcPr>
          <w:p w14:paraId="61B432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3 323,8</w:t>
            </w:r>
          </w:p>
        </w:tc>
        <w:tc>
          <w:tcPr>
            <w:tcW w:w="1118" w:type="dxa"/>
            <w:tcBorders>
              <w:top w:val="nil"/>
              <w:left w:val="nil"/>
              <w:bottom w:val="single" w:sz="4" w:space="0" w:color="auto"/>
              <w:right w:val="single" w:sz="4" w:space="0" w:color="auto"/>
            </w:tcBorders>
            <w:shd w:val="clear" w:color="000000" w:fill="FFFFFF"/>
            <w:noWrap/>
            <w:vAlign w:val="bottom"/>
            <w:hideMark/>
          </w:tcPr>
          <w:p w14:paraId="58F340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728,0</w:t>
            </w:r>
          </w:p>
        </w:tc>
        <w:tc>
          <w:tcPr>
            <w:tcW w:w="1257" w:type="dxa"/>
            <w:tcBorders>
              <w:top w:val="nil"/>
              <w:left w:val="nil"/>
              <w:bottom w:val="single" w:sz="4" w:space="0" w:color="auto"/>
              <w:right w:val="single" w:sz="4" w:space="0" w:color="auto"/>
            </w:tcBorders>
            <w:shd w:val="clear" w:color="000000" w:fill="FFFFFF"/>
            <w:noWrap/>
            <w:vAlign w:val="bottom"/>
            <w:hideMark/>
          </w:tcPr>
          <w:p w14:paraId="0709D0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180,3</w:t>
            </w:r>
          </w:p>
        </w:tc>
        <w:tc>
          <w:tcPr>
            <w:tcW w:w="1384" w:type="dxa"/>
            <w:tcBorders>
              <w:top w:val="nil"/>
              <w:left w:val="nil"/>
              <w:bottom w:val="single" w:sz="4" w:space="0" w:color="auto"/>
              <w:right w:val="single" w:sz="4" w:space="0" w:color="auto"/>
            </w:tcBorders>
            <w:shd w:val="clear" w:color="000000" w:fill="FFFFFF"/>
            <w:noWrap/>
            <w:vAlign w:val="bottom"/>
            <w:hideMark/>
          </w:tcPr>
          <w:p w14:paraId="1E82BC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547,7</w:t>
            </w:r>
          </w:p>
        </w:tc>
        <w:tc>
          <w:tcPr>
            <w:tcW w:w="1134" w:type="dxa"/>
            <w:tcBorders>
              <w:top w:val="nil"/>
              <w:left w:val="nil"/>
              <w:bottom w:val="single" w:sz="4" w:space="0" w:color="auto"/>
              <w:right w:val="single" w:sz="4" w:space="0" w:color="auto"/>
            </w:tcBorders>
            <w:shd w:val="clear" w:color="000000" w:fill="FFFFFF"/>
            <w:noWrap/>
            <w:vAlign w:val="bottom"/>
            <w:hideMark/>
          </w:tcPr>
          <w:p w14:paraId="1885BE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147,3</w:t>
            </w:r>
          </w:p>
        </w:tc>
        <w:tc>
          <w:tcPr>
            <w:tcW w:w="1277" w:type="dxa"/>
            <w:tcBorders>
              <w:top w:val="nil"/>
              <w:left w:val="nil"/>
              <w:bottom w:val="single" w:sz="4" w:space="0" w:color="auto"/>
              <w:right w:val="single" w:sz="4" w:space="0" w:color="auto"/>
            </w:tcBorders>
            <w:shd w:val="clear" w:color="000000" w:fill="FFFFFF"/>
            <w:noWrap/>
            <w:vAlign w:val="bottom"/>
            <w:hideMark/>
          </w:tcPr>
          <w:p w14:paraId="5DF7C1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1 964,6</w:t>
            </w:r>
          </w:p>
        </w:tc>
        <w:tc>
          <w:tcPr>
            <w:tcW w:w="1040" w:type="dxa"/>
            <w:tcBorders>
              <w:top w:val="nil"/>
              <w:left w:val="nil"/>
              <w:bottom w:val="single" w:sz="4" w:space="0" w:color="auto"/>
              <w:right w:val="single" w:sz="4" w:space="0" w:color="auto"/>
            </w:tcBorders>
            <w:shd w:val="clear" w:color="000000" w:fill="FFFFFF"/>
            <w:noWrap/>
            <w:vAlign w:val="bottom"/>
            <w:hideMark/>
          </w:tcPr>
          <w:p w14:paraId="04BECC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35,2</w:t>
            </w:r>
          </w:p>
        </w:tc>
        <w:tc>
          <w:tcPr>
            <w:tcW w:w="1087" w:type="dxa"/>
            <w:tcBorders>
              <w:top w:val="nil"/>
              <w:left w:val="nil"/>
              <w:bottom w:val="single" w:sz="4" w:space="0" w:color="auto"/>
              <w:right w:val="single" w:sz="4" w:space="0" w:color="auto"/>
            </w:tcBorders>
            <w:shd w:val="clear" w:color="000000" w:fill="FFFFFF"/>
            <w:noWrap/>
            <w:vAlign w:val="bottom"/>
            <w:hideMark/>
          </w:tcPr>
          <w:p w14:paraId="26B0D4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235,1</w:t>
            </w:r>
          </w:p>
        </w:tc>
        <w:tc>
          <w:tcPr>
            <w:tcW w:w="1040" w:type="dxa"/>
            <w:tcBorders>
              <w:top w:val="nil"/>
              <w:left w:val="nil"/>
              <w:bottom w:val="single" w:sz="4" w:space="0" w:color="auto"/>
              <w:right w:val="single" w:sz="4" w:space="0" w:color="auto"/>
            </w:tcBorders>
            <w:shd w:val="clear" w:color="000000" w:fill="FFFFFF"/>
            <w:noWrap/>
            <w:vAlign w:val="bottom"/>
            <w:hideMark/>
          </w:tcPr>
          <w:p w14:paraId="68DFCD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213,6</w:t>
            </w:r>
          </w:p>
        </w:tc>
        <w:tc>
          <w:tcPr>
            <w:tcW w:w="1226" w:type="dxa"/>
            <w:tcBorders>
              <w:top w:val="nil"/>
              <w:left w:val="nil"/>
              <w:bottom w:val="single" w:sz="4" w:space="0" w:color="auto"/>
              <w:right w:val="single" w:sz="4" w:space="0" w:color="auto"/>
            </w:tcBorders>
            <w:shd w:val="clear" w:color="000000" w:fill="FFFFFF"/>
            <w:noWrap/>
            <w:vAlign w:val="bottom"/>
            <w:hideMark/>
          </w:tcPr>
          <w:p w14:paraId="6CDE87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207447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8535C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Bълчи дол</w:t>
            </w:r>
          </w:p>
        </w:tc>
        <w:tc>
          <w:tcPr>
            <w:tcW w:w="1911" w:type="dxa"/>
            <w:tcBorders>
              <w:top w:val="nil"/>
              <w:left w:val="nil"/>
              <w:bottom w:val="single" w:sz="4" w:space="0" w:color="auto"/>
              <w:right w:val="single" w:sz="4" w:space="0" w:color="auto"/>
            </w:tcBorders>
            <w:shd w:val="clear" w:color="000000" w:fill="FFFFFF"/>
            <w:noWrap/>
            <w:vAlign w:val="bottom"/>
            <w:hideMark/>
          </w:tcPr>
          <w:p w14:paraId="310128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7 233,7</w:t>
            </w:r>
          </w:p>
        </w:tc>
        <w:tc>
          <w:tcPr>
            <w:tcW w:w="1118" w:type="dxa"/>
            <w:tcBorders>
              <w:top w:val="nil"/>
              <w:left w:val="nil"/>
              <w:bottom w:val="single" w:sz="4" w:space="0" w:color="auto"/>
              <w:right w:val="single" w:sz="4" w:space="0" w:color="auto"/>
            </w:tcBorders>
            <w:shd w:val="clear" w:color="000000" w:fill="FFFFFF"/>
            <w:noWrap/>
            <w:vAlign w:val="bottom"/>
            <w:hideMark/>
          </w:tcPr>
          <w:p w14:paraId="147086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1 017,6</w:t>
            </w:r>
          </w:p>
        </w:tc>
        <w:tc>
          <w:tcPr>
            <w:tcW w:w="1257" w:type="dxa"/>
            <w:tcBorders>
              <w:top w:val="nil"/>
              <w:left w:val="nil"/>
              <w:bottom w:val="single" w:sz="4" w:space="0" w:color="auto"/>
              <w:right w:val="single" w:sz="4" w:space="0" w:color="auto"/>
            </w:tcBorders>
            <w:shd w:val="clear" w:color="000000" w:fill="FFFFFF"/>
            <w:noWrap/>
            <w:vAlign w:val="bottom"/>
            <w:hideMark/>
          </w:tcPr>
          <w:p w14:paraId="3BEA38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348,8</w:t>
            </w:r>
          </w:p>
        </w:tc>
        <w:tc>
          <w:tcPr>
            <w:tcW w:w="1384" w:type="dxa"/>
            <w:tcBorders>
              <w:top w:val="nil"/>
              <w:left w:val="nil"/>
              <w:bottom w:val="single" w:sz="4" w:space="0" w:color="auto"/>
              <w:right w:val="single" w:sz="4" w:space="0" w:color="auto"/>
            </w:tcBorders>
            <w:shd w:val="clear" w:color="000000" w:fill="FFFFFF"/>
            <w:noWrap/>
            <w:vAlign w:val="bottom"/>
            <w:hideMark/>
          </w:tcPr>
          <w:p w14:paraId="238317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668,8</w:t>
            </w:r>
          </w:p>
        </w:tc>
        <w:tc>
          <w:tcPr>
            <w:tcW w:w="1134" w:type="dxa"/>
            <w:tcBorders>
              <w:top w:val="nil"/>
              <w:left w:val="nil"/>
              <w:bottom w:val="single" w:sz="4" w:space="0" w:color="auto"/>
              <w:right w:val="single" w:sz="4" w:space="0" w:color="auto"/>
            </w:tcBorders>
            <w:shd w:val="clear" w:color="000000" w:fill="FFFFFF"/>
            <w:noWrap/>
            <w:vAlign w:val="bottom"/>
            <w:hideMark/>
          </w:tcPr>
          <w:p w14:paraId="772926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124,1</w:t>
            </w:r>
          </w:p>
        </w:tc>
        <w:tc>
          <w:tcPr>
            <w:tcW w:w="1277" w:type="dxa"/>
            <w:tcBorders>
              <w:top w:val="nil"/>
              <w:left w:val="nil"/>
              <w:bottom w:val="single" w:sz="4" w:space="0" w:color="auto"/>
              <w:right w:val="single" w:sz="4" w:space="0" w:color="auto"/>
            </w:tcBorders>
            <w:shd w:val="clear" w:color="000000" w:fill="FFFFFF"/>
            <w:noWrap/>
            <w:vAlign w:val="bottom"/>
            <w:hideMark/>
          </w:tcPr>
          <w:p w14:paraId="00B99B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3 948,6</w:t>
            </w:r>
          </w:p>
        </w:tc>
        <w:tc>
          <w:tcPr>
            <w:tcW w:w="1040" w:type="dxa"/>
            <w:tcBorders>
              <w:top w:val="nil"/>
              <w:left w:val="nil"/>
              <w:bottom w:val="single" w:sz="4" w:space="0" w:color="auto"/>
              <w:right w:val="single" w:sz="4" w:space="0" w:color="auto"/>
            </w:tcBorders>
            <w:shd w:val="clear" w:color="000000" w:fill="FFFFFF"/>
            <w:noWrap/>
            <w:vAlign w:val="bottom"/>
            <w:hideMark/>
          </w:tcPr>
          <w:p w14:paraId="6B8251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96,0</w:t>
            </w:r>
          </w:p>
        </w:tc>
        <w:tc>
          <w:tcPr>
            <w:tcW w:w="1087" w:type="dxa"/>
            <w:tcBorders>
              <w:top w:val="nil"/>
              <w:left w:val="nil"/>
              <w:bottom w:val="single" w:sz="4" w:space="0" w:color="auto"/>
              <w:right w:val="single" w:sz="4" w:space="0" w:color="auto"/>
            </w:tcBorders>
            <w:shd w:val="clear" w:color="000000" w:fill="FFFFFF"/>
            <w:noWrap/>
            <w:vAlign w:val="bottom"/>
            <w:hideMark/>
          </w:tcPr>
          <w:p w14:paraId="018DEF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1 800,1</w:t>
            </w:r>
          </w:p>
        </w:tc>
        <w:tc>
          <w:tcPr>
            <w:tcW w:w="1040" w:type="dxa"/>
            <w:tcBorders>
              <w:top w:val="nil"/>
              <w:left w:val="nil"/>
              <w:bottom w:val="single" w:sz="4" w:space="0" w:color="auto"/>
              <w:right w:val="single" w:sz="4" w:space="0" w:color="auto"/>
            </w:tcBorders>
            <w:shd w:val="clear" w:color="000000" w:fill="FFFFFF"/>
            <w:noWrap/>
            <w:vAlign w:val="bottom"/>
            <w:hideMark/>
          </w:tcPr>
          <w:p w14:paraId="3D3296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247,3</w:t>
            </w:r>
          </w:p>
        </w:tc>
        <w:tc>
          <w:tcPr>
            <w:tcW w:w="1226" w:type="dxa"/>
            <w:tcBorders>
              <w:top w:val="nil"/>
              <w:left w:val="nil"/>
              <w:bottom w:val="single" w:sz="4" w:space="0" w:color="auto"/>
              <w:right w:val="single" w:sz="4" w:space="0" w:color="auto"/>
            </w:tcBorders>
            <w:shd w:val="clear" w:color="000000" w:fill="FFFFFF"/>
            <w:noWrap/>
            <w:vAlign w:val="bottom"/>
            <w:hideMark/>
          </w:tcPr>
          <w:p w14:paraId="58D3D7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89275B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BDAAA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Девня</w:t>
            </w:r>
          </w:p>
        </w:tc>
        <w:tc>
          <w:tcPr>
            <w:tcW w:w="1911" w:type="dxa"/>
            <w:tcBorders>
              <w:top w:val="nil"/>
              <w:left w:val="nil"/>
              <w:bottom w:val="single" w:sz="4" w:space="0" w:color="auto"/>
              <w:right w:val="single" w:sz="4" w:space="0" w:color="auto"/>
            </w:tcBorders>
            <w:shd w:val="clear" w:color="000000" w:fill="FFFFFF"/>
            <w:noWrap/>
            <w:vAlign w:val="bottom"/>
            <w:hideMark/>
          </w:tcPr>
          <w:p w14:paraId="0EC240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5 459,2</w:t>
            </w:r>
          </w:p>
        </w:tc>
        <w:tc>
          <w:tcPr>
            <w:tcW w:w="1118" w:type="dxa"/>
            <w:tcBorders>
              <w:top w:val="nil"/>
              <w:left w:val="nil"/>
              <w:bottom w:val="single" w:sz="4" w:space="0" w:color="auto"/>
              <w:right w:val="single" w:sz="4" w:space="0" w:color="auto"/>
            </w:tcBorders>
            <w:shd w:val="clear" w:color="000000" w:fill="FFFFFF"/>
            <w:noWrap/>
            <w:vAlign w:val="bottom"/>
            <w:hideMark/>
          </w:tcPr>
          <w:p w14:paraId="4D2B94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745,7</w:t>
            </w:r>
          </w:p>
        </w:tc>
        <w:tc>
          <w:tcPr>
            <w:tcW w:w="1257" w:type="dxa"/>
            <w:tcBorders>
              <w:top w:val="nil"/>
              <w:left w:val="nil"/>
              <w:bottom w:val="single" w:sz="4" w:space="0" w:color="auto"/>
              <w:right w:val="single" w:sz="4" w:space="0" w:color="auto"/>
            </w:tcBorders>
            <w:shd w:val="clear" w:color="000000" w:fill="FFFFFF"/>
            <w:noWrap/>
            <w:vAlign w:val="bottom"/>
            <w:hideMark/>
          </w:tcPr>
          <w:p w14:paraId="1BDEDB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70,6</w:t>
            </w:r>
          </w:p>
        </w:tc>
        <w:tc>
          <w:tcPr>
            <w:tcW w:w="1384" w:type="dxa"/>
            <w:tcBorders>
              <w:top w:val="nil"/>
              <w:left w:val="nil"/>
              <w:bottom w:val="single" w:sz="4" w:space="0" w:color="auto"/>
              <w:right w:val="single" w:sz="4" w:space="0" w:color="auto"/>
            </w:tcBorders>
            <w:shd w:val="clear" w:color="000000" w:fill="FFFFFF"/>
            <w:noWrap/>
            <w:vAlign w:val="bottom"/>
            <w:hideMark/>
          </w:tcPr>
          <w:p w14:paraId="4F9AA6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675,1</w:t>
            </w:r>
          </w:p>
        </w:tc>
        <w:tc>
          <w:tcPr>
            <w:tcW w:w="1134" w:type="dxa"/>
            <w:tcBorders>
              <w:top w:val="nil"/>
              <w:left w:val="nil"/>
              <w:bottom w:val="single" w:sz="4" w:space="0" w:color="auto"/>
              <w:right w:val="single" w:sz="4" w:space="0" w:color="auto"/>
            </w:tcBorders>
            <w:shd w:val="clear" w:color="000000" w:fill="FFFFFF"/>
            <w:noWrap/>
            <w:vAlign w:val="bottom"/>
            <w:hideMark/>
          </w:tcPr>
          <w:p w14:paraId="7B032D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115,9</w:t>
            </w:r>
          </w:p>
        </w:tc>
        <w:tc>
          <w:tcPr>
            <w:tcW w:w="1277" w:type="dxa"/>
            <w:tcBorders>
              <w:top w:val="nil"/>
              <w:left w:val="nil"/>
              <w:bottom w:val="single" w:sz="4" w:space="0" w:color="auto"/>
              <w:right w:val="single" w:sz="4" w:space="0" w:color="auto"/>
            </w:tcBorders>
            <w:shd w:val="clear" w:color="000000" w:fill="FFFFFF"/>
            <w:noWrap/>
            <w:vAlign w:val="bottom"/>
            <w:hideMark/>
          </w:tcPr>
          <w:p w14:paraId="440067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3 497,5</w:t>
            </w:r>
          </w:p>
        </w:tc>
        <w:tc>
          <w:tcPr>
            <w:tcW w:w="1040" w:type="dxa"/>
            <w:tcBorders>
              <w:top w:val="nil"/>
              <w:left w:val="nil"/>
              <w:bottom w:val="single" w:sz="4" w:space="0" w:color="auto"/>
              <w:right w:val="single" w:sz="4" w:space="0" w:color="auto"/>
            </w:tcBorders>
            <w:shd w:val="clear" w:color="000000" w:fill="FFFFFF"/>
            <w:noWrap/>
            <w:vAlign w:val="bottom"/>
            <w:hideMark/>
          </w:tcPr>
          <w:p w14:paraId="5E9890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180,6</w:t>
            </w:r>
          </w:p>
        </w:tc>
        <w:tc>
          <w:tcPr>
            <w:tcW w:w="1087" w:type="dxa"/>
            <w:tcBorders>
              <w:top w:val="nil"/>
              <w:left w:val="nil"/>
              <w:bottom w:val="single" w:sz="4" w:space="0" w:color="auto"/>
              <w:right w:val="single" w:sz="4" w:space="0" w:color="auto"/>
            </w:tcBorders>
            <w:shd w:val="clear" w:color="000000" w:fill="FFFFFF"/>
            <w:noWrap/>
            <w:vAlign w:val="bottom"/>
            <w:hideMark/>
          </w:tcPr>
          <w:p w14:paraId="1DFBE6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674,5</w:t>
            </w:r>
          </w:p>
        </w:tc>
        <w:tc>
          <w:tcPr>
            <w:tcW w:w="1040" w:type="dxa"/>
            <w:tcBorders>
              <w:top w:val="nil"/>
              <w:left w:val="nil"/>
              <w:bottom w:val="single" w:sz="4" w:space="0" w:color="auto"/>
              <w:right w:val="single" w:sz="4" w:space="0" w:color="auto"/>
            </w:tcBorders>
            <w:shd w:val="clear" w:color="000000" w:fill="FFFFFF"/>
            <w:noWrap/>
            <w:vAlign w:val="bottom"/>
            <w:hideMark/>
          </w:tcPr>
          <w:p w14:paraId="63C899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245,0</w:t>
            </w:r>
          </w:p>
        </w:tc>
        <w:tc>
          <w:tcPr>
            <w:tcW w:w="1226" w:type="dxa"/>
            <w:tcBorders>
              <w:top w:val="nil"/>
              <w:left w:val="nil"/>
              <w:bottom w:val="single" w:sz="4" w:space="0" w:color="auto"/>
              <w:right w:val="single" w:sz="4" w:space="0" w:color="auto"/>
            </w:tcBorders>
            <w:shd w:val="clear" w:color="000000" w:fill="FFFFFF"/>
            <w:noWrap/>
            <w:vAlign w:val="bottom"/>
            <w:hideMark/>
          </w:tcPr>
          <w:p w14:paraId="21C89F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1CD91A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5BB36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Долни чифлик</w:t>
            </w:r>
          </w:p>
        </w:tc>
        <w:tc>
          <w:tcPr>
            <w:tcW w:w="1911" w:type="dxa"/>
            <w:tcBorders>
              <w:top w:val="nil"/>
              <w:left w:val="nil"/>
              <w:bottom w:val="single" w:sz="4" w:space="0" w:color="auto"/>
              <w:right w:val="single" w:sz="4" w:space="0" w:color="auto"/>
            </w:tcBorders>
            <w:shd w:val="clear" w:color="000000" w:fill="FFFFFF"/>
            <w:noWrap/>
            <w:vAlign w:val="bottom"/>
            <w:hideMark/>
          </w:tcPr>
          <w:p w14:paraId="4A2FC6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13 088,9</w:t>
            </w:r>
          </w:p>
        </w:tc>
        <w:tc>
          <w:tcPr>
            <w:tcW w:w="1118" w:type="dxa"/>
            <w:tcBorders>
              <w:top w:val="nil"/>
              <w:left w:val="nil"/>
              <w:bottom w:val="single" w:sz="4" w:space="0" w:color="auto"/>
              <w:right w:val="single" w:sz="4" w:space="0" w:color="auto"/>
            </w:tcBorders>
            <w:shd w:val="clear" w:color="000000" w:fill="FFFFFF"/>
            <w:noWrap/>
            <w:vAlign w:val="bottom"/>
            <w:hideMark/>
          </w:tcPr>
          <w:p w14:paraId="25D1A9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1 268,2</w:t>
            </w:r>
          </w:p>
        </w:tc>
        <w:tc>
          <w:tcPr>
            <w:tcW w:w="1257" w:type="dxa"/>
            <w:tcBorders>
              <w:top w:val="nil"/>
              <w:left w:val="nil"/>
              <w:bottom w:val="single" w:sz="4" w:space="0" w:color="auto"/>
              <w:right w:val="single" w:sz="4" w:space="0" w:color="auto"/>
            </w:tcBorders>
            <w:shd w:val="clear" w:color="000000" w:fill="FFFFFF"/>
            <w:noWrap/>
            <w:vAlign w:val="bottom"/>
            <w:hideMark/>
          </w:tcPr>
          <w:p w14:paraId="77670D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286,3</w:t>
            </w:r>
          </w:p>
        </w:tc>
        <w:tc>
          <w:tcPr>
            <w:tcW w:w="1384" w:type="dxa"/>
            <w:tcBorders>
              <w:top w:val="nil"/>
              <w:left w:val="nil"/>
              <w:bottom w:val="single" w:sz="4" w:space="0" w:color="auto"/>
              <w:right w:val="single" w:sz="4" w:space="0" w:color="auto"/>
            </w:tcBorders>
            <w:shd w:val="clear" w:color="000000" w:fill="FFFFFF"/>
            <w:noWrap/>
            <w:vAlign w:val="bottom"/>
            <w:hideMark/>
          </w:tcPr>
          <w:p w14:paraId="478604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981,9</w:t>
            </w:r>
          </w:p>
        </w:tc>
        <w:tc>
          <w:tcPr>
            <w:tcW w:w="1134" w:type="dxa"/>
            <w:tcBorders>
              <w:top w:val="nil"/>
              <w:left w:val="nil"/>
              <w:bottom w:val="single" w:sz="4" w:space="0" w:color="auto"/>
              <w:right w:val="single" w:sz="4" w:space="0" w:color="auto"/>
            </w:tcBorders>
            <w:shd w:val="clear" w:color="000000" w:fill="FFFFFF"/>
            <w:noWrap/>
            <w:vAlign w:val="bottom"/>
            <w:hideMark/>
          </w:tcPr>
          <w:p w14:paraId="7B6155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133,8</w:t>
            </w:r>
          </w:p>
        </w:tc>
        <w:tc>
          <w:tcPr>
            <w:tcW w:w="1277" w:type="dxa"/>
            <w:tcBorders>
              <w:top w:val="nil"/>
              <w:left w:val="nil"/>
              <w:bottom w:val="single" w:sz="4" w:space="0" w:color="auto"/>
              <w:right w:val="single" w:sz="4" w:space="0" w:color="auto"/>
            </w:tcBorders>
            <w:shd w:val="clear" w:color="000000" w:fill="FFFFFF"/>
            <w:noWrap/>
            <w:vAlign w:val="bottom"/>
            <w:hideMark/>
          </w:tcPr>
          <w:p w14:paraId="602B04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8 228,8</w:t>
            </w:r>
          </w:p>
        </w:tc>
        <w:tc>
          <w:tcPr>
            <w:tcW w:w="1040" w:type="dxa"/>
            <w:tcBorders>
              <w:top w:val="nil"/>
              <w:left w:val="nil"/>
              <w:bottom w:val="single" w:sz="4" w:space="0" w:color="auto"/>
              <w:right w:val="single" w:sz="4" w:space="0" w:color="auto"/>
            </w:tcBorders>
            <w:shd w:val="clear" w:color="000000" w:fill="FFFFFF"/>
            <w:noWrap/>
            <w:vAlign w:val="bottom"/>
            <w:hideMark/>
          </w:tcPr>
          <w:p w14:paraId="6D5F19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216,8</w:t>
            </w:r>
          </w:p>
        </w:tc>
        <w:tc>
          <w:tcPr>
            <w:tcW w:w="1087" w:type="dxa"/>
            <w:tcBorders>
              <w:top w:val="nil"/>
              <w:left w:val="nil"/>
              <w:bottom w:val="single" w:sz="4" w:space="0" w:color="auto"/>
              <w:right w:val="single" w:sz="4" w:space="0" w:color="auto"/>
            </w:tcBorders>
            <w:shd w:val="clear" w:color="000000" w:fill="FFFFFF"/>
            <w:noWrap/>
            <w:vAlign w:val="bottom"/>
            <w:hideMark/>
          </w:tcPr>
          <w:p w14:paraId="746A7C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2 915,3</w:t>
            </w:r>
          </w:p>
        </w:tc>
        <w:tc>
          <w:tcPr>
            <w:tcW w:w="1040" w:type="dxa"/>
            <w:tcBorders>
              <w:top w:val="nil"/>
              <w:left w:val="nil"/>
              <w:bottom w:val="single" w:sz="4" w:space="0" w:color="auto"/>
              <w:right w:val="single" w:sz="4" w:space="0" w:color="auto"/>
            </w:tcBorders>
            <w:shd w:val="clear" w:color="000000" w:fill="FFFFFF"/>
            <w:noWrap/>
            <w:vAlign w:val="bottom"/>
            <w:hideMark/>
          </w:tcPr>
          <w:p w14:paraId="343791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326,0</w:t>
            </w:r>
          </w:p>
        </w:tc>
        <w:tc>
          <w:tcPr>
            <w:tcW w:w="1226" w:type="dxa"/>
            <w:tcBorders>
              <w:top w:val="nil"/>
              <w:left w:val="nil"/>
              <w:bottom w:val="single" w:sz="4" w:space="0" w:color="auto"/>
              <w:right w:val="single" w:sz="4" w:space="0" w:color="auto"/>
            </w:tcBorders>
            <w:shd w:val="clear" w:color="000000" w:fill="FFFFFF"/>
            <w:noWrap/>
            <w:vAlign w:val="bottom"/>
            <w:hideMark/>
          </w:tcPr>
          <w:p w14:paraId="52CEC7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01F095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65A95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Дългопол</w:t>
            </w:r>
          </w:p>
        </w:tc>
        <w:tc>
          <w:tcPr>
            <w:tcW w:w="1911" w:type="dxa"/>
            <w:tcBorders>
              <w:top w:val="nil"/>
              <w:left w:val="nil"/>
              <w:bottom w:val="single" w:sz="4" w:space="0" w:color="auto"/>
              <w:right w:val="single" w:sz="4" w:space="0" w:color="auto"/>
            </w:tcBorders>
            <w:shd w:val="clear" w:color="000000" w:fill="FFFFFF"/>
            <w:noWrap/>
            <w:vAlign w:val="bottom"/>
            <w:hideMark/>
          </w:tcPr>
          <w:p w14:paraId="7C227E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8 929,0</w:t>
            </w:r>
          </w:p>
        </w:tc>
        <w:tc>
          <w:tcPr>
            <w:tcW w:w="1118" w:type="dxa"/>
            <w:tcBorders>
              <w:top w:val="nil"/>
              <w:left w:val="nil"/>
              <w:bottom w:val="single" w:sz="4" w:space="0" w:color="auto"/>
              <w:right w:val="single" w:sz="4" w:space="0" w:color="auto"/>
            </w:tcBorders>
            <w:shd w:val="clear" w:color="000000" w:fill="FFFFFF"/>
            <w:noWrap/>
            <w:vAlign w:val="bottom"/>
            <w:hideMark/>
          </w:tcPr>
          <w:p w14:paraId="525874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1 109,2</w:t>
            </w:r>
          </w:p>
        </w:tc>
        <w:tc>
          <w:tcPr>
            <w:tcW w:w="1257" w:type="dxa"/>
            <w:tcBorders>
              <w:top w:val="nil"/>
              <w:left w:val="nil"/>
              <w:bottom w:val="single" w:sz="4" w:space="0" w:color="auto"/>
              <w:right w:val="single" w:sz="4" w:space="0" w:color="auto"/>
            </w:tcBorders>
            <w:shd w:val="clear" w:color="000000" w:fill="FFFFFF"/>
            <w:noWrap/>
            <w:vAlign w:val="bottom"/>
            <w:hideMark/>
          </w:tcPr>
          <w:p w14:paraId="2687F9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271,2</w:t>
            </w:r>
          </w:p>
        </w:tc>
        <w:tc>
          <w:tcPr>
            <w:tcW w:w="1384" w:type="dxa"/>
            <w:tcBorders>
              <w:top w:val="nil"/>
              <w:left w:val="nil"/>
              <w:bottom w:val="single" w:sz="4" w:space="0" w:color="auto"/>
              <w:right w:val="single" w:sz="4" w:space="0" w:color="auto"/>
            </w:tcBorders>
            <w:shd w:val="clear" w:color="000000" w:fill="FFFFFF"/>
            <w:noWrap/>
            <w:vAlign w:val="bottom"/>
            <w:hideMark/>
          </w:tcPr>
          <w:p w14:paraId="497605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838,0</w:t>
            </w:r>
          </w:p>
        </w:tc>
        <w:tc>
          <w:tcPr>
            <w:tcW w:w="1134" w:type="dxa"/>
            <w:tcBorders>
              <w:top w:val="nil"/>
              <w:left w:val="nil"/>
              <w:bottom w:val="single" w:sz="4" w:space="0" w:color="auto"/>
              <w:right w:val="single" w:sz="4" w:space="0" w:color="auto"/>
            </w:tcBorders>
            <w:shd w:val="clear" w:color="000000" w:fill="FFFFFF"/>
            <w:noWrap/>
            <w:vAlign w:val="bottom"/>
            <w:hideMark/>
          </w:tcPr>
          <w:p w14:paraId="4FB654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154,9</w:t>
            </w:r>
          </w:p>
        </w:tc>
        <w:tc>
          <w:tcPr>
            <w:tcW w:w="1277" w:type="dxa"/>
            <w:tcBorders>
              <w:top w:val="nil"/>
              <w:left w:val="nil"/>
              <w:bottom w:val="single" w:sz="4" w:space="0" w:color="auto"/>
              <w:right w:val="single" w:sz="4" w:space="0" w:color="auto"/>
            </w:tcBorders>
            <w:shd w:val="clear" w:color="000000" w:fill="FFFFFF"/>
            <w:noWrap/>
            <w:vAlign w:val="bottom"/>
            <w:hideMark/>
          </w:tcPr>
          <w:p w14:paraId="20DD6A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6 342,8</w:t>
            </w:r>
          </w:p>
        </w:tc>
        <w:tc>
          <w:tcPr>
            <w:tcW w:w="1040" w:type="dxa"/>
            <w:tcBorders>
              <w:top w:val="nil"/>
              <w:left w:val="nil"/>
              <w:bottom w:val="single" w:sz="4" w:space="0" w:color="auto"/>
              <w:right w:val="single" w:sz="4" w:space="0" w:color="auto"/>
            </w:tcBorders>
            <w:shd w:val="clear" w:color="000000" w:fill="FFFFFF"/>
            <w:noWrap/>
            <w:vAlign w:val="bottom"/>
            <w:hideMark/>
          </w:tcPr>
          <w:p w14:paraId="693DC9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127,4</w:t>
            </w:r>
          </w:p>
        </w:tc>
        <w:tc>
          <w:tcPr>
            <w:tcW w:w="1087" w:type="dxa"/>
            <w:tcBorders>
              <w:top w:val="nil"/>
              <w:left w:val="nil"/>
              <w:bottom w:val="single" w:sz="4" w:space="0" w:color="auto"/>
              <w:right w:val="single" w:sz="4" w:space="0" w:color="auto"/>
            </w:tcBorders>
            <w:shd w:val="clear" w:color="000000" w:fill="FFFFFF"/>
            <w:noWrap/>
            <w:vAlign w:val="bottom"/>
            <w:hideMark/>
          </w:tcPr>
          <w:p w14:paraId="026C3A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880,0</w:t>
            </w:r>
          </w:p>
        </w:tc>
        <w:tc>
          <w:tcPr>
            <w:tcW w:w="1040" w:type="dxa"/>
            <w:tcBorders>
              <w:top w:val="nil"/>
              <w:left w:val="nil"/>
              <w:bottom w:val="single" w:sz="4" w:space="0" w:color="auto"/>
              <w:right w:val="single" w:sz="4" w:space="0" w:color="auto"/>
            </w:tcBorders>
            <w:shd w:val="clear" w:color="000000" w:fill="FFFFFF"/>
            <w:noWrap/>
            <w:vAlign w:val="bottom"/>
            <w:hideMark/>
          </w:tcPr>
          <w:p w14:paraId="0CFB7F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314,7</w:t>
            </w:r>
          </w:p>
        </w:tc>
        <w:tc>
          <w:tcPr>
            <w:tcW w:w="1226" w:type="dxa"/>
            <w:tcBorders>
              <w:top w:val="nil"/>
              <w:left w:val="nil"/>
              <w:bottom w:val="single" w:sz="4" w:space="0" w:color="auto"/>
              <w:right w:val="single" w:sz="4" w:space="0" w:color="auto"/>
            </w:tcBorders>
            <w:shd w:val="clear" w:color="000000" w:fill="FFFFFF"/>
            <w:noWrap/>
            <w:vAlign w:val="bottom"/>
            <w:hideMark/>
          </w:tcPr>
          <w:p w14:paraId="275EEF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204BBFF"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1B690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Провадия</w:t>
            </w:r>
          </w:p>
        </w:tc>
        <w:tc>
          <w:tcPr>
            <w:tcW w:w="1911" w:type="dxa"/>
            <w:tcBorders>
              <w:top w:val="nil"/>
              <w:left w:val="nil"/>
              <w:bottom w:val="single" w:sz="4" w:space="0" w:color="auto"/>
              <w:right w:val="single" w:sz="4" w:space="0" w:color="auto"/>
            </w:tcBorders>
            <w:shd w:val="clear" w:color="000000" w:fill="FFFFFF"/>
            <w:noWrap/>
            <w:vAlign w:val="bottom"/>
            <w:hideMark/>
          </w:tcPr>
          <w:p w14:paraId="13C06C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14 324,2</w:t>
            </w:r>
          </w:p>
        </w:tc>
        <w:tc>
          <w:tcPr>
            <w:tcW w:w="1118" w:type="dxa"/>
            <w:tcBorders>
              <w:top w:val="nil"/>
              <w:left w:val="nil"/>
              <w:bottom w:val="single" w:sz="4" w:space="0" w:color="auto"/>
              <w:right w:val="single" w:sz="4" w:space="0" w:color="auto"/>
            </w:tcBorders>
            <w:shd w:val="clear" w:color="000000" w:fill="FFFFFF"/>
            <w:noWrap/>
            <w:vAlign w:val="bottom"/>
            <w:hideMark/>
          </w:tcPr>
          <w:p w14:paraId="580760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1 465,0</w:t>
            </w:r>
          </w:p>
        </w:tc>
        <w:tc>
          <w:tcPr>
            <w:tcW w:w="1257" w:type="dxa"/>
            <w:tcBorders>
              <w:top w:val="nil"/>
              <w:left w:val="nil"/>
              <w:bottom w:val="single" w:sz="4" w:space="0" w:color="auto"/>
              <w:right w:val="single" w:sz="4" w:space="0" w:color="auto"/>
            </w:tcBorders>
            <w:shd w:val="clear" w:color="000000" w:fill="FFFFFF"/>
            <w:noWrap/>
            <w:vAlign w:val="bottom"/>
            <w:hideMark/>
          </w:tcPr>
          <w:p w14:paraId="2E10AD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406,0</w:t>
            </w:r>
          </w:p>
        </w:tc>
        <w:tc>
          <w:tcPr>
            <w:tcW w:w="1384" w:type="dxa"/>
            <w:tcBorders>
              <w:top w:val="nil"/>
              <w:left w:val="nil"/>
              <w:bottom w:val="single" w:sz="4" w:space="0" w:color="auto"/>
              <w:right w:val="single" w:sz="4" w:space="0" w:color="auto"/>
            </w:tcBorders>
            <w:shd w:val="clear" w:color="000000" w:fill="FFFFFF"/>
            <w:noWrap/>
            <w:vAlign w:val="bottom"/>
            <w:hideMark/>
          </w:tcPr>
          <w:p w14:paraId="50D87B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1 059,0</w:t>
            </w:r>
          </w:p>
        </w:tc>
        <w:tc>
          <w:tcPr>
            <w:tcW w:w="1134" w:type="dxa"/>
            <w:tcBorders>
              <w:top w:val="nil"/>
              <w:left w:val="nil"/>
              <w:bottom w:val="single" w:sz="4" w:space="0" w:color="auto"/>
              <w:right w:val="single" w:sz="4" w:space="0" w:color="auto"/>
            </w:tcBorders>
            <w:shd w:val="clear" w:color="000000" w:fill="FFFFFF"/>
            <w:noWrap/>
            <w:vAlign w:val="bottom"/>
            <w:hideMark/>
          </w:tcPr>
          <w:p w14:paraId="1C056F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162,9</w:t>
            </w:r>
          </w:p>
        </w:tc>
        <w:tc>
          <w:tcPr>
            <w:tcW w:w="1277" w:type="dxa"/>
            <w:tcBorders>
              <w:top w:val="nil"/>
              <w:left w:val="nil"/>
              <w:bottom w:val="single" w:sz="4" w:space="0" w:color="auto"/>
              <w:right w:val="single" w:sz="4" w:space="0" w:color="auto"/>
            </w:tcBorders>
            <w:shd w:val="clear" w:color="000000" w:fill="FFFFFF"/>
            <w:noWrap/>
            <w:vAlign w:val="bottom"/>
            <w:hideMark/>
          </w:tcPr>
          <w:p w14:paraId="17946C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9 661,0</w:t>
            </w:r>
          </w:p>
        </w:tc>
        <w:tc>
          <w:tcPr>
            <w:tcW w:w="1040" w:type="dxa"/>
            <w:tcBorders>
              <w:top w:val="nil"/>
              <w:left w:val="nil"/>
              <w:bottom w:val="single" w:sz="4" w:space="0" w:color="auto"/>
              <w:right w:val="single" w:sz="4" w:space="0" w:color="auto"/>
            </w:tcBorders>
            <w:shd w:val="clear" w:color="000000" w:fill="FFFFFF"/>
            <w:noWrap/>
            <w:vAlign w:val="bottom"/>
            <w:hideMark/>
          </w:tcPr>
          <w:p w14:paraId="340313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298,6</w:t>
            </w:r>
          </w:p>
        </w:tc>
        <w:tc>
          <w:tcPr>
            <w:tcW w:w="1087" w:type="dxa"/>
            <w:tcBorders>
              <w:top w:val="nil"/>
              <w:left w:val="nil"/>
              <w:bottom w:val="single" w:sz="4" w:space="0" w:color="auto"/>
              <w:right w:val="single" w:sz="4" w:space="0" w:color="auto"/>
            </w:tcBorders>
            <w:shd w:val="clear" w:color="000000" w:fill="FFFFFF"/>
            <w:noWrap/>
            <w:vAlign w:val="bottom"/>
            <w:hideMark/>
          </w:tcPr>
          <w:p w14:paraId="751121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1 883,3</w:t>
            </w:r>
          </w:p>
        </w:tc>
        <w:tc>
          <w:tcPr>
            <w:tcW w:w="1040" w:type="dxa"/>
            <w:tcBorders>
              <w:top w:val="nil"/>
              <w:left w:val="nil"/>
              <w:bottom w:val="single" w:sz="4" w:space="0" w:color="auto"/>
              <w:right w:val="single" w:sz="4" w:space="0" w:color="auto"/>
            </w:tcBorders>
            <w:shd w:val="clear" w:color="000000" w:fill="FFFFFF"/>
            <w:noWrap/>
            <w:vAlign w:val="bottom"/>
            <w:hideMark/>
          </w:tcPr>
          <w:p w14:paraId="2D335E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853,4</w:t>
            </w:r>
          </w:p>
        </w:tc>
        <w:tc>
          <w:tcPr>
            <w:tcW w:w="1226" w:type="dxa"/>
            <w:tcBorders>
              <w:top w:val="nil"/>
              <w:left w:val="nil"/>
              <w:bottom w:val="single" w:sz="4" w:space="0" w:color="auto"/>
              <w:right w:val="single" w:sz="4" w:space="0" w:color="auto"/>
            </w:tcBorders>
            <w:shd w:val="clear" w:color="000000" w:fill="FFFFFF"/>
            <w:noWrap/>
            <w:vAlign w:val="bottom"/>
            <w:hideMark/>
          </w:tcPr>
          <w:p w14:paraId="26B828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27316D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AACD5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Cуворово</w:t>
            </w:r>
          </w:p>
        </w:tc>
        <w:tc>
          <w:tcPr>
            <w:tcW w:w="1911" w:type="dxa"/>
            <w:tcBorders>
              <w:top w:val="nil"/>
              <w:left w:val="nil"/>
              <w:bottom w:val="single" w:sz="4" w:space="0" w:color="auto"/>
              <w:right w:val="single" w:sz="4" w:space="0" w:color="auto"/>
            </w:tcBorders>
            <w:shd w:val="clear" w:color="000000" w:fill="FFFFFF"/>
            <w:noWrap/>
            <w:vAlign w:val="bottom"/>
            <w:hideMark/>
          </w:tcPr>
          <w:p w14:paraId="239944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5 610,9</w:t>
            </w:r>
          </w:p>
        </w:tc>
        <w:tc>
          <w:tcPr>
            <w:tcW w:w="1118" w:type="dxa"/>
            <w:tcBorders>
              <w:top w:val="nil"/>
              <w:left w:val="nil"/>
              <w:bottom w:val="single" w:sz="4" w:space="0" w:color="auto"/>
              <w:right w:val="single" w:sz="4" w:space="0" w:color="auto"/>
            </w:tcBorders>
            <w:shd w:val="clear" w:color="000000" w:fill="FFFFFF"/>
            <w:noWrap/>
            <w:vAlign w:val="bottom"/>
            <w:hideMark/>
          </w:tcPr>
          <w:p w14:paraId="49EB25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783,5</w:t>
            </w:r>
          </w:p>
        </w:tc>
        <w:tc>
          <w:tcPr>
            <w:tcW w:w="1257" w:type="dxa"/>
            <w:tcBorders>
              <w:top w:val="nil"/>
              <w:left w:val="nil"/>
              <w:bottom w:val="single" w:sz="4" w:space="0" w:color="auto"/>
              <w:right w:val="single" w:sz="4" w:space="0" w:color="auto"/>
            </w:tcBorders>
            <w:shd w:val="clear" w:color="000000" w:fill="FFFFFF"/>
            <w:noWrap/>
            <w:vAlign w:val="bottom"/>
            <w:hideMark/>
          </w:tcPr>
          <w:p w14:paraId="5D0014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159,9</w:t>
            </w:r>
          </w:p>
        </w:tc>
        <w:tc>
          <w:tcPr>
            <w:tcW w:w="1384" w:type="dxa"/>
            <w:tcBorders>
              <w:top w:val="nil"/>
              <w:left w:val="nil"/>
              <w:bottom w:val="single" w:sz="4" w:space="0" w:color="auto"/>
              <w:right w:val="single" w:sz="4" w:space="0" w:color="auto"/>
            </w:tcBorders>
            <w:shd w:val="clear" w:color="000000" w:fill="FFFFFF"/>
            <w:noWrap/>
            <w:vAlign w:val="bottom"/>
            <w:hideMark/>
          </w:tcPr>
          <w:p w14:paraId="673170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623,6</w:t>
            </w:r>
          </w:p>
        </w:tc>
        <w:tc>
          <w:tcPr>
            <w:tcW w:w="1134" w:type="dxa"/>
            <w:tcBorders>
              <w:top w:val="nil"/>
              <w:left w:val="nil"/>
              <w:bottom w:val="single" w:sz="4" w:space="0" w:color="auto"/>
              <w:right w:val="single" w:sz="4" w:space="0" w:color="auto"/>
            </w:tcBorders>
            <w:shd w:val="clear" w:color="000000" w:fill="FFFFFF"/>
            <w:noWrap/>
            <w:vAlign w:val="bottom"/>
            <w:hideMark/>
          </w:tcPr>
          <w:p w14:paraId="6EA348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127,3</w:t>
            </w:r>
          </w:p>
        </w:tc>
        <w:tc>
          <w:tcPr>
            <w:tcW w:w="1277" w:type="dxa"/>
            <w:tcBorders>
              <w:top w:val="nil"/>
              <w:left w:val="nil"/>
              <w:bottom w:val="single" w:sz="4" w:space="0" w:color="auto"/>
              <w:right w:val="single" w:sz="4" w:space="0" w:color="auto"/>
            </w:tcBorders>
            <w:shd w:val="clear" w:color="000000" w:fill="FFFFFF"/>
            <w:noWrap/>
            <w:vAlign w:val="bottom"/>
            <w:hideMark/>
          </w:tcPr>
          <w:p w14:paraId="0919C6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3 935,9</w:t>
            </w:r>
          </w:p>
        </w:tc>
        <w:tc>
          <w:tcPr>
            <w:tcW w:w="1040" w:type="dxa"/>
            <w:tcBorders>
              <w:top w:val="nil"/>
              <w:left w:val="nil"/>
              <w:bottom w:val="single" w:sz="4" w:space="0" w:color="auto"/>
              <w:right w:val="single" w:sz="4" w:space="0" w:color="auto"/>
            </w:tcBorders>
            <w:shd w:val="clear" w:color="000000" w:fill="FFFFFF"/>
            <w:noWrap/>
            <w:vAlign w:val="bottom"/>
            <w:hideMark/>
          </w:tcPr>
          <w:p w14:paraId="3CCEF7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159,8</w:t>
            </w:r>
          </w:p>
        </w:tc>
        <w:tc>
          <w:tcPr>
            <w:tcW w:w="1087" w:type="dxa"/>
            <w:tcBorders>
              <w:top w:val="nil"/>
              <w:left w:val="nil"/>
              <w:bottom w:val="single" w:sz="4" w:space="0" w:color="auto"/>
              <w:right w:val="single" w:sz="4" w:space="0" w:color="auto"/>
            </w:tcBorders>
            <w:shd w:val="clear" w:color="000000" w:fill="FFFFFF"/>
            <w:noWrap/>
            <w:vAlign w:val="bottom"/>
            <w:hideMark/>
          </w:tcPr>
          <w:p w14:paraId="6B0348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492,0</w:t>
            </w:r>
          </w:p>
        </w:tc>
        <w:tc>
          <w:tcPr>
            <w:tcW w:w="1040" w:type="dxa"/>
            <w:tcBorders>
              <w:top w:val="nil"/>
              <w:left w:val="nil"/>
              <w:bottom w:val="single" w:sz="4" w:space="0" w:color="auto"/>
              <w:right w:val="single" w:sz="4" w:space="0" w:color="auto"/>
            </w:tcBorders>
            <w:shd w:val="clear" w:color="000000" w:fill="FFFFFF"/>
            <w:noWrap/>
            <w:vAlign w:val="bottom"/>
            <w:hideMark/>
          </w:tcPr>
          <w:p w14:paraId="77F6E4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112,4</w:t>
            </w:r>
          </w:p>
        </w:tc>
        <w:tc>
          <w:tcPr>
            <w:tcW w:w="1226" w:type="dxa"/>
            <w:tcBorders>
              <w:top w:val="nil"/>
              <w:left w:val="nil"/>
              <w:bottom w:val="single" w:sz="4" w:space="0" w:color="auto"/>
              <w:right w:val="single" w:sz="4" w:space="0" w:color="auto"/>
            </w:tcBorders>
            <w:shd w:val="clear" w:color="000000" w:fill="FFFFFF"/>
            <w:noWrap/>
            <w:vAlign w:val="bottom"/>
            <w:hideMark/>
          </w:tcPr>
          <w:p w14:paraId="559DD14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B94F63F"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43F3155"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775468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7C45D2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1DB1D10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9ADFB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32A1A8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7ED036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4BF4E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0A396F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875889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3006AF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22E1B1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CB77D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ВЕЛИКО ТЪРНОВО</w:t>
            </w:r>
          </w:p>
        </w:tc>
        <w:tc>
          <w:tcPr>
            <w:tcW w:w="1911" w:type="dxa"/>
            <w:tcBorders>
              <w:top w:val="nil"/>
              <w:left w:val="nil"/>
              <w:bottom w:val="single" w:sz="4" w:space="0" w:color="auto"/>
              <w:right w:val="single" w:sz="4" w:space="0" w:color="auto"/>
            </w:tcBorders>
            <w:shd w:val="clear" w:color="000000" w:fill="FFFFFF"/>
            <w:noWrap/>
            <w:vAlign w:val="bottom"/>
            <w:hideMark/>
          </w:tcPr>
          <w:p w14:paraId="564D844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76D7707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4202E1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038CC6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4AA68B9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7246CB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0F3C9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43855D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E68C3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41DB1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DEDD88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DD21A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Bелико Tърново    </w:t>
            </w:r>
          </w:p>
        </w:tc>
        <w:tc>
          <w:tcPr>
            <w:tcW w:w="1911" w:type="dxa"/>
            <w:tcBorders>
              <w:top w:val="nil"/>
              <w:left w:val="nil"/>
              <w:bottom w:val="single" w:sz="4" w:space="0" w:color="auto"/>
              <w:right w:val="single" w:sz="4" w:space="0" w:color="auto"/>
            </w:tcBorders>
            <w:shd w:val="clear" w:color="000000" w:fill="FFFFFF"/>
            <w:noWrap/>
            <w:vAlign w:val="bottom"/>
            <w:hideMark/>
          </w:tcPr>
          <w:p w14:paraId="0055FF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64 170,9</w:t>
            </w:r>
          </w:p>
        </w:tc>
        <w:tc>
          <w:tcPr>
            <w:tcW w:w="1118" w:type="dxa"/>
            <w:tcBorders>
              <w:top w:val="nil"/>
              <w:left w:val="nil"/>
              <w:bottom w:val="single" w:sz="4" w:space="0" w:color="auto"/>
              <w:right w:val="single" w:sz="4" w:space="0" w:color="auto"/>
            </w:tcBorders>
            <w:shd w:val="clear" w:color="000000" w:fill="FFFFFF"/>
            <w:noWrap/>
            <w:vAlign w:val="bottom"/>
            <w:hideMark/>
          </w:tcPr>
          <w:p w14:paraId="7E40EB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3 289,8</w:t>
            </w:r>
          </w:p>
        </w:tc>
        <w:tc>
          <w:tcPr>
            <w:tcW w:w="1257" w:type="dxa"/>
            <w:tcBorders>
              <w:top w:val="nil"/>
              <w:left w:val="nil"/>
              <w:bottom w:val="single" w:sz="4" w:space="0" w:color="auto"/>
              <w:right w:val="single" w:sz="4" w:space="0" w:color="auto"/>
            </w:tcBorders>
            <w:shd w:val="clear" w:color="000000" w:fill="FFFFFF"/>
            <w:noWrap/>
            <w:vAlign w:val="bottom"/>
            <w:hideMark/>
          </w:tcPr>
          <w:p w14:paraId="1BA982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589,7</w:t>
            </w:r>
          </w:p>
        </w:tc>
        <w:tc>
          <w:tcPr>
            <w:tcW w:w="1384" w:type="dxa"/>
            <w:tcBorders>
              <w:top w:val="nil"/>
              <w:left w:val="nil"/>
              <w:bottom w:val="single" w:sz="4" w:space="0" w:color="auto"/>
              <w:right w:val="single" w:sz="4" w:space="0" w:color="auto"/>
            </w:tcBorders>
            <w:shd w:val="clear" w:color="000000" w:fill="FFFFFF"/>
            <w:noWrap/>
            <w:vAlign w:val="bottom"/>
            <w:hideMark/>
          </w:tcPr>
          <w:p w14:paraId="50EE35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2 700,1</w:t>
            </w:r>
          </w:p>
        </w:tc>
        <w:tc>
          <w:tcPr>
            <w:tcW w:w="1134" w:type="dxa"/>
            <w:tcBorders>
              <w:top w:val="nil"/>
              <w:left w:val="nil"/>
              <w:bottom w:val="single" w:sz="4" w:space="0" w:color="auto"/>
              <w:right w:val="single" w:sz="4" w:space="0" w:color="auto"/>
            </w:tcBorders>
            <w:shd w:val="clear" w:color="000000" w:fill="FFFFFF"/>
            <w:noWrap/>
            <w:vAlign w:val="bottom"/>
            <w:hideMark/>
          </w:tcPr>
          <w:p w14:paraId="5D7C3D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287,1</w:t>
            </w:r>
          </w:p>
        </w:tc>
        <w:tc>
          <w:tcPr>
            <w:tcW w:w="1277" w:type="dxa"/>
            <w:tcBorders>
              <w:top w:val="nil"/>
              <w:left w:val="nil"/>
              <w:bottom w:val="single" w:sz="4" w:space="0" w:color="auto"/>
              <w:right w:val="single" w:sz="4" w:space="0" w:color="auto"/>
            </w:tcBorders>
            <w:shd w:val="clear" w:color="000000" w:fill="FFFFFF"/>
            <w:noWrap/>
            <w:vAlign w:val="bottom"/>
            <w:hideMark/>
          </w:tcPr>
          <w:p w14:paraId="024951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36 444,9</w:t>
            </w:r>
          </w:p>
        </w:tc>
        <w:tc>
          <w:tcPr>
            <w:tcW w:w="1040" w:type="dxa"/>
            <w:tcBorders>
              <w:top w:val="nil"/>
              <w:left w:val="nil"/>
              <w:bottom w:val="single" w:sz="4" w:space="0" w:color="auto"/>
              <w:right w:val="single" w:sz="4" w:space="0" w:color="auto"/>
            </w:tcBorders>
            <w:shd w:val="clear" w:color="000000" w:fill="FFFFFF"/>
            <w:noWrap/>
            <w:vAlign w:val="bottom"/>
            <w:hideMark/>
          </w:tcPr>
          <w:p w14:paraId="51C585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4 464,4</w:t>
            </w:r>
          </w:p>
        </w:tc>
        <w:tc>
          <w:tcPr>
            <w:tcW w:w="1087" w:type="dxa"/>
            <w:tcBorders>
              <w:top w:val="nil"/>
              <w:left w:val="nil"/>
              <w:bottom w:val="single" w:sz="4" w:space="0" w:color="auto"/>
              <w:right w:val="single" w:sz="4" w:space="0" w:color="auto"/>
            </w:tcBorders>
            <w:shd w:val="clear" w:color="000000" w:fill="FFFFFF"/>
            <w:noWrap/>
            <w:vAlign w:val="bottom"/>
            <w:hideMark/>
          </w:tcPr>
          <w:p w14:paraId="21AE0D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15 082,6</w:t>
            </w:r>
          </w:p>
        </w:tc>
        <w:tc>
          <w:tcPr>
            <w:tcW w:w="1040" w:type="dxa"/>
            <w:tcBorders>
              <w:top w:val="nil"/>
              <w:left w:val="nil"/>
              <w:bottom w:val="single" w:sz="4" w:space="0" w:color="auto"/>
              <w:right w:val="single" w:sz="4" w:space="0" w:color="auto"/>
            </w:tcBorders>
            <w:shd w:val="clear" w:color="000000" w:fill="FFFFFF"/>
            <w:noWrap/>
            <w:vAlign w:val="bottom"/>
            <w:hideMark/>
          </w:tcPr>
          <w:p w14:paraId="2D40A6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4 602,1</w:t>
            </w:r>
          </w:p>
        </w:tc>
        <w:tc>
          <w:tcPr>
            <w:tcW w:w="1226" w:type="dxa"/>
            <w:tcBorders>
              <w:top w:val="nil"/>
              <w:left w:val="nil"/>
              <w:bottom w:val="single" w:sz="4" w:space="0" w:color="auto"/>
              <w:right w:val="single" w:sz="4" w:space="0" w:color="auto"/>
            </w:tcBorders>
            <w:shd w:val="clear" w:color="000000" w:fill="FFFFFF"/>
            <w:noWrap/>
            <w:vAlign w:val="bottom"/>
            <w:hideMark/>
          </w:tcPr>
          <w:p w14:paraId="2448F5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524CFA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8978C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Горна Oряховица</w:t>
            </w:r>
          </w:p>
        </w:tc>
        <w:tc>
          <w:tcPr>
            <w:tcW w:w="1911" w:type="dxa"/>
            <w:tcBorders>
              <w:top w:val="nil"/>
              <w:left w:val="nil"/>
              <w:bottom w:val="single" w:sz="4" w:space="0" w:color="auto"/>
              <w:right w:val="single" w:sz="4" w:space="0" w:color="auto"/>
            </w:tcBorders>
            <w:shd w:val="clear" w:color="000000" w:fill="FFFFFF"/>
            <w:noWrap/>
            <w:vAlign w:val="bottom"/>
            <w:hideMark/>
          </w:tcPr>
          <w:p w14:paraId="78E6A6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23 441,4</w:t>
            </w:r>
          </w:p>
        </w:tc>
        <w:tc>
          <w:tcPr>
            <w:tcW w:w="1118" w:type="dxa"/>
            <w:tcBorders>
              <w:top w:val="nil"/>
              <w:left w:val="nil"/>
              <w:bottom w:val="single" w:sz="4" w:space="0" w:color="auto"/>
              <w:right w:val="single" w:sz="4" w:space="0" w:color="auto"/>
            </w:tcBorders>
            <w:shd w:val="clear" w:color="000000" w:fill="FFFFFF"/>
            <w:noWrap/>
            <w:vAlign w:val="bottom"/>
            <w:hideMark/>
          </w:tcPr>
          <w:p w14:paraId="43A07D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1 940,1</w:t>
            </w:r>
          </w:p>
        </w:tc>
        <w:tc>
          <w:tcPr>
            <w:tcW w:w="1257" w:type="dxa"/>
            <w:tcBorders>
              <w:top w:val="nil"/>
              <w:left w:val="nil"/>
              <w:bottom w:val="single" w:sz="4" w:space="0" w:color="auto"/>
              <w:right w:val="single" w:sz="4" w:space="0" w:color="auto"/>
            </w:tcBorders>
            <w:shd w:val="clear" w:color="000000" w:fill="FFFFFF"/>
            <w:noWrap/>
            <w:vAlign w:val="bottom"/>
            <w:hideMark/>
          </w:tcPr>
          <w:p w14:paraId="7EE8E5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264,6</w:t>
            </w:r>
          </w:p>
        </w:tc>
        <w:tc>
          <w:tcPr>
            <w:tcW w:w="1384" w:type="dxa"/>
            <w:tcBorders>
              <w:top w:val="nil"/>
              <w:left w:val="nil"/>
              <w:bottom w:val="single" w:sz="4" w:space="0" w:color="auto"/>
              <w:right w:val="single" w:sz="4" w:space="0" w:color="auto"/>
            </w:tcBorders>
            <w:shd w:val="clear" w:color="000000" w:fill="FFFFFF"/>
            <w:noWrap/>
            <w:vAlign w:val="bottom"/>
            <w:hideMark/>
          </w:tcPr>
          <w:p w14:paraId="47B0EB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1 675,5</w:t>
            </w:r>
          </w:p>
        </w:tc>
        <w:tc>
          <w:tcPr>
            <w:tcW w:w="1134" w:type="dxa"/>
            <w:tcBorders>
              <w:top w:val="nil"/>
              <w:left w:val="nil"/>
              <w:bottom w:val="single" w:sz="4" w:space="0" w:color="auto"/>
              <w:right w:val="single" w:sz="4" w:space="0" w:color="auto"/>
            </w:tcBorders>
            <w:shd w:val="clear" w:color="000000" w:fill="FFFFFF"/>
            <w:noWrap/>
            <w:vAlign w:val="bottom"/>
            <w:hideMark/>
          </w:tcPr>
          <w:p w14:paraId="694385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176,8</w:t>
            </w:r>
          </w:p>
        </w:tc>
        <w:tc>
          <w:tcPr>
            <w:tcW w:w="1277" w:type="dxa"/>
            <w:tcBorders>
              <w:top w:val="nil"/>
              <w:left w:val="nil"/>
              <w:bottom w:val="single" w:sz="4" w:space="0" w:color="auto"/>
              <w:right w:val="single" w:sz="4" w:space="0" w:color="auto"/>
            </w:tcBorders>
            <w:shd w:val="clear" w:color="000000" w:fill="FFFFFF"/>
            <w:noWrap/>
            <w:vAlign w:val="bottom"/>
            <w:hideMark/>
          </w:tcPr>
          <w:p w14:paraId="5E7079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14 598,5</w:t>
            </w:r>
          </w:p>
        </w:tc>
        <w:tc>
          <w:tcPr>
            <w:tcW w:w="1040" w:type="dxa"/>
            <w:tcBorders>
              <w:top w:val="nil"/>
              <w:left w:val="nil"/>
              <w:bottom w:val="single" w:sz="4" w:space="0" w:color="auto"/>
              <w:right w:val="single" w:sz="4" w:space="0" w:color="auto"/>
            </w:tcBorders>
            <w:shd w:val="clear" w:color="000000" w:fill="FFFFFF"/>
            <w:noWrap/>
            <w:vAlign w:val="bottom"/>
            <w:hideMark/>
          </w:tcPr>
          <w:p w14:paraId="1BE41C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1 312,1</w:t>
            </w:r>
          </w:p>
        </w:tc>
        <w:tc>
          <w:tcPr>
            <w:tcW w:w="1087" w:type="dxa"/>
            <w:tcBorders>
              <w:top w:val="nil"/>
              <w:left w:val="nil"/>
              <w:bottom w:val="single" w:sz="4" w:space="0" w:color="auto"/>
              <w:right w:val="single" w:sz="4" w:space="0" w:color="auto"/>
            </w:tcBorders>
            <w:shd w:val="clear" w:color="000000" w:fill="FFFFFF"/>
            <w:noWrap/>
            <w:vAlign w:val="bottom"/>
            <w:hideMark/>
          </w:tcPr>
          <w:p w14:paraId="1938F7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4 505,0</w:t>
            </w:r>
          </w:p>
        </w:tc>
        <w:tc>
          <w:tcPr>
            <w:tcW w:w="1040" w:type="dxa"/>
            <w:tcBorders>
              <w:top w:val="nil"/>
              <w:left w:val="nil"/>
              <w:bottom w:val="single" w:sz="4" w:space="0" w:color="auto"/>
              <w:right w:val="single" w:sz="4" w:space="0" w:color="auto"/>
            </w:tcBorders>
            <w:shd w:val="clear" w:color="000000" w:fill="FFFFFF"/>
            <w:noWrap/>
            <w:vAlign w:val="bottom"/>
            <w:hideMark/>
          </w:tcPr>
          <w:p w14:paraId="39803C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908,9</w:t>
            </w:r>
          </w:p>
        </w:tc>
        <w:tc>
          <w:tcPr>
            <w:tcW w:w="1226" w:type="dxa"/>
            <w:tcBorders>
              <w:top w:val="nil"/>
              <w:left w:val="nil"/>
              <w:bottom w:val="single" w:sz="4" w:space="0" w:color="auto"/>
              <w:right w:val="single" w:sz="4" w:space="0" w:color="auto"/>
            </w:tcBorders>
            <w:shd w:val="clear" w:color="000000" w:fill="FFFFFF"/>
            <w:noWrap/>
            <w:vAlign w:val="bottom"/>
            <w:hideMark/>
          </w:tcPr>
          <w:p w14:paraId="07AAF92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6CCA53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03EA0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Eлена</w:t>
            </w:r>
          </w:p>
        </w:tc>
        <w:tc>
          <w:tcPr>
            <w:tcW w:w="1911" w:type="dxa"/>
            <w:tcBorders>
              <w:top w:val="nil"/>
              <w:left w:val="nil"/>
              <w:bottom w:val="single" w:sz="4" w:space="0" w:color="auto"/>
              <w:right w:val="single" w:sz="4" w:space="0" w:color="auto"/>
            </w:tcBorders>
            <w:shd w:val="clear" w:color="000000" w:fill="FFFFFF"/>
            <w:noWrap/>
            <w:vAlign w:val="bottom"/>
            <w:hideMark/>
          </w:tcPr>
          <w:p w14:paraId="6D945A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8 668,1</w:t>
            </w:r>
          </w:p>
        </w:tc>
        <w:tc>
          <w:tcPr>
            <w:tcW w:w="1118" w:type="dxa"/>
            <w:tcBorders>
              <w:top w:val="nil"/>
              <w:left w:val="nil"/>
              <w:bottom w:val="single" w:sz="4" w:space="0" w:color="auto"/>
              <w:right w:val="single" w:sz="4" w:space="0" w:color="auto"/>
            </w:tcBorders>
            <w:shd w:val="clear" w:color="000000" w:fill="FFFFFF"/>
            <w:noWrap/>
            <w:vAlign w:val="bottom"/>
            <w:hideMark/>
          </w:tcPr>
          <w:p w14:paraId="6F7142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966,9</w:t>
            </w:r>
          </w:p>
        </w:tc>
        <w:tc>
          <w:tcPr>
            <w:tcW w:w="1257" w:type="dxa"/>
            <w:tcBorders>
              <w:top w:val="nil"/>
              <w:left w:val="nil"/>
              <w:bottom w:val="single" w:sz="4" w:space="0" w:color="auto"/>
              <w:right w:val="single" w:sz="4" w:space="0" w:color="auto"/>
            </w:tcBorders>
            <w:shd w:val="clear" w:color="000000" w:fill="FFFFFF"/>
            <w:noWrap/>
            <w:vAlign w:val="bottom"/>
            <w:hideMark/>
          </w:tcPr>
          <w:p w14:paraId="670605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293,1</w:t>
            </w:r>
          </w:p>
        </w:tc>
        <w:tc>
          <w:tcPr>
            <w:tcW w:w="1384" w:type="dxa"/>
            <w:tcBorders>
              <w:top w:val="nil"/>
              <w:left w:val="nil"/>
              <w:bottom w:val="single" w:sz="4" w:space="0" w:color="auto"/>
              <w:right w:val="single" w:sz="4" w:space="0" w:color="auto"/>
            </w:tcBorders>
            <w:shd w:val="clear" w:color="000000" w:fill="FFFFFF"/>
            <w:noWrap/>
            <w:vAlign w:val="bottom"/>
            <w:hideMark/>
          </w:tcPr>
          <w:p w14:paraId="6D038C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673,8</w:t>
            </w:r>
          </w:p>
        </w:tc>
        <w:tc>
          <w:tcPr>
            <w:tcW w:w="1134" w:type="dxa"/>
            <w:tcBorders>
              <w:top w:val="nil"/>
              <w:left w:val="nil"/>
              <w:bottom w:val="single" w:sz="4" w:space="0" w:color="auto"/>
              <w:right w:val="single" w:sz="4" w:space="0" w:color="auto"/>
            </w:tcBorders>
            <w:shd w:val="clear" w:color="000000" w:fill="FFFFFF"/>
            <w:noWrap/>
            <w:vAlign w:val="bottom"/>
            <w:hideMark/>
          </w:tcPr>
          <w:p w14:paraId="3C3BF6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156,5</w:t>
            </w:r>
          </w:p>
        </w:tc>
        <w:tc>
          <w:tcPr>
            <w:tcW w:w="1277" w:type="dxa"/>
            <w:tcBorders>
              <w:top w:val="nil"/>
              <w:left w:val="nil"/>
              <w:bottom w:val="single" w:sz="4" w:space="0" w:color="auto"/>
              <w:right w:val="single" w:sz="4" w:space="0" w:color="auto"/>
            </w:tcBorders>
            <w:shd w:val="clear" w:color="000000" w:fill="FFFFFF"/>
            <w:noWrap/>
            <w:vAlign w:val="bottom"/>
            <w:hideMark/>
          </w:tcPr>
          <w:p w14:paraId="637F6C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4 084,6</w:t>
            </w:r>
          </w:p>
        </w:tc>
        <w:tc>
          <w:tcPr>
            <w:tcW w:w="1040" w:type="dxa"/>
            <w:tcBorders>
              <w:top w:val="nil"/>
              <w:left w:val="nil"/>
              <w:bottom w:val="single" w:sz="4" w:space="0" w:color="auto"/>
              <w:right w:val="single" w:sz="4" w:space="0" w:color="auto"/>
            </w:tcBorders>
            <w:shd w:val="clear" w:color="000000" w:fill="FFFFFF"/>
            <w:noWrap/>
            <w:vAlign w:val="bottom"/>
            <w:hideMark/>
          </w:tcPr>
          <w:p w14:paraId="2A7913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357,7</w:t>
            </w:r>
          </w:p>
        </w:tc>
        <w:tc>
          <w:tcPr>
            <w:tcW w:w="1087" w:type="dxa"/>
            <w:tcBorders>
              <w:top w:val="nil"/>
              <w:left w:val="nil"/>
              <w:bottom w:val="single" w:sz="4" w:space="0" w:color="auto"/>
              <w:right w:val="single" w:sz="4" w:space="0" w:color="auto"/>
            </w:tcBorders>
            <w:shd w:val="clear" w:color="000000" w:fill="FFFFFF"/>
            <w:noWrap/>
            <w:vAlign w:val="bottom"/>
            <w:hideMark/>
          </w:tcPr>
          <w:p w14:paraId="01DE6F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2 559,2</w:t>
            </w:r>
          </w:p>
        </w:tc>
        <w:tc>
          <w:tcPr>
            <w:tcW w:w="1040" w:type="dxa"/>
            <w:tcBorders>
              <w:top w:val="nil"/>
              <w:left w:val="nil"/>
              <w:bottom w:val="single" w:sz="4" w:space="0" w:color="auto"/>
              <w:right w:val="single" w:sz="4" w:space="0" w:color="auto"/>
            </w:tcBorders>
            <w:shd w:val="clear" w:color="000000" w:fill="FFFFFF"/>
            <w:noWrap/>
            <w:vAlign w:val="bottom"/>
            <w:hideMark/>
          </w:tcPr>
          <w:p w14:paraId="4D602F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543,2</w:t>
            </w:r>
          </w:p>
        </w:tc>
        <w:tc>
          <w:tcPr>
            <w:tcW w:w="1226" w:type="dxa"/>
            <w:tcBorders>
              <w:top w:val="nil"/>
              <w:left w:val="nil"/>
              <w:bottom w:val="single" w:sz="4" w:space="0" w:color="auto"/>
              <w:right w:val="single" w:sz="4" w:space="0" w:color="auto"/>
            </w:tcBorders>
            <w:shd w:val="clear" w:color="000000" w:fill="FFFFFF"/>
            <w:noWrap/>
            <w:vAlign w:val="bottom"/>
            <w:hideMark/>
          </w:tcPr>
          <w:p w14:paraId="7DFC65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24F372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3EA66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Златарица</w:t>
            </w:r>
          </w:p>
        </w:tc>
        <w:tc>
          <w:tcPr>
            <w:tcW w:w="1911" w:type="dxa"/>
            <w:tcBorders>
              <w:top w:val="nil"/>
              <w:left w:val="nil"/>
              <w:bottom w:val="single" w:sz="4" w:space="0" w:color="auto"/>
              <w:right w:val="single" w:sz="4" w:space="0" w:color="auto"/>
            </w:tcBorders>
            <w:shd w:val="clear" w:color="000000" w:fill="FFFFFF"/>
            <w:noWrap/>
            <w:vAlign w:val="bottom"/>
            <w:hideMark/>
          </w:tcPr>
          <w:p w14:paraId="527789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4 489,1</w:t>
            </w:r>
          </w:p>
        </w:tc>
        <w:tc>
          <w:tcPr>
            <w:tcW w:w="1118" w:type="dxa"/>
            <w:tcBorders>
              <w:top w:val="nil"/>
              <w:left w:val="nil"/>
              <w:bottom w:val="single" w:sz="4" w:space="0" w:color="auto"/>
              <w:right w:val="single" w:sz="4" w:space="0" w:color="auto"/>
            </w:tcBorders>
            <w:shd w:val="clear" w:color="000000" w:fill="FFFFFF"/>
            <w:noWrap/>
            <w:vAlign w:val="bottom"/>
            <w:hideMark/>
          </w:tcPr>
          <w:p w14:paraId="4EE53C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697,5</w:t>
            </w:r>
          </w:p>
        </w:tc>
        <w:tc>
          <w:tcPr>
            <w:tcW w:w="1257" w:type="dxa"/>
            <w:tcBorders>
              <w:top w:val="nil"/>
              <w:left w:val="nil"/>
              <w:bottom w:val="single" w:sz="4" w:space="0" w:color="auto"/>
              <w:right w:val="single" w:sz="4" w:space="0" w:color="auto"/>
            </w:tcBorders>
            <w:shd w:val="clear" w:color="000000" w:fill="FFFFFF"/>
            <w:noWrap/>
            <w:vAlign w:val="bottom"/>
            <w:hideMark/>
          </w:tcPr>
          <w:p w14:paraId="4B4121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181,9</w:t>
            </w:r>
          </w:p>
        </w:tc>
        <w:tc>
          <w:tcPr>
            <w:tcW w:w="1384" w:type="dxa"/>
            <w:tcBorders>
              <w:top w:val="nil"/>
              <w:left w:val="nil"/>
              <w:bottom w:val="single" w:sz="4" w:space="0" w:color="auto"/>
              <w:right w:val="single" w:sz="4" w:space="0" w:color="auto"/>
            </w:tcBorders>
            <w:shd w:val="clear" w:color="000000" w:fill="FFFFFF"/>
            <w:noWrap/>
            <w:vAlign w:val="bottom"/>
            <w:hideMark/>
          </w:tcPr>
          <w:p w14:paraId="1CA824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515,6</w:t>
            </w:r>
          </w:p>
        </w:tc>
        <w:tc>
          <w:tcPr>
            <w:tcW w:w="1134" w:type="dxa"/>
            <w:tcBorders>
              <w:top w:val="nil"/>
              <w:left w:val="nil"/>
              <w:bottom w:val="single" w:sz="4" w:space="0" w:color="auto"/>
              <w:right w:val="single" w:sz="4" w:space="0" w:color="auto"/>
            </w:tcBorders>
            <w:shd w:val="clear" w:color="000000" w:fill="FFFFFF"/>
            <w:noWrap/>
            <w:vAlign w:val="bottom"/>
            <w:hideMark/>
          </w:tcPr>
          <w:p w14:paraId="79884B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130,4</w:t>
            </w:r>
          </w:p>
        </w:tc>
        <w:tc>
          <w:tcPr>
            <w:tcW w:w="1277" w:type="dxa"/>
            <w:tcBorders>
              <w:top w:val="nil"/>
              <w:left w:val="nil"/>
              <w:bottom w:val="single" w:sz="4" w:space="0" w:color="auto"/>
              <w:right w:val="single" w:sz="4" w:space="0" w:color="auto"/>
            </w:tcBorders>
            <w:shd w:val="clear" w:color="000000" w:fill="FFFFFF"/>
            <w:noWrap/>
            <w:vAlign w:val="bottom"/>
            <w:hideMark/>
          </w:tcPr>
          <w:p w14:paraId="7CCCB6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2 070,0</w:t>
            </w:r>
          </w:p>
        </w:tc>
        <w:tc>
          <w:tcPr>
            <w:tcW w:w="1040" w:type="dxa"/>
            <w:tcBorders>
              <w:top w:val="nil"/>
              <w:left w:val="nil"/>
              <w:bottom w:val="single" w:sz="4" w:space="0" w:color="auto"/>
              <w:right w:val="single" w:sz="4" w:space="0" w:color="auto"/>
            </w:tcBorders>
            <w:shd w:val="clear" w:color="000000" w:fill="FFFFFF"/>
            <w:noWrap/>
            <w:vAlign w:val="bottom"/>
            <w:hideMark/>
          </w:tcPr>
          <w:p w14:paraId="548E50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67,3</w:t>
            </w:r>
          </w:p>
        </w:tc>
        <w:tc>
          <w:tcPr>
            <w:tcW w:w="1087" w:type="dxa"/>
            <w:tcBorders>
              <w:top w:val="nil"/>
              <w:left w:val="nil"/>
              <w:bottom w:val="single" w:sz="4" w:space="0" w:color="auto"/>
              <w:right w:val="single" w:sz="4" w:space="0" w:color="auto"/>
            </w:tcBorders>
            <w:shd w:val="clear" w:color="000000" w:fill="FFFFFF"/>
            <w:noWrap/>
            <w:vAlign w:val="bottom"/>
            <w:hideMark/>
          </w:tcPr>
          <w:p w14:paraId="72C4A9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1 422,7</w:t>
            </w:r>
          </w:p>
        </w:tc>
        <w:tc>
          <w:tcPr>
            <w:tcW w:w="1040" w:type="dxa"/>
            <w:tcBorders>
              <w:top w:val="nil"/>
              <w:left w:val="nil"/>
              <w:bottom w:val="single" w:sz="4" w:space="0" w:color="auto"/>
              <w:right w:val="single" w:sz="4" w:space="0" w:color="auto"/>
            </w:tcBorders>
            <w:shd w:val="clear" w:color="000000" w:fill="FFFFFF"/>
            <w:noWrap/>
            <w:vAlign w:val="bottom"/>
            <w:hideMark/>
          </w:tcPr>
          <w:p w14:paraId="7DA8C1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101,2</w:t>
            </w:r>
          </w:p>
        </w:tc>
        <w:tc>
          <w:tcPr>
            <w:tcW w:w="1226" w:type="dxa"/>
            <w:tcBorders>
              <w:top w:val="nil"/>
              <w:left w:val="nil"/>
              <w:bottom w:val="single" w:sz="4" w:space="0" w:color="auto"/>
              <w:right w:val="single" w:sz="4" w:space="0" w:color="auto"/>
            </w:tcBorders>
            <w:shd w:val="clear" w:color="000000" w:fill="FFFFFF"/>
            <w:noWrap/>
            <w:vAlign w:val="bottom"/>
            <w:hideMark/>
          </w:tcPr>
          <w:p w14:paraId="4E0649E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FED4C2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403D1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Лясковец</w:t>
            </w:r>
          </w:p>
        </w:tc>
        <w:tc>
          <w:tcPr>
            <w:tcW w:w="1911" w:type="dxa"/>
            <w:tcBorders>
              <w:top w:val="nil"/>
              <w:left w:val="nil"/>
              <w:bottom w:val="single" w:sz="4" w:space="0" w:color="auto"/>
              <w:right w:val="single" w:sz="4" w:space="0" w:color="auto"/>
            </w:tcBorders>
            <w:shd w:val="clear" w:color="000000" w:fill="FFFFFF"/>
            <w:noWrap/>
            <w:vAlign w:val="bottom"/>
            <w:hideMark/>
          </w:tcPr>
          <w:p w14:paraId="7188D8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5 853,8</w:t>
            </w:r>
          </w:p>
        </w:tc>
        <w:tc>
          <w:tcPr>
            <w:tcW w:w="1118" w:type="dxa"/>
            <w:tcBorders>
              <w:top w:val="nil"/>
              <w:left w:val="nil"/>
              <w:bottom w:val="single" w:sz="4" w:space="0" w:color="auto"/>
              <w:right w:val="single" w:sz="4" w:space="0" w:color="auto"/>
            </w:tcBorders>
            <w:shd w:val="clear" w:color="000000" w:fill="FFFFFF"/>
            <w:noWrap/>
            <w:vAlign w:val="bottom"/>
            <w:hideMark/>
          </w:tcPr>
          <w:p w14:paraId="29E34E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885,3</w:t>
            </w:r>
          </w:p>
        </w:tc>
        <w:tc>
          <w:tcPr>
            <w:tcW w:w="1257" w:type="dxa"/>
            <w:tcBorders>
              <w:top w:val="nil"/>
              <w:left w:val="nil"/>
              <w:bottom w:val="single" w:sz="4" w:space="0" w:color="auto"/>
              <w:right w:val="single" w:sz="4" w:space="0" w:color="auto"/>
            </w:tcBorders>
            <w:shd w:val="clear" w:color="000000" w:fill="FFFFFF"/>
            <w:noWrap/>
            <w:vAlign w:val="bottom"/>
            <w:hideMark/>
          </w:tcPr>
          <w:p w14:paraId="103BBF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126,3</w:t>
            </w:r>
          </w:p>
        </w:tc>
        <w:tc>
          <w:tcPr>
            <w:tcW w:w="1384" w:type="dxa"/>
            <w:tcBorders>
              <w:top w:val="nil"/>
              <w:left w:val="nil"/>
              <w:bottom w:val="single" w:sz="4" w:space="0" w:color="auto"/>
              <w:right w:val="single" w:sz="4" w:space="0" w:color="auto"/>
            </w:tcBorders>
            <w:shd w:val="clear" w:color="000000" w:fill="FFFFFF"/>
            <w:noWrap/>
            <w:vAlign w:val="bottom"/>
            <w:hideMark/>
          </w:tcPr>
          <w:p w14:paraId="5F2A10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759,0</w:t>
            </w:r>
          </w:p>
        </w:tc>
        <w:tc>
          <w:tcPr>
            <w:tcW w:w="1134" w:type="dxa"/>
            <w:tcBorders>
              <w:top w:val="nil"/>
              <w:left w:val="nil"/>
              <w:bottom w:val="single" w:sz="4" w:space="0" w:color="auto"/>
              <w:right w:val="single" w:sz="4" w:space="0" w:color="auto"/>
            </w:tcBorders>
            <w:shd w:val="clear" w:color="000000" w:fill="FFFFFF"/>
            <w:noWrap/>
            <w:vAlign w:val="bottom"/>
            <w:hideMark/>
          </w:tcPr>
          <w:p w14:paraId="6BB5DF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126,0</w:t>
            </w:r>
          </w:p>
        </w:tc>
        <w:tc>
          <w:tcPr>
            <w:tcW w:w="1277" w:type="dxa"/>
            <w:tcBorders>
              <w:top w:val="nil"/>
              <w:left w:val="nil"/>
              <w:bottom w:val="single" w:sz="4" w:space="0" w:color="auto"/>
              <w:right w:val="single" w:sz="4" w:space="0" w:color="auto"/>
            </w:tcBorders>
            <w:shd w:val="clear" w:color="000000" w:fill="FFFFFF"/>
            <w:noWrap/>
            <w:vAlign w:val="bottom"/>
            <w:hideMark/>
          </w:tcPr>
          <w:p w14:paraId="3B4418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3 920,7</w:t>
            </w:r>
          </w:p>
        </w:tc>
        <w:tc>
          <w:tcPr>
            <w:tcW w:w="1040" w:type="dxa"/>
            <w:tcBorders>
              <w:top w:val="nil"/>
              <w:left w:val="nil"/>
              <w:bottom w:val="single" w:sz="4" w:space="0" w:color="auto"/>
              <w:right w:val="single" w:sz="4" w:space="0" w:color="auto"/>
            </w:tcBorders>
            <w:shd w:val="clear" w:color="000000" w:fill="FFFFFF"/>
            <w:noWrap/>
            <w:vAlign w:val="bottom"/>
            <w:hideMark/>
          </w:tcPr>
          <w:p w14:paraId="3E72F2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346,3</w:t>
            </w:r>
          </w:p>
        </w:tc>
        <w:tc>
          <w:tcPr>
            <w:tcW w:w="1087" w:type="dxa"/>
            <w:tcBorders>
              <w:top w:val="nil"/>
              <w:left w:val="nil"/>
              <w:bottom w:val="single" w:sz="4" w:space="0" w:color="auto"/>
              <w:right w:val="single" w:sz="4" w:space="0" w:color="auto"/>
            </w:tcBorders>
            <w:shd w:val="clear" w:color="000000" w:fill="FFFFFF"/>
            <w:noWrap/>
            <w:vAlign w:val="bottom"/>
            <w:hideMark/>
          </w:tcPr>
          <w:p w14:paraId="5ABF6A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305,7</w:t>
            </w:r>
          </w:p>
        </w:tc>
        <w:tc>
          <w:tcPr>
            <w:tcW w:w="1040" w:type="dxa"/>
            <w:tcBorders>
              <w:top w:val="nil"/>
              <w:left w:val="nil"/>
              <w:bottom w:val="single" w:sz="4" w:space="0" w:color="auto"/>
              <w:right w:val="single" w:sz="4" w:space="0" w:color="auto"/>
            </w:tcBorders>
            <w:shd w:val="clear" w:color="000000" w:fill="FFFFFF"/>
            <w:noWrap/>
            <w:vAlign w:val="bottom"/>
            <w:hideMark/>
          </w:tcPr>
          <w:p w14:paraId="7C5AFA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269,8</w:t>
            </w:r>
          </w:p>
        </w:tc>
        <w:tc>
          <w:tcPr>
            <w:tcW w:w="1226" w:type="dxa"/>
            <w:tcBorders>
              <w:top w:val="nil"/>
              <w:left w:val="nil"/>
              <w:bottom w:val="single" w:sz="4" w:space="0" w:color="auto"/>
              <w:right w:val="single" w:sz="4" w:space="0" w:color="auto"/>
            </w:tcBorders>
            <w:shd w:val="clear" w:color="000000" w:fill="FFFFFF"/>
            <w:noWrap/>
            <w:vAlign w:val="bottom"/>
            <w:hideMark/>
          </w:tcPr>
          <w:p w14:paraId="493C78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CE75A1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D8F31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Павликени</w:t>
            </w:r>
          </w:p>
        </w:tc>
        <w:tc>
          <w:tcPr>
            <w:tcW w:w="1911" w:type="dxa"/>
            <w:tcBorders>
              <w:top w:val="nil"/>
              <w:left w:val="nil"/>
              <w:bottom w:val="single" w:sz="4" w:space="0" w:color="auto"/>
              <w:right w:val="single" w:sz="4" w:space="0" w:color="auto"/>
            </w:tcBorders>
            <w:shd w:val="clear" w:color="000000" w:fill="FFFFFF"/>
            <w:noWrap/>
            <w:vAlign w:val="bottom"/>
            <w:hideMark/>
          </w:tcPr>
          <w:p w14:paraId="396945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14 438,3</w:t>
            </w:r>
          </w:p>
        </w:tc>
        <w:tc>
          <w:tcPr>
            <w:tcW w:w="1118" w:type="dxa"/>
            <w:tcBorders>
              <w:top w:val="nil"/>
              <w:left w:val="nil"/>
              <w:bottom w:val="single" w:sz="4" w:space="0" w:color="auto"/>
              <w:right w:val="single" w:sz="4" w:space="0" w:color="auto"/>
            </w:tcBorders>
            <w:shd w:val="clear" w:color="000000" w:fill="FFFFFF"/>
            <w:noWrap/>
            <w:vAlign w:val="bottom"/>
            <w:hideMark/>
          </w:tcPr>
          <w:p w14:paraId="16A2AE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1 393,7</w:t>
            </w:r>
          </w:p>
        </w:tc>
        <w:tc>
          <w:tcPr>
            <w:tcW w:w="1257" w:type="dxa"/>
            <w:tcBorders>
              <w:top w:val="nil"/>
              <w:left w:val="nil"/>
              <w:bottom w:val="single" w:sz="4" w:space="0" w:color="auto"/>
              <w:right w:val="single" w:sz="4" w:space="0" w:color="auto"/>
            </w:tcBorders>
            <w:shd w:val="clear" w:color="000000" w:fill="FFFFFF"/>
            <w:noWrap/>
            <w:vAlign w:val="bottom"/>
            <w:hideMark/>
          </w:tcPr>
          <w:p w14:paraId="79FDF4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347,0</w:t>
            </w:r>
          </w:p>
        </w:tc>
        <w:tc>
          <w:tcPr>
            <w:tcW w:w="1384" w:type="dxa"/>
            <w:tcBorders>
              <w:top w:val="nil"/>
              <w:left w:val="nil"/>
              <w:bottom w:val="single" w:sz="4" w:space="0" w:color="auto"/>
              <w:right w:val="single" w:sz="4" w:space="0" w:color="auto"/>
            </w:tcBorders>
            <w:shd w:val="clear" w:color="000000" w:fill="FFFFFF"/>
            <w:noWrap/>
            <w:vAlign w:val="bottom"/>
            <w:hideMark/>
          </w:tcPr>
          <w:p w14:paraId="1E9544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1 046,7</w:t>
            </w:r>
          </w:p>
        </w:tc>
        <w:tc>
          <w:tcPr>
            <w:tcW w:w="1134" w:type="dxa"/>
            <w:tcBorders>
              <w:top w:val="nil"/>
              <w:left w:val="nil"/>
              <w:bottom w:val="single" w:sz="4" w:space="0" w:color="auto"/>
              <w:right w:val="single" w:sz="4" w:space="0" w:color="auto"/>
            </w:tcBorders>
            <w:shd w:val="clear" w:color="000000" w:fill="FFFFFF"/>
            <w:noWrap/>
            <w:vAlign w:val="bottom"/>
            <w:hideMark/>
          </w:tcPr>
          <w:p w14:paraId="5F7B11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152,9</w:t>
            </w:r>
          </w:p>
        </w:tc>
        <w:tc>
          <w:tcPr>
            <w:tcW w:w="1277" w:type="dxa"/>
            <w:tcBorders>
              <w:top w:val="nil"/>
              <w:left w:val="nil"/>
              <w:bottom w:val="single" w:sz="4" w:space="0" w:color="auto"/>
              <w:right w:val="single" w:sz="4" w:space="0" w:color="auto"/>
            </w:tcBorders>
            <w:shd w:val="clear" w:color="000000" w:fill="FFFFFF"/>
            <w:noWrap/>
            <w:vAlign w:val="bottom"/>
            <w:hideMark/>
          </w:tcPr>
          <w:p w14:paraId="0F610B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8 739,6</w:t>
            </w:r>
          </w:p>
        </w:tc>
        <w:tc>
          <w:tcPr>
            <w:tcW w:w="1040" w:type="dxa"/>
            <w:tcBorders>
              <w:top w:val="nil"/>
              <w:left w:val="nil"/>
              <w:bottom w:val="single" w:sz="4" w:space="0" w:color="auto"/>
              <w:right w:val="single" w:sz="4" w:space="0" w:color="auto"/>
            </w:tcBorders>
            <w:shd w:val="clear" w:color="000000" w:fill="FFFFFF"/>
            <w:noWrap/>
            <w:vAlign w:val="bottom"/>
            <w:hideMark/>
          </w:tcPr>
          <w:p w14:paraId="18FCA9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818,5</w:t>
            </w:r>
          </w:p>
        </w:tc>
        <w:tc>
          <w:tcPr>
            <w:tcW w:w="1087" w:type="dxa"/>
            <w:tcBorders>
              <w:top w:val="nil"/>
              <w:left w:val="nil"/>
              <w:bottom w:val="single" w:sz="4" w:space="0" w:color="auto"/>
              <w:right w:val="single" w:sz="4" w:space="0" w:color="auto"/>
            </w:tcBorders>
            <w:shd w:val="clear" w:color="000000" w:fill="FFFFFF"/>
            <w:noWrap/>
            <w:vAlign w:val="bottom"/>
            <w:hideMark/>
          </w:tcPr>
          <w:p w14:paraId="300523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2 506,8</w:t>
            </w:r>
          </w:p>
        </w:tc>
        <w:tc>
          <w:tcPr>
            <w:tcW w:w="1040" w:type="dxa"/>
            <w:tcBorders>
              <w:top w:val="nil"/>
              <w:left w:val="nil"/>
              <w:bottom w:val="single" w:sz="4" w:space="0" w:color="auto"/>
              <w:right w:val="single" w:sz="4" w:space="0" w:color="auto"/>
            </w:tcBorders>
            <w:shd w:val="clear" w:color="000000" w:fill="FFFFFF"/>
            <w:noWrap/>
            <w:vAlign w:val="bottom"/>
            <w:hideMark/>
          </w:tcPr>
          <w:p w14:paraId="5020F9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826,8</w:t>
            </w:r>
          </w:p>
        </w:tc>
        <w:tc>
          <w:tcPr>
            <w:tcW w:w="1226" w:type="dxa"/>
            <w:tcBorders>
              <w:top w:val="nil"/>
              <w:left w:val="nil"/>
              <w:bottom w:val="single" w:sz="4" w:space="0" w:color="auto"/>
              <w:right w:val="single" w:sz="4" w:space="0" w:color="auto"/>
            </w:tcBorders>
            <w:shd w:val="clear" w:color="000000" w:fill="FFFFFF"/>
            <w:noWrap/>
            <w:vAlign w:val="bottom"/>
            <w:hideMark/>
          </w:tcPr>
          <w:p w14:paraId="1C073E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E31BDD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27735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Полски Tръмбеш</w:t>
            </w:r>
          </w:p>
        </w:tc>
        <w:tc>
          <w:tcPr>
            <w:tcW w:w="1911" w:type="dxa"/>
            <w:tcBorders>
              <w:top w:val="nil"/>
              <w:left w:val="nil"/>
              <w:bottom w:val="single" w:sz="4" w:space="0" w:color="auto"/>
              <w:right w:val="single" w:sz="4" w:space="0" w:color="auto"/>
            </w:tcBorders>
            <w:shd w:val="clear" w:color="000000" w:fill="FFFFFF"/>
            <w:noWrap/>
            <w:vAlign w:val="bottom"/>
            <w:hideMark/>
          </w:tcPr>
          <w:p w14:paraId="224AD0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6 516,3</w:t>
            </w:r>
          </w:p>
        </w:tc>
        <w:tc>
          <w:tcPr>
            <w:tcW w:w="1118" w:type="dxa"/>
            <w:tcBorders>
              <w:top w:val="nil"/>
              <w:left w:val="nil"/>
              <w:bottom w:val="single" w:sz="4" w:space="0" w:color="auto"/>
              <w:right w:val="single" w:sz="4" w:space="0" w:color="auto"/>
            </w:tcBorders>
            <w:shd w:val="clear" w:color="000000" w:fill="FFFFFF"/>
            <w:noWrap/>
            <w:vAlign w:val="bottom"/>
            <w:hideMark/>
          </w:tcPr>
          <w:p w14:paraId="2B25EB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1 046,7</w:t>
            </w:r>
          </w:p>
        </w:tc>
        <w:tc>
          <w:tcPr>
            <w:tcW w:w="1257" w:type="dxa"/>
            <w:tcBorders>
              <w:top w:val="nil"/>
              <w:left w:val="nil"/>
              <w:bottom w:val="single" w:sz="4" w:space="0" w:color="auto"/>
              <w:right w:val="single" w:sz="4" w:space="0" w:color="auto"/>
            </w:tcBorders>
            <w:shd w:val="clear" w:color="000000" w:fill="FFFFFF"/>
            <w:noWrap/>
            <w:vAlign w:val="bottom"/>
            <w:hideMark/>
          </w:tcPr>
          <w:p w14:paraId="68B6F3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267,8</w:t>
            </w:r>
          </w:p>
        </w:tc>
        <w:tc>
          <w:tcPr>
            <w:tcW w:w="1384" w:type="dxa"/>
            <w:tcBorders>
              <w:top w:val="nil"/>
              <w:left w:val="nil"/>
              <w:bottom w:val="single" w:sz="4" w:space="0" w:color="auto"/>
              <w:right w:val="single" w:sz="4" w:space="0" w:color="auto"/>
            </w:tcBorders>
            <w:shd w:val="clear" w:color="000000" w:fill="FFFFFF"/>
            <w:noWrap/>
            <w:vAlign w:val="bottom"/>
            <w:hideMark/>
          </w:tcPr>
          <w:p w14:paraId="4DA325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778,9</w:t>
            </w:r>
          </w:p>
        </w:tc>
        <w:tc>
          <w:tcPr>
            <w:tcW w:w="1134" w:type="dxa"/>
            <w:tcBorders>
              <w:top w:val="nil"/>
              <w:left w:val="nil"/>
              <w:bottom w:val="single" w:sz="4" w:space="0" w:color="auto"/>
              <w:right w:val="single" w:sz="4" w:space="0" w:color="auto"/>
            </w:tcBorders>
            <w:shd w:val="clear" w:color="000000" w:fill="FFFFFF"/>
            <w:noWrap/>
            <w:vAlign w:val="bottom"/>
            <w:hideMark/>
          </w:tcPr>
          <w:p w14:paraId="06F4D6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120,5</w:t>
            </w:r>
          </w:p>
        </w:tc>
        <w:tc>
          <w:tcPr>
            <w:tcW w:w="1277" w:type="dxa"/>
            <w:tcBorders>
              <w:top w:val="nil"/>
              <w:left w:val="nil"/>
              <w:bottom w:val="single" w:sz="4" w:space="0" w:color="auto"/>
              <w:right w:val="single" w:sz="4" w:space="0" w:color="auto"/>
            </w:tcBorders>
            <w:shd w:val="clear" w:color="000000" w:fill="FFFFFF"/>
            <w:noWrap/>
            <w:vAlign w:val="bottom"/>
            <w:hideMark/>
          </w:tcPr>
          <w:p w14:paraId="79E69D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4 395,0</w:t>
            </w:r>
          </w:p>
        </w:tc>
        <w:tc>
          <w:tcPr>
            <w:tcW w:w="1040" w:type="dxa"/>
            <w:tcBorders>
              <w:top w:val="nil"/>
              <w:left w:val="nil"/>
              <w:bottom w:val="single" w:sz="4" w:space="0" w:color="auto"/>
              <w:right w:val="single" w:sz="4" w:space="0" w:color="auto"/>
            </w:tcBorders>
            <w:shd w:val="clear" w:color="000000" w:fill="FFFFFF"/>
            <w:noWrap/>
            <w:vAlign w:val="bottom"/>
            <w:hideMark/>
          </w:tcPr>
          <w:p w14:paraId="1F2ED8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89,1</w:t>
            </w:r>
          </w:p>
        </w:tc>
        <w:tc>
          <w:tcPr>
            <w:tcW w:w="1087" w:type="dxa"/>
            <w:tcBorders>
              <w:top w:val="nil"/>
              <w:left w:val="nil"/>
              <w:bottom w:val="single" w:sz="4" w:space="0" w:color="auto"/>
              <w:right w:val="single" w:sz="4" w:space="0" w:color="auto"/>
            </w:tcBorders>
            <w:shd w:val="clear" w:color="000000" w:fill="FFFFFF"/>
            <w:noWrap/>
            <w:vAlign w:val="bottom"/>
            <w:hideMark/>
          </w:tcPr>
          <w:p w14:paraId="633505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572,7</w:t>
            </w:r>
          </w:p>
        </w:tc>
        <w:tc>
          <w:tcPr>
            <w:tcW w:w="1040" w:type="dxa"/>
            <w:tcBorders>
              <w:top w:val="nil"/>
              <w:left w:val="nil"/>
              <w:bottom w:val="single" w:sz="4" w:space="0" w:color="auto"/>
              <w:right w:val="single" w:sz="4" w:space="0" w:color="auto"/>
            </w:tcBorders>
            <w:shd w:val="clear" w:color="000000" w:fill="FFFFFF"/>
            <w:noWrap/>
            <w:vAlign w:val="bottom"/>
            <w:hideMark/>
          </w:tcPr>
          <w:p w14:paraId="042335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292,3</w:t>
            </w:r>
          </w:p>
        </w:tc>
        <w:tc>
          <w:tcPr>
            <w:tcW w:w="1226" w:type="dxa"/>
            <w:tcBorders>
              <w:top w:val="nil"/>
              <w:left w:val="nil"/>
              <w:bottom w:val="single" w:sz="4" w:space="0" w:color="auto"/>
              <w:right w:val="single" w:sz="4" w:space="0" w:color="auto"/>
            </w:tcBorders>
            <w:shd w:val="clear" w:color="000000" w:fill="FFFFFF"/>
            <w:noWrap/>
            <w:vAlign w:val="bottom"/>
            <w:hideMark/>
          </w:tcPr>
          <w:p w14:paraId="55C1FD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131824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54BE4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Cвищов</w:t>
            </w:r>
          </w:p>
        </w:tc>
        <w:tc>
          <w:tcPr>
            <w:tcW w:w="1911" w:type="dxa"/>
            <w:tcBorders>
              <w:top w:val="nil"/>
              <w:left w:val="nil"/>
              <w:bottom w:val="single" w:sz="4" w:space="0" w:color="auto"/>
              <w:right w:val="single" w:sz="4" w:space="0" w:color="auto"/>
            </w:tcBorders>
            <w:shd w:val="clear" w:color="000000" w:fill="FFFFFF"/>
            <w:noWrap/>
            <w:vAlign w:val="bottom"/>
            <w:hideMark/>
          </w:tcPr>
          <w:p w14:paraId="6B9559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17 490,0</w:t>
            </w:r>
          </w:p>
        </w:tc>
        <w:tc>
          <w:tcPr>
            <w:tcW w:w="1118" w:type="dxa"/>
            <w:tcBorders>
              <w:top w:val="nil"/>
              <w:left w:val="nil"/>
              <w:bottom w:val="single" w:sz="4" w:space="0" w:color="auto"/>
              <w:right w:val="single" w:sz="4" w:space="0" w:color="auto"/>
            </w:tcBorders>
            <w:shd w:val="clear" w:color="000000" w:fill="FFFFFF"/>
            <w:noWrap/>
            <w:vAlign w:val="bottom"/>
            <w:hideMark/>
          </w:tcPr>
          <w:p w14:paraId="5B8BD3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1 573,3</w:t>
            </w:r>
          </w:p>
        </w:tc>
        <w:tc>
          <w:tcPr>
            <w:tcW w:w="1257" w:type="dxa"/>
            <w:tcBorders>
              <w:top w:val="nil"/>
              <w:left w:val="nil"/>
              <w:bottom w:val="single" w:sz="4" w:space="0" w:color="auto"/>
              <w:right w:val="single" w:sz="4" w:space="0" w:color="auto"/>
            </w:tcBorders>
            <w:shd w:val="clear" w:color="000000" w:fill="FFFFFF"/>
            <w:noWrap/>
            <w:vAlign w:val="bottom"/>
            <w:hideMark/>
          </w:tcPr>
          <w:p w14:paraId="1E388E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282,9</w:t>
            </w:r>
          </w:p>
        </w:tc>
        <w:tc>
          <w:tcPr>
            <w:tcW w:w="1384" w:type="dxa"/>
            <w:tcBorders>
              <w:top w:val="nil"/>
              <w:left w:val="nil"/>
              <w:bottom w:val="single" w:sz="4" w:space="0" w:color="auto"/>
              <w:right w:val="single" w:sz="4" w:space="0" w:color="auto"/>
            </w:tcBorders>
            <w:shd w:val="clear" w:color="000000" w:fill="FFFFFF"/>
            <w:noWrap/>
            <w:vAlign w:val="bottom"/>
            <w:hideMark/>
          </w:tcPr>
          <w:p w14:paraId="7ACEC7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1 290,4</w:t>
            </w:r>
          </w:p>
        </w:tc>
        <w:tc>
          <w:tcPr>
            <w:tcW w:w="1134" w:type="dxa"/>
            <w:tcBorders>
              <w:top w:val="nil"/>
              <w:left w:val="nil"/>
              <w:bottom w:val="single" w:sz="4" w:space="0" w:color="auto"/>
              <w:right w:val="single" w:sz="4" w:space="0" w:color="auto"/>
            </w:tcBorders>
            <w:shd w:val="clear" w:color="000000" w:fill="FFFFFF"/>
            <w:noWrap/>
            <w:vAlign w:val="bottom"/>
            <w:hideMark/>
          </w:tcPr>
          <w:p w14:paraId="69CA36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201,7</w:t>
            </w:r>
          </w:p>
        </w:tc>
        <w:tc>
          <w:tcPr>
            <w:tcW w:w="1277" w:type="dxa"/>
            <w:tcBorders>
              <w:top w:val="nil"/>
              <w:left w:val="nil"/>
              <w:bottom w:val="single" w:sz="4" w:space="0" w:color="auto"/>
              <w:right w:val="single" w:sz="4" w:space="0" w:color="auto"/>
            </w:tcBorders>
            <w:shd w:val="clear" w:color="000000" w:fill="FFFFFF"/>
            <w:noWrap/>
            <w:vAlign w:val="bottom"/>
            <w:hideMark/>
          </w:tcPr>
          <w:p w14:paraId="0D9300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10 502,2</w:t>
            </w:r>
          </w:p>
        </w:tc>
        <w:tc>
          <w:tcPr>
            <w:tcW w:w="1040" w:type="dxa"/>
            <w:tcBorders>
              <w:top w:val="nil"/>
              <w:left w:val="nil"/>
              <w:bottom w:val="single" w:sz="4" w:space="0" w:color="auto"/>
              <w:right w:val="single" w:sz="4" w:space="0" w:color="auto"/>
            </w:tcBorders>
            <w:shd w:val="clear" w:color="000000" w:fill="FFFFFF"/>
            <w:noWrap/>
            <w:vAlign w:val="bottom"/>
            <w:hideMark/>
          </w:tcPr>
          <w:p w14:paraId="5B8F62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390,7</w:t>
            </w:r>
          </w:p>
        </w:tc>
        <w:tc>
          <w:tcPr>
            <w:tcW w:w="1087" w:type="dxa"/>
            <w:tcBorders>
              <w:top w:val="nil"/>
              <w:left w:val="nil"/>
              <w:bottom w:val="single" w:sz="4" w:space="0" w:color="auto"/>
              <w:right w:val="single" w:sz="4" w:space="0" w:color="auto"/>
            </w:tcBorders>
            <w:shd w:val="clear" w:color="000000" w:fill="FFFFFF"/>
            <w:noWrap/>
            <w:vAlign w:val="bottom"/>
            <w:hideMark/>
          </w:tcPr>
          <w:p w14:paraId="26B9B9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3 914,4</w:t>
            </w:r>
          </w:p>
        </w:tc>
        <w:tc>
          <w:tcPr>
            <w:tcW w:w="1040" w:type="dxa"/>
            <w:tcBorders>
              <w:top w:val="nil"/>
              <w:left w:val="nil"/>
              <w:bottom w:val="single" w:sz="4" w:space="0" w:color="auto"/>
              <w:right w:val="single" w:sz="4" w:space="0" w:color="auto"/>
            </w:tcBorders>
            <w:shd w:val="clear" w:color="000000" w:fill="FFFFFF"/>
            <w:noWrap/>
            <w:vAlign w:val="bottom"/>
            <w:hideMark/>
          </w:tcPr>
          <w:p w14:paraId="3E0396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907,7</w:t>
            </w:r>
          </w:p>
        </w:tc>
        <w:tc>
          <w:tcPr>
            <w:tcW w:w="1226" w:type="dxa"/>
            <w:tcBorders>
              <w:top w:val="nil"/>
              <w:left w:val="nil"/>
              <w:bottom w:val="single" w:sz="4" w:space="0" w:color="auto"/>
              <w:right w:val="single" w:sz="4" w:space="0" w:color="auto"/>
            </w:tcBorders>
            <w:shd w:val="clear" w:color="000000" w:fill="FFFFFF"/>
            <w:noWrap/>
            <w:vAlign w:val="bottom"/>
            <w:hideMark/>
          </w:tcPr>
          <w:p w14:paraId="2AB086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801FC4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35FC3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Cтражица</w:t>
            </w:r>
          </w:p>
        </w:tc>
        <w:tc>
          <w:tcPr>
            <w:tcW w:w="1911" w:type="dxa"/>
            <w:tcBorders>
              <w:top w:val="nil"/>
              <w:left w:val="nil"/>
              <w:bottom w:val="single" w:sz="4" w:space="0" w:color="auto"/>
              <w:right w:val="single" w:sz="4" w:space="0" w:color="auto"/>
            </w:tcBorders>
            <w:shd w:val="clear" w:color="000000" w:fill="FFFFFF"/>
            <w:noWrap/>
            <w:vAlign w:val="bottom"/>
            <w:hideMark/>
          </w:tcPr>
          <w:p w14:paraId="3BC97F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8 890,4</w:t>
            </w:r>
          </w:p>
        </w:tc>
        <w:tc>
          <w:tcPr>
            <w:tcW w:w="1118" w:type="dxa"/>
            <w:tcBorders>
              <w:top w:val="nil"/>
              <w:left w:val="nil"/>
              <w:bottom w:val="single" w:sz="4" w:space="0" w:color="auto"/>
              <w:right w:val="single" w:sz="4" w:space="0" w:color="auto"/>
            </w:tcBorders>
            <w:shd w:val="clear" w:color="000000" w:fill="FFFFFF"/>
            <w:noWrap/>
            <w:vAlign w:val="bottom"/>
            <w:hideMark/>
          </w:tcPr>
          <w:p w14:paraId="3C3B34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1 142,0</w:t>
            </w:r>
          </w:p>
        </w:tc>
        <w:tc>
          <w:tcPr>
            <w:tcW w:w="1257" w:type="dxa"/>
            <w:tcBorders>
              <w:top w:val="nil"/>
              <w:left w:val="nil"/>
              <w:bottom w:val="single" w:sz="4" w:space="0" w:color="auto"/>
              <w:right w:val="single" w:sz="4" w:space="0" w:color="auto"/>
            </w:tcBorders>
            <w:shd w:val="clear" w:color="000000" w:fill="FFFFFF"/>
            <w:noWrap/>
            <w:vAlign w:val="bottom"/>
            <w:hideMark/>
          </w:tcPr>
          <w:p w14:paraId="465DC0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345,2</w:t>
            </w:r>
          </w:p>
        </w:tc>
        <w:tc>
          <w:tcPr>
            <w:tcW w:w="1384" w:type="dxa"/>
            <w:tcBorders>
              <w:top w:val="nil"/>
              <w:left w:val="nil"/>
              <w:bottom w:val="single" w:sz="4" w:space="0" w:color="auto"/>
              <w:right w:val="single" w:sz="4" w:space="0" w:color="auto"/>
            </w:tcBorders>
            <w:shd w:val="clear" w:color="000000" w:fill="FFFFFF"/>
            <w:noWrap/>
            <w:vAlign w:val="bottom"/>
            <w:hideMark/>
          </w:tcPr>
          <w:p w14:paraId="15A81B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796,8</w:t>
            </w:r>
          </w:p>
        </w:tc>
        <w:tc>
          <w:tcPr>
            <w:tcW w:w="1134" w:type="dxa"/>
            <w:tcBorders>
              <w:top w:val="nil"/>
              <w:left w:val="nil"/>
              <w:bottom w:val="single" w:sz="4" w:space="0" w:color="auto"/>
              <w:right w:val="single" w:sz="4" w:space="0" w:color="auto"/>
            </w:tcBorders>
            <w:shd w:val="clear" w:color="000000" w:fill="FFFFFF"/>
            <w:noWrap/>
            <w:vAlign w:val="bottom"/>
            <w:hideMark/>
          </w:tcPr>
          <w:p w14:paraId="6D4048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157,0</w:t>
            </w:r>
          </w:p>
        </w:tc>
        <w:tc>
          <w:tcPr>
            <w:tcW w:w="1277" w:type="dxa"/>
            <w:tcBorders>
              <w:top w:val="nil"/>
              <w:left w:val="nil"/>
              <w:bottom w:val="single" w:sz="4" w:space="0" w:color="auto"/>
              <w:right w:val="single" w:sz="4" w:space="0" w:color="auto"/>
            </w:tcBorders>
            <w:shd w:val="clear" w:color="000000" w:fill="FFFFFF"/>
            <w:noWrap/>
            <w:vAlign w:val="bottom"/>
            <w:hideMark/>
          </w:tcPr>
          <w:p w14:paraId="561D5D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5 729,4</w:t>
            </w:r>
          </w:p>
        </w:tc>
        <w:tc>
          <w:tcPr>
            <w:tcW w:w="1040" w:type="dxa"/>
            <w:tcBorders>
              <w:top w:val="nil"/>
              <w:left w:val="nil"/>
              <w:bottom w:val="single" w:sz="4" w:space="0" w:color="auto"/>
              <w:right w:val="single" w:sz="4" w:space="0" w:color="auto"/>
            </w:tcBorders>
            <w:shd w:val="clear" w:color="000000" w:fill="FFFFFF"/>
            <w:noWrap/>
            <w:vAlign w:val="bottom"/>
            <w:hideMark/>
          </w:tcPr>
          <w:p w14:paraId="3F906D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153,3</w:t>
            </w:r>
          </w:p>
        </w:tc>
        <w:tc>
          <w:tcPr>
            <w:tcW w:w="1087" w:type="dxa"/>
            <w:tcBorders>
              <w:top w:val="nil"/>
              <w:left w:val="nil"/>
              <w:bottom w:val="single" w:sz="4" w:space="0" w:color="auto"/>
              <w:right w:val="single" w:sz="4" w:space="0" w:color="auto"/>
            </w:tcBorders>
            <w:shd w:val="clear" w:color="000000" w:fill="FFFFFF"/>
            <w:noWrap/>
            <w:vAlign w:val="bottom"/>
            <w:hideMark/>
          </w:tcPr>
          <w:p w14:paraId="22D4C2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1 371,5</w:t>
            </w:r>
          </w:p>
        </w:tc>
        <w:tc>
          <w:tcPr>
            <w:tcW w:w="1040" w:type="dxa"/>
            <w:tcBorders>
              <w:top w:val="nil"/>
              <w:left w:val="nil"/>
              <w:bottom w:val="single" w:sz="4" w:space="0" w:color="auto"/>
              <w:right w:val="single" w:sz="4" w:space="0" w:color="auto"/>
            </w:tcBorders>
            <w:shd w:val="clear" w:color="000000" w:fill="FFFFFF"/>
            <w:noWrap/>
            <w:vAlign w:val="bottom"/>
            <w:hideMark/>
          </w:tcPr>
          <w:p w14:paraId="57405A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337,2</w:t>
            </w:r>
          </w:p>
        </w:tc>
        <w:tc>
          <w:tcPr>
            <w:tcW w:w="1226" w:type="dxa"/>
            <w:tcBorders>
              <w:top w:val="nil"/>
              <w:left w:val="nil"/>
              <w:bottom w:val="single" w:sz="4" w:space="0" w:color="auto"/>
              <w:right w:val="single" w:sz="4" w:space="0" w:color="auto"/>
            </w:tcBorders>
            <w:shd w:val="clear" w:color="000000" w:fill="FFFFFF"/>
            <w:noWrap/>
            <w:vAlign w:val="bottom"/>
            <w:hideMark/>
          </w:tcPr>
          <w:p w14:paraId="5AE7570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B1C136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F3943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Cухиндол</w:t>
            </w:r>
          </w:p>
        </w:tc>
        <w:tc>
          <w:tcPr>
            <w:tcW w:w="1911" w:type="dxa"/>
            <w:tcBorders>
              <w:top w:val="nil"/>
              <w:left w:val="nil"/>
              <w:bottom w:val="single" w:sz="4" w:space="0" w:color="auto"/>
              <w:right w:val="single" w:sz="4" w:space="0" w:color="auto"/>
            </w:tcBorders>
            <w:shd w:val="clear" w:color="000000" w:fill="FFFFFF"/>
            <w:noWrap/>
            <w:vAlign w:val="bottom"/>
            <w:hideMark/>
          </w:tcPr>
          <w:p w14:paraId="52F0DF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2 782,4</w:t>
            </w:r>
          </w:p>
        </w:tc>
        <w:tc>
          <w:tcPr>
            <w:tcW w:w="1118" w:type="dxa"/>
            <w:tcBorders>
              <w:top w:val="nil"/>
              <w:left w:val="nil"/>
              <w:bottom w:val="single" w:sz="4" w:space="0" w:color="auto"/>
              <w:right w:val="single" w:sz="4" w:space="0" w:color="auto"/>
            </w:tcBorders>
            <w:shd w:val="clear" w:color="000000" w:fill="FFFFFF"/>
            <w:noWrap/>
            <w:vAlign w:val="bottom"/>
            <w:hideMark/>
          </w:tcPr>
          <w:p w14:paraId="7DADAA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564,1</w:t>
            </w:r>
          </w:p>
        </w:tc>
        <w:tc>
          <w:tcPr>
            <w:tcW w:w="1257" w:type="dxa"/>
            <w:tcBorders>
              <w:top w:val="nil"/>
              <w:left w:val="nil"/>
              <w:bottom w:val="single" w:sz="4" w:space="0" w:color="auto"/>
              <w:right w:val="single" w:sz="4" w:space="0" w:color="auto"/>
            </w:tcBorders>
            <w:shd w:val="clear" w:color="000000" w:fill="FFFFFF"/>
            <w:noWrap/>
            <w:vAlign w:val="bottom"/>
            <w:hideMark/>
          </w:tcPr>
          <w:p w14:paraId="0A67F2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109,4</w:t>
            </w:r>
          </w:p>
        </w:tc>
        <w:tc>
          <w:tcPr>
            <w:tcW w:w="1384" w:type="dxa"/>
            <w:tcBorders>
              <w:top w:val="nil"/>
              <w:left w:val="nil"/>
              <w:bottom w:val="single" w:sz="4" w:space="0" w:color="auto"/>
              <w:right w:val="single" w:sz="4" w:space="0" w:color="auto"/>
            </w:tcBorders>
            <w:shd w:val="clear" w:color="000000" w:fill="FFFFFF"/>
            <w:noWrap/>
            <w:vAlign w:val="bottom"/>
            <w:hideMark/>
          </w:tcPr>
          <w:p w14:paraId="50BC95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454,7</w:t>
            </w:r>
          </w:p>
        </w:tc>
        <w:tc>
          <w:tcPr>
            <w:tcW w:w="1134" w:type="dxa"/>
            <w:tcBorders>
              <w:top w:val="nil"/>
              <w:left w:val="nil"/>
              <w:bottom w:val="single" w:sz="4" w:space="0" w:color="auto"/>
              <w:right w:val="single" w:sz="4" w:space="0" w:color="auto"/>
            </w:tcBorders>
            <w:shd w:val="clear" w:color="000000" w:fill="FFFFFF"/>
            <w:noWrap/>
            <w:vAlign w:val="bottom"/>
            <w:hideMark/>
          </w:tcPr>
          <w:p w14:paraId="6DB9F7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122,4</w:t>
            </w:r>
          </w:p>
        </w:tc>
        <w:tc>
          <w:tcPr>
            <w:tcW w:w="1277" w:type="dxa"/>
            <w:tcBorders>
              <w:top w:val="nil"/>
              <w:left w:val="nil"/>
              <w:bottom w:val="single" w:sz="4" w:space="0" w:color="auto"/>
              <w:right w:val="single" w:sz="4" w:space="0" w:color="auto"/>
            </w:tcBorders>
            <w:shd w:val="clear" w:color="000000" w:fill="FFFFFF"/>
            <w:noWrap/>
            <w:vAlign w:val="bottom"/>
            <w:hideMark/>
          </w:tcPr>
          <w:p w14:paraId="124C91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800,3</w:t>
            </w:r>
          </w:p>
        </w:tc>
        <w:tc>
          <w:tcPr>
            <w:tcW w:w="1040" w:type="dxa"/>
            <w:tcBorders>
              <w:top w:val="nil"/>
              <w:left w:val="nil"/>
              <w:bottom w:val="single" w:sz="4" w:space="0" w:color="auto"/>
              <w:right w:val="single" w:sz="4" w:space="0" w:color="auto"/>
            </w:tcBorders>
            <w:shd w:val="clear" w:color="000000" w:fill="FFFFFF"/>
            <w:noWrap/>
            <w:vAlign w:val="bottom"/>
            <w:hideMark/>
          </w:tcPr>
          <w:p w14:paraId="1E88FD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144,7</w:t>
            </w:r>
          </w:p>
        </w:tc>
        <w:tc>
          <w:tcPr>
            <w:tcW w:w="1087" w:type="dxa"/>
            <w:tcBorders>
              <w:top w:val="nil"/>
              <w:left w:val="nil"/>
              <w:bottom w:val="single" w:sz="4" w:space="0" w:color="auto"/>
              <w:right w:val="single" w:sz="4" w:space="0" w:color="auto"/>
            </w:tcBorders>
            <w:shd w:val="clear" w:color="000000" w:fill="FFFFFF"/>
            <w:noWrap/>
            <w:vAlign w:val="bottom"/>
            <w:hideMark/>
          </w:tcPr>
          <w:p w14:paraId="087DCD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1 049,7</w:t>
            </w:r>
          </w:p>
        </w:tc>
        <w:tc>
          <w:tcPr>
            <w:tcW w:w="1040" w:type="dxa"/>
            <w:tcBorders>
              <w:top w:val="nil"/>
              <w:left w:val="nil"/>
              <w:bottom w:val="single" w:sz="4" w:space="0" w:color="auto"/>
              <w:right w:val="single" w:sz="4" w:space="0" w:color="auto"/>
            </w:tcBorders>
            <w:shd w:val="clear" w:color="000000" w:fill="FFFFFF"/>
            <w:noWrap/>
            <w:vAlign w:val="bottom"/>
            <w:hideMark/>
          </w:tcPr>
          <w:p w14:paraId="5D4D4F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101,2</w:t>
            </w:r>
          </w:p>
        </w:tc>
        <w:tc>
          <w:tcPr>
            <w:tcW w:w="1226" w:type="dxa"/>
            <w:tcBorders>
              <w:top w:val="nil"/>
              <w:left w:val="nil"/>
              <w:bottom w:val="single" w:sz="4" w:space="0" w:color="auto"/>
              <w:right w:val="single" w:sz="4" w:space="0" w:color="auto"/>
            </w:tcBorders>
            <w:shd w:val="clear" w:color="000000" w:fill="FFFFFF"/>
            <w:noWrap/>
            <w:vAlign w:val="bottom"/>
            <w:hideMark/>
          </w:tcPr>
          <w:p w14:paraId="79E9D84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F51D3B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F216C5A"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60467D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0B59E7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12FFFF8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01F9F88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6DBFB5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6E925A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FA9542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1E0E30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15A86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28E90A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35DC12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133E5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ВИДИН</w:t>
            </w:r>
          </w:p>
        </w:tc>
        <w:tc>
          <w:tcPr>
            <w:tcW w:w="1911" w:type="dxa"/>
            <w:tcBorders>
              <w:top w:val="nil"/>
              <w:left w:val="nil"/>
              <w:bottom w:val="single" w:sz="4" w:space="0" w:color="auto"/>
              <w:right w:val="single" w:sz="4" w:space="0" w:color="auto"/>
            </w:tcBorders>
            <w:shd w:val="clear" w:color="000000" w:fill="FFFFFF"/>
            <w:noWrap/>
            <w:vAlign w:val="bottom"/>
            <w:hideMark/>
          </w:tcPr>
          <w:p w14:paraId="4F01E18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635A5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231349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3600146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3C1A7C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5F2205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73FB9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22CB8B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5B039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04A259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87E873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EC807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Белоградчик</w:t>
            </w:r>
          </w:p>
        </w:tc>
        <w:tc>
          <w:tcPr>
            <w:tcW w:w="1911" w:type="dxa"/>
            <w:tcBorders>
              <w:top w:val="nil"/>
              <w:left w:val="nil"/>
              <w:bottom w:val="single" w:sz="4" w:space="0" w:color="auto"/>
              <w:right w:val="single" w:sz="4" w:space="0" w:color="auto"/>
            </w:tcBorders>
            <w:shd w:val="clear" w:color="000000" w:fill="FFFFFF"/>
            <w:noWrap/>
            <w:vAlign w:val="bottom"/>
            <w:hideMark/>
          </w:tcPr>
          <w:p w14:paraId="7AE30F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6 565,3</w:t>
            </w:r>
          </w:p>
        </w:tc>
        <w:tc>
          <w:tcPr>
            <w:tcW w:w="1118" w:type="dxa"/>
            <w:tcBorders>
              <w:top w:val="nil"/>
              <w:left w:val="nil"/>
              <w:bottom w:val="single" w:sz="4" w:space="0" w:color="auto"/>
              <w:right w:val="single" w:sz="4" w:space="0" w:color="auto"/>
            </w:tcBorders>
            <w:shd w:val="clear" w:color="000000" w:fill="FFFFFF"/>
            <w:noWrap/>
            <w:vAlign w:val="bottom"/>
            <w:hideMark/>
          </w:tcPr>
          <w:p w14:paraId="73CC82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791,8</w:t>
            </w:r>
          </w:p>
        </w:tc>
        <w:tc>
          <w:tcPr>
            <w:tcW w:w="1257" w:type="dxa"/>
            <w:tcBorders>
              <w:top w:val="nil"/>
              <w:left w:val="nil"/>
              <w:bottom w:val="single" w:sz="4" w:space="0" w:color="auto"/>
              <w:right w:val="single" w:sz="4" w:space="0" w:color="auto"/>
            </w:tcBorders>
            <w:shd w:val="clear" w:color="000000" w:fill="FFFFFF"/>
            <w:noWrap/>
            <w:vAlign w:val="bottom"/>
            <w:hideMark/>
          </w:tcPr>
          <w:p w14:paraId="07B5A0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217,3</w:t>
            </w:r>
          </w:p>
        </w:tc>
        <w:tc>
          <w:tcPr>
            <w:tcW w:w="1384" w:type="dxa"/>
            <w:tcBorders>
              <w:top w:val="nil"/>
              <w:left w:val="nil"/>
              <w:bottom w:val="single" w:sz="4" w:space="0" w:color="auto"/>
              <w:right w:val="single" w:sz="4" w:space="0" w:color="auto"/>
            </w:tcBorders>
            <w:shd w:val="clear" w:color="000000" w:fill="FFFFFF"/>
            <w:noWrap/>
            <w:vAlign w:val="bottom"/>
            <w:hideMark/>
          </w:tcPr>
          <w:p w14:paraId="5DDCA6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574,5</w:t>
            </w:r>
          </w:p>
        </w:tc>
        <w:tc>
          <w:tcPr>
            <w:tcW w:w="1134" w:type="dxa"/>
            <w:tcBorders>
              <w:top w:val="nil"/>
              <w:left w:val="nil"/>
              <w:bottom w:val="single" w:sz="4" w:space="0" w:color="auto"/>
              <w:right w:val="single" w:sz="4" w:space="0" w:color="auto"/>
            </w:tcBorders>
            <w:shd w:val="clear" w:color="000000" w:fill="FFFFFF"/>
            <w:noWrap/>
            <w:vAlign w:val="bottom"/>
            <w:hideMark/>
          </w:tcPr>
          <w:p w14:paraId="74EB4F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143,4</w:t>
            </w:r>
          </w:p>
        </w:tc>
        <w:tc>
          <w:tcPr>
            <w:tcW w:w="1277" w:type="dxa"/>
            <w:tcBorders>
              <w:top w:val="nil"/>
              <w:left w:val="nil"/>
              <w:bottom w:val="single" w:sz="4" w:space="0" w:color="auto"/>
              <w:right w:val="single" w:sz="4" w:space="0" w:color="auto"/>
            </w:tcBorders>
            <w:shd w:val="clear" w:color="000000" w:fill="FFFFFF"/>
            <w:noWrap/>
            <w:vAlign w:val="bottom"/>
            <w:hideMark/>
          </w:tcPr>
          <w:p w14:paraId="025DFE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2 364,4</w:t>
            </w:r>
          </w:p>
        </w:tc>
        <w:tc>
          <w:tcPr>
            <w:tcW w:w="1040" w:type="dxa"/>
            <w:tcBorders>
              <w:top w:val="nil"/>
              <w:left w:val="nil"/>
              <w:bottom w:val="single" w:sz="4" w:space="0" w:color="auto"/>
              <w:right w:val="single" w:sz="4" w:space="0" w:color="auto"/>
            </w:tcBorders>
            <w:shd w:val="clear" w:color="000000" w:fill="FFFFFF"/>
            <w:noWrap/>
            <w:vAlign w:val="bottom"/>
            <w:hideMark/>
          </w:tcPr>
          <w:p w14:paraId="6AFBC7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109,3</w:t>
            </w:r>
          </w:p>
        </w:tc>
        <w:tc>
          <w:tcPr>
            <w:tcW w:w="1087" w:type="dxa"/>
            <w:tcBorders>
              <w:top w:val="nil"/>
              <w:left w:val="nil"/>
              <w:bottom w:val="single" w:sz="4" w:space="0" w:color="auto"/>
              <w:right w:val="single" w:sz="4" w:space="0" w:color="auto"/>
            </w:tcBorders>
            <w:shd w:val="clear" w:color="000000" w:fill="FFFFFF"/>
            <w:noWrap/>
            <w:vAlign w:val="bottom"/>
            <w:hideMark/>
          </w:tcPr>
          <w:p w14:paraId="5820AC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2 747,7</w:t>
            </w:r>
          </w:p>
        </w:tc>
        <w:tc>
          <w:tcPr>
            <w:tcW w:w="1040" w:type="dxa"/>
            <w:tcBorders>
              <w:top w:val="nil"/>
              <w:left w:val="nil"/>
              <w:bottom w:val="single" w:sz="4" w:space="0" w:color="auto"/>
              <w:right w:val="single" w:sz="4" w:space="0" w:color="auto"/>
            </w:tcBorders>
            <w:shd w:val="clear" w:color="000000" w:fill="FFFFFF"/>
            <w:noWrap/>
            <w:vAlign w:val="bottom"/>
            <w:hideMark/>
          </w:tcPr>
          <w:p w14:paraId="788599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408,7</w:t>
            </w:r>
          </w:p>
        </w:tc>
        <w:tc>
          <w:tcPr>
            <w:tcW w:w="1226" w:type="dxa"/>
            <w:tcBorders>
              <w:top w:val="nil"/>
              <w:left w:val="nil"/>
              <w:bottom w:val="single" w:sz="4" w:space="0" w:color="auto"/>
              <w:right w:val="single" w:sz="4" w:space="0" w:color="auto"/>
            </w:tcBorders>
            <w:shd w:val="clear" w:color="000000" w:fill="FFFFFF"/>
            <w:noWrap/>
            <w:vAlign w:val="bottom"/>
            <w:hideMark/>
          </w:tcPr>
          <w:p w14:paraId="385964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65F87E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9160D2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Бойница</w:t>
            </w:r>
          </w:p>
        </w:tc>
        <w:tc>
          <w:tcPr>
            <w:tcW w:w="1911" w:type="dxa"/>
            <w:tcBorders>
              <w:top w:val="nil"/>
              <w:left w:val="nil"/>
              <w:bottom w:val="single" w:sz="4" w:space="0" w:color="auto"/>
              <w:right w:val="single" w:sz="4" w:space="0" w:color="auto"/>
            </w:tcBorders>
            <w:shd w:val="clear" w:color="000000" w:fill="FFFFFF"/>
            <w:noWrap/>
            <w:vAlign w:val="bottom"/>
            <w:hideMark/>
          </w:tcPr>
          <w:p w14:paraId="2E03E9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2 828,4</w:t>
            </w:r>
          </w:p>
        </w:tc>
        <w:tc>
          <w:tcPr>
            <w:tcW w:w="1118" w:type="dxa"/>
            <w:tcBorders>
              <w:top w:val="nil"/>
              <w:left w:val="nil"/>
              <w:bottom w:val="single" w:sz="4" w:space="0" w:color="auto"/>
              <w:right w:val="single" w:sz="4" w:space="0" w:color="auto"/>
            </w:tcBorders>
            <w:shd w:val="clear" w:color="000000" w:fill="FFFFFF"/>
            <w:noWrap/>
            <w:vAlign w:val="bottom"/>
            <w:hideMark/>
          </w:tcPr>
          <w:p w14:paraId="671B63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513,9</w:t>
            </w:r>
          </w:p>
        </w:tc>
        <w:tc>
          <w:tcPr>
            <w:tcW w:w="1257" w:type="dxa"/>
            <w:tcBorders>
              <w:top w:val="nil"/>
              <w:left w:val="nil"/>
              <w:bottom w:val="single" w:sz="4" w:space="0" w:color="auto"/>
              <w:right w:val="single" w:sz="4" w:space="0" w:color="auto"/>
            </w:tcBorders>
            <w:shd w:val="clear" w:color="000000" w:fill="FFFFFF"/>
            <w:noWrap/>
            <w:vAlign w:val="bottom"/>
            <w:hideMark/>
          </w:tcPr>
          <w:p w14:paraId="20BF6F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109,4</w:t>
            </w:r>
          </w:p>
        </w:tc>
        <w:tc>
          <w:tcPr>
            <w:tcW w:w="1384" w:type="dxa"/>
            <w:tcBorders>
              <w:top w:val="nil"/>
              <w:left w:val="nil"/>
              <w:bottom w:val="single" w:sz="4" w:space="0" w:color="auto"/>
              <w:right w:val="single" w:sz="4" w:space="0" w:color="auto"/>
            </w:tcBorders>
            <w:shd w:val="clear" w:color="000000" w:fill="FFFFFF"/>
            <w:noWrap/>
            <w:vAlign w:val="bottom"/>
            <w:hideMark/>
          </w:tcPr>
          <w:p w14:paraId="6B1618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404,5</w:t>
            </w:r>
          </w:p>
        </w:tc>
        <w:tc>
          <w:tcPr>
            <w:tcW w:w="1134" w:type="dxa"/>
            <w:tcBorders>
              <w:top w:val="nil"/>
              <w:left w:val="nil"/>
              <w:bottom w:val="single" w:sz="4" w:space="0" w:color="auto"/>
              <w:right w:val="single" w:sz="4" w:space="0" w:color="auto"/>
            </w:tcBorders>
            <w:shd w:val="clear" w:color="000000" w:fill="FFFFFF"/>
            <w:noWrap/>
            <w:vAlign w:val="bottom"/>
            <w:hideMark/>
          </w:tcPr>
          <w:p w14:paraId="49B6E1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125,9</w:t>
            </w:r>
          </w:p>
        </w:tc>
        <w:tc>
          <w:tcPr>
            <w:tcW w:w="1277" w:type="dxa"/>
            <w:tcBorders>
              <w:top w:val="nil"/>
              <w:left w:val="nil"/>
              <w:bottom w:val="single" w:sz="4" w:space="0" w:color="auto"/>
              <w:right w:val="single" w:sz="4" w:space="0" w:color="auto"/>
            </w:tcBorders>
            <w:shd w:val="clear" w:color="000000" w:fill="FFFFFF"/>
            <w:noWrap/>
            <w:vAlign w:val="bottom"/>
            <w:hideMark/>
          </w:tcPr>
          <w:p w14:paraId="07F422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432,0</w:t>
            </w:r>
          </w:p>
        </w:tc>
        <w:tc>
          <w:tcPr>
            <w:tcW w:w="1040" w:type="dxa"/>
            <w:tcBorders>
              <w:top w:val="nil"/>
              <w:left w:val="nil"/>
              <w:bottom w:val="single" w:sz="4" w:space="0" w:color="auto"/>
              <w:right w:val="single" w:sz="4" w:space="0" w:color="auto"/>
            </w:tcBorders>
            <w:shd w:val="clear" w:color="000000" w:fill="FFFFFF"/>
            <w:noWrap/>
            <w:vAlign w:val="bottom"/>
            <w:hideMark/>
          </w:tcPr>
          <w:p w14:paraId="3BD07F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w:t>
            </w:r>
          </w:p>
        </w:tc>
        <w:tc>
          <w:tcPr>
            <w:tcW w:w="1087" w:type="dxa"/>
            <w:tcBorders>
              <w:top w:val="nil"/>
              <w:left w:val="nil"/>
              <w:bottom w:val="single" w:sz="4" w:space="0" w:color="auto"/>
              <w:right w:val="single" w:sz="4" w:space="0" w:color="auto"/>
            </w:tcBorders>
            <w:shd w:val="clear" w:color="000000" w:fill="FFFFFF"/>
            <w:noWrap/>
            <w:vAlign w:val="bottom"/>
            <w:hideMark/>
          </w:tcPr>
          <w:p w14:paraId="48C0D8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1 658,5</w:t>
            </w:r>
          </w:p>
        </w:tc>
        <w:tc>
          <w:tcPr>
            <w:tcW w:w="1040" w:type="dxa"/>
            <w:tcBorders>
              <w:top w:val="nil"/>
              <w:left w:val="nil"/>
              <w:bottom w:val="single" w:sz="4" w:space="0" w:color="auto"/>
              <w:right w:val="single" w:sz="4" w:space="0" w:color="auto"/>
            </w:tcBorders>
            <w:shd w:val="clear" w:color="000000" w:fill="FFFFFF"/>
            <w:noWrap/>
            <w:vAlign w:val="bottom"/>
            <w:hideMark/>
          </w:tcPr>
          <w:p w14:paraId="294A80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89,9</w:t>
            </w:r>
          </w:p>
        </w:tc>
        <w:tc>
          <w:tcPr>
            <w:tcW w:w="1226" w:type="dxa"/>
            <w:tcBorders>
              <w:top w:val="nil"/>
              <w:left w:val="nil"/>
              <w:bottom w:val="single" w:sz="4" w:space="0" w:color="auto"/>
              <w:right w:val="single" w:sz="4" w:space="0" w:color="auto"/>
            </w:tcBorders>
            <w:shd w:val="clear" w:color="000000" w:fill="FFFFFF"/>
            <w:noWrap/>
            <w:vAlign w:val="bottom"/>
            <w:hideMark/>
          </w:tcPr>
          <w:p w14:paraId="2A1E45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3CC7C7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9EE1D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Брегово</w:t>
            </w:r>
          </w:p>
        </w:tc>
        <w:tc>
          <w:tcPr>
            <w:tcW w:w="1911" w:type="dxa"/>
            <w:tcBorders>
              <w:top w:val="nil"/>
              <w:left w:val="nil"/>
              <w:bottom w:val="single" w:sz="4" w:space="0" w:color="auto"/>
              <w:right w:val="single" w:sz="4" w:space="0" w:color="auto"/>
            </w:tcBorders>
            <w:shd w:val="clear" w:color="000000" w:fill="FFFFFF"/>
            <w:noWrap/>
            <w:vAlign w:val="bottom"/>
            <w:hideMark/>
          </w:tcPr>
          <w:p w14:paraId="3EF692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4 797,3</w:t>
            </w:r>
          </w:p>
        </w:tc>
        <w:tc>
          <w:tcPr>
            <w:tcW w:w="1118" w:type="dxa"/>
            <w:tcBorders>
              <w:top w:val="nil"/>
              <w:left w:val="nil"/>
              <w:bottom w:val="single" w:sz="4" w:space="0" w:color="auto"/>
              <w:right w:val="single" w:sz="4" w:space="0" w:color="auto"/>
            </w:tcBorders>
            <w:shd w:val="clear" w:color="000000" w:fill="FFFFFF"/>
            <w:noWrap/>
            <w:vAlign w:val="bottom"/>
            <w:hideMark/>
          </w:tcPr>
          <w:p w14:paraId="1466D7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679,0</w:t>
            </w:r>
          </w:p>
        </w:tc>
        <w:tc>
          <w:tcPr>
            <w:tcW w:w="1257" w:type="dxa"/>
            <w:tcBorders>
              <w:top w:val="nil"/>
              <w:left w:val="nil"/>
              <w:bottom w:val="single" w:sz="4" w:space="0" w:color="auto"/>
              <w:right w:val="single" w:sz="4" w:space="0" w:color="auto"/>
            </w:tcBorders>
            <w:shd w:val="clear" w:color="000000" w:fill="FFFFFF"/>
            <w:noWrap/>
            <w:vAlign w:val="bottom"/>
            <w:hideMark/>
          </w:tcPr>
          <w:p w14:paraId="485BFC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161,6</w:t>
            </w:r>
          </w:p>
        </w:tc>
        <w:tc>
          <w:tcPr>
            <w:tcW w:w="1384" w:type="dxa"/>
            <w:tcBorders>
              <w:top w:val="nil"/>
              <w:left w:val="nil"/>
              <w:bottom w:val="single" w:sz="4" w:space="0" w:color="auto"/>
              <w:right w:val="single" w:sz="4" w:space="0" w:color="auto"/>
            </w:tcBorders>
            <w:shd w:val="clear" w:color="000000" w:fill="FFFFFF"/>
            <w:noWrap/>
            <w:vAlign w:val="bottom"/>
            <w:hideMark/>
          </w:tcPr>
          <w:p w14:paraId="0BF0B7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517,4</w:t>
            </w:r>
          </w:p>
        </w:tc>
        <w:tc>
          <w:tcPr>
            <w:tcW w:w="1134" w:type="dxa"/>
            <w:tcBorders>
              <w:top w:val="nil"/>
              <w:left w:val="nil"/>
              <w:bottom w:val="single" w:sz="4" w:space="0" w:color="auto"/>
              <w:right w:val="single" w:sz="4" w:space="0" w:color="auto"/>
            </w:tcBorders>
            <w:shd w:val="clear" w:color="000000" w:fill="FFFFFF"/>
            <w:noWrap/>
            <w:vAlign w:val="bottom"/>
            <w:hideMark/>
          </w:tcPr>
          <w:p w14:paraId="2CCD95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130,6</w:t>
            </w:r>
          </w:p>
        </w:tc>
        <w:tc>
          <w:tcPr>
            <w:tcW w:w="1277" w:type="dxa"/>
            <w:tcBorders>
              <w:top w:val="nil"/>
              <w:left w:val="nil"/>
              <w:bottom w:val="single" w:sz="4" w:space="0" w:color="auto"/>
              <w:right w:val="single" w:sz="4" w:space="0" w:color="auto"/>
            </w:tcBorders>
            <w:shd w:val="clear" w:color="000000" w:fill="FFFFFF"/>
            <w:noWrap/>
            <w:vAlign w:val="bottom"/>
            <w:hideMark/>
          </w:tcPr>
          <w:p w14:paraId="65EE5B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1 061,6</w:t>
            </w:r>
          </w:p>
        </w:tc>
        <w:tc>
          <w:tcPr>
            <w:tcW w:w="1040" w:type="dxa"/>
            <w:tcBorders>
              <w:top w:val="nil"/>
              <w:left w:val="nil"/>
              <w:bottom w:val="single" w:sz="4" w:space="0" w:color="auto"/>
              <w:right w:val="single" w:sz="4" w:space="0" w:color="auto"/>
            </w:tcBorders>
            <w:shd w:val="clear" w:color="000000" w:fill="FFFFFF"/>
            <w:noWrap/>
            <w:vAlign w:val="bottom"/>
            <w:hideMark/>
          </w:tcPr>
          <w:p w14:paraId="043330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147,9</w:t>
            </w:r>
          </w:p>
        </w:tc>
        <w:tc>
          <w:tcPr>
            <w:tcW w:w="1087" w:type="dxa"/>
            <w:tcBorders>
              <w:top w:val="nil"/>
              <w:left w:val="nil"/>
              <w:bottom w:val="single" w:sz="4" w:space="0" w:color="auto"/>
              <w:right w:val="single" w:sz="4" w:space="0" w:color="auto"/>
            </w:tcBorders>
            <w:shd w:val="clear" w:color="000000" w:fill="FFFFFF"/>
            <w:noWrap/>
            <w:vAlign w:val="bottom"/>
            <w:hideMark/>
          </w:tcPr>
          <w:p w14:paraId="3AC986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2 575,9</w:t>
            </w:r>
          </w:p>
        </w:tc>
        <w:tc>
          <w:tcPr>
            <w:tcW w:w="1040" w:type="dxa"/>
            <w:tcBorders>
              <w:top w:val="nil"/>
              <w:left w:val="nil"/>
              <w:bottom w:val="single" w:sz="4" w:space="0" w:color="auto"/>
              <w:right w:val="single" w:sz="4" w:space="0" w:color="auto"/>
            </w:tcBorders>
            <w:shd w:val="clear" w:color="000000" w:fill="FFFFFF"/>
            <w:noWrap/>
            <w:vAlign w:val="bottom"/>
            <w:hideMark/>
          </w:tcPr>
          <w:p w14:paraId="603F7E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202,3</w:t>
            </w:r>
          </w:p>
        </w:tc>
        <w:tc>
          <w:tcPr>
            <w:tcW w:w="1226" w:type="dxa"/>
            <w:tcBorders>
              <w:top w:val="nil"/>
              <w:left w:val="nil"/>
              <w:bottom w:val="single" w:sz="4" w:space="0" w:color="auto"/>
              <w:right w:val="single" w:sz="4" w:space="0" w:color="auto"/>
            </w:tcBorders>
            <w:shd w:val="clear" w:color="000000" w:fill="FFFFFF"/>
            <w:noWrap/>
            <w:vAlign w:val="bottom"/>
            <w:hideMark/>
          </w:tcPr>
          <w:p w14:paraId="7EE0DE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801879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6CF38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Bидин</w:t>
            </w:r>
          </w:p>
        </w:tc>
        <w:tc>
          <w:tcPr>
            <w:tcW w:w="1911" w:type="dxa"/>
            <w:tcBorders>
              <w:top w:val="nil"/>
              <w:left w:val="nil"/>
              <w:bottom w:val="single" w:sz="4" w:space="0" w:color="auto"/>
              <w:right w:val="single" w:sz="4" w:space="0" w:color="auto"/>
            </w:tcBorders>
            <w:shd w:val="clear" w:color="000000" w:fill="FFFFFF"/>
            <w:noWrap/>
            <w:vAlign w:val="bottom"/>
            <w:hideMark/>
          </w:tcPr>
          <w:p w14:paraId="76BED4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29 457,9</w:t>
            </w:r>
          </w:p>
        </w:tc>
        <w:tc>
          <w:tcPr>
            <w:tcW w:w="1118" w:type="dxa"/>
            <w:tcBorders>
              <w:top w:val="nil"/>
              <w:left w:val="nil"/>
              <w:bottom w:val="single" w:sz="4" w:space="0" w:color="auto"/>
              <w:right w:val="single" w:sz="4" w:space="0" w:color="auto"/>
            </w:tcBorders>
            <w:shd w:val="clear" w:color="000000" w:fill="FFFFFF"/>
            <w:noWrap/>
            <w:vAlign w:val="bottom"/>
            <w:hideMark/>
          </w:tcPr>
          <w:p w14:paraId="11E0FE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2 765,6</w:t>
            </w:r>
          </w:p>
        </w:tc>
        <w:tc>
          <w:tcPr>
            <w:tcW w:w="1257" w:type="dxa"/>
            <w:tcBorders>
              <w:top w:val="nil"/>
              <w:left w:val="nil"/>
              <w:bottom w:val="single" w:sz="4" w:space="0" w:color="auto"/>
              <w:right w:val="single" w:sz="4" w:space="0" w:color="auto"/>
            </w:tcBorders>
            <w:shd w:val="clear" w:color="000000" w:fill="FFFFFF"/>
            <w:noWrap/>
            <w:vAlign w:val="bottom"/>
            <w:hideMark/>
          </w:tcPr>
          <w:p w14:paraId="7F86D2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540,9</w:t>
            </w:r>
          </w:p>
        </w:tc>
        <w:tc>
          <w:tcPr>
            <w:tcW w:w="1384" w:type="dxa"/>
            <w:tcBorders>
              <w:top w:val="nil"/>
              <w:left w:val="nil"/>
              <w:bottom w:val="single" w:sz="4" w:space="0" w:color="auto"/>
              <w:right w:val="single" w:sz="4" w:space="0" w:color="auto"/>
            </w:tcBorders>
            <w:shd w:val="clear" w:color="000000" w:fill="FFFFFF"/>
            <w:noWrap/>
            <w:vAlign w:val="bottom"/>
            <w:hideMark/>
          </w:tcPr>
          <w:p w14:paraId="723B50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2 224,7</w:t>
            </w:r>
          </w:p>
        </w:tc>
        <w:tc>
          <w:tcPr>
            <w:tcW w:w="1134" w:type="dxa"/>
            <w:tcBorders>
              <w:top w:val="nil"/>
              <w:left w:val="nil"/>
              <w:bottom w:val="single" w:sz="4" w:space="0" w:color="auto"/>
              <w:right w:val="single" w:sz="4" w:space="0" w:color="auto"/>
            </w:tcBorders>
            <w:shd w:val="clear" w:color="000000" w:fill="FFFFFF"/>
            <w:noWrap/>
            <w:vAlign w:val="bottom"/>
            <w:hideMark/>
          </w:tcPr>
          <w:p w14:paraId="688105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222,9</w:t>
            </w:r>
          </w:p>
        </w:tc>
        <w:tc>
          <w:tcPr>
            <w:tcW w:w="1277" w:type="dxa"/>
            <w:tcBorders>
              <w:top w:val="nil"/>
              <w:left w:val="nil"/>
              <w:bottom w:val="single" w:sz="4" w:space="0" w:color="auto"/>
              <w:right w:val="single" w:sz="4" w:space="0" w:color="auto"/>
            </w:tcBorders>
            <w:shd w:val="clear" w:color="000000" w:fill="FFFFFF"/>
            <w:noWrap/>
            <w:vAlign w:val="bottom"/>
            <w:hideMark/>
          </w:tcPr>
          <w:p w14:paraId="38B730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18 396,5</w:t>
            </w:r>
          </w:p>
        </w:tc>
        <w:tc>
          <w:tcPr>
            <w:tcW w:w="1040" w:type="dxa"/>
            <w:tcBorders>
              <w:top w:val="nil"/>
              <w:left w:val="nil"/>
              <w:bottom w:val="single" w:sz="4" w:space="0" w:color="auto"/>
              <w:right w:val="single" w:sz="4" w:space="0" w:color="auto"/>
            </w:tcBorders>
            <w:shd w:val="clear" w:color="000000" w:fill="FFFFFF"/>
            <w:noWrap/>
            <w:vAlign w:val="bottom"/>
            <w:hideMark/>
          </w:tcPr>
          <w:p w14:paraId="66CD74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1 147,9</w:t>
            </w:r>
          </w:p>
        </w:tc>
        <w:tc>
          <w:tcPr>
            <w:tcW w:w="1087" w:type="dxa"/>
            <w:tcBorders>
              <w:top w:val="nil"/>
              <w:left w:val="nil"/>
              <w:bottom w:val="single" w:sz="4" w:space="0" w:color="auto"/>
              <w:right w:val="single" w:sz="4" w:space="0" w:color="auto"/>
            </w:tcBorders>
            <w:shd w:val="clear" w:color="000000" w:fill="FFFFFF"/>
            <w:noWrap/>
            <w:vAlign w:val="bottom"/>
            <w:hideMark/>
          </w:tcPr>
          <w:p w14:paraId="730B5F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5 057,0</w:t>
            </w:r>
          </w:p>
        </w:tc>
        <w:tc>
          <w:tcPr>
            <w:tcW w:w="1040" w:type="dxa"/>
            <w:tcBorders>
              <w:top w:val="nil"/>
              <w:left w:val="nil"/>
              <w:bottom w:val="single" w:sz="4" w:space="0" w:color="auto"/>
              <w:right w:val="single" w:sz="4" w:space="0" w:color="auto"/>
            </w:tcBorders>
            <w:shd w:val="clear" w:color="000000" w:fill="FFFFFF"/>
            <w:noWrap/>
            <w:vAlign w:val="bottom"/>
            <w:hideMark/>
          </w:tcPr>
          <w:p w14:paraId="1654A1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1 868,0</w:t>
            </w:r>
          </w:p>
        </w:tc>
        <w:tc>
          <w:tcPr>
            <w:tcW w:w="1226" w:type="dxa"/>
            <w:tcBorders>
              <w:top w:val="nil"/>
              <w:left w:val="nil"/>
              <w:bottom w:val="single" w:sz="4" w:space="0" w:color="auto"/>
              <w:right w:val="single" w:sz="4" w:space="0" w:color="auto"/>
            </w:tcBorders>
            <w:shd w:val="clear" w:color="000000" w:fill="FFFFFF"/>
            <w:noWrap/>
            <w:vAlign w:val="bottom"/>
            <w:hideMark/>
          </w:tcPr>
          <w:p w14:paraId="47C8A8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610D06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DBC472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Грамада</w:t>
            </w:r>
          </w:p>
        </w:tc>
        <w:tc>
          <w:tcPr>
            <w:tcW w:w="1911" w:type="dxa"/>
            <w:tcBorders>
              <w:top w:val="nil"/>
              <w:left w:val="nil"/>
              <w:bottom w:val="single" w:sz="4" w:space="0" w:color="auto"/>
              <w:right w:val="single" w:sz="4" w:space="0" w:color="auto"/>
            </w:tcBorders>
            <w:shd w:val="clear" w:color="000000" w:fill="FFFFFF"/>
            <w:noWrap/>
            <w:vAlign w:val="bottom"/>
            <w:hideMark/>
          </w:tcPr>
          <w:p w14:paraId="6B02C1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1 278,3</w:t>
            </w:r>
          </w:p>
        </w:tc>
        <w:tc>
          <w:tcPr>
            <w:tcW w:w="1118" w:type="dxa"/>
            <w:tcBorders>
              <w:top w:val="nil"/>
              <w:left w:val="nil"/>
              <w:bottom w:val="single" w:sz="4" w:space="0" w:color="auto"/>
              <w:right w:val="single" w:sz="4" w:space="0" w:color="auto"/>
            </w:tcBorders>
            <w:shd w:val="clear" w:color="000000" w:fill="FFFFFF"/>
            <w:noWrap/>
            <w:vAlign w:val="bottom"/>
            <w:hideMark/>
          </w:tcPr>
          <w:p w14:paraId="63C5D1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546,7</w:t>
            </w:r>
          </w:p>
        </w:tc>
        <w:tc>
          <w:tcPr>
            <w:tcW w:w="1257" w:type="dxa"/>
            <w:tcBorders>
              <w:top w:val="nil"/>
              <w:left w:val="nil"/>
              <w:bottom w:val="single" w:sz="4" w:space="0" w:color="auto"/>
              <w:right w:val="single" w:sz="4" w:space="0" w:color="auto"/>
            </w:tcBorders>
            <w:shd w:val="clear" w:color="000000" w:fill="FFFFFF"/>
            <w:noWrap/>
            <w:vAlign w:val="bottom"/>
            <w:hideMark/>
          </w:tcPr>
          <w:p w14:paraId="36FA1D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121,3</w:t>
            </w:r>
          </w:p>
        </w:tc>
        <w:tc>
          <w:tcPr>
            <w:tcW w:w="1384" w:type="dxa"/>
            <w:tcBorders>
              <w:top w:val="nil"/>
              <w:left w:val="nil"/>
              <w:bottom w:val="single" w:sz="4" w:space="0" w:color="auto"/>
              <w:right w:val="single" w:sz="4" w:space="0" w:color="auto"/>
            </w:tcBorders>
            <w:shd w:val="clear" w:color="000000" w:fill="FFFFFF"/>
            <w:noWrap/>
            <w:vAlign w:val="bottom"/>
            <w:hideMark/>
          </w:tcPr>
          <w:p w14:paraId="3448DF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425,4</w:t>
            </w:r>
          </w:p>
        </w:tc>
        <w:tc>
          <w:tcPr>
            <w:tcW w:w="1134" w:type="dxa"/>
            <w:tcBorders>
              <w:top w:val="nil"/>
              <w:left w:val="nil"/>
              <w:bottom w:val="single" w:sz="4" w:space="0" w:color="auto"/>
              <w:right w:val="single" w:sz="4" w:space="0" w:color="auto"/>
            </w:tcBorders>
            <w:shd w:val="clear" w:color="000000" w:fill="FFFFFF"/>
            <w:noWrap/>
            <w:vAlign w:val="bottom"/>
            <w:hideMark/>
          </w:tcPr>
          <w:p w14:paraId="6ABBD4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103,7</w:t>
            </w:r>
          </w:p>
        </w:tc>
        <w:tc>
          <w:tcPr>
            <w:tcW w:w="1277" w:type="dxa"/>
            <w:tcBorders>
              <w:top w:val="nil"/>
              <w:left w:val="nil"/>
              <w:bottom w:val="single" w:sz="4" w:space="0" w:color="auto"/>
              <w:right w:val="single" w:sz="4" w:space="0" w:color="auto"/>
            </w:tcBorders>
            <w:shd w:val="clear" w:color="000000" w:fill="FFFFFF"/>
            <w:noWrap/>
            <w:vAlign w:val="bottom"/>
            <w:hideMark/>
          </w:tcPr>
          <w:p w14:paraId="42DB2F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471,1</w:t>
            </w:r>
          </w:p>
        </w:tc>
        <w:tc>
          <w:tcPr>
            <w:tcW w:w="1040" w:type="dxa"/>
            <w:tcBorders>
              <w:top w:val="nil"/>
              <w:left w:val="nil"/>
              <w:bottom w:val="single" w:sz="4" w:space="0" w:color="auto"/>
              <w:right w:val="single" w:sz="4" w:space="0" w:color="auto"/>
            </w:tcBorders>
            <w:shd w:val="clear" w:color="000000" w:fill="FFFFFF"/>
            <w:noWrap/>
            <w:vAlign w:val="bottom"/>
            <w:hideMark/>
          </w:tcPr>
          <w:p w14:paraId="6DCA04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20,3</w:t>
            </w:r>
          </w:p>
        </w:tc>
        <w:tc>
          <w:tcPr>
            <w:tcW w:w="1087" w:type="dxa"/>
            <w:tcBorders>
              <w:top w:val="nil"/>
              <w:left w:val="nil"/>
              <w:bottom w:val="single" w:sz="4" w:space="0" w:color="auto"/>
              <w:right w:val="single" w:sz="4" w:space="0" w:color="auto"/>
            </w:tcBorders>
            <w:shd w:val="clear" w:color="000000" w:fill="FFFFFF"/>
            <w:noWrap/>
            <w:vAlign w:val="bottom"/>
            <w:hideMark/>
          </w:tcPr>
          <w:p w14:paraId="7A2A73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46,6</w:t>
            </w:r>
          </w:p>
        </w:tc>
        <w:tc>
          <w:tcPr>
            <w:tcW w:w="1040" w:type="dxa"/>
            <w:tcBorders>
              <w:top w:val="nil"/>
              <w:left w:val="nil"/>
              <w:bottom w:val="single" w:sz="4" w:space="0" w:color="auto"/>
              <w:right w:val="single" w:sz="4" w:space="0" w:color="auto"/>
            </w:tcBorders>
            <w:shd w:val="clear" w:color="000000" w:fill="FFFFFF"/>
            <w:noWrap/>
            <w:vAlign w:val="bottom"/>
            <w:hideMark/>
          </w:tcPr>
          <w:p w14:paraId="4997F2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89,9</w:t>
            </w:r>
          </w:p>
        </w:tc>
        <w:tc>
          <w:tcPr>
            <w:tcW w:w="1226" w:type="dxa"/>
            <w:tcBorders>
              <w:top w:val="nil"/>
              <w:left w:val="nil"/>
              <w:bottom w:val="single" w:sz="4" w:space="0" w:color="auto"/>
              <w:right w:val="single" w:sz="4" w:space="0" w:color="auto"/>
            </w:tcBorders>
            <w:shd w:val="clear" w:color="000000" w:fill="FFFFFF"/>
            <w:noWrap/>
            <w:vAlign w:val="bottom"/>
            <w:hideMark/>
          </w:tcPr>
          <w:p w14:paraId="65512BF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4AB0F7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E184D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Димово</w:t>
            </w:r>
          </w:p>
        </w:tc>
        <w:tc>
          <w:tcPr>
            <w:tcW w:w="1911" w:type="dxa"/>
            <w:tcBorders>
              <w:top w:val="nil"/>
              <w:left w:val="nil"/>
              <w:bottom w:val="single" w:sz="4" w:space="0" w:color="auto"/>
              <w:right w:val="single" w:sz="4" w:space="0" w:color="auto"/>
            </w:tcBorders>
            <w:shd w:val="clear" w:color="000000" w:fill="FFFFFF"/>
            <w:noWrap/>
            <w:vAlign w:val="bottom"/>
            <w:hideMark/>
          </w:tcPr>
          <w:p w14:paraId="057501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5 379,8</w:t>
            </w:r>
          </w:p>
        </w:tc>
        <w:tc>
          <w:tcPr>
            <w:tcW w:w="1118" w:type="dxa"/>
            <w:tcBorders>
              <w:top w:val="nil"/>
              <w:left w:val="nil"/>
              <w:bottom w:val="single" w:sz="4" w:space="0" w:color="auto"/>
              <w:right w:val="single" w:sz="4" w:space="0" w:color="auto"/>
            </w:tcBorders>
            <w:shd w:val="clear" w:color="000000" w:fill="FFFFFF"/>
            <w:noWrap/>
            <w:vAlign w:val="bottom"/>
            <w:hideMark/>
          </w:tcPr>
          <w:p w14:paraId="74BD2D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879,5</w:t>
            </w:r>
          </w:p>
        </w:tc>
        <w:tc>
          <w:tcPr>
            <w:tcW w:w="1257" w:type="dxa"/>
            <w:tcBorders>
              <w:top w:val="nil"/>
              <w:left w:val="nil"/>
              <w:bottom w:val="single" w:sz="4" w:space="0" w:color="auto"/>
              <w:right w:val="single" w:sz="4" w:space="0" w:color="auto"/>
            </w:tcBorders>
            <w:shd w:val="clear" w:color="000000" w:fill="FFFFFF"/>
            <w:noWrap/>
            <w:vAlign w:val="bottom"/>
            <w:hideMark/>
          </w:tcPr>
          <w:p w14:paraId="187F6F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321,8</w:t>
            </w:r>
          </w:p>
        </w:tc>
        <w:tc>
          <w:tcPr>
            <w:tcW w:w="1384" w:type="dxa"/>
            <w:tcBorders>
              <w:top w:val="nil"/>
              <w:left w:val="nil"/>
              <w:bottom w:val="single" w:sz="4" w:space="0" w:color="auto"/>
              <w:right w:val="single" w:sz="4" w:space="0" w:color="auto"/>
            </w:tcBorders>
            <w:shd w:val="clear" w:color="000000" w:fill="FFFFFF"/>
            <w:noWrap/>
            <w:vAlign w:val="bottom"/>
            <w:hideMark/>
          </w:tcPr>
          <w:p w14:paraId="6BE7AE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557,7</w:t>
            </w:r>
          </w:p>
        </w:tc>
        <w:tc>
          <w:tcPr>
            <w:tcW w:w="1134" w:type="dxa"/>
            <w:tcBorders>
              <w:top w:val="nil"/>
              <w:left w:val="nil"/>
              <w:bottom w:val="single" w:sz="4" w:space="0" w:color="auto"/>
              <w:right w:val="single" w:sz="4" w:space="0" w:color="auto"/>
            </w:tcBorders>
            <w:shd w:val="clear" w:color="000000" w:fill="FFFFFF"/>
            <w:noWrap/>
            <w:vAlign w:val="bottom"/>
            <w:hideMark/>
          </w:tcPr>
          <w:p w14:paraId="3220E6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115,5</w:t>
            </w:r>
          </w:p>
        </w:tc>
        <w:tc>
          <w:tcPr>
            <w:tcW w:w="1277" w:type="dxa"/>
            <w:tcBorders>
              <w:top w:val="nil"/>
              <w:left w:val="nil"/>
              <w:bottom w:val="single" w:sz="4" w:space="0" w:color="auto"/>
              <w:right w:val="single" w:sz="4" w:space="0" w:color="auto"/>
            </w:tcBorders>
            <w:shd w:val="clear" w:color="000000" w:fill="FFFFFF"/>
            <w:noWrap/>
            <w:vAlign w:val="bottom"/>
            <w:hideMark/>
          </w:tcPr>
          <w:p w14:paraId="33476A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2 594,0</w:t>
            </w:r>
          </w:p>
        </w:tc>
        <w:tc>
          <w:tcPr>
            <w:tcW w:w="1040" w:type="dxa"/>
            <w:tcBorders>
              <w:top w:val="nil"/>
              <w:left w:val="nil"/>
              <w:bottom w:val="single" w:sz="4" w:space="0" w:color="auto"/>
              <w:right w:val="single" w:sz="4" w:space="0" w:color="auto"/>
            </w:tcBorders>
            <w:shd w:val="clear" w:color="000000" w:fill="FFFFFF"/>
            <w:noWrap/>
            <w:vAlign w:val="bottom"/>
            <w:hideMark/>
          </w:tcPr>
          <w:p w14:paraId="55D786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90,2</w:t>
            </w:r>
          </w:p>
        </w:tc>
        <w:tc>
          <w:tcPr>
            <w:tcW w:w="1087" w:type="dxa"/>
            <w:tcBorders>
              <w:top w:val="nil"/>
              <w:left w:val="nil"/>
              <w:bottom w:val="single" w:sz="4" w:space="0" w:color="auto"/>
              <w:right w:val="single" w:sz="4" w:space="0" w:color="auto"/>
            </w:tcBorders>
            <w:shd w:val="clear" w:color="000000" w:fill="FFFFFF"/>
            <w:noWrap/>
            <w:vAlign w:val="bottom"/>
            <w:hideMark/>
          </w:tcPr>
          <w:p w14:paraId="485BE0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1 464,5</w:t>
            </w:r>
          </w:p>
        </w:tc>
        <w:tc>
          <w:tcPr>
            <w:tcW w:w="1040" w:type="dxa"/>
            <w:tcBorders>
              <w:top w:val="nil"/>
              <w:left w:val="nil"/>
              <w:bottom w:val="single" w:sz="4" w:space="0" w:color="auto"/>
              <w:right w:val="single" w:sz="4" w:space="0" w:color="auto"/>
            </w:tcBorders>
            <w:shd w:val="clear" w:color="000000" w:fill="FFFFFF"/>
            <w:noWrap/>
            <w:vAlign w:val="bottom"/>
            <w:hideMark/>
          </w:tcPr>
          <w:p w14:paraId="07CC39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236,1</w:t>
            </w:r>
          </w:p>
        </w:tc>
        <w:tc>
          <w:tcPr>
            <w:tcW w:w="1226" w:type="dxa"/>
            <w:tcBorders>
              <w:top w:val="nil"/>
              <w:left w:val="nil"/>
              <w:bottom w:val="single" w:sz="4" w:space="0" w:color="auto"/>
              <w:right w:val="single" w:sz="4" w:space="0" w:color="auto"/>
            </w:tcBorders>
            <w:shd w:val="clear" w:color="000000" w:fill="FFFFFF"/>
            <w:noWrap/>
            <w:vAlign w:val="bottom"/>
            <w:hideMark/>
          </w:tcPr>
          <w:p w14:paraId="40CF1D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21AA76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17E086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Kула</w:t>
            </w:r>
          </w:p>
        </w:tc>
        <w:tc>
          <w:tcPr>
            <w:tcW w:w="1911" w:type="dxa"/>
            <w:tcBorders>
              <w:top w:val="nil"/>
              <w:left w:val="nil"/>
              <w:bottom w:val="single" w:sz="4" w:space="0" w:color="auto"/>
              <w:right w:val="single" w:sz="4" w:space="0" w:color="auto"/>
            </w:tcBorders>
            <w:shd w:val="clear" w:color="000000" w:fill="FFFFFF"/>
            <w:noWrap/>
            <w:vAlign w:val="bottom"/>
            <w:hideMark/>
          </w:tcPr>
          <w:p w14:paraId="2B1510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3 927,6</w:t>
            </w:r>
          </w:p>
        </w:tc>
        <w:tc>
          <w:tcPr>
            <w:tcW w:w="1118" w:type="dxa"/>
            <w:tcBorders>
              <w:top w:val="nil"/>
              <w:left w:val="nil"/>
              <w:bottom w:val="single" w:sz="4" w:space="0" w:color="auto"/>
              <w:right w:val="single" w:sz="4" w:space="0" w:color="auto"/>
            </w:tcBorders>
            <w:shd w:val="clear" w:color="000000" w:fill="FFFFFF"/>
            <w:noWrap/>
            <w:vAlign w:val="bottom"/>
            <w:hideMark/>
          </w:tcPr>
          <w:p w14:paraId="622D1A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649,0</w:t>
            </w:r>
          </w:p>
        </w:tc>
        <w:tc>
          <w:tcPr>
            <w:tcW w:w="1257" w:type="dxa"/>
            <w:tcBorders>
              <w:top w:val="nil"/>
              <w:left w:val="nil"/>
              <w:bottom w:val="single" w:sz="4" w:space="0" w:color="auto"/>
              <w:right w:val="single" w:sz="4" w:space="0" w:color="auto"/>
            </w:tcBorders>
            <w:shd w:val="clear" w:color="000000" w:fill="FFFFFF"/>
            <w:noWrap/>
            <w:vAlign w:val="bottom"/>
            <w:hideMark/>
          </w:tcPr>
          <w:p w14:paraId="776E05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153,3</w:t>
            </w:r>
          </w:p>
        </w:tc>
        <w:tc>
          <w:tcPr>
            <w:tcW w:w="1384" w:type="dxa"/>
            <w:tcBorders>
              <w:top w:val="nil"/>
              <w:left w:val="nil"/>
              <w:bottom w:val="single" w:sz="4" w:space="0" w:color="auto"/>
              <w:right w:val="single" w:sz="4" w:space="0" w:color="auto"/>
            </w:tcBorders>
            <w:shd w:val="clear" w:color="000000" w:fill="FFFFFF"/>
            <w:noWrap/>
            <w:vAlign w:val="bottom"/>
            <w:hideMark/>
          </w:tcPr>
          <w:p w14:paraId="52CC79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495,7</w:t>
            </w:r>
          </w:p>
        </w:tc>
        <w:tc>
          <w:tcPr>
            <w:tcW w:w="1134" w:type="dxa"/>
            <w:tcBorders>
              <w:top w:val="nil"/>
              <w:left w:val="nil"/>
              <w:bottom w:val="single" w:sz="4" w:space="0" w:color="auto"/>
              <w:right w:val="single" w:sz="4" w:space="0" w:color="auto"/>
            </w:tcBorders>
            <w:shd w:val="clear" w:color="000000" w:fill="FFFFFF"/>
            <w:noWrap/>
            <w:vAlign w:val="bottom"/>
            <w:hideMark/>
          </w:tcPr>
          <w:p w14:paraId="09651E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130,5</w:t>
            </w:r>
          </w:p>
        </w:tc>
        <w:tc>
          <w:tcPr>
            <w:tcW w:w="1277" w:type="dxa"/>
            <w:tcBorders>
              <w:top w:val="nil"/>
              <w:left w:val="nil"/>
              <w:bottom w:val="single" w:sz="4" w:space="0" w:color="auto"/>
              <w:right w:val="single" w:sz="4" w:space="0" w:color="auto"/>
            </w:tcBorders>
            <w:shd w:val="clear" w:color="000000" w:fill="FFFFFF"/>
            <w:noWrap/>
            <w:vAlign w:val="bottom"/>
            <w:hideMark/>
          </w:tcPr>
          <w:p w14:paraId="074236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1 182,7</w:t>
            </w:r>
          </w:p>
        </w:tc>
        <w:tc>
          <w:tcPr>
            <w:tcW w:w="1040" w:type="dxa"/>
            <w:tcBorders>
              <w:top w:val="nil"/>
              <w:left w:val="nil"/>
              <w:bottom w:val="single" w:sz="4" w:space="0" w:color="auto"/>
              <w:right w:val="single" w:sz="4" w:space="0" w:color="auto"/>
            </w:tcBorders>
            <w:shd w:val="clear" w:color="000000" w:fill="FFFFFF"/>
            <w:noWrap/>
            <w:vAlign w:val="bottom"/>
            <w:hideMark/>
          </w:tcPr>
          <w:p w14:paraId="12385E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42,8</w:t>
            </w:r>
          </w:p>
        </w:tc>
        <w:tc>
          <w:tcPr>
            <w:tcW w:w="1087" w:type="dxa"/>
            <w:tcBorders>
              <w:top w:val="nil"/>
              <w:left w:val="nil"/>
              <w:bottom w:val="single" w:sz="4" w:space="0" w:color="auto"/>
              <w:right w:val="single" w:sz="4" w:space="0" w:color="auto"/>
            </w:tcBorders>
            <w:shd w:val="clear" w:color="000000" w:fill="FFFFFF"/>
            <w:noWrap/>
            <w:vAlign w:val="bottom"/>
            <w:hideMark/>
          </w:tcPr>
          <w:p w14:paraId="178A10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1 754,0</w:t>
            </w:r>
          </w:p>
        </w:tc>
        <w:tc>
          <w:tcPr>
            <w:tcW w:w="1040" w:type="dxa"/>
            <w:tcBorders>
              <w:top w:val="nil"/>
              <w:left w:val="nil"/>
              <w:bottom w:val="single" w:sz="4" w:space="0" w:color="auto"/>
              <w:right w:val="single" w:sz="4" w:space="0" w:color="auto"/>
            </w:tcBorders>
            <w:shd w:val="clear" w:color="000000" w:fill="FFFFFF"/>
            <w:noWrap/>
            <w:vAlign w:val="bottom"/>
            <w:hideMark/>
          </w:tcPr>
          <w:p w14:paraId="26A6CC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67F662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50BC50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39477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Mакреш</w:t>
            </w:r>
          </w:p>
        </w:tc>
        <w:tc>
          <w:tcPr>
            <w:tcW w:w="1911" w:type="dxa"/>
            <w:tcBorders>
              <w:top w:val="nil"/>
              <w:left w:val="nil"/>
              <w:bottom w:val="single" w:sz="4" w:space="0" w:color="auto"/>
              <w:right w:val="single" w:sz="4" w:space="0" w:color="auto"/>
            </w:tcBorders>
            <w:shd w:val="clear" w:color="000000" w:fill="FFFFFF"/>
            <w:noWrap/>
            <w:vAlign w:val="bottom"/>
            <w:hideMark/>
          </w:tcPr>
          <w:p w14:paraId="71C4D0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1 260,7</w:t>
            </w:r>
          </w:p>
        </w:tc>
        <w:tc>
          <w:tcPr>
            <w:tcW w:w="1118" w:type="dxa"/>
            <w:tcBorders>
              <w:top w:val="nil"/>
              <w:left w:val="nil"/>
              <w:bottom w:val="single" w:sz="4" w:space="0" w:color="auto"/>
              <w:right w:val="single" w:sz="4" w:space="0" w:color="auto"/>
            </w:tcBorders>
            <w:shd w:val="clear" w:color="000000" w:fill="FFFFFF"/>
            <w:noWrap/>
            <w:vAlign w:val="bottom"/>
            <w:hideMark/>
          </w:tcPr>
          <w:p w14:paraId="2683C2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534,6</w:t>
            </w:r>
          </w:p>
        </w:tc>
        <w:tc>
          <w:tcPr>
            <w:tcW w:w="1257" w:type="dxa"/>
            <w:tcBorders>
              <w:top w:val="nil"/>
              <w:left w:val="nil"/>
              <w:bottom w:val="single" w:sz="4" w:space="0" w:color="auto"/>
              <w:right w:val="single" w:sz="4" w:space="0" w:color="auto"/>
            </w:tcBorders>
            <w:shd w:val="clear" w:color="000000" w:fill="FFFFFF"/>
            <w:noWrap/>
            <w:vAlign w:val="bottom"/>
            <w:hideMark/>
          </w:tcPr>
          <w:p w14:paraId="27B804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124,6</w:t>
            </w:r>
          </w:p>
        </w:tc>
        <w:tc>
          <w:tcPr>
            <w:tcW w:w="1384" w:type="dxa"/>
            <w:tcBorders>
              <w:top w:val="nil"/>
              <w:left w:val="nil"/>
              <w:bottom w:val="single" w:sz="4" w:space="0" w:color="auto"/>
              <w:right w:val="single" w:sz="4" w:space="0" w:color="auto"/>
            </w:tcBorders>
            <w:shd w:val="clear" w:color="000000" w:fill="FFFFFF"/>
            <w:noWrap/>
            <w:vAlign w:val="bottom"/>
            <w:hideMark/>
          </w:tcPr>
          <w:p w14:paraId="597F46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410,0</w:t>
            </w:r>
          </w:p>
        </w:tc>
        <w:tc>
          <w:tcPr>
            <w:tcW w:w="1134" w:type="dxa"/>
            <w:tcBorders>
              <w:top w:val="nil"/>
              <w:left w:val="nil"/>
              <w:bottom w:val="single" w:sz="4" w:space="0" w:color="auto"/>
              <w:right w:val="single" w:sz="4" w:space="0" w:color="auto"/>
            </w:tcBorders>
            <w:shd w:val="clear" w:color="000000" w:fill="FFFFFF"/>
            <w:noWrap/>
            <w:vAlign w:val="bottom"/>
            <w:hideMark/>
          </w:tcPr>
          <w:p w14:paraId="02CCF5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100,5</w:t>
            </w:r>
          </w:p>
        </w:tc>
        <w:tc>
          <w:tcPr>
            <w:tcW w:w="1277" w:type="dxa"/>
            <w:tcBorders>
              <w:top w:val="nil"/>
              <w:left w:val="nil"/>
              <w:bottom w:val="single" w:sz="4" w:space="0" w:color="auto"/>
              <w:right w:val="single" w:sz="4" w:space="0" w:color="auto"/>
            </w:tcBorders>
            <w:shd w:val="clear" w:color="000000" w:fill="FFFFFF"/>
            <w:noWrap/>
            <w:vAlign w:val="bottom"/>
            <w:hideMark/>
          </w:tcPr>
          <w:p w14:paraId="0BE0E8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450,4</w:t>
            </w:r>
          </w:p>
        </w:tc>
        <w:tc>
          <w:tcPr>
            <w:tcW w:w="1040" w:type="dxa"/>
            <w:tcBorders>
              <w:top w:val="nil"/>
              <w:left w:val="nil"/>
              <w:bottom w:val="single" w:sz="4" w:space="0" w:color="auto"/>
              <w:right w:val="single" w:sz="4" w:space="0" w:color="auto"/>
            </w:tcBorders>
            <w:shd w:val="clear" w:color="000000" w:fill="FFFFFF"/>
            <w:noWrap/>
            <w:vAlign w:val="bottom"/>
            <w:hideMark/>
          </w:tcPr>
          <w:p w14:paraId="4E3ECA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w:t>
            </w:r>
          </w:p>
        </w:tc>
        <w:tc>
          <w:tcPr>
            <w:tcW w:w="1087" w:type="dxa"/>
            <w:tcBorders>
              <w:top w:val="nil"/>
              <w:left w:val="nil"/>
              <w:bottom w:val="single" w:sz="4" w:space="0" w:color="auto"/>
              <w:right w:val="single" w:sz="4" w:space="0" w:color="auto"/>
            </w:tcBorders>
            <w:shd w:val="clear" w:color="000000" w:fill="FFFFFF"/>
            <w:noWrap/>
            <w:vAlign w:val="bottom"/>
            <w:hideMark/>
          </w:tcPr>
          <w:p w14:paraId="59EF0A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41,9</w:t>
            </w:r>
          </w:p>
        </w:tc>
        <w:tc>
          <w:tcPr>
            <w:tcW w:w="1040" w:type="dxa"/>
            <w:tcBorders>
              <w:top w:val="nil"/>
              <w:left w:val="nil"/>
              <w:bottom w:val="single" w:sz="4" w:space="0" w:color="auto"/>
              <w:right w:val="single" w:sz="4" w:space="0" w:color="auto"/>
            </w:tcBorders>
            <w:shd w:val="clear" w:color="000000" w:fill="FFFFFF"/>
            <w:noWrap/>
            <w:vAlign w:val="bottom"/>
            <w:hideMark/>
          </w:tcPr>
          <w:p w14:paraId="426E7F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123,7</w:t>
            </w:r>
          </w:p>
        </w:tc>
        <w:tc>
          <w:tcPr>
            <w:tcW w:w="1226" w:type="dxa"/>
            <w:tcBorders>
              <w:top w:val="nil"/>
              <w:left w:val="nil"/>
              <w:bottom w:val="single" w:sz="4" w:space="0" w:color="auto"/>
              <w:right w:val="single" w:sz="4" w:space="0" w:color="auto"/>
            </w:tcBorders>
            <w:shd w:val="clear" w:color="000000" w:fill="FFFFFF"/>
            <w:noWrap/>
            <w:vAlign w:val="bottom"/>
            <w:hideMark/>
          </w:tcPr>
          <w:p w14:paraId="241BAE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FB746C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F9290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Hово село</w:t>
            </w:r>
          </w:p>
        </w:tc>
        <w:tc>
          <w:tcPr>
            <w:tcW w:w="1911" w:type="dxa"/>
            <w:tcBorders>
              <w:top w:val="nil"/>
              <w:left w:val="nil"/>
              <w:bottom w:val="single" w:sz="4" w:space="0" w:color="auto"/>
              <w:right w:val="single" w:sz="4" w:space="0" w:color="auto"/>
            </w:tcBorders>
            <w:shd w:val="clear" w:color="000000" w:fill="FFFFFF"/>
            <w:noWrap/>
            <w:vAlign w:val="bottom"/>
            <w:hideMark/>
          </w:tcPr>
          <w:p w14:paraId="74AF51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3 002,7</w:t>
            </w:r>
          </w:p>
        </w:tc>
        <w:tc>
          <w:tcPr>
            <w:tcW w:w="1118" w:type="dxa"/>
            <w:tcBorders>
              <w:top w:val="nil"/>
              <w:left w:val="nil"/>
              <w:bottom w:val="single" w:sz="4" w:space="0" w:color="auto"/>
              <w:right w:val="single" w:sz="4" w:space="0" w:color="auto"/>
            </w:tcBorders>
            <w:shd w:val="clear" w:color="000000" w:fill="FFFFFF"/>
            <w:noWrap/>
            <w:vAlign w:val="bottom"/>
            <w:hideMark/>
          </w:tcPr>
          <w:p w14:paraId="04DA22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554,9</w:t>
            </w:r>
          </w:p>
        </w:tc>
        <w:tc>
          <w:tcPr>
            <w:tcW w:w="1257" w:type="dxa"/>
            <w:tcBorders>
              <w:top w:val="nil"/>
              <w:left w:val="nil"/>
              <w:bottom w:val="single" w:sz="4" w:space="0" w:color="auto"/>
              <w:right w:val="single" w:sz="4" w:space="0" w:color="auto"/>
            </w:tcBorders>
            <w:shd w:val="clear" w:color="000000" w:fill="FFFFFF"/>
            <w:noWrap/>
            <w:vAlign w:val="bottom"/>
            <w:hideMark/>
          </w:tcPr>
          <w:p w14:paraId="3F7383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104,4</w:t>
            </w:r>
          </w:p>
        </w:tc>
        <w:tc>
          <w:tcPr>
            <w:tcW w:w="1384" w:type="dxa"/>
            <w:tcBorders>
              <w:top w:val="nil"/>
              <w:left w:val="nil"/>
              <w:bottom w:val="single" w:sz="4" w:space="0" w:color="auto"/>
              <w:right w:val="single" w:sz="4" w:space="0" w:color="auto"/>
            </w:tcBorders>
            <w:shd w:val="clear" w:color="000000" w:fill="FFFFFF"/>
            <w:noWrap/>
            <w:vAlign w:val="bottom"/>
            <w:hideMark/>
          </w:tcPr>
          <w:p w14:paraId="4D88B3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450,5</w:t>
            </w:r>
          </w:p>
        </w:tc>
        <w:tc>
          <w:tcPr>
            <w:tcW w:w="1134" w:type="dxa"/>
            <w:tcBorders>
              <w:top w:val="nil"/>
              <w:left w:val="nil"/>
              <w:bottom w:val="single" w:sz="4" w:space="0" w:color="auto"/>
              <w:right w:val="single" w:sz="4" w:space="0" w:color="auto"/>
            </w:tcBorders>
            <w:shd w:val="clear" w:color="000000" w:fill="FFFFFF"/>
            <w:noWrap/>
            <w:vAlign w:val="bottom"/>
            <w:hideMark/>
          </w:tcPr>
          <w:p w14:paraId="10551B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142,3</w:t>
            </w:r>
          </w:p>
        </w:tc>
        <w:tc>
          <w:tcPr>
            <w:tcW w:w="1277" w:type="dxa"/>
            <w:tcBorders>
              <w:top w:val="nil"/>
              <w:left w:val="nil"/>
              <w:bottom w:val="single" w:sz="4" w:space="0" w:color="auto"/>
              <w:right w:val="single" w:sz="4" w:space="0" w:color="auto"/>
            </w:tcBorders>
            <w:shd w:val="clear" w:color="000000" w:fill="FFFFFF"/>
            <w:noWrap/>
            <w:vAlign w:val="bottom"/>
            <w:hideMark/>
          </w:tcPr>
          <w:p w14:paraId="2C1653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878,0</w:t>
            </w:r>
          </w:p>
        </w:tc>
        <w:tc>
          <w:tcPr>
            <w:tcW w:w="1040" w:type="dxa"/>
            <w:tcBorders>
              <w:top w:val="nil"/>
              <w:left w:val="nil"/>
              <w:bottom w:val="single" w:sz="4" w:space="0" w:color="auto"/>
              <w:right w:val="single" w:sz="4" w:space="0" w:color="auto"/>
            </w:tcBorders>
            <w:shd w:val="clear" w:color="000000" w:fill="FFFFFF"/>
            <w:noWrap/>
            <w:vAlign w:val="bottom"/>
            <w:hideMark/>
          </w:tcPr>
          <w:p w14:paraId="6FA0F6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15,6</w:t>
            </w:r>
          </w:p>
        </w:tc>
        <w:tc>
          <w:tcPr>
            <w:tcW w:w="1087" w:type="dxa"/>
            <w:tcBorders>
              <w:top w:val="nil"/>
              <w:left w:val="nil"/>
              <w:bottom w:val="single" w:sz="4" w:space="0" w:color="auto"/>
              <w:right w:val="single" w:sz="4" w:space="0" w:color="auto"/>
            </w:tcBorders>
            <w:shd w:val="clear" w:color="000000" w:fill="FFFFFF"/>
            <w:noWrap/>
            <w:vAlign w:val="bottom"/>
            <w:hideMark/>
          </w:tcPr>
          <w:p w14:paraId="0D1B054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1 277,0</w:t>
            </w:r>
          </w:p>
        </w:tc>
        <w:tc>
          <w:tcPr>
            <w:tcW w:w="1040" w:type="dxa"/>
            <w:tcBorders>
              <w:top w:val="nil"/>
              <w:left w:val="nil"/>
              <w:bottom w:val="single" w:sz="4" w:space="0" w:color="auto"/>
              <w:right w:val="single" w:sz="4" w:space="0" w:color="auto"/>
            </w:tcBorders>
            <w:shd w:val="clear" w:color="000000" w:fill="FFFFFF"/>
            <w:noWrap/>
            <w:vAlign w:val="bottom"/>
            <w:hideMark/>
          </w:tcPr>
          <w:p w14:paraId="60A524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134,9</w:t>
            </w:r>
          </w:p>
        </w:tc>
        <w:tc>
          <w:tcPr>
            <w:tcW w:w="1226" w:type="dxa"/>
            <w:tcBorders>
              <w:top w:val="nil"/>
              <w:left w:val="nil"/>
              <w:bottom w:val="single" w:sz="4" w:space="0" w:color="auto"/>
              <w:right w:val="single" w:sz="4" w:space="0" w:color="auto"/>
            </w:tcBorders>
            <w:shd w:val="clear" w:color="000000" w:fill="FFFFFF"/>
            <w:noWrap/>
            <w:vAlign w:val="bottom"/>
            <w:hideMark/>
          </w:tcPr>
          <w:p w14:paraId="3A7E70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D0D81C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523AE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Pужинци</w:t>
            </w:r>
          </w:p>
        </w:tc>
        <w:tc>
          <w:tcPr>
            <w:tcW w:w="1911" w:type="dxa"/>
            <w:tcBorders>
              <w:top w:val="nil"/>
              <w:left w:val="nil"/>
              <w:bottom w:val="single" w:sz="4" w:space="0" w:color="auto"/>
              <w:right w:val="single" w:sz="4" w:space="0" w:color="auto"/>
            </w:tcBorders>
            <w:shd w:val="clear" w:color="000000" w:fill="FFFFFF"/>
            <w:noWrap/>
            <w:vAlign w:val="bottom"/>
            <w:hideMark/>
          </w:tcPr>
          <w:p w14:paraId="54ECBB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3 722,5</w:t>
            </w:r>
          </w:p>
        </w:tc>
        <w:tc>
          <w:tcPr>
            <w:tcW w:w="1118" w:type="dxa"/>
            <w:tcBorders>
              <w:top w:val="nil"/>
              <w:left w:val="nil"/>
              <w:bottom w:val="single" w:sz="4" w:space="0" w:color="auto"/>
              <w:right w:val="single" w:sz="4" w:space="0" w:color="auto"/>
            </w:tcBorders>
            <w:shd w:val="clear" w:color="000000" w:fill="FFFFFF"/>
            <w:noWrap/>
            <w:vAlign w:val="bottom"/>
            <w:hideMark/>
          </w:tcPr>
          <w:p w14:paraId="18EE94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655,1</w:t>
            </w:r>
          </w:p>
        </w:tc>
        <w:tc>
          <w:tcPr>
            <w:tcW w:w="1257" w:type="dxa"/>
            <w:tcBorders>
              <w:top w:val="nil"/>
              <w:left w:val="nil"/>
              <w:bottom w:val="single" w:sz="4" w:space="0" w:color="auto"/>
              <w:right w:val="single" w:sz="4" w:space="0" w:color="auto"/>
            </w:tcBorders>
            <w:shd w:val="clear" w:color="000000" w:fill="FFFFFF"/>
            <w:noWrap/>
            <w:vAlign w:val="bottom"/>
            <w:hideMark/>
          </w:tcPr>
          <w:p w14:paraId="13D5EF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163,3</w:t>
            </w:r>
          </w:p>
        </w:tc>
        <w:tc>
          <w:tcPr>
            <w:tcW w:w="1384" w:type="dxa"/>
            <w:tcBorders>
              <w:top w:val="nil"/>
              <w:left w:val="nil"/>
              <w:bottom w:val="single" w:sz="4" w:space="0" w:color="auto"/>
              <w:right w:val="single" w:sz="4" w:space="0" w:color="auto"/>
            </w:tcBorders>
            <w:shd w:val="clear" w:color="000000" w:fill="FFFFFF"/>
            <w:noWrap/>
            <w:vAlign w:val="bottom"/>
            <w:hideMark/>
          </w:tcPr>
          <w:p w14:paraId="1162E8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491,8</w:t>
            </w:r>
          </w:p>
        </w:tc>
        <w:tc>
          <w:tcPr>
            <w:tcW w:w="1134" w:type="dxa"/>
            <w:tcBorders>
              <w:top w:val="nil"/>
              <w:left w:val="nil"/>
              <w:bottom w:val="single" w:sz="4" w:space="0" w:color="auto"/>
              <w:right w:val="single" w:sz="4" w:space="0" w:color="auto"/>
            </w:tcBorders>
            <w:shd w:val="clear" w:color="000000" w:fill="FFFFFF"/>
            <w:noWrap/>
            <w:vAlign w:val="bottom"/>
            <w:hideMark/>
          </w:tcPr>
          <w:p w14:paraId="1A7BDC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136,5</w:t>
            </w:r>
          </w:p>
        </w:tc>
        <w:tc>
          <w:tcPr>
            <w:tcW w:w="1277" w:type="dxa"/>
            <w:tcBorders>
              <w:top w:val="nil"/>
              <w:left w:val="nil"/>
              <w:bottom w:val="single" w:sz="4" w:space="0" w:color="auto"/>
              <w:right w:val="single" w:sz="4" w:space="0" w:color="auto"/>
            </w:tcBorders>
            <w:shd w:val="clear" w:color="000000" w:fill="FFFFFF"/>
            <w:noWrap/>
            <w:vAlign w:val="bottom"/>
            <w:hideMark/>
          </w:tcPr>
          <w:p w14:paraId="1CB927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2 340,7</w:t>
            </w:r>
          </w:p>
        </w:tc>
        <w:tc>
          <w:tcPr>
            <w:tcW w:w="1040" w:type="dxa"/>
            <w:tcBorders>
              <w:top w:val="nil"/>
              <w:left w:val="nil"/>
              <w:bottom w:val="single" w:sz="4" w:space="0" w:color="auto"/>
              <w:right w:val="single" w:sz="4" w:space="0" w:color="auto"/>
            </w:tcBorders>
            <w:shd w:val="clear" w:color="000000" w:fill="FFFFFF"/>
            <w:noWrap/>
            <w:vAlign w:val="bottom"/>
            <w:hideMark/>
          </w:tcPr>
          <w:p w14:paraId="062EF0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79,6</w:t>
            </w:r>
          </w:p>
        </w:tc>
        <w:tc>
          <w:tcPr>
            <w:tcW w:w="1087" w:type="dxa"/>
            <w:tcBorders>
              <w:top w:val="nil"/>
              <w:left w:val="nil"/>
              <w:bottom w:val="single" w:sz="4" w:space="0" w:color="auto"/>
              <w:right w:val="single" w:sz="4" w:space="0" w:color="auto"/>
            </w:tcBorders>
            <w:shd w:val="clear" w:color="000000" w:fill="FFFFFF"/>
            <w:noWrap/>
            <w:vAlign w:val="bottom"/>
            <w:hideMark/>
          </w:tcPr>
          <w:p w14:paraId="51DB21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398,2</w:t>
            </w:r>
          </w:p>
        </w:tc>
        <w:tc>
          <w:tcPr>
            <w:tcW w:w="1040" w:type="dxa"/>
            <w:tcBorders>
              <w:top w:val="nil"/>
              <w:left w:val="nil"/>
              <w:bottom w:val="single" w:sz="4" w:space="0" w:color="auto"/>
              <w:right w:val="single" w:sz="4" w:space="0" w:color="auto"/>
            </w:tcBorders>
            <w:shd w:val="clear" w:color="000000" w:fill="FFFFFF"/>
            <w:noWrap/>
            <w:vAlign w:val="bottom"/>
            <w:hideMark/>
          </w:tcPr>
          <w:p w14:paraId="5E9991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112,4</w:t>
            </w:r>
          </w:p>
        </w:tc>
        <w:tc>
          <w:tcPr>
            <w:tcW w:w="1226" w:type="dxa"/>
            <w:tcBorders>
              <w:top w:val="nil"/>
              <w:left w:val="nil"/>
              <w:bottom w:val="single" w:sz="4" w:space="0" w:color="auto"/>
              <w:right w:val="single" w:sz="4" w:space="0" w:color="auto"/>
            </w:tcBorders>
            <w:shd w:val="clear" w:color="000000" w:fill="FFFFFF"/>
            <w:noWrap/>
            <w:vAlign w:val="bottom"/>
            <w:hideMark/>
          </w:tcPr>
          <w:p w14:paraId="445F09F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2BB89E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A3862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Чупрене</w:t>
            </w:r>
          </w:p>
        </w:tc>
        <w:tc>
          <w:tcPr>
            <w:tcW w:w="1911" w:type="dxa"/>
            <w:tcBorders>
              <w:top w:val="nil"/>
              <w:left w:val="nil"/>
              <w:bottom w:val="single" w:sz="4" w:space="0" w:color="auto"/>
              <w:right w:val="single" w:sz="4" w:space="0" w:color="auto"/>
            </w:tcBorders>
            <w:shd w:val="clear" w:color="000000" w:fill="FFFFFF"/>
            <w:noWrap/>
            <w:vAlign w:val="bottom"/>
            <w:hideMark/>
          </w:tcPr>
          <w:p w14:paraId="401DD2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2 817,7</w:t>
            </w:r>
          </w:p>
        </w:tc>
        <w:tc>
          <w:tcPr>
            <w:tcW w:w="1118" w:type="dxa"/>
            <w:tcBorders>
              <w:top w:val="nil"/>
              <w:left w:val="nil"/>
              <w:bottom w:val="single" w:sz="4" w:space="0" w:color="auto"/>
              <w:right w:val="single" w:sz="4" w:space="0" w:color="auto"/>
            </w:tcBorders>
            <w:shd w:val="clear" w:color="000000" w:fill="FFFFFF"/>
            <w:noWrap/>
            <w:vAlign w:val="bottom"/>
            <w:hideMark/>
          </w:tcPr>
          <w:p w14:paraId="5313A5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573,1</w:t>
            </w:r>
          </w:p>
        </w:tc>
        <w:tc>
          <w:tcPr>
            <w:tcW w:w="1257" w:type="dxa"/>
            <w:tcBorders>
              <w:top w:val="nil"/>
              <w:left w:val="nil"/>
              <w:bottom w:val="single" w:sz="4" w:space="0" w:color="auto"/>
              <w:right w:val="single" w:sz="4" w:space="0" w:color="auto"/>
            </w:tcBorders>
            <w:shd w:val="clear" w:color="000000" w:fill="FFFFFF"/>
            <w:noWrap/>
            <w:vAlign w:val="bottom"/>
            <w:hideMark/>
          </w:tcPr>
          <w:p w14:paraId="33B9E0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143,2</w:t>
            </w:r>
          </w:p>
        </w:tc>
        <w:tc>
          <w:tcPr>
            <w:tcW w:w="1384" w:type="dxa"/>
            <w:tcBorders>
              <w:top w:val="nil"/>
              <w:left w:val="nil"/>
              <w:bottom w:val="single" w:sz="4" w:space="0" w:color="auto"/>
              <w:right w:val="single" w:sz="4" w:space="0" w:color="auto"/>
            </w:tcBorders>
            <w:shd w:val="clear" w:color="000000" w:fill="FFFFFF"/>
            <w:noWrap/>
            <w:vAlign w:val="bottom"/>
            <w:hideMark/>
          </w:tcPr>
          <w:p w14:paraId="7CD450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429,9</w:t>
            </w:r>
          </w:p>
        </w:tc>
        <w:tc>
          <w:tcPr>
            <w:tcW w:w="1134" w:type="dxa"/>
            <w:tcBorders>
              <w:top w:val="nil"/>
              <w:left w:val="nil"/>
              <w:bottom w:val="single" w:sz="4" w:space="0" w:color="auto"/>
              <w:right w:val="single" w:sz="4" w:space="0" w:color="auto"/>
            </w:tcBorders>
            <w:shd w:val="clear" w:color="000000" w:fill="FFFFFF"/>
            <w:noWrap/>
            <w:vAlign w:val="bottom"/>
            <w:hideMark/>
          </w:tcPr>
          <w:p w14:paraId="78323D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130,5</w:t>
            </w:r>
          </w:p>
        </w:tc>
        <w:tc>
          <w:tcPr>
            <w:tcW w:w="1277" w:type="dxa"/>
            <w:tcBorders>
              <w:top w:val="nil"/>
              <w:left w:val="nil"/>
              <w:bottom w:val="single" w:sz="4" w:space="0" w:color="auto"/>
              <w:right w:val="single" w:sz="4" w:space="0" w:color="auto"/>
            </w:tcBorders>
            <w:shd w:val="clear" w:color="000000" w:fill="FFFFFF"/>
            <w:noWrap/>
            <w:vAlign w:val="bottom"/>
            <w:hideMark/>
          </w:tcPr>
          <w:p w14:paraId="3A5C7C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892,1</w:t>
            </w:r>
          </w:p>
        </w:tc>
        <w:tc>
          <w:tcPr>
            <w:tcW w:w="1040" w:type="dxa"/>
            <w:tcBorders>
              <w:top w:val="nil"/>
              <w:left w:val="nil"/>
              <w:bottom w:val="single" w:sz="4" w:space="0" w:color="auto"/>
              <w:right w:val="single" w:sz="4" w:space="0" w:color="auto"/>
            </w:tcBorders>
            <w:shd w:val="clear" w:color="000000" w:fill="FFFFFF"/>
            <w:noWrap/>
            <w:vAlign w:val="bottom"/>
            <w:hideMark/>
          </w:tcPr>
          <w:p w14:paraId="092038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24,5</w:t>
            </w:r>
          </w:p>
        </w:tc>
        <w:tc>
          <w:tcPr>
            <w:tcW w:w="1087" w:type="dxa"/>
            <w:tcBorders>
              <w:top w:val="nil"/>
              <w:left w:val="nil"/>
              <w:bottom w:val="single" w:sz="4" w:space="0" w:color="auto"/>
              <w:right w:val="single" w:sz="4" w:space="0" w:color="auto"/>
            </w:tcBorders>
            <w:shd w:val="clear" w:color="000000" w:fill="FFFFFF"/>
            <w:noWrap/>
            <w:vAlign w:val="bottom"/>
            <w:hideMark/>
          </w:tcPr>
          <w:p w14:paraId="34131B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1 096,3</w:t>
            </w:r>
          </w:p>
        </w:tc>
        <w:tc>
          <w:tcPr>
            <w:tcW w:w="1040" w:type="dxa"/>
            <w:tcBorders>
              <w:top w:val="nil"/>
              <w:left w:val="nil"/>
              <w:bottom w:val="single" w:sz="4" w:space="0" w:color="auto"/>
              <w:right w:val="single" w:sz="4" w:space="0" w:color="auto"/>
            </w:tcBorders>
            <w:shd w:val="clear" w:color="000000" w:fill="FFFFFF"/>
            <w:noWrap/>
            <w:vAlign w:val="bottom"/>
            <w:hideMark/>
          </w:tcPr>
          <w:p w14:paraId="5C12A9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101,2</w:t>
            </w:r>
          </w:p>
        </w:tc>
        <w:tc>
          <w:tcPr>
            <w:tcW w:w="1226" w:type="dxa"/>
            <w:tcBorders>
              <w:top w:val="nil"/>
              <w:left w:val="nil"/>
              <w:bottom w:val="single" w:sz="4" w:space="0" w:color="auto"/>
              <w:right w:val="single" w:sz="4" w:space="0" w:color="auto"/>
            </w:tcBorders>
            <w:shd w:val="clear" w:color="000000" w:fill="FFFFFF"/>
            <w:noWrap/>
            <w:vAlign w:val="bottom"/>
            <w:hideMark/>
          </w:tcPr>
          <w:p w14:paraId="530285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506D2E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FA54C9D"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5378EE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6167C7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6561E18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7715A57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147909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026CE8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715FC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118A1E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AB8A6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18E85B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808A8F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1D513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ОБЛАСТ ВРАЦА</w:t>
            </w:r>
          </w:p>
        </w:tc>
        <w:tc>
          <w:tcPr>
            <w:tcW w:w="1911" w:type="dxa"/>
            <w:tcBorders>
              <w:top w:val="nil"/>
              <w:left w:val="nil"/>
              <w:bottom w:val="single" w:sz="4" w:space="0" w:color="auto"/>
              <w:right w:val="single" w:sz="4" w:space="0" w:color="auto"/>
            </w:tcBorders>
            <w:shd w:val="clear" w:color="000000" w:fill="FFFFFF"/>
            <w:noWrap/>
            <w:vAlign w:val="bottom"/>
            <w:hideMark/>
          </w:tcPr>
          <w:p w14:paraId="36674D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340DDB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12BC6D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61CBEC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674233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71C86D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12525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7927DE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99924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53275C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FA4FA9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F467A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Борован</w:t>
            </w:r>
          </w:p>
        </w:tc>
        <w:tc>
          <w:tcPr>
            <w:tcW w:w="1911" w:type="dxa"/>
            <w:tcBorders>
              <w:top w:val="nil"/>
              <w:left w:val="nil"/>
              <w:bottom w:val="single" w:sz="4" w:space="0" w:color="auto"/>
              <w:right w:val="single" w:sz="4" w:space="0" w:color="auto"/>
            </w:tcBorders>
            <w:shd w:val="clear" w:color="000000" w:fill="FFFFFF"/>
            <w:noWrap/>
            <w:vAlign w:val="bottom"/>
            <w:hideMark/>
          </w:tcPr>
          <w:p w14:paraId="7DDEDC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4 087,6</w:t>
            </w:r>
          </w:p>
        </w:tc>
        <w:tc>
          <w:tcPr>
            <w:tcW w:w="1118" w:type="dxa"/>
            <w:tcBorders>
              <w:top w:val="nil"/>
              <w:left w:val="nil"/>
              <w:bottom w:val="single" w:sz="4" w:space="0" w:color="auto"/>
              <w:right w:val="single" w:sz="4" w:space="0" w:color="auto"/>
            </w:tcBorders>
            <w:shd w:val="clear" w:color="000000" w:fill="FFFFFF"/>
            <w:noWrap/>
            <w:vAlign w:val="bottom"/>
            <w:hideMark/>
          </w:tcPr>
          <w:p w14:paraId="69AFBE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649,7</w:t>
            </w:r>
          </w:p>
        </w:tc>
        <w:tc>
          <w:tcPr>
            <w:tcW w:w="1257" w:type="dxa"/>
            <w:tcBorders>
              <w:top w:val="nil"/>
              <w:left w:val="nil"/>
              <w:bottom w:val="single" w:sz="4" w:space="0" w:color="auto"/>
              <w:right w:val="single" w:sz="4" w:space="0" w:color="auto"/>
            </w:tcBorders>
            <w:shd w:val="clear" w:color="000000" w:fill="FFFFFF"/>
            <w:noWrap/>
            <w:vAlign w:val="bottom"/>
            <w:hideMark/>
          </w:tcPr>
          <w:p w14:paraId="162906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104,4</w:t>
            </w:r>
          </w:p>
        </w:tc>
        <w:tc>
          <w:tcPr>
            <w:tcW w:w="1384" w:type="dxa"/>
            <w:tcBorders>
              <w:top w:val="nil"/>
              <w:left w:val="nil"/>
              <w:bottom w:val="single" w:sz="4" w:space="0" w:color="auto"/>
              <w:right w:val="single" w:sz="4" w:space="0" w:color="auto"/>
            </w:tcBorders>
            <w:shd w:val="clear" w:color="000000" w:fill="FFFFFF"/>
            <w:noWrap/>
            <w:vAlign w:val="bottom"/>
            <w:hideMark/>
          </w:tcPr>
          <w:p w14:paraId="3EE6AC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545,3</w:t>
            </w:r>
          </w:p>
        </w:tc>
        <w:tc>
          <w:tcPr>
            <w:tcW w:w="1134" w:type="dxa"/>
            <w:tcBorders>
              <w:top w:val="nil"/>
              <w:left w:val="nil"/>
              <w:bottom w:val="single" w:sz="4" w:space="0" w:color="auto"/>
              <w:right w:val="single" w:sz="4" w:space="0" w:color="auto"/>
            </w:tcBorders>
            <w:shd w:val="clear" w:color="000000" w:fill="FFFFFF"/>
            <w:noWrap/>
            <w:vAlign w:val="bottom"/>
            <w:hideMark/>
          </w:tcPr>
          <w:p w14:paraId="32776E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149,6</w:t>
            </w:r>
          </w:p>
        </w:tc>
        <w:tc>
          <w:tcPr>
            <w:tcW w:w="1277" w:type="dxa"/>
            <w:tcBorders>
              <w:top w:val="nil"/>
              <w:left w:val="nil"/>
              <w:bottom w:val="single" w:sz="4" w:space="0" w:color="auto"/>
              <w:right w:val="single" w:sz="4" w:space="0" w:color="auto"/>
            </w:tcBorders>
            <w:shd w:val="clear" w:color="000000" w:fill="FFFFFF"/>
            <w:noWrap/>
            <w:vAlign w:val="bottom"/>
            <w:hideMark/>
          </w:tcPr>
          <w:p w14:paraId="2AD607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2 470,4</w:t>
            </w:r>
          </w:p>
        </w:tc>
        <w:tc>
          <w:tcPr>
            <w:tcW w:w="1040" w:type="dxa"/>
            <w:tcBorders>
              <w:top w:val="nil"/>
              <w:left w:val="nil"/>
              <w:bottom w:val="single" w:sz="4" w:space="0" w:color="auto"/>
              <w:right w:val="single" w:sz="4" w:space="0" w:color="auto"/>
            </w:tcBorders>
            <w:shd w:val="clear" w:color="000000" w:fill="FFFFFF"/>
            <w:noWrap/>
            <w:vAlign w:val="bottom"/>
            <w:hideMark/>
          </w:tcPr>
          <w:p w14:paraId="6FE8AB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84,7</w:t>
            </w:r>
          </w:p>
        </w:tc>
        <w:tc>
          <w:tcPr>
            <w:tcW w:w="1087" w:type="dxa"/>
            <w:tcBorders>
              <w:top w:val="nil"/>
              <w:left w:val="nil"/>
              <w:bottom w:val="single" w:sz="4" w:space="0" w:color="auto"/>
              <w:right w:val="single" w:sz="4" w:space="0" w:color="auto"/>
            </w:tcBorders>
            <w:shd w:val="clear" w:color="000000" w:fill="FFFFFF"/>
            <w:noWrap/>
            <w:vAlign w:val="bottom"/>
            <w:hideMark/>
          </w:tcPr>
          <w:p w14:paraId="4C048C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598,3</w:t>
            </w:r>
          </w:p>
        </w:tc>
        <w:tc>
          <w:tcPr>
            <w:tcW w:w="1040" w:type="dxa"/>
            <w:tcBorders>
              <w:top w:val="nil"/>
              <w:left w:val="nil"/>
              <w:bottom w:val="single" w:sz="4" w:space="0" w:color="auto"/>
              <w:right w:val="single" w:sz="4" w:space="0" w:color="auto"/>
            </w:tcBorders>
            <w:shd w:val="clear" w:color="000000" w:fill="FFFFFF"/>
            <w:noWrap/>
            <w:vAlign w:val="bottom"/>
            <w:hideMark/>
          </w:tcPr>
          <w:p w14:paraId="658CDF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134,9</w:t>
            </w:r>
          </w:p>
        </w:tc>
        <w:tc>
          <w:tcPr>
            <w:tcW w:w="1226" w:type="dxa"/>
            <w:tcBorders>
              <w:top w:val="nil"/>
              <w:left w:val="nil"/>
              <w:bottom w:val="single" w:sz="4" w:space="0" w:color="auto"/>
              <w:right w:val="single" w:sz="4" w:space="0" w:color="auto"/>
            </w:tcBorders>
            <w:shd w:val="clear" w:color="000000" w:fill="FFFFFF"/>
            <w:noWrap/>
            <w:vAlign w:val="bottom"/>
            <w:hideMark/>
          </w:tcPr>
          <w:p w14:paraId="6860AB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7B8ECE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72EF2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Бяла Cлатина</w:t>
            </w:r>
          </w:p>
        </w:tc>
        <w:tc>
          <w:tcPr>
            <w:tcW w:w="1911" w:type="dxa"/>
            <w:tcBorders>
              <w:top w:val="nil"/>
              <w:left w:val="nil"/>
              <w:bottom w:val="single" w:sz="4" w:space="0" w:color="auto"/>
              <w:right w:val="single" w:sz="4" w:space="0" w:color="auto"/>
            </w:tcBorders>
            <w:shd w:val="clear" w:color="000000" w:fill="FFFFFF"/>
            <w:noWrap/>
            <w:vAlign w:val="bottom"/>
            <w:hideMark/>
          </w:tcPr>
          <w:p w14:paraId="3F0EDC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17 224,1</w:t>
            </w:r>
          </w:p>
        </w:tc>
        <w:tc>
          <w:tcPr>
            <w:tcW w:w="1118" w:type="dxa"/>
            <w:tcBorders>
              <w:top w:val="nil"/>
              <w:left w:val="nil"/>
              <w:bottom w:val="single" w:sz="4" w:space="0" w:color="auto"/>
              <w:right w:val="single" w:sz="4" w:space="0" w:color="auto"/>
            </w:tcBorders>
            <w:shd w:val="clear" w:color="000000" w:fill="FFFFFF"/>
            <w:noWrap/>
            <w:vAlign w:val="bottom"/>
            <w:hideMark/>
          </w:tcPr>
          <w:p w14:paraId="3833E7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1 339,0</w:t>
            </w:r>
          </w:p>
        </w:tc>
        <w:tc>
          <w:tcPr>
            <w:tcW w:w="1257" w:type="dxa"/>
            <w:tcBorders>
              <w:top w:val="nil"/>
              <w:left w:val="nil"/>
              <w:bottom w:val="single" w:sz="4" w:space="0" w:color="auto"/>
              <w:right w:val="single" w:sz="4" w:space="0" w:color="auto"/>
            </w:tcBorders>
            <w:shd w:val="clear" w:color="000000" w:fill="FFFFFF"/>
            <w:noWrap/>
            <w:vAlign w:val="bottom"/>
            <w:hideMark/>
          </w:tcPr>
          <w:p w14:paraId="3A35DA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269,5</w:t>
            </w:r>
          </w:p>
        </w:tc>
        <w:tc>
          <w:tcPr>
            <w:tcW w:w="1384" w:type="dxa"/>
            <w:tcBorders>
              <w:top w:val="nil"/>
              <w:left w:val="nil"/>
              <w:bottom w:val="single" w:sz="4" w:space="0" w:color="auto"/>
              <w:right w:val="single" w:sz="4" w:space="0" w:color="auto"/>
            </w:tcBorders>
            <w:shd w:val="clear" w:color="000000" w:fill="FFFFFF"/>
            <w:noWrap/>
            <w:vAlign w:val="bottom"/>
            <w:hideMark/>
          </w:tcPr>
          <w:p w14:paraId="3F1EF0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1 069,5</w:t>
            </w:r>
          </w:p>
        </w:tc>
        <w:tc>
          <w:tcPr>
            <w:tcW w:w="1134" w:type="dxa"/>
            <w:tcBorders>
              <w:top w:val="nil"/>
              <w:left w:val="nil"/>
              <w:bottom w:val="single" w:sz="4" w:space="0" w:color="auto"/>
              <w:right w:val="single" w:sz="4" w:space="0" w:color="auto"/>
            </w:tcBorders>
            <w:shd w:val="clear" w:color="000000" w:fill="FFFFFF"/>
            <w:noWrap/>
            <w:vAlign w:val="bottom"/>
            <w:hideMark/>
          </w:tcPr>
          <w:p w14:paraId="20EF02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178,3</w:t>
            </w:r>
          </w:p>
        </w:tc>
        <w:tc>
          <w:tcPr>
            <w:tcW w:w="1277" w:type="dxa"/>
            <w:tcBorders>
              <w:top w:val="nil"/>
              <w:left w:val="nil"/>
              <w:bottom w:val="single" w:sz="4" w:space="0" w:color="auto"/>
              <w:right w:val="single" w:sz="4" w:space="0" w:color="auto"/>
            </w:tcBorders>
            <w:shd w:val="clear" w:color="000000" w:fill="FFFFFF"/>
            <w:noWrap/>
            <w:vAlign w:val="bottom"/>
            <w:hideMark/>
          </w:tcPr>
          <w:p w14:paraId="0C313A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11 207,1</w:t>
            </w:r>
          </w:p>
        </w:tc>
        <w:tc>
          <w:tcPr>
            <w:tcW w:w="1040" w:type="dxa"/>
            <w:tcBorders>
              <w:top w:val="nil"/>
              <w:left w:val="nil"/>
              <w:bottom w:val="single" w:sz="4" w:space="0" w:color="auto"/>
              <w:right w:val="single" w:sz="4" w:space="0" w:color="auto"/>
            </w:tcBorders>
            <w:shd w:val="clear" w:color="000000" w:fill="FFFFFF"/>
            <w:noWrap/>
            <w:vAlign w:val="bottom"/>
            <w:hideMark/>
          </w:tcPr>
          <w:p w14:paraId="57AA89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612,5</w:t>
            </w:r>
          </w:p>
        </w:tc>
        <w:tc>
          <w:tcPr>
            <w:tcW w:w="1087" w:type="dxa"/>
            <w:tcBorders>
              <w:top w:val="nil"/>
              <w:left w:val="nil"/>
              <w:bottom w:val="single" w:sz="4" w:space="0" w:color="auto"/>
              <w:right w:val="single" w:sz="4" w:space="0" w:color="auto"/>
            </w:tcBorders>
            <w:shd w:val="clear" w:color="000000" w:fill="FFFFFF"/>
            <w:noWrap/>
            <w:vAlign w:val="bottom"/>
            <w:hideMark/>
          </w:tcPr>
          <w:p w14:paraId="445C17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3 432,0</w:t>
            </w:r>
          </w:p>
        </w:tc>
        <w:tc>
          <w:tcPr>
            <w:tcW w:w="1040" w:type="dxa"/>
            <w:tcBorders>
              <w:top w:val="nil"/>
              <w:left w:val="nil"/>
              <w:bottom w:val="single" w:sz="4" w:space="0" w:color="auto"/>
              <w:right w:val="single" w:sz="4" w:space="0" w:color="auto"/>
            </w:tcBorders>
            <w:shd w:val="clear" w:color="000000" w:fill="FFFFFF"/>
            <w:noWrap/>
            <w:vAlign w:val="bottom"/>
            <w:hideMark/>
          </w:tcPr>
          <w:p w14:paraId="1C08DD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455,2</w:t>
            </w:r>
          </w:p>
        </w:tc>
        <w:tc>
          <w:tcPr>
            <w:tcW w:w="1226" w:type="dxa"/>
            <w:tcBorders>
              <w:top w:val="nil"/>
              <w:left w:val="nil"/>
              <w:bottom w:val="single" w:sz="4" w:space="0" w:color="auto"/>
              <w:right w:val="single" w:sz="4" w:space="0" w:color="auto"/>
            </w:tcBorders>
            <w:shd w:val="clear" w:color="000000" w:fill="FFFFFF"/>
            <w:noWrap/>
            <w:vAlign w:val="bottom"/>
            <w:hideMark/>
          </w:tcPr>
          <w:p w14:paraId="1B30BC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C7DD62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C65FF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Bраца</w:t>
            </w:r>
          </w:p>
        </w:tc>
        <w:tc>
          <w:tcPr>
            <w:tcW w:w="1911" w:type="dxa"/>
            <w:tcBorders>
              <w:top w:val="nil"/>
              <w:left w:val="nil"/>
              <w:bottom w:val="single" w:sz="4" w:space="0" w:color="auto"/>
              <w:right w:val="single" w:sz="4" w:space="0" w:color="auto"/>
            </w:tcBorders>
            <w:shd w:val="clear" w:color="000000" w:fill="FFFFFF"/>
            <w:noWrap/>
            <w:vAlign w:val="bottom"/>
            <w:hideMark/>
          </w:tcPr>
          <w:p w14:paraId="00016B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47 443,1</w:t>
            </w:r>
          </w:p>
        </w:tc>
        <w:tc>
          <w:tcPr>
            <w:tcW w:w="1118" w:type="dxa"/>
            <w:tcBorders>
              <w:top w:val="nil"/>
              <w:left w:val="nil"/>
              <w:bottom w:val="single" w:sz="4" w:space="0" w:color="auto"/>
              <w:right w:val="single" w:sz="4" w:space="0" w:color="auto"/>
            </w:tcBorders>
            <w:shd w:val="clear" w:color="000000" w:fill="FFFFFF"/>
            <w:noWrap/>
            <w:vAlign w:val="bottom"/>
            <w:hideMark/>
          </w:tcPr>
          <w:p w14:paraId="519043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2 969,1</w:t>
            </w:r>
          </w:p>
        </w:tc>
        <w:tc>
          <w:tcPr>
            <w:tcW w:w="1257" w:type="dxa"/>
            <w:tcBorders>
              <w:top w:val="nil"/>
              <w:left w:val="nil"/>
              <w:bottom w:val="single" w:sz="4" w:space="0" w:color="auto"/>
              <w:right w:val="single" w:sz="4" w:space="0" w:color="auto"/>
            </w:tcBorders>
            <w:shd w:val="clear" w:color="000000" w:fill="FFFFFF"/>
            <w:noWrap/>
            <w:vAlign w:val="bottom"/>
            <w:hideMark/>
          </w:tcPr>
          <w:p w14:paraId="266C05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396,0</w:t>
            </w:r>
          </w:p>
        </w:tc>
        <w:tc>
          <w:tcPr>
            <w:tcW w:w="1384" w:type="dxa"/>
            <w:tcBorders>
              <w:top w:val="nil"/>
              <w:left w:val="nil"/>
              <w:bottom w:val="single" w:sz="4" w:space="0" w:color="auto"/>
              <w:right w:val="single" w:sz="4" w:space="0" w:color="auto"/>
            </w:tcBorders>
            <w:shd w:val="clear" w:color="000000" w:fill="FFFFFF"/>
            <w:noWrap/>
            <w:vAlign w:val="bottom"/>
            <w:hideMark/>
          </w:tcPr>
          <w:p w14:paraId="191471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2 573,1</w:t>
            </w:r>
          </w:p>
        </w:tc>
        <w:tc>
          <w:tcPr>
            <w:tcW w:w="1134" w:type="dxa"/>
            <w:tcBorders>
              <w:top w:val="nil"/>
              <w:left w:val="nil"/>
              <w:bottom w:val="single" w:sz="4" w:space="0" w:color="auto"/>
              <w:right w:val="single" w:sz="4" w:space="0" w:color="auto"/>
            </w:tcBorders>
            <w:shd w:val="clear" w:color="000000" w:fill="FFFFFF"/>
            <w:noWrap/>
            <w:vAlign w:val="bottom"/>
            <w:hideMark/>
          </w:tcPr>
          <w:p w14:paraId="405338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275,6</w:t>
            </w:r>
          </w:p>
        </w:tc>
        <w:tc>
          <w:tcPr>
            <w:tcW w:w="1277" w:type="dxa"/>
            <w:tcBorders>
              <w:top w:val="nil"/>
              <w:left w:val="nil"/>
              <w:bottom w:val="single" w:sz="4" w:space="0" w:color="auto"/>
              <w:right w:val="single" w:sz="4" w:space="0" w:color="auto"/>
            </w:tcBorders>
            <w:shd w:val="clear" w:color="000000" w:fill="FFFFFF"/>
            <w:noWrap/>
            <w:vAlign w:val="bottom"/>
            <w:hideMark/>
          </w:tcPr>
          <w:p w14:paraId="53AA9F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31 761,8</w:t>
            </w:r>
          </w:p>
        </w:tc>
        <w:tc>
          <w:tcPr>
            <w:tcW w:w="1040" w:type="dxa"/>
            <w:tcBorders>
              <w:top w:val="nil"/>
              <w:left w:val="nil"/>
              <w:bottom w:val="single" w:sz="4" w:space="0" w:color="auto"/>
              <w:right w:val="single" w:sz="4" w:space="0" w:color="auto"/>
            </w:tcBorders>
            <w:shd w:val="clear" w:color="000000" w:fill="FFFFFF"/>
            <w:noWrap/>
            <w:vAlign w:val="bottom"/>
            <w:hideMark/>
          </w:tcPr>
          <w:p w14:paraId="53BA87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2 605,9</w:t>
            </w:r>
          </w:p>
        </w:tc>
        <w:tc>
          <w:tcPr>
            <w:tcW w:w="1087" w:type="dxa"/>
            <w:tcBorders>
              <w:top w:val="nil"/>
              <w:left w:val="nil"/>
              <w:bottom w:val="single" w:sz="4" w:space="0" w:color="auto"/>
              <w:right w:val="single" w:sz="4" w:space="0" w:color="auto"/>
            </w:tcBorders>
            <w:shd w:val="clear" w:color="000000" w:fill="FFFFFF"/>
            <w:noWrap/>
            <w:vAlign w:val="bottom"/>
            <w:hideMark/>
          </w:tcPr>
          <w:p w14:paraId="35FC8D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7 576,1</w:t>
            </w:r>
          </w:p>
        </w:tc>
        <w:tc>
          <w:tcPr>
            <w:tcW w:w="1040" w:type="dxa"/>
            <w:tcBorders>
              <w:top w:val="nil"/>
              <w:left w:val="nil"/>
              <w:bottom w:val="single" w:sz="4" w:space="0" w:color="auto"/>
              <w:right w:val="single" w:sz="4" w:space="0" w:color="auto"/>
            </w:tcBorders>
            <w:shd w:val="clear" w:color="000000" w:fill="FFFFFF"/>
            <w:noWrap/>
            <w:vAlign w:val="bottom"/>
            <w:hideMark/>
          </w:tcPr>
          <w:p w14:paraId="34C94B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2 254,6</w:t>
            </w:r>
          </w:p>
        </w:tc>
        <w:tc>
          <w:tcPr>
            <w:tcW w:w="1226" w:type="dxa"/>
            <w:tcBorders>
              <w:top w:val="nil"/>
              <w:left w:val="nil"/>
              <w:bottom w:val="single" w:sz="4" w:space="0" w:color="auto"/>
              <w:right w:val="single" w:sz="4" w:space="0" w:color="auto"/>
            </w:tcBorders>
            <w:shd w:val="clear" w:color="000000" w:fill="FFFFFF"/>
            <w:noWrap/>
            <w:vAlign w:val="bottom"/>
            <w:hideMark/>
          </w:tcPr>
          <w:p w14:paraId="296D2DA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0B097B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28E937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Kозлодуй</w:t>
            </w:r>
          </w:p>
        </w:tc>
        <w:tc>
          <w:tcPr>
            <w:tcW w:w="1911" w:type="dxa"/>
            <w:tcBorders>
              <w:top w:val="nil"/>
              <w:left w:val="nil"/>
              <w:bottom w:val="single" w:sz="4" w:space="0" w:color="auto"/>
              <w:right w:val="single" w:sz="4" w:space="0" w:color="auto"/>
            </w:tcBorders>
            <w:shd w:val="clear" w:color="000000" w:fill="FFFFFF"/>
            <w:noWrap/>
            <w:vAlign w:val="bottom"/>
            <w:hideMark/>
          </w:tcPr>
          <w:p w14:paraId="12BC97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15 449,1</w:t>
            </w:r>
          </w:p>
        </w:tc>
        <w:tc>
          <w:tcPr>
            <w:tcW w:w="1118" w:type="dxa"/>
            <w:tcBorders>
              <w:top w:val="nil"/>
              <w:left w:val="nil"/>
              <w:bottom w:val="single" w:sz="4" w:space="0" w:color="auto"/>
              <w:right w:val="single" w:sz="4" w:space="0" w:color="auto"/>
            </w:tcBorders>
            <w:shd w:val="clear" w:color="000000" w:fill="FFFFFF"/>
            <w:noWrap/>
            <w:vAlign w:val="bottom"/>
            <w:hideMark/>
          </w:tcPr>
          <w:p w14:paraId="680603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1 074,4</w:t>
            </w:r>
          </w:p>
        </w:tc>
        <w:tc>
          <w:tcPr>
            <w:tcW w:w="1257" w:type="dxa"/>
            <w:tcBorders>
              <w:top w:val="nil"/>
              <w:left w:val="nil"/>
              <w:bottom w:val="single" w:sz="4" w:space="0" w:color="auto"/>
              <w:right w:val="single" w:sz="4" w:space="0" w:color="auto"/>
            </w:tcBorders>
            <w:shd w:val="clear" w:color="000000" w:fill="FFFFFF"/>
            <w:noWrap/>
            <w:vAlign w:val="bottom"/>
            <w:hideMark/>
          </w:tcPr>
          <w:p w14:paraId="49B2B0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116,3</w:t>
            </w:r>
          </w:p>
        </w:tc>
        <w:tc>
          <w:tcPr>
            <w:tcW w:w="1384" w:type="dxa"/>
            <w:tcBorders>
              <w:top w:val="nil"/>
              <w:left w:val="nil"/>
              <w:bottom w:val="single" w:sz="4" w:space="0" w:color="auto"/>
              <w:right w:val="single" w:sz="4" w:space="0" w:color="auto"/>
            </w:tcBorders>
            <w:shd w:val="clear" w:color="000000" w:fill="FFFFFF"/>
            <w:noWrap/>
            <w:vAlign w:val="bottom"/>
            <w:hideMark/>
          </w:tcPr>
          <w:p w14:paraId="672627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958,1</w:t>
            </w:r>
          </w:p>
        </w:tc>
        <w:tc>
          <w:tcPr>
            <w:tcW w:w="1134" w:type="dxa"/>
            <w:tcBorders>
              <w:top w:val="nil"/>
              <w:left w:val="nil"/>
              <w:bottom w:val="single" w:sz="4" w:space="0" w:color="auto"/>
              <w:right w:val="single" w:sz="4" w:space="0" w:color="auto"/>
            </w:tcBorders>
            <w:shd w:val="clear" w:color="000000" w:fill="FFFFFF"/>
            <w:noWrap/>
            <w:vAlign w:val="bottom"/>
            <w:hideMark/>
          </w:tcPr>
          <w:p w14:paraId="3DCEC8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188,0</w:t>
            </w:r>
          </w:p>
        </w:tc>
        <w:tc>
          <w:tcPr>
            <w:tcW w:w="1277" w:type="dxa"/>
            <w:tcBorders>
              <w:top w:val="nil"/>
              <w:left w:val="nil"/>
              <w:bottom w:val="single" w:sz="4" w:space="0" w:color="auto"/>
              <w:right w:val="single" w:sz="4" w:space="0" w:color="auto"/>
            </w:tcBorders>
            <w:shd w:val="clear" w:color="000000" w:fill="FFFFFF"/>
            <w:noWrap/>
            <w:vAlign w:val="bottom"/>
            <w:hideMark/>
          </w:tcPr>
          <w:p w14:paraId="40FE71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10 119,2</w:t>
            </w:r>
          </w:p>
        </w:tc>
        <w:tc>
          <w:tcPr>
            <w:tcW w:w="1040" w:type="dxa"/>
            <w:tcBorders>
              <w:top w:val="nil"/>
              <w:left w:val="nil"/>
              <w:bottom w:val="single" w:sz="4" w:space="0" w:color="auto"/>
              <w:right w:val="single" w:sz="4" w:space="0" w:color="auto"/>
            </w:tcBorders>
            <w:shd w:val="clear" w:color="000000" w:fill="FFFFFF"/>
            <w:noWrap/>
            <w:vAlign w:val="bottom"/>
            <w:hideMark/>
          </w:tcPr>
          <w:p w14:paraId="7C4C9A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504,3</w:t>
            </w:r>
          </w:p>
        </w:tc>
        <w:tc>
          <w:tcPr>
            <w:tcW w:w="1087" w:type="dxa"/>
            <w:tcBorders>
              <w:top w:val="nil"/>
              <w:left w:val="nil"/>
              <w:bottom w:val="single" w:sz="4" w:space="0" w:color="auto"/>
              <w:right w:val="single" w:sz="4" w:space="0" w:color="auto"/>
            </w:tcBorders>
            <w:shd w:val="clear" w:color="000000" w:fill="FFFFFF"/>
            <w:noWrap/>
            <w:vAlign w:val="bottom"/>
            <w:hideMark/>
          </w:tcPr>
          <w:p w14:paraId="21CDBF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3 327,1</w:t>
            </w:r>
          </w:p>
        </w:tc>
        <w:tc>
          <w:tcPr>
            <w:tcW w:w="1040" w:type="dxa"/>
            <w:tcBorders>
              <w:top w:val="nil"/>
              <w:left w:val="nil"/>
              <w:bottom w:val="single" w:sz="4" w:space="0" w:color="auto"/>
              <w:right w:val="single" w:sz="4" w:space="0" w:color="auto"/>
            </w:tcBorders>
            <w:shd w:val="clear" w:color="000000" w:fill="FFFFFF"/>
            <w:noWrap/>
            <w:vAlign w:val="bottom"/>
            <w:hideMark/>
          </w:tcPr>
          <w:p w14:paraId="6D2E47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236,1</w:t>
            </w:r>
          </w:p>
        </w:tc>
        <w:tc>
          <w:tcPr>
            <w:tcW w:w="1226" w:type="dxa"/>
            <w:tcBorders>
              <w:top w:val="nil"/>
              <w:left w:val="nil"/>
              <w:bottom w:val="single" w:sz="4" w:space="0" w:color="auto"/>
              <w:right w:val="single" w:sz="4" w:space="0" w:color="auto"/>
            </w:tcBorders>
            <w:shd w:val="clear" w:color="000000" w:fill="FFFFFF"/>
            <w:noWrap/>
            <w:vAlign w:val="bottom"/>
            <w:hideMark/>
          </w:tcPr>
          <w:p w14:paraId="23697B6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49C89C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1B8BA7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Kриводол</w:t>
            </w:r>
          </w:p>
        </w:tc>
        <w:tc>
          <w:tcPr>
            <w:tcW w:w="1911" w:type="dxa"/>
            <w:tcBorders>
              <w:top w:val="nil"/>
              <w:left w:val="nil"/>
              <w:bottom w:val="single" w:sz="4" w:space="0" w:color="auto"/>
              <w:right w:val="single" w:sz="4" w:space="0" w:color="auto"/>
            </w:tcBorders>
            <w:shd w:val="clear" w:color="000000" w:fill="FFFFFF"/>
            <w:noWrap/>
            <w:vAlign w:val="bottom"/>
            <w:hideMark/>
          </w:tcPr>
          <w:p w14:paraId="16D56A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5 169,1</w:t>
            </w:r>
          </w:p>
        </w:tc>
        <w:tc>
          <w:tcPr>
            <w:tcW w:w="1118" w:type="dxa"/>
            <w:tcBorders>
              <w:top w:val="nil"/>
              <w:left w:val="nil"/>
              <w:bottom w:val="single" w:sz="4" w:space="0" w:color="auto"/>
              <w:right w:val="single" w:sz="4" w:space="0" w:color="auto"/>
            </w:tcBorders>
            <w:shd w:val="clear" w:color="000000" w:fill="FFFFFF"/>
            <w:noWrap/>
            <w:vAlign w:val="bottom"/>
            <w:hideMark/>
          </w:tcPr>
          <w:p w14:paraId="145154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886,9</w:t>
            </w:r>
          </w:p>
        </w:tc>
        <w:tc>
          <w:tcPr>
            <w:tcW w:w="1257" w:type="dxa"/>
            <w:tcBorders>
              <w:top w:val="nil"/>
              <w:left w:val="nil"/>
              <w:bottom w:val="single" w:sz="4" w:space="0" w:color="auto"/>
              <w:right w:val="single" w:sz="4" w:space="0" w:color="auto"/>
            </w:tcBorders>
            <w:shd w:val="clear" w:color="000000" w:fill="FFFFFF"/>
            <w:noWrap/>
            <w:vAlign w:val="bottom"/>
            <w:hideMark/>
          </w:tcPr>
          <w:p w14:paraId="0F1ECB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261,1</w:t>
            </w:r>
          </w:p>
        </w:tc>
        <w:tc>
          <w:tcPr>
            <w:tcW w:w="1384" w:type="dxa"/>
            <w:tcBorders>
              <w:top w:val="nil"/>
              <w:left w:val="nil"/>
              <w:bottom w:val="single" w:sz="4" w:space="0" w:color="auto"/>
              <w:right w:val="single" w:sz="4" w:space="0" w:color="auto"/>
            </w:tcBorders>
            <w:shd w:val="clear" w:color="000000" w:fill="FFFFFF"/>
            <w:noWrap/>
            <w:vAlign w:val="bottom"/>
            <w:hideMark/>
          </w:tcPr>
          <w:p w14:paraId="2B7D6B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625,8</w:t>
            </w:r>
          </w:p>
        </w:tc>
        <w:tc>
          <w:tcPr>
            <w:tcW w:w="1134" w:type="dxa"/>
            <w:tcBorders>
              <w:top w:val="nil"/>
              <w:left w:val="nil"/>
              <w:bottom w:val="single" w:sz="4" w:space="0" w:color="auto"/>
              <w:right w:val="single" w:sz="4" w:space="0" w:color="auto"/>
            </w:tcBorders>
            <w:shd w:val="clear" w:color="000000" w:fill="FFFFFF"/>
            <w:noWrap/>
            <w:vAlign w:val="bottom"/>
            <w:hideMark/>
          </w:tcPr>
          <w:p w14:paraId="057F2F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104,3</w:t>
            </w:r>
          </w:p>
        </w:tc>
        <w:tc>
          <w:tcPr>
            <w:tcW w:w="1277" w:type="dxa"/>
            <w:tcBorders>
              <w:top w:val="nil"/>
              <w:left w:val="nil"/>
              <w:bottom w:val="single" w:sz="4" w:space="0" w:color="auto"/>
              <w:right w:val="single" w:sz="4" w:space="0" w:color="auto"/>
            </w:tcBorders>
            <w:shd w:val="clear" w:color="000000" w:fill="FFFFFF"/>
            <w:noWrap/>
            <w:vAlign w:val="bottom"/>
            <w:hideMark/>
          </w:tcPr>
          <w:p w14:paraId="7B4955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3 658,2</w:t>
            </w:r>
          </w:p>
        </w:tc>
        <w:tc>
          <w:tcPr>
            <w:tcW w:w="1040" w:type="dxa"/>
            <w:tcBorders>
              <w:top w:val="nil"/>
              <w:left w:val="nil"/>
              <w:bottom w:val="single" w:sz="4" w:space="0" w:color="auto"/>
              <w:right w:val="single" w:sz="4" w:space="0" w:color="auto"/>
            </w:tcBorders>
            <w:shd w:val="clear" w:color="000000" w:fill="FFFFFF"/>
            <w:noWrap/>
            <w:vAlign w:val="bottom"/>
            <w:hideMark/>
          </w:tcPr>
          <w:p w14:paraId="4755C7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117,8</w:t>
            </w:r>
          </w:p>
        </w:tc>
        <w:tc>
          <w:tcPr>
            <w:tcW w:w="1087" w:type="dxa"/>
            <w:tcBorders>
              <w:top w:val="nil"/>
              <w:left w:val="nil"/>
              <w:bottom w:val="single" w:sz="4" w:space="0" w:color="auto"/>
              <w:right w:val="single" w:sz="4" w:space="0" w:color="auto"/>
            </w:tcBorders>
            <w:shd w:val="clear" w:color="000000" w:fill="FFFFFF"/>
            <w:noWrap/>
            <w:vAlign w:val="bottom"/>
            <w:hideMark/>
          </w:tcPr>
          <w:p w14:paraId="40DB70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177,1</w:t>
            </w:r>
          </w:p>
        </w:tc>
        <w:tc>
          <w:tcPr>
            <w:tcW w:w="1040" w:type="dxa"/>
            <w:tcBorders>
              <w:top w:val="nil"/>
              <w:left w:val="nil"/>
              <w:bottom w:val="single" w:sz="4" w:space="0" w:color="auto"/>
              <w:right w:val="single" w:sz="4" w:space="0" w:color="auto"/>
            </w:tcBorders>
            <w:shd w:val="clear" w:color="000000" w:fill="FFFFFF"/>
            <w:noWrap/>
            <w:vAlign w:val="bottom"/>
            <w:hideMark/>
          </w:tcPr>
          <w:p w14:paraId="3D7D80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224,8</w:t>
            </w:r>
          </w:p>
        </w:tc>
        <w:tc>
          <w:tcPr>
            <w:tcW w:w="1226" w:type="dxa"/>
            <w:tcBorders>
              <w:top w:val="nil"/>
              <w:left w:val="nil"/>
              <w:bottom w:val="single" w:sz="4" w:space="0" w:color="auto"/>
              <w:right w:val="single" w:sz="4" w:space="0" w:color="auto"/>
            </w:tcBorders>
            <w:shd w:val="clear" w:color="000000" w:fill="FFFFFF"/>
            <w:noWrap/>
            <w:vAlign w:val="bottom"/>
            <w:hideMark/>
          </w:tcPr>
          <w:p w14:paraId="12C4D7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235005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45F23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Mездра</w:t>
            </w:r>
          </w:p>
        </w:tc>
        <w:tc>
          <w:tcPr>
            <w:tcW w:w="1911" w:type="dxa"/>
            <w:tcBorders>
              <w:top w:val="nil"/>
              <w:left w:val="nil"/>
              <w:bottom w:val="single" w:sz="4" w:space="0" w:color="auto"/>
              <w:right w:val="single" w:sz="4" w:space="0" w:color="auto"/>
            </w:tcBorders>
            <w:shd w:val="clear" w:color="000000" w:fill="FFFFFF"/>
            <w:noWrap/>
            <w:vAlign w:val="bottom"/>
            <w:hideMark/>
          </w:tcPr>
          <w:p w14:paraId="70EBC2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13 513,0</w:t>
            </w:r>
          </w:p>
        </w:tc>
        <w:tc>
          <w:tcPr>
            <w:tcW w:w="1118" w:type="dxa"/>
            <w:tcBorders>
              <w:top w:val="nil"/>
              <w:left w:val="nil"/>
              <w:bottom w:val="single" w:sz="4" w:space="0" w:color="auto"/>
              <w:right w:val="single" w:sz="4" w:space="0" w:color="auto"/>
            </w:tcBorders>
            <w:shd w:val="clear" w:color="000000" w:fill="FFFFFF"/>
            <w:noWrap/>
            <w:vAlign w:val="bottom"/>
            <w:hideMark/>
          </w:tcPr>
          <w:p w14:paraId="1F9995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1 395,4</w:t>
            </w:r>
          </w:p>
        </w:tc>
        <w:tc>
          <w:tcPr>
            <w:tcW w:w="1257" w:type="dxa"/>
            <w:tcBorders>
              <w:top w:val="nil"/>
              <w:left w:val="nil"/>
              <w:bottom w:val="single" w:sz="4" w:space="0" w:color="auto"/>
              <w:right w:val="single" w:sz="4" w:space="0" w:color="auto"/>
            </w:tcBorders>
            <w:shd w:val="clear" w:color="000000" w:fill="FFFFFF"/>
            <w:noWrap/>
            <w:vAlign w:val="bottom"/>
            <w:hideMark/>
          </w:tcPr>
          <w:p w14:paraId="6218E4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448,1</w:t>
            </w:r>
          </w:p>
        </w:tc>
        <w:tc>
          <w:tcPr>
            <w:tcW w:w="1384" w:type="dxa"/>
            <w:tcBorders>
              <w:top w:val="nil"/>
              <w:left w:val="nil"/>
              <w:bottom w:val="single" w:sz="4" w:space="0" w:color="auto"/>
              <w:right w:val="single" w:sz="4" w:space="0" w:color="auto"/>
            </w:tcBorders>
            <w:shd w:val="clear" w:color="000000" w:fill="FFFFFF"/>
            <w:noWrap/>
            <w:vAlign w:val="bottom"/>
            <w:hideMark/>
          </w:tcPr>
          <w:p w14:paraId="700BD9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947,3</w:t>
            </w:r>
          </w:p>
        </w:tc>
        <w:tc>
          <w:tcPr>
            <w:tcW w:w="1134" w:type="dxa"/>
            <w:tcBorders>
              <w:top w:val="nil"/>
              <w:left w:val="nil"/>
              <w:bottom w:val="single" w:sz="4" w:space="0" w:color="auto"/>
              <w:right w:val="single" w:sz="4" w:space="0" w:color="auto"/>
            </w:tcBorders>
            <w:shd w:val="clear" w:color="000000" w:fill="FFFFFF"/>
            <w:noWrap/>
            <w:vAlign w:val="bottom"/>
            <w:hideMark/>
          </w:tcPr>
          <w:p w14:paraId="119124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180,4</w:t>
            </w:r>
          </w:p>
        </w:tc>
        <w:tc>
          <w:tcPr>
            <w:tcW w:w="1277" w:type="dxa"/>
            <w:tcBorders>
              <w:top w:val="nil"/>
              <w:left w:val="nil"/>
              <w:bottom w:val="single" w:sz="4" w:space="0" w:color="auto"/>
              <w:right w:val="single" w:sz="4" w:space="0" w:color="auto"/>
            </w:tcBorders>
            <w:shd w:val="clear" w:color="000000" w:fill="FFFFFF"/>
            <w:noWrap/>
            <w:vAlign w:val="bottom"/>
            <w:hideMark/>
          </w:tcPr>
          <w:p w14:paraId="082B75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8 218,8</w:t>
            </w:r>
          </w:p>
        </w:tc>
        <w:tc>
          <w:tcPr>
            <w:tcW w:w="1040" w:type="dxa"/>
            <w:tcBorders>
              <w:top w:val="nil"/>
              <w:left w:val="nil"/>
              <w:bottom w:val="single" w:sz="4" w:space="0" w:color="auto"/>
              <w:right w:val="single" w:sz="4" w:space="0" w:color="auto"/>
            </w:tcBorders>
            <w:shd w:val="clear" w:color="000000" w:fill="FFFFFF"/>
            <w:noWrap/>
            <w:vAlign w:val="bottom"/>
            <w:hideMark/>
          </w:tcPr>
          <w:p w14:paraId="063703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267,9</w:t>
            </w:r>
          </w:p>
        </w:tc>
        <w:tc>
          <w:tcPr>
            <w:tcW w:w="1087" w:type="dxa"/>
            <w:tcBorders>
              <w:top w:val="nil"/>
              <w:left w:val="nil"/>
              <w:bottom w:val="single" w:sz="4" w:space="0" w:color="auto"/>
              <w:right w:val="single" w:sz="4" w:space="0" w:color="auto"/>
            </w:tcBorders>
            <w:shd w:val="clear" w:color="000000" w:fill="FFFFFF"/>
            <w:noWrap/>
            <w:vAlign w:val="bottom"/>
            <w:hideMark/>
          </w:tcPr>
          <w:p w14:paraId="077F45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2 989,7</w:t>
            </w:r>
          </w:p>
        </w:tc>
        <w:tc>
          <w:tcPr>
            <w:tcW w:w="1040" w:type="dxa"/>
            <w:tcBorders>
              <w:top w:val="nil"/>
              <w:left w:val="nil"/>
              <w:bottom w:val="single" w:sz="4" w:space="0" w:color="auto"/>
              <w:right w:val="single" w:sz="4" w:space="0" w:color="auto"/>
            </w:tcBorders>
            <w:shd w:val="clear" w:color="000000" w:fill="FFFFFF"/>
            <w:noWrap/>
            <w:vAlign w:val="bottom"/>
            <w:hideMark/>
          </w:tcPr>
          <w:p w14:paraId="389F00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460,8</w:t>
            </w:r>
          </w:p>
        </w:tc>
        <w:tc>
          <w:tcPr>
            <w:tcW w:w="1226" w:type="dxa"/>
            <w:tcBorders>
              <w:top w:val="nil"/>
              <w:left w:val="nil"/>
              <w:bottom w:val="single" w:sz="4" w:space="0" w:color="auto"/>
              <w:right w:val="single" w:sz="4" w:space="0" w:color="auto"/>
            </w:tcBorders>
            <w:shd w:val="clear" w:color="000000" w:fill="FFFFFF"/>
            <w:noWrap/>
            <w:vAlign w:val="bottom"/>
            <w:hideMark/>
          </w:tcPr>
          <w:p w14:paraId="46D05A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2B4F3E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65AC5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Mизия</w:t>
            </w:r>
          </w:p>
        </w:tc>
        <w:tc>
          <w:tcPr>
            <w:tcW w:w="1911" w:type="dxa"/>
            <w:tcBorders>
              <w:top w:val="nil"/>
              <w:left w:val="nil"/>
              <w:bottom w:val="single" w:sz="4" w:space="0" w:color="auto"/>
              <w:right w:val="single" w:sz="4" w:space="0" w:color="auto"/>
            </w:tcBorders>
            <w:shd w:val="clear" w:color="000000" w:fill="FFFFFF"/>
            <w:noWrap/>
            <w:vAlign w:val="bottom"/>
            <w:hideMark/>
          </w:tcPr>
          <w:p w14:paraId="635C51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4 175,8</w:t>
            </w:r>
          </w:p>
        </w:tc>
        <w:tc>
          <w:tcPr>
            <w:tcW w:w="1118" w:type="dxa"/>
            <w:tcBorders>
              <w:top w:val="nil"/>
              <w:left w:val="nil"/>
              <w:bottom w:val="single" w:sz="4" w:space="0" w:color="auto"/>
              <w:right w:val="single" w:sz="4" w:space="0" w:color="auto"/>
            </w:tcBorders>
            <w:shd w:val="clear" w:color="000000" w:fill="FFFFFF"/>
            <w:noWrap/>
            <w:vAlign w:val="bottom"/>
            <w:hideMark/>
          </w:tcPr>
          <w:p w14:paraId="67B1AA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697,5</w:t>
            </w:r>
          </w:p>
        </w:tc>
        <w:tc>
          <w:tcPr>
            <w:tcW w:w="1257" w:type="dxa"/>
            <w:tcBorders>
              <w:top w:val="nil"/>
              <w:left w:val="nil"/>
              <w:bottom w:val="single" w:sz="4" w:space="0" w:color="auto"/>
              <w:right w:val="single" w:sz="4" w:space="0" w:color="auto"/>
            </w:tcBorders>
            <w:shd w:val="clear" w:color="000000" w:fill="FFFFFF"/>
            <w:noWrap/>
            <w:vAlign w:val="bottom"/>
            <w:hideMark/>
          </w:tcPr>
          <w:p w14:paraId="25F60C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119,6</w:t>
            </w:r>
          </w:p>
        </w:tc>
        <w:tc>
          <w:tcPr>
            <w:tcW w:w="1384" w:type="dxa"/>
            <w:tcBorders>
              <w:top w:val="nil"/>
              <w:left w:val="nil"/>
              <w:bottom w:val="single" w:sz="4" w:space="0" w:color="auto"/>
              <w:right w:val="single" w:sz="4" w:space="0" w:color="auto"/>
            </w:tcBorders>
            <w:shd w:val="clear" w:color="000000" w:fill="FFFFFF"/>
            <w:noWrap/>
            <w:vAlign w:val="bottom"/>
            <w:hideMark/>
          </w:tcPr>
          <w:p w14:paraId="6B3C07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577,9</w:t>
            </w:r>
          </w:p>
        </w:tc>
        <w:tc>
          <w:tcPr>
            <w:tcW w:w="1134" w:type="dxa"/>
            <w:tcBorders>
              <w:top w:val="nil"/>
              <w:left w:val="nil"/>
              <w:bottom w:val="single" w:sz="4" w:space="0" w:color="auto"/>
              <w:right w:val="single" w:sz="4" w:space="0" w:color="auto"/>
            </w:tcBorders>
            <w:shd w:val="clear" w:color="000000" w:fill="FFFFFF"/>
            <w:noWrap/>
            <w:vAlign w:val="bottom"/>
            <w:hideMark/>
          </w:tcPr>
          <w:p w14:paraId="790838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146,7</w:t>
            </w:r>
          </w:p>
        </w:tc>
        <w:tc>
          <w:tcPr>
            <w:tcW w:w="1277" w:type="dxa"/>
            <w:tcBorders>
              <w:top w:val="nil"/>
              <w:left w:val="nil"/>
              <w:bottom w:val="single" w:sz="4" w:space="0" w:color="auto"/>
              <w:right w:val="single" w:sz="4" w:space="0" w:color="auto"/>
            </w:tcBorders>
            <w:shd w:val="clear" w:color="000000" w:fill="FFFFFF"/>
            <w:noWrap/>
            <w:vAlign w:val="bottom"/>
            <w:hideMark/>
          </w:tcPr>
          <w:p w14:paraId="4B7720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2 522,1</w:t>
            </w:r>
          </w:p>
        </w:tc>
        <w:tc>
          <w:tcPr>
            <w:tcW w:w="1040" w:type="dxa"/>
            <w:tcBorders>
              <w:top w:val="nil"/>
              <w:left w:val="nil"/>
              <w:bottom w:val="single" w:sz="4" w:space="0" w:color="auto"/>
              <w:right w:val="single" w:sz="4" w:space="0" w:color="auto"/>
            </w:tcBorders>
            <w:shd w:val="clear" w:color="000000" w:fill="FFFFFF"/>
            <w:noWrap/>
            <w:vAlign w:val="bottom"/>
            <w:hideMark/>
          </w:tcPr>
          <w:p w14:paraId="34362C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62,3</w:t>
            </w:r>
          </w:p>
        </w:tc>
        <w:tc>
          <w:tcPr>
            <w:tcW w:w="1087" w:type="dxa"/>
            <w:tcBorders>
              <w:top w:val="nil"/>
              <w:left w:val="nil"/>
              <w:bottom w:val="single" w:sz="4" w:space="0" w:color="auto"/>
              <w:right w:val="single" w:sz="4" w:space="0" w:color="auto"/>
            </w:tcBorders>
            <w:shd w:val="clear" w:color="000000" w:fill="FFFFFF"/>
            <w:noWrap/>
            <w:vAlign w:val="bottom"/>
            <w:hideMark/>
          </w:tcPr>
          <w:p w14:paraId="1D539B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589,9</w:t>
            </w:r>
          </w:p>
        </w:tc>
        <w:tc>
          <w:tcPr>
            <w:tcW w:w="1040" w:type="dxa"/>
            <w:tcBorders>
              <w:top w:val="nil"/>
              <w:left w:val="nil"/>
              <w:bottom w:val="single" w:sz="4" w:space="0" w:color="auto"/>
              <w:right w:val="single" w:sz="4" w:space="0" w:color="auto"/>
            </w:tcBorders>
            <w:shd w:val="clear" w:color="000000" w:fill="FFFFFF"/>
            <w:noWrap/>
            <w:vAlign w:val="bottom"/>
            <w:hideMark/>
          </w:tcPr>
          <w:p w14:paraId="2B7F98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157,3</w:t>
            </w:r>
          </w:p>
        </w:tc>
        <w:tc>
          <w:tcPr>
            <w:tcW w:w="1226" w:type="dxa"/>
            <w:tcBorders>
              <w:top w:val="nil"/>
              <w:left w:val="nil"/>
              <w:bottom w:val="single" w:sz="4" w:space="0" w:color="auto"/>
              <w:right w:val="single" w:sz="4" w:space="0" w:color="auto"/>
            </w:tcBorders>
            <w:shd w:val="clear" w:color="000000" w:fill="FFFFFF"/>
            <w:noWrap/>
            <w:vAlign w:val="bottom"/>
            <w:hideMark/>
          </w:tcPr>
          <w:p w14:paraId="58F7BA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036D63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2FE8D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Oряхово</w:t>
            </w:r>
          </w:p>
        </w:tc>
        <w:tc>
          <w:tcPr>
            <w:tcW w:w="1911" w:type="dxa"/>
            <w:tcBorders>
              <w:top w:val="nil"/>
              <w:left w:val="nil"/>
              <w:bottom w:val="single" w:sz="4" w:space="0" w:color="auto"/>
              <w:right w:val="single" w:sz="4" w:space="0" w:color="auto"/>
            </w:tcBorders>
            <w:shd w:val="clear" w:color="000000" w:fill="FFFFFF"/>
            <w:noWrap/>
            <w:vAlign w:val="bottom"/>
            <w:hideMark/>
          </w:tcPr>
          <w:p w14:paraId="5A9224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6 153,6</w:t>
            </w:r>
          </w:p>
        </w:tc>
        <w:tc>
          <w:tcPr>
            <w:tcW w:w="1118" w:type="dxa"/>
            <w:tcBorders>
              <w:top w:val="nil"/>
              <w:left w:val="nil"/>
              <w:bottom w:val="single" w:sz="4" w:space="0" w:color="auto"/>
              <w:right w:val="single" w:sz="4" w:space="0" w:color="auto"/>
            </w:tcBorders>
            <w:shd w:val="clear" w:color="000000" w:fill="FFFFFF"/>
            <w:noWrap/>
            <w:vAlign w:val="bottom"/>
            <w:hideMark/>
          </w:tcPr>
          <w:p w14:paraId="339B6D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837,6</w:t>
            </w:r>
          </w:p>
        </w:tc>
        <w:tc>
          <w:tcPr>
            <w:tcW w:w="1257" w:type="dxa"/>
            <w:tcBorders>
              <w:top w:val="nil"/>
              <w:left w:val="nil"/>
              <w:bottom w:val="single" w:sz="4" w:space="0" w:color="auto"/>
              <w:right w:val="single" w:sz="4" w:space="0" w:color="auto"/>
            </w:tcBorders>
            <w:shd w:val="clear" w:color="000000" w:fill="FFFFFF"/>
            <w:noWrap/>
            <w:vAlign w:val="bottom"/>
            <w:hideMark/>
          </w:tcPr>
          <w:p w14:paraId="6CB525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141,5</w:t>
            </w:r>
          </w:p>
        </w:tc>
        <w:tc>
          <w:tcPr>
            <w:tcW w:w="1384" w:type="dxa"/>
            <w:tcBorders>
              <w:top w:val="nil"/>
              <w:left w:val="nil"/>
              <w:bottom w:val="single" w:sz="4" w:space="0" w:color="auto"/>
              <w:right w:val="single" w:sz="4" w:space="0" w:color="auto"/>
            </w:tcBorders>
            <w:shd w:val="clear" w:color="000000" w:fill="FFFFFF"/>
            <w:noWrap/>
            <w:vAlign w:val="bottom"/>
            <w:hideMark/>
          </w:tcPr>
          <w:p w14:paraId="7C7191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696,1</w:t>
            </w:r>
          </w:p>
        </w:tc>
        <w:tc>
          <w:tcPr>
            <w:tcW w:w="1134" w:type="dxa"/>
            <w:tcBorders>
              <w:top w:val="nil"/>
              <w:left w:val="nil"/>
              <w:bottom w:val="single" w:sz="4" w:space="0" w:color="auto"/>
              <w:right w:val="single" w:sz="4" w:space="0" w:color="auto"/>
            </w:tcBorders>
            <w:shd w:val="clear" w:color="000000" w:fill="FFFFFF"/>
            <w:noWrap/>
            <w:vAlign w:val="bottom"/>
            <w:hideMark/>
          </w:tcPr>
          <w:p w14:paraId="2BEC25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157,6</w:t>
            </w:r>
          </w:p>
        </w:tc>
        <w:tc>
          <w:tcPr>
            <w:tcW w:w="1277" w:type="dxa"/>
            <w:tcBorders>
              <w:top w:val="nil"/>
              <w:left w:val="nil"/>
              <w:bottom w:val="single" w:sz="4" w:space="0" w:color="auto"/>
              <w:right w:val="single" w:sz="4" w:space="0" w:color="auto"/>
            </w:tcBorders>
            <w:shd w:val="clear" w:color="000000" w:fill="FFFFFF"/>
            <w:noWrap/>
            <w:vAlign w:val="bottom"/>
            <w:hideMark/>
          </w:tcPr>
          <w:p w14:paraId="1D5DF3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4 270,0</w:t>
            </w:r>
          </w:p>
        </w:tc>
        <w:tc>
          <w:tcPr>
            <w:tcW w:w="1040" w:type="dxa"/>
            <w:tcBorders>
              <w:top w:val="nil"/>
              <w:left w:val="nil"/>
              <w:bottom w:val="single" w:sz="4" w:space="0" w:color="auto"/>
              <w:right w:val="single" w:sz="4" w:space="0" w:color="auto"/>
            </w:tcBorders>
            <w:shd w:val="clear" w:color="000000" w:fill="FFFFFF"/>
            <w:noWrap/>
            <w:vAlign w:val="bottom"/>
            <w:hideMark/>
          </w:tcPr>
          <w:p w14:paraId="385DBF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405,3</w:t>
            </w:r>
          </w:p>
        </w:tc>
        <w:tc>
          <w:tcPr>
            <w:tcW w:w="1087" w:type="dxa"/>
            <w:tcBorders>
              <w:top w:val="nil"/>
              <w:left w:val="nil"/>
              <w:bottom w:val="single" w:sz="4" w:space="0" w:color="auto"/>
              <w:right w:val="single" w:sz="4" w:space="0" w:color="auto"/>
            </w:tcBorders>
            <w:shd w:val="clear" w:color="000000" w:fill="FFFFFF"/>
            <w:noWrap/>
            <w:vAlign w:val="bottom"/>
            <w:hideMark/>
          </w:tcPr>
          <w:p w14:paraId="7F88AA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280,8</w:t>
            </w:r>
          </w:p>
        </w:tc>
        <w:tc>
          <w:tcPr>
            <w:tcW w:w="1040" w:type="dxa"/>
            <w:tcBorders>
              <w:top w:val="nil"/>
              <w:left w:val="nil"/>
              <w:bottom w:val="single" w:sz="4" w:space="0" w:color="auto"/>
              <w:right w:val="single" w:sz="4" w:space="0" w:color="auto"/>
            </w:tcBorders>
            <w:shd w:val="clear" w:color="000000" w:fill="FFFFFF"/>
            <w:noWrap/>
            <w:vAlign w:val="bottom"/>
            <w:hideMark/>
          </w:tcPr>
          <w:p w14:paraId="38F38D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202,3</w:t>
            </w:r>
          </w:p>
        </w:tc>
        <w:tc>
          <w:tcPr>
            <w:tcW w:w="1226" w:type="dxa"/>
            <w:tcBorders>
              <w:top w:val="nil"/>
              <w:left w:val="nil"/>
              <w:bottom w:val="single" w:sz="4" w:space="0" w:color="auto"/>
              <w:right w:val="single" w:sz="4" w:space="0" w:color="auto"/>
            </w:tcBorders>
            <w:shd w:val="clear" w:color="000000" w:fill="FFFFFF"/>
            <w:noWrap/>
            <w:vAlign w:val="bottom"/>
            <w:hideMark/>
          </w:tcPr>
          <w:p w14:paraId="7297AF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77DD030"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2C4F1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Pоман</w:t>
            </w:r>
          </w:p>
        </w:tc>
        <w:tc>
          <w:tcPr>
            <w:tcW w:w="1911" w:type="dxa"/>
            <w:tcBorders>
              <w:top w:val="nil"/>
              <w:left w:val="nil"/>
              <w:bottom w:val="single" w:sz="4" w:space="0" w:color="auto"/>
              <w:right w:val="single" w:sz="4" w:space="0" w:color="auto"/>
            </w:tcBorders>
            <w:shd w:val="clear" w:color="000000" w:fill="FFFFFF"/>
            <w:noWrap/>
            <w:vAlign w:val="bottom"/>
            <w:hideMark/>
          </w:tcPr>
          <w:p w14:paraId="2861FB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5 778,0</w:t>
            </w:r>
          </w:p>
        </w:tc>
        <w:tc>
          <w:tcPr>
            <w:tcW w:w="1118" w:type="dxa"/>
            <w:tcBorders>
              <w:top w:val="nil"/>
              <w:left w:val="nil"/>
              <w:bottom w:val="single" w:sz="4" w:space="0" w:color="auto"/>
              <w:right w:val="single" w:sz="4" w:space="0" w:color="auto"/>
            </w:tcBorders>
            <w:shd w:val="clear" w:color="000000" w:fill="FFFFFF"/>
            <w:noWrap/>
            <w:vAlign w:val="bottom"/>
            <w:hideMark/>
          </w:tcPr>
          <w:p w14:paraId="520908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743,8</w:t>
            </w:r>
          </w:p>
        </w:tc>
        <w:tc>
          <w:tcPr>
            <w:tcW w:w="1257" w:type="dxa"/>
            <w:tcBorders>
              <w:top w:val="nil"/>
              <w:left w:val="nil"/>
              <w:bottom w:val="single" w:sz="4" w:space="0" w:color="auto"/>
              <w:right w:val="single" w:sz="4" w:space="0" w:color="auto"/>
            </w:tcBorders>
            <w:shd w:val="clear" w:color="000000" w:fill="FFFFFF"/>
            <w:noWrap/>
            <w:vAlign w:val="bottom"/>
            <w:hideMark/>
          </w:tcPr>
          <w:p w14:paraId="3FA982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192,0</w:t>
            </w:r>
          </w:p>
        </w:tc>
        <w:tc>
          <w:tcPr>
            <w:tcW w:w="1384" w:type="dxa"/>
            <w:tcBorders>
              <w:top w:val="nil"/>
              <w:left w:val="nil"/>
              <w:bottom w:val="single" w:sz="4" w:space="0" w:color="auto"/>
              <w:right w:val="single" w:sz="4" w:space="0" w:color="auto"/>
            </w:tcBorders>
            <w:shd w:val="clear" w:color="000000" w:fill="FFFFFF"/>
            <w:noWrap/>
            <w:vAlign w:val="bottom"/>
            <w:hideMark/>
          </w:tcPr>
          <w:p w14:paraId="650097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551,8</w:t>
            </w:r>
          </w:p>
        </w:tc>
        <w:tc>
          <w:tcPr>
            <w:tcW w:w="1134" w:type="dxa"/>
            <w:tcBorders>
              <w:top w:val="nil"/>
              <w:left w:val="nil"/>
              <w:bottom w:val="single" w:sz="4" w:space="0" w:color="auto"/>
              <w:right w:val="single" w:sz="4" w:space="0" w:color="auto"/>
            </w:tcBorders>
            <w:shd w:val="clear" w:color="000000" w:fill="FFFFFF"/>
            <w:noWrap/>
            <w:vAlign w:val="bottom"/>
            <w:hideMark/>
          </w:tcPr>
          <w:p w14:paraId="62BF42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141,5</w:t>
            </w:r>
          </w:p>
        </w:tc>
        <w:tc>
          <w:tcPr>
            <w:tcW w:w="1277" w:type="dxa"/>
            <w:tcBorders>
              <w:top w:val="nil"/>
              <w:left w:val="nil"/>
              <w:bottom w:val="single" w:sz="4" w:space="0" w:color="auto"/>
              <w:right w:val="single" w:sz="4" w:space="0" w:color="auto"/>
            </w:tcBorders>
            <w:shd w:val="clear" w:color="000000" w:fill="FFFFFF"/>
            <w:noWrap/>
            <w:vAlign w:val="bottom"/>
            <w:hideMark/>
          </w:tcPr>
          <w:p w14:paraId="5E61C1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2 797,5</w:t>
            </w:r>
          </w:p>
        </w:tc>
        <w:tc>
          <w:tcPr>
            <w:tcW w:w="1040" w:type="dxa"/>
            <w:tcBorders>
              <w:top w:val="nil"/>
              <w:left w:val="nil"/>
              <w:bottom w:val="single" w:sz="4" w:space="0" w:color="auto"/>
              <w:right w:val="single" w:sz="4" w:space="0" w:color="auto"/>
            </w:tcBorders>
            <w:shd w:val="clear" w:color="000000" w:fill="FFFFFF"/>
            <w:noWrap/>
            <w:vAlign w:val="bottom"/>
            <w:hideMark/>
          </w:tcPr>
          <w:p w14:paraId="675B65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96,9</w:t>
            </w:r>
          </w:p>
        </w:tc>
        <w:tc>
          <w:tcPr>
            <w:tcW w:w="1087" w:type="dxa"/>
            <w:tcBorders>
              <w:top w:val="nil"/>
              <w:left w:val="nil"/>
              <w:bottom w:val="single" w:sz="4" w:space="0" w:color="auto"/>
              <w:right w:val="single" w:sz="4" w:space="0" w:color="auto"/>
            </w:tcBorders>
            <w:shd w:val="clear" w:color="000000" w:fill="FFFFFF"/>
            <w:noWrap/>
            <w:vAlign w:val="bottom"/>
            <w:hideMark/>
          </w:tcPr>
          <w:p w14:paraId="38572B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1 796,0</w:t>
            </w:r>
          </w:p>
        </w:tc>
        <w:tc>
          <w:tcPr>
            <w:tcW w:w="1040" w:type="dxa"/>
            <w:tcBorders>
              <w:top w:val="nil"/>
              <w:left w:val="nil"/>
              <w:bottom w:val="single" w:sz="4" w:space="0" w:color="auto"/>
              <w:right w:val="single" w:sz="4" w:space="0" w:color="auto"/>
            </w:tcBorders>
            <w:shd w:val="clear" w:color="000000" w:fill="FFFFFF"/>
            <w:noWrap/>
            <w:vAlign w:val="bottom"/>
            <w:hideMark/>
          </w:tcPr>
          <w:p w14:paraId="033C29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202,3</w:t>
            </w:r>
          </w:p>
        </w:tc>
        <w:tc>
          <w:tcPr>
            <w:tcW w:w="1226" w:type="dxa"/>
            <w:tcBorders>
              <w:top w:val="nil"/>
              <w:left w:val="nil"/>
              <w:bottom w:val="single" w:sz="4" w:space="0" w:color="auto"/>
              <w:right w:val="single" w:sz="4" w:space="0" w:color="auto"/>
            </w:tcBorders>
            <w:shd w:val="clear" w:color="000000" w:fill="FFFFFF"/>
            <w:noWrap/>
            <w:vAlign w:val="bottom"/>
            <w:hideMark/>
          </w:tcPr>
          <w:p w14:paraId="3607E2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FC5EB00"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0A8B67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Xайредин</w:t>
            </w:r>
          </w:p>
        </w:tc>
        <w:tc>
          <w:tcPr>
            <w:tcW w:w="1911" w:type="dxa"/>
            <w:tcBorders>
              <w:top w:val="nil"/>
              <w:left w:val="nil"/>
              <w:bottom w:val="single" w:sz="4" w:space="0" w:color="auto"/>
              <w:right w:val="single" w:sz="4" w:space="0" w:color="auto"/>
            </w:tcBorders>
            <w:shd w:val="clear" w:color="000000" w:fill="FFFFFF"/>
            <w:noWrap/>
            <w:vAlign w:val="bottom"/>
            <w:hideMark/>
          </w:tcPr>
          <w:p w14:paraId="436D35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4 058,9</w:t>
            </w:r>
          </w:p>
        </w:tc>
        <w:tc>
          <w:tcPr>
            <w:tcW w:w="1118" w:type="dxa"/>
            <w:tcBorders>
              <w:top w:val="nil"/>
              <w:left w:val="nil"/>
              <w:bottom w:val="single" w:sz="4" w:space="0" w:color="auto"/>
              <w:right w:val="single" w:sz="4" w:space="0" w:color="auto"/>
            </w:tcBorders>
            <w:shd w:val="clear" w:color="000000" w:fill="FFFFFF"/>
            <w:noWrap/>
            <w:vAlign w:val="bottom"/>
            <w:hideMark/>
          </w:tcPr>
          <w:p w14:paraId="4FAB08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627,3</w:t>
            </w:r>
          </w:p>
        </w:tc>
        <w:tc>
          <w:tcPr>
            <w:tcW w:w="1257" w:type="dxa"/>
            <w:tcBorders>
              <w:top w:val="nil"/>
              <w:left w:val="nil"/>
              <w:bottom w:val="single" w:sz="4" w:space="0" w:color="auto"/>
              <w:right w:val="single" w:sz="4" w:space="0" w:color="auto"/>
            </w:tcBorders>
            <w:shd w:val="clear" w:color="000000" w:fill="FFFFFF"/>
            <w:noWrap/>
            <w:vAlign w:val="bottom"/>
            <w:hideMark/>
          </w:tcPr>
          <w:p w14:paraId="6F8275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119,6</w:t>
            </w:r>
          </w:p>
        </w:tc>
        <w:tc>
          <w:tcPr>
            <w:tcW w:w="1384" w:type="dxa"/>
            <w:tcBorders>
              <w:top w:val="nil"/>
              <w:left w:val="nil"/>
              <w:bottom w:val="single" w:sz="4" w:space="0" w:color="auto"/>
              <w:right w:val="single" w:sz="4" w:space="0" w:color="auto"/>
            </w:tcBorders>
            <w:shd w:val="clear" w:color="000000" w:fill="FFFFFF"/>
            <w:noWrap/>
            <w:vAlign w:val="bottom"/>
            <w:hideMark/>
          </w:tcPr>
          <w:p w14:paraId="7AE607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507,7</w:t>
            </w:r>
          </w:p>
        </w:tc>
        <w:tc>
          <w:tcPr>
            <w:tcW w:w="1134" w:type="dxa"/>
            <w:tcBorders>
              <w:top w:val="nil"/>
              <w:left w:val="nil"/>
              <w:bottom w:val="single" w:sz="4" w:space="0" w:color="auto"/>
              <w:right w:val="single" w:sz="4" w:space="0" w:color="auto"/>
            </w:tcBorders>
            <w:shd w:val="clear" w:color="000000" w:fill="FFFFFF"/>
            <w:noWrap/>
            <w:vAlign w:val="bottom"/>
            <w:hideMark/>
          </w:tcPr>
          <w:p w14:paraId="65BEB8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128,3</w:t>
            </w:r>
          </w:p>
        </w:tc>
        <w:tc>
          <w:tcPr>
            <w:tcW w:w="1277" w:type="dxa"/>
            <w:tcBorders>
              <w:top w:val="nil"/>
              <w:left w:val="nil"/>
              <w:bottom w:val="single" w:sz="4" w:space="0" w:color="auto"/>
              <w:right w:val="single" w:sz="4" w:space="0" w:color="auto"/>
            </w:tcBorders>
            <w:shd w:val="clear" w:color="000000" w:fill="FFFFFF"/>
            <w:noWrap/>
            <w:vAlign w:val="bottom"/>
            <w:hideMark/>
          </w:tcPr>
          <w:p w14:paraId="60C91A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1 988,4</w:t>
            </w:r>
          </w:p>
        </w:tc>
        <w:tc>
          <w:tcPr>
            <w:tcW w:w="1040" w:type="dxa"/>
            <w:tcBorders>
              <w:top w:val="nil"/>
              <w:left w:val="nil"/>
              <w:bottom w:val="single" w:sz="4" w:space="0" w:color="auto"/>
              <w:right w:val="single" w:sz="4" w:space="0" w:color="auto"/>
            </w:tcBorders>
            <w:shd w:val="clear" w:color="000000" w:fill="FFFFFF"/>
            <w:noWrap/>
            <w:vAlign w:val="bottom"/>
            <w:hideMark/>
          </w:tcPr>
          <w:p w14:paraId="1DF9B9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47,4</w:t>
            </w:r>
          </w:p>
        </w:tc>
        <w:tc>
          <w:tcPr>
            <w:tcW w:w="1087" w:type="dxa"/>
            <w:tcBorders>
              <w:top w:val="nil"/>
              <w:left w:val="nil"/>
              <w:bottom w:val="single" w:sz="4" w:space="0" w:color="auto"/>
              <w:right w:val="single" w:sz="4" w:space="0" w:color="auto"/>
            </w:tcBorders>
            <w:shd w:val="clear" w:color="000000" w:fill="FFFFFF"/>
            <w:noWrap/>
            <w:vAlign w:val="bottom"/>
            <w:hideMark/>
          </w:tcPr>
          <w:p w14:paraId="106036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1 143,9</w:t>
            </w:r>
          </w:p>
        </w:tc>
        <w:tc>
          <w:tcPr>
            <w:tcW w:w="1040" w:type="dxa"/>
            <w:tcBorders>
              <w:top w:val="nil"/>
              <w:left w:val="nil"/>
              <w:bottom w:val="single" w:sz="4" w:space="0" w:color="auto"/>
              <w:right w:val="single" w:sz="4" w:space="0" w:color="auto"/>
            </w:tcBorders>
            <w:shd w:val="clear" w:color="000000" w:fill="FFFFFF"/>
            <w:noWrap/>
            <w:vAlign w:val="bottom"/>
            <w:hideMark/>
          </w:tcPr>
          <w:p w14:paraId="562A3D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123,6</w:t>
            </w:r>
          </w:p>
        </w:tc>
        <w:tc>
          <w:tcPr>
            <w:tcW w:w="1226" w:type="dxa"/>
            <w:tcBorders>
              <w:top w:val="nil"/>
              <w:left w:val="nil"/>
              <w:bottom w:val="single" w:sz="4" w:space="0" w:color="auto"/>
              <w:right w:val="single" w:sz="4" w:space="0" w:color="auto"/>
            </w:tcBorders>
            <w:shd w:val="clear" w:color="000000" w:fill="FFFFFF"/>
            <w:noWrap/>
            <w:vAlign w:val="bottom"/>
            <w:hideMark/>
          </w:tcPr>
          <w:p w14:paraId="2D93F2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D0D403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6D5133B"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374F62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7B8A43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024F0A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2D3FE42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072004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726362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9C631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735FF8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3C85AE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785557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AADBCA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065AFF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ГАБРОВО</w:t>
            </w:r>
          </w:p>
        </w:tc>
        <w:tc>
          <w:tcPr>
            <w:tcW w:w="1911" w:type="dxa"/>
            <w:tcBorders>
              <w:top w:val="nil"/>
              <w:left w:val="nil"/>
              <w:bottom w:val="single" w:sz="4" w:space="0" w:color="auto"/>
              <w:right w:val="single" w:sz="4" w:space="0" w:color="auto"/>
            </w:tcBorders>
            <w:shd w:val="clear" w:color="000000" w:fill="FFFFFF"/>
            <w:noWrap/>
            <w:vAlign w:val="bottom"/>
            <w:hideMark/>
          </w:tcPr>
          <w:p w14:paraId="581B4CF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2A63DA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53B0E9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4F810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7B9C16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2E225B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712D4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28696C7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F720C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055D63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C11E25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62BC8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Габрово</w:t>
            </w:r>
          </w:p>
        </w:tc>
        <w:tc>
          <w:tcPr>
            <w:tcW w:w="1911" w:type="dxa"/>
            <w:tcBorders>
              <w:top w:val="nil"/>
              <w:left w:val="nil"/>
              <w:bottom w:val="single" w:sz="4" w:space="0" w:color="auto"/>
              <w:right w:val="single" w:sz="4" w:space="0" w:color="auto"/>
            </w:tcBorders>
            <w:shd w:val="clear" w:color="000000" w:fill="FFFFFF"/>
            <w:noWrap/>
            <w:vAlign w:val="bottom"/>
            <w:hideMark/>
          </w:tcPr>
          <w:p w14:paraId="78C65A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32 143,2</w:t>
            </w:r>
          </w:p>
        </w:tc>
        <w:tc>
          <w:tcPr>
            <w:tcW w:w="1118" w:type="dxa"/>
            <w:tcBorders>
              <w:top w:val="nil"/>
              <w:left w:val="nil"/>
              <w:bottom w:val="single" w:sz="4" w:space="0" w:color="auto"/>
              <w:right w:val="single" w:sz="4" w:space="0" w:color="auto"/>
            </w:tcBorders>
            <w:shd w:val="clear" w:color="000000" w:fill="FFFFFF"/>
            <w:noWrap/>
            <w:vAlign w:val="bottom"/>
            <w:hideMark/>
          </w:tcPr>
          <w:p w14:paraId="6C9DBA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2 597,1</w:t>
            </w:r>
          </w:p>
        </w:tc>
        <w:tc>
          <w:tcPr>
            <w:tcW w:w="1257" w:type="dxa"/>
            <w:tcBorders>
              <w:top w:val="nil"/>
              <w:left w:val="nil"/>
              <w:bottom w:val="single" w:sz="4" w:space="0" w:color="auto"/>
              <w:right w:val="single" w:sz="4" w:space="0" w:color="auto"/>
            </w:tcBorders>
            <w:shd w:val="clear" w:color="000000" w:fill="FFFFFF"/>
            <w:noWrap/>
            <w:vAlign w:val="bottom"/>
            <w:hideMark/>
          </w:tcPr>
          <w:p w14:paraId="7A1281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444,8</w:t>
            </w:r>
          </w:p>
        </w:tc>
        <w:tc>
          <w:tcPr>
            <w:tcW w:w="1384" w:type="dxa"/>
            <w:tcBorders>
              <w:top w:val="nil"/>
              <w:left w:val="nil"/>
              <w:bottom w:val="single" w:sz="4" w:space="0" w:color="auto"/>
              <w:right w:val="single" w:sz="4" w:space="0" w:color="auto"/>
            </w:tcBorders>
            <w:shd w:val="clear" w:color="000000" w:fill="FFFFFF"/>
            <w:noWrap/>
            <w:vAlign w:val="bottom"/>
            <w:hideMark/>
          </w:tcPr>
          <w:p w14:paraId="32F7B6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2 152,3</w:t>
            </w:r>
          </w:p>
        </w:tc>
        <w:tc>
          <w:tcPr>
            <w:tcW w:w="1134" w:type="dxa"/>
            <w:tcBorders>
              <w:top w:val="nil"/>
              <w:left w:val="nil"/>
              <w:bottom w:val="single" w:sz="4" w:space="0" w:color="auto"/>
              <w:right w:val="single" w:sz="4" w:space="0" w:color="auto"/>
            </w:tcBorders>
            <w:shd w:val="clear" w:color="000000" w:fill="FFFFFF"/>
            <w:noWrap/>
            <w:vAlign w:val="bottom"/>
            <w:hideMark/>
          </w:tcPr>
          <w:p w14:paraId="640DF3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268,1</w:t>
            </w:r>
          </w:p>
        </w:tc>
        <w:tc>
          <w:tcPr>
            <w:tcW w:w="1277" w:type="dxa"/>
            <w:tcBorders>
              <w:top w:val="nil"/>
              <w:left w:val="nil"/>
              <w:bottom w:val="single" w:sz="4" w:space="0" w:color="auto"/>
              <w:right w:val="single" w:sz="4" w:space="0" w:color="auto"/>
            </w:tcBorders>
            <w:shd w:val="clear" w:color="000000" w:fill="FFFFFF"/>
            <w:noWrap/>
            <w:vAlign w:val="bottom"/>
            <w:hideMark/>
          </w:tcPr>
          <w:p w14:paraId="0631CD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17 412,3</w:t>
            </w:r>
          </w:p>
        </w:tc>
        <w:tc>
          <w:tcPr>
            <w:tcW w:w="1040" w:type="dxa"/>
            <w:tcBorders>
              <w:top w:val="nil"/>
              <w:left w:val="nil"/>
              <w:bottom w:val="single" w:sz="4" w:space="0" w:color="auto"/>
              <w:right w:val="single" w:sz="4" w:space="0" w:color="auto"/>
            </w:tcBorders>
            <w:shd w:val="clear" w:color="000000" w:fill="FFFFFF"/>
            <w:noWrap/>
            <w:vAlign w:val="bottom"/>
            <w:hideMark/>
          </w:tcPr>
          <w:p w14:paraId="3F9466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2 625,7</w:t>
            </w:r>
          </w:p>
        </w:tc>
        <w:tc>
          <w:tcPr>
            <w:tcW w:w="1087" w:type="dxa"/>
            <w:tcBorders>
              <w:top w:val="nil"/>
              <w:left w:val="nil"/>
              <w:bottom w:val="single" w:sz="4" w:space="0" w:color="auto"/>
              <w:right w:val="single" w:sz="4" w:space="0" w:color="auto"/>
            </w:tcBorders>
            <w:shd w:val="clear" w:color="000000" w:fill="FFFFFF"/>
            <w:noWrap/>
            <w:vAlign w:val="bottom"/>
            <w:hideMark/>
          </w:tcPr>
          <w:p w14:paraId="3B33FD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5 358,0</w:t>
            </w:r>
          </w:p>
        </w:tc>
        <w:tc>
          <w:tcPr>
            <w:tcW w:w="1040" w:type="dxa"/>
            <w:tcBorders>
              <w:top w:val="nil"/>
              <w:left w:val="nil"/>
              <w:bottom w:val="single" w:sz="4" w:space="0" w:color="auto"/>
              <w:right w:val="single" w:sz="4" w:space="0" w:color="auto"/>
            </w:tcBorders>
            <w:shd w:val="clear" w:color="000000" w:fill="FFFFFF"/>
            <w:noWrap/>
            <w:vAlign w:val="bottom"/>
            <w:hideMark/>
          </w:tcPr>
          <w:p w14:paraId="549D4E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3 882,0</w:t>
            </w:r>
          </w:p>
        </w:tc>
        <w:tc>
          <w:tcPr>
            <w:tcW w:w="1226" w:type="dxa"/>
            <w:tcBorders>
              <w:top w:val="nil"/>
              <w:left w:val="nil"/>
              <w:bottom w:val="single" w:sz="4" w:space="0" w:color="auto"/>
              <w:right w:val="single" w:sz="4" w:space="0" w:color="auto"/>
            </w:tcBorders>
            <w:shd w:val="clear" w:color="000000" w:fill="FFFFFF"/>
            <w:noWrap/>
            <w:vAlign w:val="bottom"/>
            <w:hideMark/>
          </w:tcPr>
          <w:p w14:paraId="31DD91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72FD07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5259FF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Дряново</w:t>
            </w:r>
          </w:p>
        </w:tc>
        <w:tc>
          <w:tcPr>
            <w:tcW w:w="1911" w:type="dxa"/>
            <w:tcBorders>
              <w:top w:val="nil"/>
              <w:left w:val="nil"/>
              <w:bottom w:val="single" w:sz="4" w:space="0" w:color="auto"/>
              <w:right w:val="single" w:sz="4" w:space="0" w:color="auto"/>
            </w:tcBorders>
            <w:shd w:val="clear" w:color="000000" w:fill="FFFFFF"/>
            <w:noWrap/>
            <w:vAlign w:val="bottom"/>
            <w:hideMark/>
          </w:tcPr>
          <w:p w14:paraId="3F7697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9 517,0</w:t>
            </w:r>
          </w:p>
        </w:tc>
        <w:tc>
          <w:tcPr>
            <w:tcW w:w="1118" w:type="dxa"/>
            <w:tcBorders>
              <w:top w:val="nil"/>
              <w:left w:val="nil"/>
              <w:bottom w:val="single" w:sz="4" w:space="0" w:color="auto"/>
              <w:right w:val="single" w:sz="4" w:space="0" w:color="auto"/>
            </w:tcBorders>
            <w:shd w:val="clear" w:color="000000" w:fill="FFFFFF"/>
            <w:noWrap/>
            <w:vAlign w:val="bottom"/>
            <w:hideMark/>
          </w:tcPr>
          <w:p w14:paraId="43A1E2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790,1</w:t>
            </w:r>
          </w:p>
        </w:tc>
        <w:tc>
          <w:tcPr>
            <w:tcW w:w="1257" w:type="dxa"/>
            <w:tcBorders>
              <w:top w:val="nil"/>
              <w:left w:val="nil"/>
              <w:bottom w:val="single" w:sz="4" w:space="0" w:color="auto"/>
              <w:right w:val="single" w:sz="4" w:space="0" w:color="auto"/>
            </w:tcBorders>
            <w:shd w:val="clear" w:color="000000" w:fill="FFFFFF"/>
            <w:noWrap/>
            <w:vAlign w:val="bottom"/>
            <w:hideMark/>
          </w:tcPr>
          <w:p w14:paraId="3473A6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141,5</w:t>
            </w:r>
          </w:p>
        </w:tc>
        <w:tc>
          <w:tcPr>
            <w:tcW w:w="1384" w:type="dxa"/>
            <w:tcBorders>
              <w:top w:val="nil"/>
              <w:left w:val="nil"/>
              <w:bottom w:val="single" w:sz="4" w:space="0" w:color="auto"/>
              <w:right w:val="single" w:sz="4" w:space="0" w:color="auto"/>
            </w:tcBorders>
            <w:shd w:val="clear" w:color="000000" w:fill="FFFFFF"/>
            <w:noWrap/>
            <w:vAlign w:val="bottom"/>
            <w:hideMark/>
          </w:tcPr>
          <w:p w14:paraId="53C740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648,6</w:t>
            </w:r>
          </w:p>
        </w:tc>
        <w:tc>
          <w:tcPr>
            <w:tcW w:w="1134" w:type="dxa"/>
            <w:tcBorders>
              <w:top w:val="nil"/>
              <w:left w:val="nil"/>
              <w:bottom w:val="single" w:sz="4" w:space="0" w:color="auto"/>
              <w:right w:val="single" w:sz="4" w:space="0" w:color="auto"/>
            </w:tcBorders>
            <w:shd w:val="clear" w:color="000000" w:fill="FFFFFF"/>
            <w:noWrap/>
            <w:vAlign w:val="bottom"/>
            <w:hideMark/>
          </w:tcPr>
          <w:p w14:paraId="1DEF7F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142,9</w:t>
            </w:r>
          </w:p>
        </w:tc>
        <w:tc>
          <w:tcPr>
            <w:tcW w:w="1277" w:type="dxa"/>
            <w:tcBorders>
              <w:top w:val="nil"/>
              <w:left w:val="nil"/>
              <w:bottom w:val="single" w:sz="4" w:space="0" w:color="auto"/>
              <w:right w:val="single" w:sz="4" w:space="0" w:color="auto"/>
            </w:tcBorders>
            <w:shd w:val="clear" w:color="000000" w:fill="FFFFFF"/>
            <w:noWrap/>
            <w:vAlign w:val="bottom"/>
            <w:hideMark/>
          </w:tcPr>
          <w:p w14:paraId="08074E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2 425,4</w:t>
            </w:r>
          </w:p>
        </w:tc>
        <w:tc>
          <w:tcPr>
            <w:tcW w:w="1040" w:type="dxa"/>
            <w:tcBorders>
              <w:top w:val="nil"/>
              <w:left w:val="nil"/>
              <w:bottom w:val="single" w:sz="4" w:space="0" w:color="auto"/>
              <w:right w:val="single" w:sz="4" w:space="0" w:color="auto"/>
            </w:tcBorders>
            <w:shd w:val="clear" w:color="000000" w:fill="FFFFFF"/>
            <w:noWrap/>
            <w:vAlign w:val="bottom"/>
            <w:hideMark/>
          </w:tcPr>
          <w:p w14:paraId="1B6586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443,1</w:t>
            </w:r>
          </w:p>
        </w:tc>
        <w:tc>
          <w:tcPr>
            <w:tcW w:w="1087" w:type="dxa"/>
            <w:tcBorders>
              <w:top w:val="nil"/>
              <w:left w:val="nil"/>
              <w:bottom w:val="single" w:sz="4" w:space="0" w:color="auto"/>
              <w:right w:val="single" w:sz="4" w:space="0" w:color="auto"/>
            </w:tcBorders>
            <w:shd w:val="clear" w:color="000000" w:fill="FFFFFF"/>
            <w:noWrap/>
            <w:vAlign w:val="bottom"/>
            <w:hideMark/>
          </w:tcPr>
          <w:p w14:paraId="20F418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5 056,0</w:t>
            </w:r>
          </w:p>
        </w:tc>
        <w:tc>
          <w:tcPr>
            <w:tcW w:w="1040" w:type="dxa"/>
            <w:tcBorders>
              <w:top w:val="nil"/>
              <w:left w:val="nil"/>
              <w:bottom w:val="single" w:sz="4" w:space="0" w:color="auto"/>
              <w:right w:val="single" w:sz="4" w:space="0" w:color="auto"/>
            </w:tcBorders>
            <w:shd w:val="clear" w:color="000000" w:fill="FFFFFF"/>
            <w:noWrap/>
            <w:vAlign w:val="bottom"/>
            <w:hideMark/>
          </w:tcPr>
          <w:p w14:paraId="4F66E5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659,5</w:t>
            </w:r>
          </w:p>
        </w:tc>
        <w:tc>
          <w:tcPr>
            <w:tcW w:w="1226" w:type="dxa"/>
            <w:tcBorders>
              <w:top w:val="nil"/>
              <w:left w:val="nil"/>
              <w:bottom w:val="single" w:sz="4" w:space="0" w:color="auto"/>
              <w:right w:val="single" w:sz="4" w:space="0" w:color="auto"/>
            </w:tcBorders>
            <w:shd w:val="clear" w:color="000000" w:fill="FFFFFF"/>
            <w:noWrap/>
            <w:vAlign w:val="bottom"/>
            <w:hideMark/>
          </w:tcPr>
          <w:p w14:paraId="397C78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A8A35B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05CF9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Cевлиево</w:t>
            </w:r>
          </w:p>
        </w:tc>
        <w:tc>
          <w:tcPr>
            <w:tcW w:w="1911" w:type="dxa"/>
            <w:tcBorders>
              <w:top w:val="nil"/>
              <w:left w:val="nil"/>
              <w:bottom w:val="single" w:sz="4" w:space="0" w:color="auto"/>
              <w:right w:val="single" w:sz="4" w:space="0" w:color="auto"/>
            </w:tcBorders>
            <w:shd w:val="clear" w:color="000000" w:fill="FFFFFF"/>
            <w:noWrap/>
            <w:vAlign w:val="bottom"/>
            <w:hideMark/>
          </w:tcPr>
          <w:p w14:paraId="09D81F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21 358,8</w:t>
            </w:r>
          </w:p>
        </w:tc>
        <w:tc>
          <w:tcPr>
            <w:tcW w:w="1118" w:type="dxa"/>
            <w:tcBorders>
              <w:top w:val="nil"/>
              <w:left w:val="nil"/>
              <w:bottom w:val="single" w:sz="4" w:space="0" w:color="auto"/>
              <w:right w:val="single" w:sz="4" w:space="0" w:color="auto"/>
            </w:tcBorders>
            <w:shd w:val="clear" w:color="000000" w:fill="FFFFFF"/>
            <w:noWrap/>
            <w:vAlign w:val="bottom"/>
            <w:hideMark/>
          </w:tcPr>
          <w:p w14:paraId="433F8D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1 873,9</w:t>
            </w:r>
          </w:p>
        </w:tc>
        <w:tc>
          <w:tcPr>
            <w:tcW w:w="1257" w:type="dxa"/>
            <w:tcBorders>
              <w:top w:val="nil"/>
              <w:left w:val="nil"/>
              <w:bottom w:val="single" w:sz="4" w:space="0" w:color="auto"/>
              <w:right w:val="single" w:sz="4" w:space="0" w:color="auto"/>
            </w:tcBorders>
            <w:shd w:val="clear" w:color="000000" w:fill="FFFFFF"/>
            <w:noWrap/>
            <w:vAlign w:val="bottom"/>
            <w:hideMark/>
          </w:tcPr>
          <w:p w14:paraId="7826A2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476,6</w:t>
            </w:r>
          </w:p>
        </w:tc>
        <w:tc>
          <w:tcPr>
            <w:tcW w:w="1384" w:type="dxa"/>
            <w:tcBorders>
              <w:top w:val="nil"/>
              <w:left w:val="nil"/>
              <w:bottom w:val="single" w:sz="4" w:space="0" w:color="auto"/>
              <w:right w:val="single" w:sz="4" w:space="0" w:color="auto"/>
            </w:tcBorders>
            <w:shd w:val="clear" w:color="000000" w:fill="FFFFFF"/>
            <w:noWrap/>
            <w:vAlign w:val="bottom"/>
            <w:hideMark/>
          </w:tcPr>
          <w:p w14:paraId="7D3A80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1 397,3</w:t>
            </w:r>
          </w:p>
        </w:tc>
        <w:tc>
          <w:tcPr>
            <w:tcW w:w="1134" w:type="dxa"/>
            <w:tcBorders>
              <w:top w:val="nil"/>
              <w:left w:val="nil"/>
              <w:bottom w:val="single" w:sz="4" w:space="0" w:color="auto"/>
              <w:right w:val="single" w:sz="4" w:space="0" w:color="auto"/>
            </w:tcBorders>
            <w:shd w:val="clear" w:color="000000" w:fill="FFFFFF"/>
            <w:noWrap/>
            <w:vAlign w:val="bottom"/>
            <w:hideMark/>
          </w:tcPr>
          <w:p w14:paraId="4863E3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227,5</w:t>
            </w:r>
          </w:p>
        </w:tc>
        <w:tc>
          <w:tcPr>
            <w:tcW w:w="1277" w:type="dxa"/>
            <w:tcBorders>
              <w:top w:val="nil"/>
              <w:left w:val="nil"/>
              <w:bottom w:val="single" w:sz="4" w:space="0" w:color="auto"/>
              <w:right w:val="single" w:sz="4" w:space="0" w:color="auto"/>
            </w:tcBorders>
            <w:shd w:val="clear" w:color="000000" w:fill="FFFFFF"/>
            <w:noWrap/>
            <w:vAlign w:val="bottom"/>
            <w:hideMark/>
          </w:tcPr>
          <w:p w14:paraId="3B08F9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12 531,7</w:t>
            </w:r>
          </w:p>
        </w:tc>
        <w:tc>
          <w:tcPr>
            <w:tcW w:w="1040" w:type="dxa"/>
            <w:tcBorders>
              <w:top w:val="nil"/>
              <w:left w:val="nil"/>
              <w:bottom w:val="single" w:sz="4" w:space="0" w:color="auto"/>
              <w:right w:val="single" w:sz="4" w:space="0" w:color="auto"/>
            </w:tcBorders>
            <w:shd w:val="clear" w:color="000000" w:fill="FFFFFF"/>
            <w:noWrap/>
            <w:vAlign w:val="bottom"/>
            <w:hideMark/>
          </w:tcPr>
          <w:p w14:paraId="624FF7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527,8</w:t>
            </w:r>
          </w:p>
        </w:tc>
        <w:tc>
          <w:tcPr>
            <w:tcW w:w="1087" w:type="dxa"/>
            <w:tcBorders>
              <w:top w:val="nil"/>
              <w:left w:val="nil"/>
              <w:bottom w:val="single" w:sz="4" w:space="0" w:color="auto"/>
              <w:right w:val="single" w:sz="4" w:space="0" w:color="auto"/>
            </w:tcBorders>
            <w:shd w:val="clear" w:color="000000" w:fill="FFFFFF"/>
            <w:noWrap/>
            <w:vAlign w:val="bottom"/>
            <w:hideMark/>
          </w:tcPr>
          <w:p w14:paraId="30C59A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5 170,3</w:t>
            </w:r>
          </w:p>
        </w:tc>
        <w:tc>
          <w:tcPr>
            <w:tcW w:w="1040" w:type="dxa"/>
            <w:tcBorders>
              <w:top w:val="nil"/>
              <w:left w:val="nil"/>
              <w:bottom w:val="single" w:sz="4" w:space="0" w:color="auto"/>
              <w:right w:val="single" w:sz="4" w:space="0" w:color="auto"/>
            </w:tcBorders>
            <w:shd w:val="clear" w:color="000000" w:fill="FFFFFF"/>
            <w:noWrap/>
            <w:vAlign w:val="bottom"/>
            <w:hideMark/>
          </w:tcPr>
          <w:p w14:paraId="27D40F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1 027,6</w:t>
            </w:r>
          </w:p>
        </w:tc>
        <w:tc>
          <w:tcPr>
            <w:tcW w:w="1226" w:type="dxa"/>
            <w:tcBorders>
              <w:top w:val="nil"/>
              <w:left w:val="nil"/>
              <w:bottom w:val="single" w:sz="4" w:space="0" w:color="auto"/>
              <w:right w:val="single" w:sz="4" w:space="0" w:color="auto"/>
            </w:tcBorders>
            <w:shd w:val="clear" w:color="000000" w:fill="FFFFFF"/>
            <w:noWrap/>
            <w:vAlign w:val="bottom"/>
            <w:hideMark/>
          </w:tcPr>
          <w:p w14:paraId="0D6804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63754A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33BF8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Tрявна</w:t>
            </w:r>
          </w:p>
        </w:tc>
        <w:tc>
          <w:tcPr>
            <w:tcW w:w="1911" w:type="dxa"/>
            <w:tcBorders>
              <w:top w:val="nil"/>
              <w:left w:val="nil"/>
              <w:bottom w:val="single" w:sz="4" w:space="0" w:color="auto"/>
              <w:right w:val="single" w:sz="4" w:space="0" w:color="auto"/>
            </w:tcBorders>
            <w:shd w:val="clear" w:color="000000" w:fill="FFFFFF"/>
            <w:noWrap/>
            <w:vAlign w:val="bottom"/>
            <w:hideMark/>
          </w:tcPr>
          <w:p w14:paraId="3EB7A3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6 146,8</w:t>
            </w:r>
          </w:p>
        </w:tc>
        <w:tc>
          <w:tcPr>
            <w:tcW w:w="1118" w:type="dxa"/>
            <w:tcBorders>
              <w:top w:val="nil"/>
              <w:left w:val="nil"/>
              <w:bottom w:val="single" w:sz="4" w:space="0" w:color="auto"/>
              <w:right w:val="single" w:sz="4" w:space="0" w:color="auto"/>
            </w:tcBorders>
            <w:shd w:val="clear" w:color="000000" w:fill="FFFFFF"/>
            <w:noWrap/>
            <w:vAlign w:val="bottom"/>
            <w:hideMark/>
          </w:tcPr>
          <w:p w14:paraId="25FBED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863,1</w:t>
            </w:r>
          </w:p>
        </w:tc>
        <w:tc>
          <w:tcPr>
            <w:tcW w:w="1257" w:type="dxa"/>
            <w:tcBorders>
              <w:top w:val="nil"/>
              <w:left w:val="nil"/>
              <w:bottom w:val="single" w:sz="4" w:space="0" w:color="auto"/>
              <w:right w:val="single" w:sz="4" w:space="0" w:color="auto"/>
            </w:tcBorders>
            <w:shd w:val="clear" w:color="000000" w:fill="FFFFFF"/>
            <w:noWrap/>
            <w:vAlign w:val="bottom"/>
            <w:hideMark/>
          </w:tcPr>
          <w:p w14:paraId="4CC602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154,8</w:t>
            </w:r>
          </w:p>
        </w:tc>
        <w:tc>
          <w:tcPr>
            <w:tcW w:w="1384" w:type="dxa"/>
            <w:tcBorders>
              <w:top w:val="nil"/>
              <w:left w:val="nil"/>
              <w:bottom w:val="single" w:sz="4" w:space="0" w:color="auto"/>
              <w:right w:val="single" w:sz="4" w:space="0" w:color="auto"/>
            </w:tcBorders>
            <w:shd w:val="clear" w:color="000000" w:fill="FFFFFF"/>
            <w:noWrap/>
            <w:vAlign w:val="bottom"/>
            <w:hideMark/>
          </w:tcPr>
          <w:p w14:paraId="63561D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708,3</w:t>
            </w:r>
          </w:p>
        </w:tc>
        <w:tc>
          <w:tcPr>
            <w:tcW w:w="1134" w:type="dxa"/>
            <w:tcBorders>
              <w:top w:val="nil"/>
              <w:left w:val="nil"/>
              <w:bottom w:val="single" w:sz="4" w:space="0" w:color="auto"/>
              <w:right w:val="single" w:sz="4" w:space="0" w:color="auto"/>
            </w:tcBorders>
            <w:shd w:val="clear" w:color="000000" w:fill="FFFFFF"/>
            <w:noWrap/>
            <w:vAlign w:val="bottom"/>
            <w:hideMark/>
          </w:tcPr>
          <w:p w14:paraId="79C318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132,6</w:t>
            </w:r>
          </w:p>
        </w:tc>
        <w:tc>
          <w:tcPr>
            <w:tcW w:w="1277" w:type="dxa"/>
            <w:tcBorders>
              <w:top w:val="nil"/>
              <w:left w:val="nil"/>
              <w:bottom w:val="single" w:sz="4" w:space="0" w:color="auto"/>
              <w:right w:val="single" w:sz="4" w:space="0" w:color="auto"/>
            </w:tcBorders>
            <w:shd w:val="clear" w:color="000000" w:fill="FFFFFF"/>
            <w:noWrap/>
            <w:vAlign w:val="bottom"/>
            <w:hideMark/>
          </w:tcPr>
          <w:p w14:paraId="4C9548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2 823,5</w:t>
            </w:r>
          </w:p>
        </w:tc>
        <w:tc>
          <w:tcPr>
            <w:tcW w:w="1040" w:type="dxa"/>
            <w:tcBorders>
              <w:top w:val="nil"/>
              <w:left w:val="nil"/>
              <w:bottom w:val="single" w:sz="4" w:space="0" w:color="auto"/>
              <w:right w:val="single" w:sz="4" w:space="0" w:color="auto"/>
            </w:tcBorders>
            <w:shd w:val="clear" w:color="000000" w:fill="FFFFFF"/>
            <w:noWrap/>
            <w:vAlign w:val="bottom"/>
            <w:hideMark/>
          </w:tcPr>
          <w:p w14:paraId="160A8F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108,0</w:t>
            </w:r>
          </w:p>
        </w:tc>
        <w:tc>
          <w:tcPr>
            <w:tcW w:w="1087" w:type="dxa"/>
            <w:tcBorders>
              <w:top w:val="nil"/>
              <w:left w:val="nil"/>
              <w:bottom w:val="single" w:sz="4" w:space="0" w:color="auto"/>
              <w:right w:val="single" w:sz="4" w:space="0" w:color="auto"/>
            </w:tcBorders>
            <w:shd w:val="clear" w:color="000000" w:fill="FFFFFF"/>
            <w:noWrap/>
            <w:vAlign w:val="bottom"/>
            <w:hideMark/>
          </w:tcPr>
          <w:p w14:paraId="2E2061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1 407,0</w:t>
            </w:r>
          </w:p>
        </w:tc>
        <w:tc>
          <w:tcPr>
            <w:tcW w:w="1040" w:type="dxa"/>
            <w:tcBorders>
              <w:top w:val="nil"/>
              <w:left w:val="nil"/>
              <w:bottom w:val="single" w:sz="4" w:space="0" w:color="auto"/>
              <w:right w:val="single" w:sz="4" w:space="0" w:color="auto"/>
            </w:tcBorders>
            <w:shd w:val="clear" w:color="000000" w:fill="FFFFFF"/>
            <w:noWrap/>
            <w:vAlign w:val="bottom"/>
            <w:hideMark/>
          </w:tcPr>
          <w:p w14:paraId="2B4C97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812,6</w:t>
            </w:r>
          </w:p>
        </w:tc>
        <w:tc>
          <w:tcPr>
            <w:tcW w:w="1226" w:type="dxa"/>
            <w:tcBorders>
              <w:top w:val="nil"/>
              <w:left w:val="nil"/>
              <w:bottom w:val="single" w:sz="4" w:space="0" w:color="auto"/>
              <w:right w:val="single" w:sz="4" w:space="0" w:color="auto"/>
            </w:tcBorders>
            <w:shd w:val="clear" w:color="000000" w:fill="FFFFFF"/>
            <w:noWrap/>
            <w:vAlign w:val="bottom"/>
            <w:hideMark/>
          </w:tcPr>
          <w:p w14:paraId="345BF0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B48AB5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3B72AE3"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34F524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3B805B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4630D6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A96B8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63207E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709A42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8E918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51525F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02F3E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0F7AF6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4DAF13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DE2E7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ДОБРИЧ</w:t>
            </w:r>
          </w:p>
        </w:tc>
        <w:tc>
          <w:tcPr>
            <w:tcW w:w="1911" w:type="dxa"/>
            <w:tcBorders>
              <w:top w:val="nil"/>
              <w:left w:val="nil"/>
              <w:bottom w:val="single" w:sz="4" w:space="0" w:color="auto"/>
              <w:right w:val="single" w:sz="4" w:space="0" w:color="auto"/>
            </w:tcBorders>
            <w:shd w:val="clear" w:color="000000" w:fill="FFFFFF"/>
            <w:noWrap/>
            <w:vAlign w:val="bottom"/>
            <w:hideMark/>
          </w:tcPr>
          <w:p w14:paraId="74C9967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749DEC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6988EC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4EDD5F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733622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7EC409F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1BFDF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78E4072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EF2E4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272440E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01DAA2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E651B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Балчик</w:t>
            </w:r>
          </w:p>
        </w:tc>
        <w:tc>
          <w:tcPr>
            <w:tcW w:w="1911" w:type="dxa"/>
            <w:tcBorders>
              <w:top w:val="nil"/>
              <w:left w:val="nil"/>
              <w:bottom w:val="single" w:sz="4" w:space="0" w:color="auto"/>
              <w:right w:val="single" w:sz="4" w:space="0" w:color="auto"/>
            </w:tcBorders>
            <w:shd w:val="clear" w:color="000000" w:fill="FFFFFF"/>
            <w:noWrap/>
            <w:vAlign w:val="bottom"/>
            <w:hideMark/>
          </w:tcPr>
          <w:p w14:paraId="17EE50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11 285,9</w:t>
            </w:r>
          </w:p>
        </w:tc>
        <w:tc>
          <w:tcPr>
            <w:tcW w:w="1118" w:type="dxa"/>
            <w:tcBorders>
              <w:top w:val="nil"/>
              <w:left w:val="nil"/>
              <w:bottom w:val="single" w:sz="4" w:space="0" w:color="auto"/>
              <w:right w:val="single" w:sz="4" w:space="0" w:color="auto"/>
            </w:tcBorders>
            <w:shd w:val="clear" w:color="000000" w:fill="FFFFFF"/>
            <w:noWrap/>
            <w:vAlign w:val="bottom"/>
            <w:hideMark/>
          </w:tcPr>
          <w:p w14:paraId="2C8CAD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1 345,6</w:t>
            </w:r>
          </w:p>
        </w:tc>
        <w:tc>
          <w:tcPr>
            <w:tcW w:w="1257" w:type="dxa"/>
            <w:tcBorders>
              <w:top w:val="nil"/>
              <w:left w:val="nil"/>
              <w:bottom w:val="single" w:sz="4" w:space="0" w:color="auto"/>
              <w:right w:val="single" w:sz="4" w:space="0" w:color="auto"/>
            </w:tcBorders>
            <w:shd w:val="clear" w:color="000000" w:fill="FFFFFF"/>
            <w:noWrap/>
            <w:vAlign w:val="bottom"/>
            <w:hideMark/>
          </w:tcPr>
          <w:p w14:paraId="2BF8A6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335,1</w:t>
            </w:r>
          </w:p>
        </w:tc>
        <w:tc>
          <w:tcPr>
            <w:tcW w:w="1384" w:type="dxa"/>
            <w:tcBorders>
              <w:top w:val="nil"/>
              <w:left w:val="nil"/>
              <w:bottom w:val="single" w:sz="4" w:space="0" w:color="auto"/>
              <w:right w:val="single" w:sz="4" w:space="0" w:color="auto"/>
            </w:tcBorders>
            <w:shd w:val="clear" w:color="000000" w:fill="FFFFFF"/>
            <w:noWrap/>
            <w:vAlign w:val="bottom"/>
            <w:hideMark/>
          </w:tcPr>
          <w:p w14:paraId="7D0900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1 010,5</w:t>
            </w:r>
          </w:p>
        </w:tc>
        <w:tc>
          <w:tcPr>
            <w:tcW w:w="1134" w:type="dxa"/>
            <w:tcBorders>
              <w:top w:val="nil"/>
              <w:left w:val="nil"/>
              <w:bottom w:val="single" w:sz="4" w:space="0" w:color="auto"/>
              <w:right w:val="single" w:sz="4" w:space="0" w:color="auto"/>
            </w:tcBorders>
            <w:shd w:val="clear" w:color="000000" w:fill="FFFFFF"/>
            <w:noWrap/>
            <w:vAlign w:val="bottom"/>
            <w:hideMark/>
          </w:tcPr>
          <w:p w14:paraId="5D7250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147,0</w:t>
            </w:r>
          </w:p>
        </w:tc>
        <w:tc>
          <w:tcPr>
            <w:tcW w:w="1277" w:type="dxa"/>
            <w:tcBorders>
              <w:top w:val="nil"/>
              <w:left w:val="nil"/>
              <w:bottom w:val="single" w:sz="4" w:space="0" w:color="auto"/>
              <w:right w:val="single" w:sz="4" w:space="0" w:color="auto"/>
            </w:tcBorders>
            <w:shd w:val="clear" w:color="000000" w:fill="FFFFFF"/>
            <w:noWrap/>
            <w:vAlign w:val="bottom"/>
            <w:hideMark/>
          </w:tcPr>
          <w:p w14:paraId="058D36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7 572,3</w:t>
            </w:r>
          </w:p>
        </w:tc>
        <w:tc>
          <w:tcPr>
            <w:tcW w:w="1040" w:type="dxa"/>
            <w:tcBorders>
              <w:top w:val="nil"/>
              <w:left w:val="nil"/>
              <w:bottom w:val="single" w:sz="4" w:space="0" w:color="auto"/>
              <w:right w:val="single" w:sz="4" w:space="0" w:color="auto"/>
            </w:tcBorders>
            <w:shd w:val="clear" w:color="000000" w:fill="FFFFFF"/>
            <w:noWrap/>
            <w:vAlign w:val="bottom"/>
            <w:hideMark/>
          </w:tcPr>
          <w:p w14:paraId="156A84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215,2</w:t>
            </w:r>
          </w:p>
        </w:tc>
        <w:tc>
          <w:tcPr>
            <w:tcW w:w="1087" w:type="dxa"/>
            <w:tcBorders>
              <w:top w:val="nil"/>
              <w:left w:val="nil"/>
              <w:bottom w:val="single" w:sz="4" w:space="0" w:color="auto"/>
              <w:right w:val="single" w:sz="4" w:space="0" w:color="auto"/>
            </w:tcBorders>
            <w:shd w:val="clear" w:color="000000" w:fill="FFFFFF"/>
            <w:noWrap/>
            <w:vAlign w:val="bottom"/>
            <w:hideMark/>
          </w:tcPr>
          <w:p w14:paraId="3264DF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1 413,8</w:t>
            </w:r>
          </w:p>
        </w:tc>
        <w:tc>
          <w:tcPr>
            <w:tcW w:w="1040" w:type="dxa"/>
            <w:tcBorders>
              <w:top w:val="nil"/>
              <w:left w:val="nil"/>
              <w:bottom w:val="single" w:sz="4" w:space="0" w:color="auto"/>
              <w:right w:val="single" w:sz="4" w:space="0" w:color="auto"/>
            </w:tcBorders>
            <w:shd w:val="clear" w:color="000000" w:fill="FFFFFF"/>
            <w:noWrap/>
            <w:vAlign w:val="bottom"/>
            <w:hideMark/>
          </w:tcPr>
          <w:p w14:paraId="62CD7B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592,0</w:t>
            </w:r>
          </w:p>
        </w:tc>
        <w:tc>
          <w:tcPr>
            <w:tcW w:w="1226" w:type="dxa"/>
            <w:tcBorders>
              <w:top w:val="nil"/>
              <w:left w:val="nil"/>
              <w:bottom w:val="single" w:sz="4" w:space="0" w:color="auto"/>
              <w:right w:val="single" w:sz="4" w:space="0" w:color="auto"/>
            </w:tcBorders>
            <w:shd w:val="clear" w:color="000000" w:fill="FFFFFF"/>
            <w:noWrap/>
            <w:vAlign w:val="bottom"/>
            <w:hideMark/>
          </w:tcPr>
          <w:p w14:paraId="7FF90A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7A844B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D15B5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Генерал Тошево</w:t>
            </w:r>
          </w:p>
        </w:tc>
        <w:tc>
          <w:tcPr>
            <w:tcW w:w="1911" w:type="dxa"/>
            <w:tcBorders>
              <w:top w:val="nil"/>
              <w:left w:val="nil"/>
              <w:bottom w:val="single" w:sz="4" w:space="0" w:color="auto"/>
              <w:right w:val="single" w:sz="4" w:space="0" w:color="auto"/>
            </w:tcBorders>
            <w:shd w:val="clear" w:color="000000" w:fill="FFFFFF"/>
            <w:noWrap/>
            <w:vAlign w:val="bottom"/>
            <w:hideMark/>
          </w:tcPr>
          <w:p w14:paraId="24CF52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7 883,3</w:t>
            </w:r>
          </w:p>
        </w:tc>
        <w:tc>
          <w:tcPr>
            <w:tcW w:w="1118" w:type="dxa"/>
            <w:tcBorders>
              <w:top w:val="nil"/>
              <w:left w:val="nil"/>
              <w:bottom w:val="single" w:sz="4" w:space="0" w:color="auto"/>
              <w:right w:val="single" w:sz="4" w:space="0" w:color="auto"/>
            </w:tcBorders>
            <w:shd w:val="clear" w:color="000000" w:fill="FFFFFF"/>
            <w:noWrap/>
            <w:vAlign w:val="bottom"/>
            <w:hideMark/>
          </w:tcPr>
          <w:p w14:paraId="408F25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1 377,8</w:t>
            </w:r>
          </w:p>
        </w:tc>
        <w:tc>
          <w:tcPr>
            <w:tcW w:w="1257" w:type="dxa"/>
            <w:tcBorders>
              <w:top w:val="nil"/>
              <w:left w:val="nil"/>
              <w:bottom w:val="single" w:sz="4" w:space="0" w:color="auto"/>
              <w:right w:val="single" w:sz="4" w:space="0" w:color="auto"/>
            </w:tcBorders>
            <w:shd w:val="clear" w:color="000000" w:fill="FFFFFF"/>
            <w:noWrap/>
            <w:vAlign w:val="bottom"/>
            <w:hideMark/>
          </w:tcPr>
          <w:p w14:paraId="4E9FFF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544,1</w:t>
            </w:r>
          </w:p>
        </w:tc>
        <w:tc>
          <w:tcPr>
            <w:tcW w:w="1384" w:type="dxa"/>
            <w:tcBorders>
              <w:top w:val="nil"/>
              <w:left w:val="nil"/>
              <w:bottom w:val="single" w:sz="4" w:space="0" w:color="auto"/>
              <w:right w:val="single" w:sz="4" w:space="0" w:color="auto"/>
            </w:tcBorders>
            <w:shd w:val="clear" w:color="000000" w:fill="FFFFFF"/>
            <w:noWrap/>
            <w:vAlign w:val="bottom"/>
            <w:hideMark/>
          </w:tcPr>
          <w:p w14:paraId="6B1F0E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833,7</w:t>
            </w:r>
          </w:p>
        </w:tc>
        <w:tc>
          <w:tcPr>
            <w:tcW w:w="1134" w:type="dxa"/>
            <w:tcBorders>
              <w:top w:val="nil"/>
              <w:left w:val="nil"/>
              <w:bottom w:val="single" w:sz="4" w:space="0" w:color="auto"/>
              <w:right w:val="single" w:sz="4" w:space="0" w:color="auto"/>
            </w:tcBorders>
            <w:shd w:val="clear" w:color="000000" w:fill="FFFFFF"/>
            <w:noWrap/>
            <w:vAlign w:val="bottom"/>
            <w:hideMark/>
          </w:tcPr>
          <w:p w14:paraId="2180AD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149,6</w:t>
            </w:r>
          </w:p>
        </w:tc>
        <w:tc>
          <w:tcPr>
            <w:tcW w:w="1277" w:type="dxa"/>
            <w:tcBorders>
              <w:top w:val="nil"/>
              <w:left w:val="nil"/>
              <w:bottom w:val="single" w:sz="4" w:space="0" w:color="auto"/>
              <w:right w:val="single" w:sz="4" w:space="0" w:color="auto"/>
            </w:tcBorders>
            <w:shd w:val="clear" w:color="000000" w:fill="FFFFFF"/>
            <w:noWrap/>
            <w:vAlign w:val="bottom"/>
            <w:hideMark/>
          </w:tcPr>
          <w:p w14:paraId="609282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4 409,6</w:t>
            </w:r>
          </w:p>
        </w:tc>
        <w:tc>
          <w:tcPr>
            <w:tcW w:w="1040" w:type="dxa"/>
            <w:tcBorders>
              <w:top w:val="nil"/>
              <w:left w:val="nil"/>
              <w:bottom w:val="single" w:sz="4" w:space="0" w:color="auto"/>
              <w:right w:val="single" w:sz="4" w:space="0" w:color="auto"/>
            </w:tcBorders>
            <w:shd w:val="clear" w:color="000000" w:fill="FFFFFF"/>
            <w:noWrap/>
            <w:vAlign w:val="bottom"/>
            <w:hideMark/>
          </w:tcPr>
          <w:p w14:paraId="6FAB60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497,6</w:t>
            </w:r>
          </w:p>
        </w:tc>
        <w:tc>
          <w:tcPr>
            <w:tcW w:w="1087" w:type="dxa"/>
            <w:tcBorders>
              <w:top w:val="nil"/>
              <w:left w:val="nil"/>
              <w:bottom w:val="single" w:sz="4" w:space="0" w:color="auto"/>
              <w:right w:val="single" w:sz="4" w:space="0" w:color="auto"/>
            </w:tcBorders>
            <w:shd w:val="clear" w:color="000000" w:fill="FFFFFF"/>
            <w:noWrap/>
            <w:vAlign w:val="bottom"/>
            <w:hideMark/>
          </w:tcPr>
          <w:p w14:paraId="1CA465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785,4</w:t>
            </w:r>
          </w:p>
        </w:tc>
        <w:tc>
          <w:tcPr>
            <w:tcW w:w="1040" w:type="dxa"/>
            <w:tcBorders>
              <w:top w:val="nil"/>
              <w:left w:val="nil"/>
              <w:bottom w:val="single" w:sz="4" w:space="0" w:color="auto"/>
              <w:right w:val="single" w:sz="4" w:space="0" w:color="auto"/>
            </w:tcBorders>
            <w:shd w:val="clear" w:color="000000" w:fill="FFFFFF"/>
            <w:noWrap/>
            <w:vAlign w:val="bottom"/>
            <w:hideMark/>
          </w:tcPr>
          <w:p w14:paraId="69E916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663,3</w:t>
            </w:r>
          </w:p>
        </w:tc>
        <w:tc>
          <w:tcPr>
            <w:tcW w:w="1226" w:type="dxa"/>
            <w:tcBorders>
              <w:top w:val="nil"/>
              <w:left w:val="nil"/>
              <w:bottom w:val="single" w:sz="4" w:space="0" w:color="auto"/>
              <w:right w:val="single" w:sz="4" w:space="0" w:color="auto"/>
            </w:tcBorders>
            <w:shd w:val="clear" w:color="000000" w:fill="FFFFFF"/>
            <w:noWrap/>
            <w:vAlign w:val="bottom"/>
            <w:hideMark/>
          </w:tcPr>
          <w:p w14:paraId="2E1C1D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914219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D61A5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Добрич </w:t>
            </w:r>
          </w:p>
        </w:tc>
        <w:tc>
          <w:tcPr>
            <w:tcW w:w="1911" w:type="dxa"/>
            <w:tcBorders>
              <w:top w:val="nil"/>
              <w:left w:val="nil"/>
              <w:bottom w:val="single" w:sz="4" w:space="0" w:color="auto"/>
              <w:right w:val="single" w:sz="4" w:space="0" w:color="auto"/>
            </w:tcBorders>
            <w:shd w:val="clear" w:color="000000" w:fill="FFFFFF"/>
            <w:noWrap/>
            <w:vAlign w:val="bottom"/>
            <w:hideMark/>
          </w:tcPr>
          <w:p w14:paraId="0606E6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47 221,8</w:t>
            </w:r>
          </w:p>
        </w:tc>
        <w:tc>
          <w:tcPr>
            <w:tcW w:w="1118" w:type="dxa"/>
            <w:tcBorders>
              <w:top w:val="nil"/>
              <w:left w:val="nil"/>
              <w:bottom w:val="single" w:sz="4" w:space="0" w:color="auto"/>
              <w:right w:val="single" w:sz="4" w:space="0" w:color="auto"/>
            </w:tcBorders>
            <w:shd w:val="clear" w:color="000000" w:fill="FFFFFF"/>
            <w:noWrap/>
            <w:vAlign w:val="bottom"/>
            <w:hideMark/>
          </w:tcPr>
          <w:p w14:paraId="51CE4E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2 900,0</w:t>
            </w:r>
          </w:p>
        </w:tc>
        <w:tc>
          <w:tcPr>
            <w:tcW w:w="1257" w:type="dxa"/>
            <w:tcBorders>
              <w:top w:val="nil"/>
              <w:left w:val="nil"/>
              <w:bottom w:val="single" w:sz="4" w:space="0" w:color="auto"/>
              <w:right w:val="single" w:sz="4" w:space="0" w:color="auto"/>
            </w:tcBorders>
            <w:shd w:val="clear" w:color="000000" w:fill="FFFFFF"/>
            <w:noWrap/>
            <w:vAlign w:val="bottom"/>
            <w:hideMark/>
          </w:tcPr>
          <w:p w14:paraId="72962D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50,5</w:t>
            </w:r>
          </w:p>
        </w:tc>
        <w:tc>
          <w:tcPr>
            <w:tcW w:w="1384" w:type="dxa"/>
            <w:tcBorders>
              <w:top w:val="nil"/>
              <w:left w:val="nil"/>
              <w:bottom w:val="single" w:sz="4" w:space="0" w:color="auto"/>
              <w:right w:val="single" w:sz="4" w:space="0" w:color="auto"/>
            </w:tcBorders>
            <w:shd w:val="clear" w:color="000000" w:fill="FFFFFF"/>
            <w:noWrap/>
            <w:vAlign w:val="bottom"/>
            <w:hideMark/>
          </w:tcPr>
          <w:p w14:paraId="0654F3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2 849,5</w:t>
            </w:r>
          </w:p>
        </w:tc>
        <w:tc>
          <w:tcPr>
            <w:tcW w:w="1134" w:type="dxa"/>
            <w:tcBorders>
              <w:top w:val="nil"/>
              <w:left w:val="nil"/>
              <w:bottom w:val="single" w:sz="4" w:space="0" w:color="auto"/>
              <w:right w:val="single" w:sz="4" w:space="0" w:color="auto"/>
            </w:tcBorders>
            <w:shd w:val="clear" w:color="000000" w:fill="FFFFFF"/>
            <w:noWrap/>
            <w:vAlign w:val="bottom"/>
            <w:hideMark/>
          </w:tcPr>
          <w:p w14:paraId="04118A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252,4</w:t>
            </w:r>
          </w:p>
        </w:tc>
        <w:tc>
          <w:tcPr>
            <w:tcW w:w="1277" w:type="dxa"/>
            <w:tcBorders>
              <w:top w:val="nil"/>
              <w:left w:val="nil"/>
              <w:bottom w:val="single" w:sz="4" w:space="0" w:color="auto"/>
              <w:right w:val="single" w:sz="4" w:space="0" w:color="auto"/>
            </w:tcBorders>
            <w:shd w:val="clear" w:color="000000" w:fill="FFFFFF"/>
            <w:noWrap/>
            <w:vAlign w:val="bottom"/>
            <w:hideMark/>
          </w:tcPr>
          <w:p w14:paraId="30087A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31 304,9</w:t>
            </w:r>
          </w:p>
        </w:tc>
        <w:tc>
          <w:tcPr>
            <w:tcW w:w="1040" w:type="dxa"/>
            <w:tcBorders>
              <w:top w:val="nil"/>
              <w:left w:val="nil"/>
              <w:bottom w:val="single" w:sz="4" w:space="0" w:color="auto"/>
              <w:right w:val="single" w:sz="4" w:space="0" w:color="auto"/>
            </w:tcBorders>
            <w:shd w:val="clear" w:color="000000" w:fill="FFFFFF"/>
            <w:noWrap/>
            <w:vAlign w:val="bottom"/>
            <w:hideMark/>
          </w:tcPr>
          <w:p w14:paraId="503D43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3 700,7</w:t>
            </w:r>
          </w:p>
        </w:tc>
        <w:tc>
          <w:tcPr>
            <w:tcW w:w="1087" w:type="dxa"/>
            <w:tcBorders>
              <w:top w:val="nil"/>
              <w:left w:val="nil"/>
              <w:bottom w:val="single" w:sz="4" w:space="0" w:color="auto"/>
              <w:right w:val="single" w:sz="4" w:space="0" w:color="auto"/>
            </w:tcBorders>
            <w:shd w:val="clear" w:color="000000" w:fill="FFFFFF"/>
            <w:noWrap/>
            <w:vAlign w:val="bottom"/>
            <w:hideMark/>
          </w:tcPr>
          <w:p w14:paraId="5959BF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6 901,4</w:t>
            </w:r>
          </w:p>
        </w:tc>
        <w:tc>
          <w:tcPr>
            <w:tcW w:w="1040" w:type="dxa"/>
            <w:tcBorders>
              <w:top w:val="nil"/>
              <w:left w:val="nil"/>
              <w:bottom w:val="single" w:sz="4" w:space="0" w:color="auto"/>
              <w:right w:val="single" w:sz="4" w:space="0" w:color="auto"/>
            </w:tcBorders>
            <w:shd w:val="clear" w:color="000000" w:fill="FFFFFF"/>
            <w:noWrap/>
            <w:vAlign w:val="bottom"/>
            <w:hideMark/>
          </w:tcPr>
          <w:p w14:paraId="631A3C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2 162,4</w:t>
            </w:r>
          </w:p>
        </w:tc>
        <w:tc>
          <w:tcPr>
            <w:tcW w:w="1226" w:type="dxa"/>
            <w:tcBorders>
              <w:top w:val="nil"/>
              <w:left w:val="nil"/>
              <w:bottom w:val="single" w:sz="4" w:space="0" w:color="auto"/>
              <w:right w:val="single" w:sz="4" w:space="0" w:color="auto"/>
            </w:tcBorders>
            <w:shd w:val="clear" w:color="000000" w:fill="FFFFFF"/>
            <w:noWrap/>
            <w:vAlign w:val="bottom"/>
            <w:hideMark/>
          </w:tcPr>
          <w:p w14:paraId="009FAF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0F7712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4588B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Добричка</w:t>
            </w:r>
          </w:p>
        </w:tc>
        <w:tc>
          <w:tcPr>
            <w:tcW w:w="1911" w:type="dxa"/>
            <w:tcBorders>
              <w:top w:val="nil"/>
              <w:left w:val="nil"/>
              <w:bottom w:val="single" w:sz="4" w:space="0" w:color="auto"/>
              <w:right w:val="single" w:sz="4" w:space="0" w:color="auto"/>
            </w:tcBorders>
            <w:shd w:val="clear" w:color="000000" w:fill="FFFFFF"/>
            <w:noWrap/>
            <w:vAlign w:val="bottom"/>
            <w:hideMark/>
          </w:tcPr>
          <w:p w14:paraId="33E4BC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13 088,7</w:t>
            </w:r>
          </w:p>
        </w:tc>
        <w:tc>
          <w:tcPr>
            <w:tcW w:w="1118" w:type="dxa"/>
            <w:tcBorders>
              <w:top w:val="nil"/>
              <w:left w:val="nil"/>
              <w:bottom w:val="single" w:sz="4" w:space="0" w:color="auto"/>
              <w:right w:val="single" w:sz="4" w:space="0" w:color="auto"/>
            </w:tcBorders>
            <w:shd w:val="clear" w:color="000000" w:fill="FFFFFF"/>
            <w:noWrap/>
            <w:vAlign w:val="bottom"/>
            <w:hideMark/>
          </w:tcPr>
          <w:p w14:paraId="692E28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2 211,1</w:t>
            </w:r>
          </w:p>
        </w:tc>
        <w:tc>
          <w:tcPr>
            <w:tcW w:w="1257" w:type="dxa"/>
            <w:tcBorders>
              <w:top w:val="nil"/>
              <w:left w:val="nil"/>
              <w:bottom w:val="single" w:sz="4" w:space="0" w:color="auto"/>
              <w:right w:val="single" w:sz="4" w:space="0" w:color="auto"/>
            </w:tcBorders>
            <w:shd w:val="clear" w:color="000000" w:fill="FFFFFF"/>
            <w:noWrap/>
            <w:vAlign w:val="bottom"/>
            <w:hideMark/>
          </w:tcPr>
          <w:p w14:paraId="2ADF20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1 071,3</w:t>
            </w:r>
          </w:p>
        </w:tc>
        <w:tc>
          <w:tcPr>
            <w:tcW w:w="1384" w:type="dxa"/>
            <w:tcBorders>
              <w:top w:val="nil"/>
              <w:left w:val="nil"/>
              <w:bottom w:val="single" w:sz="4" w:space="0" w:color="auto"/>
              <w:right w:val="single" w:sz="4" w:space="0" w:color="auto"/>
            </w:tcBorders>
            <w:shd w:val="clear" w:color="000000" w:fill="FFFFFF"/>
            <w:noWrap/>
            <w:vAlign w:val="bottom"/>
            <w:hideMark/>
          </w:tcPr>
          <w:p w14:paraId="4CEEAF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1 139,8</w:t>
            </w:r>
          </w:p>
        </w:tc>
        <w:tc>
          <w:tcPr>
            <w:tcW w:w="1134" w:type="dxa"/>
            <w:tcBorders>
              <w:top w:val="nil"/>
              <w:left w:val="nil"/>
              <w:bottom w:val="single" w:sz="4" w:space="0" w:color="auto"/>
              <w:right w:val="single" w:sz="4" w:space="0" w:color="auto"/>
            </w:tcBorders>
            <w:shd w:val="clear" w:color="000000" w:fill="FFFFFF"/>
            <w:noWrap/>
            <w:vAlign w:val="bottom"/>
            <w:hideMark/>
          </w:tcPr>
          <w:p w14:paraId="7BDF36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157,1</w:t>
            </w:r>
          </w:p>
        </w:tc>
        <w:tc>
          <w:tcPr>
            <w:tcW w:w="1277" w:type="dxa"/>
            <w:tcBorders>
              <w:top w:val="nil"/>
              <w:left w:val="nil"/>
              <w:bottom w:val="single" w:sz="4" w:space="0" w:color="auto"/>
              <w:right w:val="single" w:sz="4" w:space="0" w:color="auto"/>
            </w:tcBorders>
            <w:shd w:val="clear" w:color="000000" w:fill="FFFFFF"/>
            <w:noWrap/>
            <w:vAlign w:val="bottom"/>
            <w:hideMark/>
          </w:tcPr>
          <w:p w14:paraId="3D2FBB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7 469,8</w:t>
            </w:r>
          </w:p>
        </w:tc>
        <w:tc>
          <w:tcPr>
            <w:tcW w:w="1040" w:type="dxa"/>
            <w:tcBorders>
              <w:top w:val="nil"/>
              <w:left w:val="nil"/>
              <w:bottom w:val="single" w:sz="4" w:space="0" w:color="auto"/>
              <w:right w:val="single" w:sz="4" w:space="0" w:color="auto"/>
            </w:tcBorders>
            <w:shd w:val="clear" w:color="000000" w:fill="FFFFFF"/>
            <w:noWrap/>
            <w:vAlign w:val="bottom"/>
            <w:hideMark/>
          </w:tcPr>
          <w:p w14:paraId="6B2B21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174,0</w:t>
            </w:r>
          </w:p>
        </w:tc>
        <w:tc>
          <w:tcPr>
            <w:tcW w:w="1087" w:type="dxa"/>
            <w:tcBorders>
              <w:top w:val="nil"/>
              <w:left w:val="nil"/>
              <w:bottom w:val="single" w:sz="4" w:space="0" w:color="auto"/>
              <w:right w:val="single" w:sz="4" w:space="0" w:color="auto"/>
            </w:tcBorders>
            <w:shd w:val="clear" w:color="000000" w:fill="FFFFFF"/>
            <w:noWrap/>
            <w:vAlign w:val="bottom"/>
            <w:hideMark/>
          </w:tcPr>
          <w:p w14:paraId="70C176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2 548,4</w:t>
            </w:r>
          </w:p>
        </w:tc>
        <w:tc>
          <w:tcPr>
            <w:tcW w:w="1040" w:type="dxa"/>
            <w:tcBorders>
              <w:top w:val="nil"/>
              <w:left w:val="nil"/>
              <w:bottom w:val="single" w:sz="4" w:space="0" w:color="auto"/>
              <w:right w:val="single" w:sz="4" w:space="0" w:color="auto"/>
            </w:tcBorders>
            <w:shd w:val="clear" w:color="000000" w:fill="FFFFFF"/>
            <w:noWrap/>
            <w:vAlign w:val="bottom"/>
            <w:hideMark/>
          </w:tcPr>
          <w:p w14:paraId="48F4EB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528,3</w:t>
            </w:r>
          </w:p>
        </w:tc>
        <w:tc>
          <w:tcPr>
            <w:tcW w:w="1226" w:type="dxa"/>
            <w:tcBorders>
              <w:top w:val="nil"/>
              <w:left w:val="nil"/>
              <w:bottom w:val="single" w:sz="4" w:space="0" w:color="auto"/>
              <w:right w:val="single" w:sz="4" w:space="0" w:color="auto"/>
            </w:tcBorders>
            <w:shd w:val="clear" w:color="000000" w:fill="FFFFFF"/>
            <w:noWrap/>
            <w:vAlign w:val="bottom"/>
            <w:hideMark/>
          </w:tcPr>
          <w:p w14:paraId="76E958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AD38C8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FBD44F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Kаварна</w:t>
            </w:r>
          </w:p>
        </w:tc>
        <w:tc>
          <w:tcPr>
            <w:tcW w:w="1911" w:type="dxa"/>
            <w:tcBorders>
              <w:top w:val="nil"/>
              <w:left w:val="nil"/>
              <w:bottom w:val="single" w:sz="4" w:space="0" w:color="auto"/>
              <w:right w:val="single" w:sz="4" w:space="0" w:color="auto"/>
            </w:tcBorders>
            <w:shd w:val="clear" w:color="000000" w:fill="FFFFFF"/>
            <w:noWrap/>
            <w:vAlign w:val="bottom"/>
            <w:hideMark/>
          </w:tcPr>
          <w:p w14:paraId="7B0C1A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9 800,3</w:t>
            </w:r>
          </w:p>
        </w:tc>
        <w:tc>
          <w:tcPr>
            <w:tcW w:w="1118" w:type="dxa"/>
            <w:tcBorders>
              <w:top w:val="nil"/>
              <w:left w:val="nil"/>
              <w:bottom w:val="single" w:sz="4" w:space="0" w:color="auto"/>
              <w:right w:val="single" w:sz="4" w:space="0" w:color="auto"/>
            </w:tcBorders>
            <w:shd w:val="clear" w:color="000000" w:fill="FFFFFF"/>
            <w:noWrap/>
            <w:vAlign w:val="bottom"/>
            <w:hideMark/>
          </w:tcPr>
          <w:p w14:paraId="1A5773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1 146,0</w:t>
            </w:r>
          </w:p>
        </w:tc>
        <w:tc>
          <w:tcPr>
            <w:tcW w:w="1257" w:type="dxa"/>
            <w:tcBorders>
              <w:top w:val="nil"/>
              <w:left w:val="nil"/>
              <w:bottom w:val="single" w:sz="4" w:space="0" w:color="auto"/>
              <w:right w:val="single" w:sz="4" w:space="0" w:color="auto"/>
            </w:tcBorders>
            <w:shd w:val="clear" w:color="000000" w:fill="FFFFFF"/>
            <w:noWrap/>
            <w:vAlign w:val="bottom"/>
            <w:hideMark/>
          </w:tcPr>
          <w:p w14:paraId="28031B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313,2</w:t>
            </w:r>
          </w:p>
        </w:tc>
        <w:tc>
          <w:tcPr>
            <w:tcW w:w="1384" w:type="dxa"/>
            <w:tcBorders>
              <w:top w:val="nil"/>
              <w:left w:val="nil"/>
              <w:bottom w:val="single" w:sz="4" w:space="0" w:color="auto"/>
              <w:right w:val="single" w:sz="4" w:space="0" w:color="auto"/>
            </w:tcBorders>
            <w:shd w:val="clear" w:color="000000" w:fill="FFFFFF"/>
            <w:noWrap/>
            <w:vAlign w:val="bottom"/>
            <w:hideMark/>
          </w:tcPr>
          <w:p w14:paraId="1A3855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832,8</w:t>
            </w:r>
          </w:p>
        </w:tc>
        <w:tc>
          <w:tcPr>
            <w:tcW w:w="1134" w:type="dxa"/>
            <w:tcBorders>
              <w:top w:val="nil"/>
              <w:left w:val="nil"/>
              <w:bottom w:val="single" w:sz="4" w:space="0" w:color="auto"/>
              <w:right w:val="single" w:sz="4" w:space="0" w:color="auto"/>
            </w:tcBorders>
            <w:shd w:val="clear" w:color="000000" w:fill="FFFFFF"/>
            <w:noWrap/>
            <w:vAlign w:val="bottom"/>
            <w:hideMark/>
          </w:tcPr>
          <w:p w14:paraId="7E2339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157,6</w:t>
            </w:r>
          </w:p>
        </w:tc>
        <w:tc>
          <w:tcPr>
            <w:tcW w:w="1277" w:type="dxa"/>
            <w:tcBorders>
              <w:top w:val="nil"/>
              <w:left w:val="nil"/>
              <w:bottom w:val="single" w:sz="4" w:space="0" w:color="auto"/>
              <w:right w:val="single" w:sz="4" w:space="0" w:color="auto"/>
            </w:tcBorders>
            <w:shd w:val="clear" w:color="000000" w:fill="FFFFFF"/>
            <w:noWrap/>
            <w:vAlign w:val="bottom"/>
            <w:hideMark/>
          </w:tcPr>
          <w:p w14:paraId="286A46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5 385,1</w:t>
            </w:r>
          </w:p>
        </w:tc>
        <w:tc>
          <w:tcPr>
            <w:tcW w:w="1040" w:type="dxa"/>
            <w:tcBorders>
              <w:top w:val="nil"/>
              <w:left w:val="nil"/>
              <w:bottom w:val="single" w:sz="4" w:space="0" w:color="auto"/>
              <w:right w:val="single" w:sz="4" w:space="0" w:color="auto"/>
            </w:tcBorders>
            <w:shd w:val="clear" w:color="000000" w:fill="FFFFFF"/>
            <w:noWrap/>
            <w:vAlign w:val="bottom"/>
            <w:hideMark/>
          </w:tcPr>
          <w:p w14:paraId="102FA7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502,6</w:t>
            </w:r>
          </w:p>
        </w:tc>
        <w:tc>
          <w:tcPr>
            <w:tcW w:w="1087" w:type="dxa"/>
            <w:tcBorders>
              <w:top w:val="nil"/>
              <w:left w:val="nil"/>
              <w:bottom w:val="single" w:sz="4" w:space="0" w:color="auto"/>
              <w:right w:val="single" w:sz="4" w:space="0" w:color="auto"/>
            </w:tcBorders>
            <w:shd w:val="clear" w:color="000000" w:fill="FFFFFF"/>
            <w:noWrap/>
            <w:vAlign w:val="bottom"/>
            <w:hideMark/>
          </w:tcPr>
          <w:p w14:paraId="0F4BC5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2 126,0</w:t>
            </w:r>
          </w:p>
        </w:tc>
        <w:tc>
          <w:tcPr>
            <w:tcW w:w="1040" w:type="dxa"/>
            <w:tcBorders>
              <w:top w:val="nil"/>
              <w:left w:val="nil"/>
              <w:bottom w:val="single" w:sz="4" w:space="0" w:color="auto"/>
              <w:right w:val="single" w:sz="4" w:space="0" w:color="auto"/>
            </w:tcBorders>
            <w:shd w:val="clear" w:color="000000" w:fill="FFFFFF"/>
            <w:noWrap/>
            <w:vAlign w:val="bottom"/>
            <w:hideMark/>
          </w:tcPr>
          <w:p w14:paraId="68F550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483,0</w:t>
            </w:r>
          </w:p>
        </w:tc>
        <w:tc>
          <w:tcPr>
            <w:tcW w:w="1226" w:type="dxa"/>
            <w:tcBorders>
              <w:top w:val="nil"/>
              <w:left w:val="nil"/>
              <w:bottom w:val="single" w:sz="4" w:space="0" w:color="auto"/>
              <w:right w:val="single" w:sz="4" w:space="0" w:color="auto"/>
            </w:tcBorders>
            <w:shd w:val="clear" w:color="000000" w:fill="FFFFFF"/>
            <w:noWrap/>
            <w:vAlign w:val="bottom"/>
            <w:hideMark/>
          </w:tcPr>
          <w:p w14:paraId="262955F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28999C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0C28F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Kрушари</w:t>
            </w:r>
          </w:p>
        </w:tc>
        <w:tc>
          <w:tcPr>
            <w:tcW w:w="1911" w:type="dxa"/>
            <w:tcBorders>
              <w:top w:val="nil"/>
              <w:left w:val="nil"/>
              <w:bottom w:val="single" w:sz="4" w:space="0" w:color="auto"/>
              <w:right w:val="single" w:sz="4" w:space="0" w:color="auto"/>
            </w:tcBorders>
            <w:shd w:val="clear" w:color="000000" w:fill="FFFFFF"/>
            <w:noWrap/>
            <w:vAlign w:val="bottom"/>
            <w:hideMark/>
          </w:tcPr>
          <w:p w14:paraId="02F8A8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3 632,9</w:t>
            </w:r>
          </w:p>
        </w:tc>
        <w:tc>
          <w:tcPr>
            <w:tcW w:w="1118" w:type="dxa"/>
            <w:tcBorders>
              <w:top w:val="nil"/>
              <w:left w:val="nil"/>
              <w:bottom w:val="single" w:sz="4" w:space="0" w:color="auto"/>
              <w:right w:val="single" w:sz="4" w:space="0" w:color="auto"/>
            </w:tcBorders>
            <w:shd w:val="clear" w:color="000000" w:fill="FFFFFF"/>
            <w:noWrap/>
            <w:vAlign w:val="bottom"/>
            <w:hideMark/>
          </w:tcPr>
          <w:p w14:paraId="1866BD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864,3</w:t>
            </w:r>
          </w:p>
        </w:tc>
        <w:tc>
          <w:tcPr>
            <w:tcW w:w="1257" w:type="dxa"/>
            <w:tcBorders>
              <w:top w:val="nil"/>
              <w:left w:val="nil"/>
              <w:bottom w:val="single" w:sz="4" w:space="0" w:color="auto"/>
              <w:right w:val="single" w:sz="4" w:space="0" w:color="auto"/>
            </w:tcBorders>
            <w:shd w:val="clear" w:color="000000" w:fill="FFFFFF"/>
            <w:noWrap/>
            <w:vAlign w:val="bottom"/>
            <w:hideMark/>
          </w:tcPr>
          <w:p w14:paraId="386DA7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267,8</w:t>
            </w:r>
          </w:p>
        </w:tc>
        <w:tc>
          <w:tcPr>
            <w:tcW w:w="1384" w:type="dxa"/>
            <w:tcBorders>
              <w:top w:val="nil"/>
              <w:left w:val="nil"/>
              <w:bottom w:val="single" w:sz="4" w:space="0" w:color="auto"/>
              <w:right w:val="single" w:sz="4" w:space="0" w:color="auto"/>
            </w:tcBorders>
            <w:shd w:val="clear" w:color="000000" w:fill="FFFFFF"/>
            <w:noWrap/>
            <w:vAlign w:val="bottom"/>
            <w:hideMark/>
          </w:tcPr>
          <w:p w14:paraId="61BC1BA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596,5</w:t>
            </w:r>
          </w:p>
        </w:tc>
        <w:tc>
          <w:tcPr>
            <w:tcW w:w="1134" w:type="dxa"/>
            <w:tcBorders>
              <w:top w:val="nil"/>
              <w:left w:val="nil"/>
              <w:bottom w:val="single" w:sz="4" w:space="0" w:color="auto"/>
              <w:right w:val="single" w:sz="4" w:space="0" w:color="auto"/>
            </w:tcBorders>
            <w:shd w:val="clear" w:color="000000" w:fill="FFFFFF"/>
            <w:noWrap/>
            <w:vAlign w:val="bottom"/>
            <w:hideMark/>
          </w:tcPr>
          <w:p w14:paraId="087E55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127,5</w:t>
            </w:r>
          </w:p>
        </w:tc>
        <w:tc>
          <w:tcPr>
            <w:tcW w:w="1277" w:type="dxa"/>
            <w:tcBorders>
              <w:top w:val="nil"/>
              <w:left w:val="nil"/>
              <w:bottom w:val="single" w:sz="4" w:space="0" w:color="auto"/>
              <w:right w:val="single" w:sz="4" w:space="0" w:color="auto"/>
            </w:tcBorders>
            <w:shd w:val="clear" w:color="000000" w:fill="FFFFFF"/>
            <w:noWrap/>
            <w:vAlign w:val="bottom"/>
            <w:hideMark/>
          </w:tcPr>
          <w:p w14:paraId="71A7A1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1 863,1</w:t>
            </w:r>
          </w:p>
        </w:tc>
        <w:tc>
          <w:tcPr>
            <w:tcW w:w="1040" w:type="dxa"/>
            <w:tcBorders>
              <w:top w:val="nil"/>
              <w:left w:val="nil"/>
              <w:bottom w:val="single" w:sz="4" w:space="0" w:color="auto"/>
              <w:right w:val="single" w:sz="4" w:space="0" w:color="auto"/>
            </w:tcBorders>
            <w:shd w:val="clear" w:color="000000" w:fill="FFFFFF"/>
            <w:noWrap/>
            <w:vAlign w:val="bottom"/>
            <w:hideMark/>
          </w:tcPr>
          <w:p w14:paraId="46DF5B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30,5</w:t>
            </w:r>
          </w:p>
        </w:tc>
        <w:tc>
          <w:tcPr>
            <w:tcW w:w="1087" w:type="dxa"/>
            <w:tcBorders>
              <w:top w:val="nil"/>
              <w:left w:val="nil"/>
              <w:bottom w:val="single" w:sz="4" w:space="0" w:color="auto"/>
              <w:right w:val="single" w:sz="4" w:space="0" w:color="auto"/>
            </w:tcBorders>
            <w:shd w:val="clear" w:color="000000" w:fill="FFFFFF"/>
            <w:noWrap/>
            <w:vAlign w:val="bottom"/>
            <w:hideMark/>
          </w:tcPr>
          <w:p w14:paraId="01C7CA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578,9</w:t>
            </w:r>
          </w:p>
        </w:tc>
        <w:tc>
          <w:tcPr>
            <w:tcW w:w="1040" w:type="dxa"/>
            <w:tcBorders>
              <w:top w:val="nil"/>
              <w:left w:val="nil"/>
              <w:bottom w:val="single" w:sz="4" w:space="0" w:color="auto"/>
              <w:right w:val="single" w:sz="4" w:space="0" w:color="auto"/>
            </w:tcBorders>
            <w:shd w:val="clear" w:color="000000" w:fill="FFFFFF"/>
            <w:noWrap/>
            <w:vAlign w:val="bottom"/>
            <w:hideMark/>
          </w:tcPr>
          <w:p w14:paraId="68BCC6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2D1D27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2BD601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3DD62A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Tервел</w:t>
            </w:r>
          </w:p>
        </w:tc>
        <w:tc>
          <w:tcPr>
            <w:tcW w:w="1911" w:type="dxa"/>
            <w:tcBorders>
              <w:top w:val="nil"/>
              <w:left w:val="nil"/>
              <w:bottom w:val="single" w:sz="4" w:space="0" w:color="auto"/>
              <w:right w:val="single" w:sz="4" w:space="0" w:color="auto"/>
            </w:tcBorders>
            <w:shd w:val="clear" w:color="000000" w:fill="FFFFFF"/>
            <w:noWrap/>
            <w:vAlign w:val="bottom"/>
            <w:hideMark/>
          </w:tcPr>
          <w:p w14:paraId="5F1D6D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8 152,9</w:t>
            </w:r>
          </w:p>
        </w:tc>
        <w:tc>
          <w:tcPr>
            <w:tcW w:w="1118" w:type="dxa"/>
            <w:tcBorders>
              <w:top w:val="nil"/>
              <w:left w:val="nil"/>
              <w:bottom w:val="single" w:sz="4" w:space="0" w:color="auto"/>
              <w:right w:val="single" w:sz="4" w:space="0" w:color="auto"/>
            </w:tcBorders>
            <w:shd w:val="clear" w:color="000000" w:fill="FFFFFF"/>
            <w:noWrap/>
            <w:vAlign w:val="bottom"/>
            <w:hideMark/>
          </w:tcPr>
          <w:p w14:paraId="06F3AFB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1 602,8</w:t>
            </w:r>
          </w:p>
        </w:tc>
        <w:tc>
          <w:tcPr>
            <w:tcW w:w="1257" w:type="dxa"/>
            <w:tcBorders>
              <w:top w:val="nil"/>
              <w:left w:val="nil"/>
              <w:bottom w:val="single" w:sz="4" w:space="0" w:color="auto"/>
              <w:right w:val="single" w:sz="4" w:space="0" w:color="auto"/>
            </w:tcBorders>
            <w:shd w:val="clear" w:color="000000" w:fill="FFFFFF"/>
            <w:noWrap/>
            <w:vAlign w:val="bottom"/>
            <w:hideMark/>
          </w:tcPr>
          <w:p w14:paraId="4DA81B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416,1</w:t>
            </w:r>
          </w:p>
        </w:tc>
        <w:tc>
          <w:tcPr>
            <w:tcW w:w="1384" w:type="dxa"/>
            <w:tcBorders>
              <w:top w:val="nil"/>
              <w:left w:val="nil"/>
              <w:bottom w:val="single" w:sz="4" w:space="0" w:color="auto"/>
              <w:right w:val="single" w:sz="4" w:space="0" w:color="auto"/>
            </w:tcBorders>
            <w:shd w:val="clear" w:color="000000" w:fill="FFFFFF"/>
            <w:noWrap/>
            <w:vAlign w:val="bottom"/>
            <w:hideMark/>
          </w:tcPr>
          <w:p w14:paraId="454337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1 186,7</w:t>
            </w:r>
          </w:p>
        </w:tc>
        <w:tc>
          <w:tcPr>
            <w:tcW w:w="1134" w:type="dxa"/>
            <w:tcBorders>
              <w:top w:val="nil"/>
              <w:left w:val="nil"/>
              <w:bottom w:val="single" w:sz="4" w:space="0" w:color="auto"/>
              <w:right w:val="single" w:sz="4" w:space="0" w:color="auto"/>
            </w:tcBorders>
            <w:shd w:val="clear" w:color="000000" w:fill="FFFFFF"/>
            <w:noWrap/>
            <w:vAlign w:val="bottom"/>
            <w:hideMark/>
          </w:tcPr>
          <w:p w14:paraId="3EB10C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146,5</w:t>
            </w:r>
          </w:p>
        </w:tc>
        <w:tc>
          <w:tcPr>
            <w:tcW w:w="1277" w:type="dxa"/>
            <w:tcBorders>
              <w:top w:val="nil"/>
              <w:left w:val="nil"/>
              <w:bottom w:val="single" w:sz="4" w:space="0" w:color="auto"/>
              <w:right w:val="single" w:sz="4" w:space="0" w:color="auto"/>
            </w:tcBorders>
            <w:shd w:val="clear" w:color="000000" w:fill="FFFFFF"/>
            <w:noWrap/>
            <w:vAlign w:val="bottom"/>
            <w:hideMark/>
          </w:tcPr>
          <w:p w14:paraId="293F89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5 169,2</w:t>
            </w:r>
          </w:p>
        </w:tc>
        <w:tc>
          <w:tcPr>
            <w:tcW w:w="1040" w:type="dxa"/>
            <w:tcBorders>
              <w:top w:val="nil"/>
              <w:left w:val="nil"/>
              <w:bottom w:val="single" w:sz="4" w:space="0" w:color="auto"/>
              <w:right w:val="single" w:sz="4" w:space="0" w:color="auto"/>
            </w:tcBorders>
            <w:shd w:val="clear" w:color="000000" w:fill="FFFFFF"/>
            <w:noWrap/>
            <w:vAlign w:val="bottom"/>
            <w:hideMark/>
          </w:tcPr>
          <w:p w14:paraId="058EF3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384,0</w:t>
            </w:r>
          </w:p>
        </w:tc>
        <w:tc>
          <w:tcPr>
            <w:tcW w:w="1087" w:type="dxa"/>
            <w:tcBorders>
              <w:top w:val="nil"/>
              <w:left w:val="nil"/>
              <w:bottom w:val="single" w:sz="4" w:space="0" w:color="auto"/>
              <w:right w:val="single" w:sz="4" w:space="0" w:color="auto"/>
            </w:tcBorders>
            <w:shd w:val="clear" w:color="000000" w:fill="FFFFFF"/>
            <w:noWrap/>
            <w:vAlign w:val="bottom"/>
            <w:hideMark/>
          </w:tcPr>
          <w:p w14:paraId="582CAA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513,2</w:t>
            </w:r>
          </w:p>
        </w:tc>
        <w:tc>
          <w:tcPr>
            <w:tcW w:w="1040" w:type="dxa"/>
            <w:tcBorders>
              <w:top w:val="nil"/>
              <w:left w:val="nil"/>
              <w:bottom w:val="single" w:sz="4" w:space="0" w:color="auto"/>
              <w:right w:val="single" w:sz="4" w:space="0" w:color="auto"/>
            </w:tcBorders>
            <w:shd w:val="clear" w:color="000000" w:fill="FFFFFF"/>
            <w:noWrap/>
            <w:vAlign w:val="bottom"/>
            <w:hideMark/>
          </w:tcPr>
          <w:p w14:paraId="44935A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337,2</w:t>
            </w:r>
          </w:p>
        </w:tc>
        <w:tc>
          <w:tcPr>
            <w:tcW w:w="1226" w:type="dxa"/>
            <w:tcBorders>
              <w:top w:val="nil"/>
              <w:left w:val="nil"/>
              <w:bottom w:val="single" w:sz="4" w:space="0" w:color="auto"/>
              <w:right w:val="single" w:sz="4" w:space="0" w:color="auto"/>
            </w:tcBorders>
            <w:shd w:val="clear" w:color="000000" w:fill="FFFFFF"/>
            <w:noWrap/>
            <w:vAlign w:val="bottom"/>
            <w:hideMark/>
          </w:tcPr>
          <w:p w14:paraId="640EB18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E40454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61BEF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Шабла</w:t>
            </w:r>
          </w:p>
        </w:tc>
        <w:tc>
          <w:tcPr>
            <w:tcW w:w="1911" w:type="dxa"/>
            <w:tcBorders>
              <w:top w:val="nil"/>
              <w:left w:val="nil"/>
              <w:bottom w:val="single" w:sz="4" w:space="0" w:color="auto"/>
              <w:right w:val="single" w:sz="4" w:space="0" w:color="auto"/>
            </w:tcBorders>
            <w:shd w:val="clear" w:color="000000" w:fill="FFFFFF"/>
            <w:noWrap/>
            <w:vAlign w:val="bottom"/>
            <w:hideMark/>
          </w:tcPr>
          <w:p w14:paraId="08CE53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3 129,9</w:t>
            </w:r>
          </w:p>
        </w:tc>
        <w:tc>
          <w:tcPr>
            <w:tcW w:w="1118" w:type="dxa"/>
            <w:tcBorders>
              <w:top w:val="nil"/>
              <w:left w:val="nil"/>
              <w:bottom w:val="single" w:sz="4" w:space="0" w:color="auto"/>
              <w:right w:val="single" w:sz="4" w:space="0" w:color="auto"/>
            </w:tcBorders>
            <w:shd w:val="clear" w:color="000000" w:fill="FFFFFF"/>
            <w:noWrap/>
            <w:vAlign w:val="bottom"/>
            <w:hideMark/>
          </w:tcPr>
          <w:p w14:paraId="6E7730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738,4</w:t>
            </w:r>
          </w:p>
        </w:tc>
        <w:tc>
          <w:tcPr>
            <w:tcW w:w="1257" w:type="dxa"/>
            <w:tcBorders>
              <w:top w:val="nil"/>
              <w:left w:val="nil"/>
              <w:bottom w:val="single" w:sz="4" w:space="0" w:color="auto"/>
              <w:right w:val="single" w:sz="4" w:space="0" w:color="auto"/>
            </w:tcBorders>
            <w:shd w:val="clear" w:color="000000" w:fill="FFFFFF"/>
            <w:noWrap/>
            <w:vAlign w:val="bottom"/>
            <w:hideMark/>
          </w:tcPr>
          <w:p w14:paraId="6D7EF5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222,4</w:t>
            </w:r>
          </w:p>
        </w:tc>
        <w:tc>
          <w:tcPr>
            <w:tcW w:w="1384" w:type="dxa"/>
            <w:tcBorders>
              <w:top w:val="nil"/>
              <w:left w:val="nil"/>
              <w:bottom w:val="single" w:sz="4" w:space="0" w:color="auto"/>
              <w:right w:val="single" w:sz="4" w:space="0" w:color="auto"/>
            </w:tcBorders>
            <w:shd w:val="clear" w:color="000000" w:fill="FFFFFF"/>
            <w:noWrap/>
            <w:vAlign w:val="bottom"/>
            <w:hideMark/>
          </w:tcPr>
          <w:p w14:paraId="3A9745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516,0</w:t>
            </w:r>
          </w:p>
        </w:tc>
        <w:tc>
          <w:tcPr>
            <w:tcW w:w="1134" w:type="dxa"/>
            <w:tcBorders>
              <w:top w:val="nil"/>
              <w:left w:val="nil"/>
              <w:bottom w:val="single" w:sz="4" w:space="0" w:color="auto"/>
              <w:right w:val="single" w:sz="4" w:space="0" w:color="auto"/>
            </w:tcBorders>
            <w:shd w:val="clear" w:color="000000" w:fill="FFFFFF"/>
            <w:noWrap/>
            <w:vAlign w:val="bottom"/>
            <w:hideMark/>
          </w:tcPr>
          <w:p w14:paraId="585413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131,4</w:t>
            </w:r>
          </w:p>
        </w:tc>
        <w:tc>
          <w:tcPr>
            <w:tcW w:w="1277" w:type="dxa"/>
            <w:tcBorders>
              <w:top w:val="nil"/>
              <w:left w:val="nil"/>
              <w:bottom w:val="single" w:sz="4" w:space="0" w:color="auto"/>
              <w:right w:val="single" w:sz="4" w:space="0" w:color="auto"/>
            </w:tcBorders>
            <w:shd w:val="clear" w:color="000000" w:fill="FFFFFF"/>
            <w:noWrap/>
            <w:vAlign w:val="bottom"/>
            <w:hideMark/>
          </w:tcPr>
          <w:p w14:paraId="2C7F06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1 524,1</w:t>
            </w:r>
          </w:p>
        </w:tc>
        <w:tc>
          <w:tcPr>
            <w:tcW w:w="1040" w:type="dxa"/>
            <w:tcBorders>
              <w:top w:val="nil"/>
              <w:left w:val="nil"/>
              <w:bottom w:val="single" w:sz="4" w:space="0" w:color="auto"/>
              <w:right w:val="single" w:sz="4" w:space="0" w:color="auto"/>
            </w:tcBorders>
            <w:shd w:val="clear" w:color="000000" w:fill="FFFFFF"/>
            <w:noWrap/>
            <w:vAlign w:val="bottom"/>
            <w:hideMark/>
          </w:tcPr>
          <w:p w14:paraId="202B32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172,9</w:t>
            </w:r>
          </w:p>
        </w:tc>
        <w:tc>
          <w:tcPr>
            <w:tcW w:w="1087" w:type="dxa"/>
            <w:tcBorders>
              <w:top w:val="nil"/>
              <w:left w:val="nil"/>
              <w:bottom w:val="single" w:sz="4" w:space="0" w:color="auto"/>
              <w:right w:val="single" w:sz="4" w:space="0" w:color="auto"/>
            </w:tcBorders>
            <w:shd w:val="clear" w:color="000000" w:fill="FFFFFF"/>
            <w:noWrap/>
            <w:vAlign w:val="bottom"/>
            <w:hideMark/>
          </w:tcPr>
          <w:p w14:paraId="343D4C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304,6</w:t>
            </w:r>
          </w:p>
        </w:tc>
        <w:tc>
          <w:tcPr>
            <w:tcW w:w="1040" w:type="dxa"/>
            <w:tcBorders>
              <w:top w:val="nil"/>
              <w:left w:val="nil"/>
              <w:bottom w:val="single" w:sz="4" w:space="0" w:color="auto"/>
              <w:right w:val="single" w:sz="4" w:space="0" w:color="auto"/>
            </w:tcBorders>
            <w:shd w:val="clear" w:color="000000" w:fill="FFFFFF"/>
            <w:noWrap/>
            <w:vAlign w:val="bottom"/>
            <w:hideMark/>
          </w:tcPr>
          <w:p w14:paraId="2EA0B8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258,5</w:t>
            </w:r>
          </w:p>
        </w:tc>
        <w:tc>
          <w:tcPr>
            <w:tcW w:w="1226" w:type="dxa"/>
            <w:tcBorders>
              <w:top w:val="nil"/>
              <w:left w:val="nil"/>
              <w:bottom w:val="single" w:sz="4" w:space="0" w:color="auto"/>
              <w:right w:val="single" w:sz="4" w:space="0" w:color="auto"/>
            </w:tcBorders>
            <w:shd w:val="clear" w:color="000000" w:fill="FFFFFF"/>
            <w:noWrap/>
            <w:vAlign w:val="bottom"/>
            <w:hideMark/>
          </w:tcPr>
          <w:p w14:paraId="66D902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39F8B9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2ADA707"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0AED9E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58DD98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482111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37B7EF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266371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500150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D6738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5BE747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2A9F5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5D30C9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AB12F7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AB9F8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КЪРДЖАЛИ</w:t>
            </w:r>
          </w:p>
        </w:tc>
        <w:tc>
          <w:tcPr>
            <w:tcW w:w="1911" w:type="dxa"/>
            <w:tcBorders>
              <w:top w:val="nil"/>
              <w:left w:val="nil"/>
              <w:bottom w:val="single" w:sz="4" w:space="0" w:color="auto"/>
              <w:right w:val="single" w:sz="4" w:space="0" w:color="auto"/>
            </w:tcBorders>
            <w:shd w:val="clear" w:color="000000" w:fill="FFFFFF"/>
            <w:noWrap/>
            <w:vAlign w:val="bottom"/>
            <w:hideMark/>
          </w:tcPr>
          <w:p w14:paraId="1B6F6FF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D26EF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79C012F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8A4706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37794E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43C6577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B16B3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20E830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69EBD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12D89A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D9BDDF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A76B0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Aрдино</w:t>
            </w:r>
          </w:p>
        </w:tc>
        <w:tc>
          <w:tcPr>
            <w:tcW w:w="1911" w:type="dxa"/>
            <w:tcBorders>
              <w:top w:val="nil"/>
              <w:left w:val="nil"/>
              <w:bottom w:val="single" w:sz="4" w:space="0" w:color="auto"/>
              <w:right w:val="single" w:sz="4" w:space="0" w:color="auto"/>
            </w:tcBorders>
            <w:shd w:val="clear" w:color="000000" w:fill="FFFFFF"/>
            <w:noWrap/>
            <w:vAlign w:val="bottom"/>
            <w:hideMark/>
          </w:tcPr>
          <w:p w14:paraId="5656BC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6 561,7</w:t>
            </w:r>
          </w:p>
        </w:tc>
        <w:tc>
          <w:tcPr>
            <w:tcW w:w="1118" w:type="dxa"/>
            <w:tcBorders>
              <w:top w:val="nil"/>
              <w:left w:val="nil"/>
              <w:bottom w:val="single" w:sz="4" w:space="0" w:color="auto"/>
              <w:right w:val="single" w:sz="4" w:space="0" w:color="auto"/>
            </w:tcBorders>
            <w:shd w:val="clear" w:color="000000" w:fill="FFFFFF"/>
            <w:noWrap/>
            <w:vAlign w:val="bottom"/>
            <w:hideMark/>
          </w:tcPr>
          <w:p w14:paraId="58982E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2 021,9</w:t>
            </w:r>
          </w:p>
        </w:tc>
        <w:tc>
          <w:tcPr>
            <w:tcW w:w="1257" w:type="dxa"/>
            <w:tcBorders>
              <w:top w:val="nil"/>
              <w:left w:val="nil"/>
              <w:bottom w:val="single" w:sz="4" w:space="0" w:color="auto"/>
              <w:right w:val="single" w:sz="4" w:space="0" w:color="auto"/>
            </w:tcBorders>
            <w:shd w:val="clear" w:color="000000" w:fill="FFFFFF"/>
            <w:noWrap/>
            <w:vAlign w:val="bottom"/>
            <w:hideMark/>
          </w:tcPr>
          <w:p w14:paraId="614CD5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705,7</w:t>
            </w:r>
          </w:p>
        </w:tc>
        <w:tc>
          <w:tcPr>
            <w:tcW w:w="1384" w:type="dxa"/>
            <w:tcBorders>
              <w:top w:val="nil"/>
              <w:left w:val="nil"/>
              <w:bottom w:val="single" w:sz="4" w:space="0" w:color="auto"/>
              <w:right w:val="single" w:sz="4" w:space="0" w:color="auto"/>
            </w:tcBorders>
            <w:shd w:val="clear" w:color="000000" w:fill="FFFFFF"/>
            <w:noWrap/>
            <w:vAlign w:val="bottom"/>
            <w:hideMark/>
          </w:tcPr>
          <w:p w14:paraId="5BB69A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1 316,2</w:t>
            </w:r>
          </w:p>
        </w:tc>
        <w:tc>
          <w:tcPr>
            <w:tcW w:w="1134" w:type="dxa"/>
            <w:tcBorders>
              <w:top w:val="nil"/>
              <w:left w:val="nil"/>
              <w:bottom w:val="single" w:sz="4" w:space="0" w:color="auto"/>
              <w:right w:val="single" w:sz="4" w:space="0" w:color="auto"/>
            </w:tcBorders>
            <w:shd w:val="clear" w:color="000000" w:fill="FFFFFF"/>
            <w:noWrap/>
            <w:vAlign w:val="bottom"/>
            <w:hideMark/>
          </w:tcPr>
          <w:p w14:paraId="0762E6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114,0</w:t>
            </w:r>
          </w:p>
        </w:tc>
        <w:tc>
          <w:tcPr>
            <w:tcW w:w="1277" w:type="dxa"/>
            <w:tcBorders>
              <w:top w:val="nil"/>
              <w:left w:val="nil"/>
              <w:bottom w:val="single" w:sz="4" w:space="0" w:color="auto"/>
              <w:right w:val="single" w:sz="4" w:space="0" w:color="auto"/>
            </w:tcBorders>
            <w:shd w:val="clear" w:color="000000" w:fill="FFFFFF"/>
            <w:noWrap/>
            <w:vAlign w:val="bottom"/>
            <w:hideMark/>
          </w:tcPr>
          <w:p w14:paraId="783EB7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2 887,8</w:t>
            </w:r>
          </w:p>
        </w:tc>
        <w:tc>
          <w:tcPr>
            <w:tcW w:w="1040" w:type="dxa"/>
            <w:tcBorders>
              <w:top w:val="nil"/>
              <w:left w:val="nil"/>
              <w:bottom w:val="single" w:sz="4" w:space="0" w:color="auto"/>
              <w:right w:val="single" w:sz="4" w:space="0" w:color="auto"/>
            </w:tcBorders>
            <w:shd w:val="clear" w:color="000000" w:fill="FFFFFF"/>
            <w:noWrap/>
            <w:vAlign w:val="bottom"/>
            <w:hideMark/>
          </w:tcPr>
          <w:p w14:paraId="190E90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41,9</w:t>
            </w:r>
          </w:p>
        </w:tc>
        <w:tc>
          <w:tcPr>
            <w:tcW w:w="1087" w:type="dxa"/>
            <w:tcBorders>
              <w:top w:val="nil"/>
              <w:left w:val="nil"/>
              <w:bottom w:val="single" w:sz="4" w:space="0" w:color="auto"/>
              <w:right w:val="single" w:sz="4" w:space="0" w:color="auto"/>
            </w:tcBorders>
            <w:shd w:val="clear" w:color="000000" w:fill="FFFFFF"/>
            <w:noWrap/>
            <w:vAlign w:val="bottom"/>
            <w:hideMark/>
          </w:tcPr>
          <w:p w14:paraId="5EBB43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1 181,4</w:t>
            </w:r>
          </w:p>
        </w:tc>
        <w:tc>
          <w:tcPr>
            <w:tcW w:w="1040" w:type="dxa"/>
            <w:tcBorders>
              <w:top w:val="nil"/>
              <w:left w:val="nil"/>
              <w:bottom w:val="single" w:sz="4" w:space="0" w:color="auto"/>
              <w:right w:val="single" w:sz="4" w:space="0" w:color="auto"/>
            </w:tcBorders>
            <w:shd w:val="clear" w:color="000000" w:fill="FFFFFF"/>
            <w:noWrap/>
            <w:vAlign w:val="bottom"/>
            <w:hideMark/>
          </w:tcPr>
          <w:p w14:paraId="51225A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314,7</w:t>
            </w:r>
          </w:p>
        </w:tc>
        <w:tc>
          <w:tcPr>
            <w:tcW w:w="1226" w:type="dxa"/>
            <w:tcBorders>
              <w:top w:val="nil"/>
              <w:left w:val="nil"/>
              <w:bottom w:val="single" w:sz="4" w:space="0" w:color="auto"/>
              <w:right w:val="single" w:sz="4" w:space="0" w:color="auto"/>
            </w:tcBorders>
            <w:shd w:val="clear" w:color="000000" w:fill="FFFFFF"/>
            <w:noWrap/>
            <w:vAlign w:val="bottom"/>
            <w:hideMark/>
          </w:tcPr>
          <w:p w14:paraId="2DFCFD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C60B99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F9F0E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Джебел</w:t>
            </w:r>
          </w:p>
        </w:tc>
        <w:tc>
          <w:tcPr>
            <w:tcW w:w="1911" w:type="dxa"/>
            <w:tcBorders>
              <w:top w:val="nil"/>
              <w:left w:val="nil"/>
              <w:bottom w:val="single" w:sz="4" w:space="0" w:color="auto"/>
              <w:right w:val="single" w:sz="4" w:space="0" w:color="auto"/>
            </w:tcBorders>
            <w:shd w:val="clear" w:color="000000" w:fill="FFFFFF"/>
            <w:noWrap/>
            <w:vAlign w:val="bottom"/>
            <w:hideMark/>
          </w:tcPr>
          <w:p w14:paraId="53FFAA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5 486,5</w:t>
            </w:r>
          </w:p>
        </w:tc>
        <w:tc>
          <w:tcPr>
            <w:tcW w:w="1118" w:type="dxa"/>
            <w:tcBorders>
              <w:top w:val="nil"/>
              <w:left w:val="nil"/>
              <w:bottom w:val="single" w:sz="4" w:space="0" w:color="auto"/>
              <w:right w:val="single" w:sz="4" w:space="0" w:color="auto"/>
            </w:tcBorders>
            <w:shd w:val="clear" w:color="000000" w:fill="FFFFFF"/>
            <w:noWrap/>
            <w:vAlign w:val="bottom"/>
            <w:hideMark/>
          </w:tcPr>
          <w:p w14:paraId="122D42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2 038,6</w:t>
            </w:r>
          </w:p>
        </w:tc>
        <w:tc>
          <w:tcPr>
            <w:tcW w:w="1257" w:type="dxa"/>
            <w:tcBorders>
              <w:top w:val="nil"/>
              <w:left w:val="nil"/>
              <w:bottom w:val="single" w:sz="4" w:space="0" w:color="auto"/>
              <w:right w:val="single" w:sz="4" w:space="0" w:color="auto"/>
            </w:tcBorders>
            <w:shd w:val="clear" w:color="000000" w:fill="FFFFFF"/>
            <w:noWrap/>
            <w:vAlign w:val="bottom"/>
            <w:hideMark/>
          </w:tcPr>
          <w:p w14:paraId="6D5CCB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731,1</w:t>
            </w:r>
          </w:p>
        </w:tc>
        <w:tc>
          <w:tcPr>
            <w:tcW w:w="1384" w:type="dxa"/>
            <w:tcBorders>
              <w:top w:val="nil"/>
              <w:left w:val="nil"/>
              <w:bottom w:val="single" w:sz="4" w:space="0" w:color="auto"/>
              <w:right w:val="single" w:sz="4" w:space="0" w:color="auto"/>
            </w:tcBorders>
            <w:shd w:val="clear" w:color="000000" w:fill="FFFFFF"/>
            <w:noWrap/>
            <w:vAlign w:val="bottom"/>
            <w:hideMark/>
          </w:tcPr>
          <w:p w14:paraId="1BFA53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1 307,5</w:t>
            </w:r>
          </w:p>
        </w:tc>
        <w:tc>
          <w:tcPr>
            <w:tcW w:w="1134" w:type="dxa"/>
            <w:tcBorders>
              <w:top w:val="nil"/>
              <w:left w:val="nil"/>
              <w:bottom w:val="single" w:sz="4" w:space="0" w:color="auto"/>
              <w:right w:val="single" w:sz="4" w:space="0" w:color="auto"/>
            </w:tcBorders>
            <w:shd w:val="clear" w:color="000000" w:fill="FFFFFF"/>
            <w:noWrap/>
            <w:vAlign w:val="bottom"/>
            <w:hideMark/>
          </w:tcPr>
          <w:p w14:paraId="6D6E40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118,2</w:t>
            </w:r>
          </w:p>
        </w:tc>
        <w:tc>
          <w:tcPr>
            <w:tcW w:w="1277" w:type="dxa"/>
            <w:tcBorders>
              <w:top w:val="nil"/>
              <w:left w:val="nil"/>
              <w:bottom w:val="single" w:sz="4" w:space="0" w:color="auto"/>
              <w:right w:val="single" w:sz="4" w:space="0" w:color="auto"/>
            </w:tcBorders>
            <w:shd w:val="clear" w:color="000000" w:fill="FFFFFF"/>
            <w:noWrap/>
            <w:vAlign w:val="bottom"/>
            <w:hideMark/>
          </w:tcPr>
          <w:p w14:paraId="39A11A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2 778,8</w:t>
            </w:r>
          </w:p>
        </w:tc>
        <w:tc>
          <w:tcPr>
            <w:tcW w:w="1040" w:type="dxa"/>
            <w:tcBorders>
              <w:top w:val="nil"/>
              <w:left w:val="nil"/>
              <w:bottom w:val="single" w:sz="4" w:space="0" w:color="auto"/>
              <w:right w:val="single" w:sz="4" w:space="0" w:color="auto"/>
            </w:tcBorders>
            <w:shd w:val="clear" w:color="000000" w:fill="FFFFFF"/>
            <w:noWrap/>
            <w:vAlign w:val="bottom"/>
            <w:hideMark/>
          </w:tcPr>
          <w:p w14:paraId="7493A8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72,5</w:t>
            </w:r>
          </w:p>
        </w:tc>
        <w:tc>
          <w:tcPr>
            <w:tcW w:w="1087" w:type="dxa"/>
            <w:tcBorders>
              <w:top w:val="nil"/>
              <w:left w:val="nil"/>
              <w:bottom w:val="single" w:sz="4" w:space="0" w:color="auto"/>
              <w:right w:val="single" w:sz="4" w:space="0" w:color="auto"/>
            </w:tcBorders>
            <w:shd w:val="clear" w:color="000000" w:fill="FFFFFF"/>
            <w:noWrap/>
            <w:vAlign w:val="bottom"/>
            <w:hideMark/>
          </w:tcPr>
          <w:p w14:paraId="5FA206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276,1</w:t>
            </w:r>
          </w:p>
        </w:tc>
        <w:tc>
          <w:tcPr>
            <w:tcW w:w="1040" w:type="dxa"/>
            <w:tcBorders>
              <w:top w:val="nil"/>
              <w:left w:val="nil"/>
              <w:bottom w:val="single" w:sz="4" w:space="0" w:color="auto"/>
              <w:right w:val="single" w:sz="4" w:space="0" w:color="auto"/>
            </w:tcBorders>
            <w:shd w:val="clear" w:color="000000" w:fill="FFFFFF"/>
            <w:noWrap/>
            <w:vAlign w:val="bottom"/>
            <w:hideMark/>
          </w:tcPr>
          <w:p w14:paraId="65EEED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202,3</w:t>
            </w:r>
          </w:p>
        </w:tc>
        <w:tc>
          <w:tcPr>
            <w:tcW w:w="1226" w:type="dxa"/>
            <w:tcBorders>
              <w:top w:val="nil"/>
              <w:left w:val="nil"/>
              <w:bottom w:val="single" w:sz="4" w:space="0" w:color="auto"/>
              <w:right w:val="single" w:sz="4" w:space="0" w:color="auto"/>
            </w:tcBorders>
            <w:shd w:val="clear" w:color="000000" w:fill="FFFFFF"/>
            <w:noWrap/>
            <w:vAlign w:val="bottom"/>
            <w:hideMark/>
          </w:tcPr>
          <w:p w14:paraId="1A0C13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B220F3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5BD14C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Kирково</w:t>
            </w:r>
          </w:p>
        </w:tc>
        <w:tc>
          <w:tcPr>
            <w:tcW w:w="1911" w:type="dxa"/>
            <w:tcBorders>
              <w:top w:val="nil"/>
              <w:left w:val="nil"/>
              <w:bottom w:val="single" w:sz="4" w:space="0" w:color="auto"/>
              <w:right w:val="single" w:sz="4" w:space="0" w:color="auto"/>
            </w:tcBorders>
            <w:shd w:val="clear" w:color="000000" w:fill="FFFFFF"/>
            <w:noWrap/>
            <w:vAlign w:val="bottom"/>
            <w:hideMark/>
          </w:tcPr>
          <w:p w14:paraId="41D2C2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11 003,6</w:t>
            </w:r>
          </w:p>
        </w:tc>
        <w:tc>
          <w:tcPr>
            <w:tcW w:w="1118" w:type="dxa"/>
            <w:tcBorders>
              <w:top w:val="nil"/>
              <w:left w:val="nil"/>
              <w:bottom w:val="single" w:sz="4" w:space="0" w:color="auto"/>
              <w:right w:val="single" w:sz="4" w:space="0" w:color="auto"/>
            </w:tcBorders>
            <w:shd w:val="clear" w:color="000000" w:fill="FFFFFF"/>
            <w:noWrap/>
            <w:vAlign w:val="bottom"/>
            <w:hideMark/>
          </w:tcPr>
          <w:p w14:paraId="4D8AE8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2 722,4</w:t>
            </w:r>
          </w:p>
        </w:tc>
        <w:tc>
          <w:tcPr>
            <w:tcW w:w="1257" w:type="dxa"/>
            <w:tcBorders>
              <w:top w:val="nil"/>
              <w:left w:val="nil"/>
              <w:bottom w:val="single" w:sz="4" w:space="0" w:color="auto"/>
              <w:right w:val="single" w:sz="4" w:space="0" w:color="auto"/>
            </w:tcBorders>
            <w:shd w:val="clear" w:color="000000" w:fill="FFFFFF"/>
            <w:noWrap/>
            <w:vAlign w:val="bottom"/>
            <w:hideMark/>
          </w:tcPr>
          <w:p w14:paraId="64F85B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1 062,9</w:t>
            </w:r>
          </w:p>
        </w:tc>
        <w:tc>
          <w:tcPr>
            <w:tcW w:w="1384" w:type="dxa"/>
            <w:tcBorders>
              <w:top w:val="nil"/>
              <w:left w:val="nil"/>
              <w:bottom w:val="single" w:sz="4" w:space="0" w:color="auto"/>
              <w:right w:val="single" w:sz="4" w:space="0" w:color="auto"/>
            </w:tcBorders>
            <w:shd w:val="clear" w:color="000000" w:fill="FFFFFF"/>
            <w:noWrap/>
            <w:vAlign w:val="bottom"/>
            <w:hideMark/>
          </w:tcPr>
          <w:p w14:paraId="26DF41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1 659,5</w:t>
            </w:r>
          </w:p>
        </w:tc>
        <w:tc>
          <w:tcPr>
            <w:tcW w:w="1134" w:type="dxa"/>
            <w:tcBorders>
              <w:top w:val="nil"/>
              <w:left w:val="nil"/>
              <w:bottom w:val="single" w:sz="4" w:space="0" w:color="auto"/>
              <w:right w:val="single" w:sz="4" w:space="0" w:color="auto"/>
            </w:tcBorders>
            <w:shd w:val="clear" w:color="000000" w:fill="FFFFFF"/>
            <w:noWrap/>
            <w:vAlign w:val="bottom"/>
            <w:hideMark/>
          </w:tcPr>
          <w:p w14:paraId="5DEBE5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156,9</w:t>
            </w:r>
          </w:p>
        </w:tc>
        <w:tc>
          <w:tcPr>
            <w:tcW w:w="1277" w:type="dxa"/>
            <w:tcBorders>
              <w:top w:val="nil"/>
              <w:left w:val="nil"/>
              <w:bottom w:val="single" w:sz="4" w:space="0" w:color="auto"/>
              <w:right w:val="single" w:sz="4" w:space="0" w:color="auto"/>
            </w:tcBorders>
            <w:shd w:val="clear" w:color="000000" w:fill="FFFFFF"/>
            <w:noWrap/>
            <w:vAlign w:val="bottom"/>
            <w:hideMark/>
          </w:tcPr>
          <w:p w14:paraId="3DD360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7 049,5</w:t>
            </w:r>
          </w:p>
        </w:tc>
        <w:tc>
          <w:tcPr>
            <w:tcW w:w="1040" w:type="dxa"/>
            <w:tcBorders>
              <w:top w:val="nil"/>
              <w:left w:val="nil"/>
              <w:bottom w:val="single" w:sz="4" w:space="0" w:color="auto"/>
              <w:right w:val="single" w:sz="4" w:space="0" w:color="auto"/>
            </w:tcBorders>
            <w:shd w:val="clear" w:color="000000" w:fill="FFFFFF"/>
            <w:noWrap/>
            <w:vAlign w:val="bottom"/>
            <w:hideMark/>
          </w:tcPr>
          <w:p w14:paraId="713CBE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142,1</w:t>
            </w:r>
          </w:p>
        </w:tc>
        <w:tc>
          <w:tcPr>
            <w:tcW w:w="1087" w:type="dxa"/>
            <w:tcBorders>
              <w:top w:val="nil"/>
              <w:left w:val="nil"/>
              <w:bottom w:val="single" w:sz="4" w:space="0" w:color="auto"/>
              <w:right w:val="single" w:sz="4" w:space="0" w:color="auto"/>
            </w:tcBorders>
            <w:shd w:val="clear" w:color="000000" w:fill="FFFFFF"/>
            <w:noWrap/>
            <w:vAlign w:val="bottom"/>
            <w:hideMark/>
          </w:tcPr>
          <w:p w14:paraId="425C60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696,7</w:t>
            </w:r>
          </w:p>
        </w:tc>
        <w:tc>
          <w:tcPr>
            <w:tcW w:w="1040" w:type="dxa"/>
            <w:tcBorders>
              <w:top w:val="nil"/>
              <w:left w:val="nil"/>
              <w:bottom w:val="single" w:sz="4" w:space="0" w:color="auto"/>
              <w:right w:val="single" w:sz="4" w:space="0" w:color="auto"/>
            </w:tcBorders>
            <w:shd w:val="clear" w:color="000000" w:fill="FFFFFF"/>
            <w:noWrap/>
            <w:vAlign w:val="bottom"/>
            <w:hideMark/>
          </w:tcPr>
          <w:p w14:paraId="6CF44B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236,0</w:t>
            </w:r>
          </w:p>
        </w:tc>
        <w:tc>
          <w:tcPr>
            <w:tcW w:w="1226" w:type="dxa"/>
            <w:tcBorders>
              <w:top w:val="nil"/>
              <w:left w:val="nil"/>
              <w:bottom w:val="single" w:sz="4" w:space="0" w:color="auto"/>
              <w:right w:val="single" w:sz="4" w:space="0" w:color="auto"/>
            </w:tcBorders>
            <w:shd w:val="clear" w:color="000000" w:fill="FFFFFF"/>
            <w:noWrap/>
            <w:vAlign w:val="bottom"/>
            <w:hideMark/>
          </w:tcPr>
          <w:p w14:paraId="731156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CFA3DE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4AED2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Kрумовград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21CC70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12 932,2</w:t>
            </w:r>
          </w:p>
        </w:tc>
        <w:tc>
          <w:tcPr>
            <w:tcW w:w="1118" w:type="dxa"/>
            <w:tcBorders>
              <w:top w:val="nil"/>
              <w:left w:val="nil"/>
              <w:bottom w:val="single" w:sz="4" w:space="0" w:color="auto"/>
              <w:right w:val="single" w:sz="4" w:space="0" w:color="auto"/>
            </w:tcBorders>
            <w:shd w:val="clear" w:color="000000" w:fill="FFFFFF"/>
            <w:noWrap/>
            <w:vAlign w:val="bottom"/>
            <w:hideMark/>
          </w:tcPr>
          <w:p w14:paraId="3B00E5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2 783,0</w:t>
            </w:r>
          </w:p>
        </w:tc>
        <w:tc>
          <w:tcPr>
            <w:tcW w:w="1257" w:type="dxa"/>
            <w:tcBorders>
              <w:top w:val="nil"/>
              <w:left w:val="nil"/>
              <w:bottom w:val="single" w:sz="4" w:space="0" w:color="auto"/>
              <w:right w:val="single" w:sz="4" w:space="0" w:color="auto"/>
            </w:tcBorders>
            <w:shd w:val="clear" w:color="000000" w:fill="FFFFFF"/>
            <w:noWrap/>
            <w:vAlign w:val="bottom"/>
            <w:hideMark/>
          </w:tcPr>
          <w:p w14:paraId="2C61ED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1 135,4</w:t>
            </w:r>
          </w:p>
        </w:tc>
        <w:tc>
          <w:tcPr>
            <w:tcW w:w="1384" w:type="dxa"/>
            <w:tcBorders>
              <w:top w:val="nil"/>
              <w:left w:val="nil"/>
              <w:bottom w:val="single" w:sz="4" w:space="0" w:color="auto"/>
              <w:right w:val="single" w:sz="4" w:space="0" w:color="auto"/>
            </w:tcBorders>
            <w:shd w:val="clear" w:color="000000" w:fill="FFFFFF"/>
            <w:noWrap/>
            <w:vAlign w:val="bottom"/>
            <w:hideMark/>
          </w:tcPr>
          <w:p w14:paraId="43DEB7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1 647,6</w:t>
            </w:r>
          </w:p>
        </w:tc>
        <w:tc>
          <w:tcPr>
            <w:tcW w:w="1134" w:type="dxa"/>
            <w:tcBorders>
              <w:top w:val="nil"/>
              <w:left w:val="nil"/>
              <w:bottom w:val="single" w:sz="4" w:space="0" w:color="auto"/>
              <w:right w:val="single" w:sz="4" w:space="0" w:color="auto"/>
            </w:tcBorders>
            <w:shd w:val="clear" w:color="000000" w:fill="FFFFFF"/>
            <w:noWrap/>
            <w:vAlign w:val="bottom"/>
            <w:hideMark/>
          </w:tcPr>
          <w:p w14:paraId="522363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142,9</w:t>
            </w:r>
          </w:p>
        </w:tc>
        <w:tc>
          <w:tcPr>
            <w:tcW w:w="1277" w:type="dxa"/>
            <w:tcBorders>
              <w:top w:val="nil"/>
              <w:left w:val="nil"/>
              <w:bottom w:val="single" w:sz="4" w:space="0" w:color="auto"/>
              <w:right w:val="single" w:sz="4" w:space="0" w:color="auto"/>
            </w:tcBorders>
            <w:shd w:val="clear" w:color="000000" w:fill="FFFFFF"/>
            <w:noWrap/>
            <w:vAlign w:val="bottom"/>
            <w:hideMark/>
          </w:tcPr>
          <w:p w14:paraId="32A70D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7 666,3</w:t>
            </w:r>
          </w:p>
        </w:tc>
        <w:tc>
          <w:tcPr>
            <w:tcW w:w="1040" w:type="dxa"/>
            <w:tcBorders>
              <w:top w:val="nil"/>
              <w:left w:val="nil"/>
              <w:bottom w:val="single" w:sz="4" w:space="0" w:color="auto"/>
              <w:right w:val="single" w:sz="4" w:space="0" w:color="auto"/>
            </w:tcBorders>
            <w:shd w:val="clear" w:color="000000" w:fill="FFFFFF"/>
            <w:noWrap/>
            <w:vAlign w:val="bottom"/>
            <w:hideMark/>
          </w:tcPr>
          <w:p w14:paraId="4DB6E1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221,9</w:t>
            </w:r>
          </w:p>
        </w:tc>
        <w:tc>
          <w:tcPr>
            <w:tcW w:w="1087" w:type="dxa"/>
            <w:tcBorders>
              <w:top w:val="nil"/>
              <w:left w:val="nil"/>
              <w:bottom w:val="single" w:sz="4" w:space="0" w:color="auto"/>
              <w:right w:val="single" w:sz="4" w:space="0" w:color="auto"/>
            </w:tcBorders>
            <w:shd w:val="clear" w:color="000000" w:fill="FFFFFF"/>
            <w:noWrap/>
            <w:vAlign w:val="bottom"/>
            <w:hideMark/>
          </w:tcPr>
          <w:p w14:paraId="7BED16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1 949,5</w:t>
            </w:r>
          </w:p>
        </w:tc>
        <w:tc>
          <w:tcPr>
            <w:tcW w:w="1040" w:type="dxa"/>
            <w:tcBorders>
              <w:top w:val="nil"/>
              <w:left w:val="nil"/>
              <w:bottom w:val="single" w:sz="4" w:space="0" w:color="auto"/>
              <w:right w:val="single" w:sz="4" w:space="0" w:color="auto"/>
            </w:tcBorders>
            <w:shd w:val="clear" w:color="000000" w:fill="FFFFFF"/>
            <w:noWrap/>
            <w:vAlign w:val="bottom"/>
            <w:hideMark/>
          </w:tcPr>
          <w:p w14:paraId="517749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684BBF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E7BE110"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72510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Kърджали</w:t>
            </w:r>
          </w:p>
        </w:tc>
        <w:tc>
          <w:tcPr>
            <w:tcW w:w="1911" w:type="dxa"/>
            <w:tcBorders>
              <w:top w:val="nil"/>
              <w:left w:val="nil"/>
              <w:bottom w:val="single" w:sz="4" w:space="0" w:color="auto"/>
              <w:right w:val="single" w:sz="4" w:space="0" w:color="auto"/>
            </w:tcBorders>
            <w:shd w:val="clear" w:color="000000" w:fill="FFFFFF"/>
            <w:noWrap/>
            <w:vAlign w:val="bottom"/>
            <w:hideMark/>
          </w:tcPr>
          <w:p w14:paraId="13E93D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46 635,5</w:t>
            </w:r>
          </w:p>
        </w:tc>
        <w:tc>
          <w:tcPr>
            <w:tcW w:w="1118" w:type="dxa"/>
            <w:tcBorders>
              <w:top w:val="nil"/>
              <w:left w:val="nil"/>
              <w:bottom w:val="single" w:sz="4" w:space="0" w:color="auto"/>
              <w:right w:val="single" w:sz="4" w:space="0" w:color="auto"/>
            </w:tcBorders>
            <w:shd w:val="clear" w:color="000000" w:fill="FFFFFF"/>
            <w:noWrap/>
            <w:vAlign w:val="bottom"/>
            <w:hideMark/>
          </w:tcPr>
          <w:p w14:paraId="75F2AE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5 197,8</w:t>
            </w:r>
          </w:p>
        </w:tc>
        <w:tc>
          <w:tcPr>
            <w:tcW w:w="1257" w:type="dxa"/>
            <w:tcBorders>
              <w:top w:val="nil"/>
              <w:left w:val="nil"/>
              <w:bottom w:val="single" w:sz="4" w:space="0" w:color="auto"/>
              <w:right w:val="single" w:sz="4" w:space="0" w:color="auto"/>
            </w:tcBorders>
            <w:shd w:val="clear" w:color="000000" w:fill="FFFFFF"/>
            <w:noWrap/>
            <w:vAlign w:val="bottom"/>
            <w:hideMark/>
          </w:tcPr>
          <w:p w14:paraId="7A1248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1 597,0</w:t>
            </w:r>
          </w:p>
        </w:tc>
        <w:tc>
          <w:tcPr>
            <w:tcW w:w="1384" w:type="dxa"/>
            <w:tcBorders>
              <w:top w:val="nil"/>
              <w:left w:val="nil"/>
              <w:bottom w:val="single" w:sz="4" w:space="0" w:color="auto"/>
              <w:right w:val="single" w:sz="4" w:space="0" w:color="auto"/>
            </w:tcBorders>
            <w:shd w:val="clear" w:color="000000" w:fill="FFFFFF"/>
            <w:noWrap/>
            <w:vAlign w:val="bottom"/>
            <w:hideMark/>
          </w:tcPr>
          <w:p w14:paraId="2A62ED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3 600,8</w:t>
            </w:r>
          </w:p>
        </w:tc>
        <w:tc>
          <w:tcPr>
            <w:tcW w:w="1134" w:type="dxa"/>
            <w:tcBorders>
              <w:top w:val="nil"/>
              <w:left w:val="nil"/>
              <w:bottom w:val="single" w:sz="4" w:space="0" w:color="auto"/>
              <w:right w:val="single" w:sz="4" w:space="0" w:color="auto"/>
            </w:tcBorders>
            <w:shd w:val="clear" w:color="000000" w:fill="FFFFFF"/>
            <w:noWrap/>
            <w:vAlign w:val="bottom"/>
            <w:hideMark/>
          </w:tcPr>
          <w:p w14:paraId="302D96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274,3</w:t>
            </w:r>
          </w:p>
        </w:tc>
        <w:tc>
          <w:tcPr>
            <w:tcW w:w="1277" w:type="dxa"/>
            <w:tcBorders>
              <w:top w:val="nil"/>
              <w:left w:val="nil"/>
              <w:bottom w:val="single" w:sz="4" w:space="0" w:color="auto"/>
              <w:right w:val="single" w:sz="4" w:space="0" w:color="auto"/>
            </w:tcBorders>
            <w:shd w:val="clear" w:color="000000" w:fill="FFFFFF"/>
            <w:noWrap/>
            <w:vAlign w:val="bottom"/>
            <w:hideMark/>
          </w:tcPr>
          <w:p w14:paraId="600664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32 354,3</w:t>
            </w:r>
          </w:p>
        </w:tc>
        <w:tc>
          <w:tcPr>
            <w:tcW w:w="1040" w:type="dxa"/>
            <w:tcBorders>
              <w:top w:val="nil"/>
              <w:left w:val="nil"/>
              <w:bottom w:val="single" w:sz="4" w:space="0" w:color="auto"/>
              <w:right w:val="single" w:sz="4" w:space="0" w:color="auto"/>
            </w:tcBorders>
            <w:shd w:val="clear" w:color="000000" w:fill="FFFFFF"/>
            <w:noWrap/>
            <w:vAlign w:val="bottom"/>
            <w:hideMark/>
          </w:tcPr>
          <w:p w14:paraId="705398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1 324,3</w:t>
            </w:r>
          </w:p>
        </w:tc>
        <w:tc>
          <w:tcPr>
            <w:tcW w:w="1087" w:type="dxa"/>
            <w:tcBorders>
              <w:top w:val="nil"/>
              <w:left w:val="nil"/>
              <w:bottom w:val="single" w:sz="4" w:space="0" w:color="auto"/>
              <w:right w:val="single" w:sz="4" w:space="0" w:color="auto"/>
            </w:tcBorders>
            <w:shd w:val="clear" w:color="000000" w:fill="FFFFFF"/>
            <w:noWrap/>
            <w:vAlign w:val="bottom"/>
            <w:hideMark/>
          </w:tcPr>
          <w:p w14:paraId="51FC17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5 826,3</w:t>
            </w:r>
          </w:p>
        </w:tc>
        <w:tc>
          <w:tcPr>
            <w:tcW w:w="1040" w:type="dxa"/>
            <w:tcBorders>
              <w:top w:val="nil"/>
              <w:left w:val="nil"/>
              <w:bottom w:val="single" w:sz="4" w:space="0" w:color="auto"/>
              <w:right w:val="single" w:sz="4" w:space="0" w:color="auto"/>
            </w:tcBorders>
            <w:shd w:val="clear" w:color="000000" w:fill="FFFFFF"/>
            <w:noWrap/>
            <w:vAlign w:val="bottom"/>
            <w:hideMark/>
          </w:tcPr>
          <w:p w14:paraId="4F20D3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1 658,5</w:t>
            </w:r>
          </w:p>
        </w:tc>
        <w:tc>
          <w:tcPr>
            <w:tcW w:w="1226" w:type="dxa"/>
            <w:tcBorders>
              <w:top w:val="nil"/>
              <w:left w:val="nil"/>
              <w:bottom w:val="single" w:sz="4" w:space="0" w:color="auto"/>
              <w:right w:val="single" w:sz="4" w:space="0" w:color="auto"/>
            </w:tcBorders>
            <w:shd w:val="clear" w:color="000000" w:fill="FFFFFF"/>
            <w:noWrap/>
            <w:vAlign w:val="bottom"/>
            <w:hideMark/>
          </w:tcPr>
          <w:p w14:paraId="394D1D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0D2A07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175FC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Mомчилград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365645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9 173,9</w:t>
            </w:r>
          </w:p>
        </w:tc>
        <w:tc>
          <w:tcPr>
            <w:tcW w:w="1118" w:type="dxa"/>
            <w:tcBorders>
              <w:top w:val="nil"/>
              <w:left w:val="nil"/>
              <w:bottom w:val="single" w:sz="4" w:space="0" w:color="auto"/>
              <w:right w:val="single" w:sz="4" w:space="0" w:color="auto"/>
            </w:tcBorders>
            <w:shd w:val="clear" w:color="000000" w:fill="FFFFFF"/>
            <w:noWrap/>
            <w:vAlign w:val="bottom"/>
            <w:hideMark/>
          </w:tcPr>
          <w:p w14:paraId="26AB51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2 210,7</w:t>
            </w:r>
          </w:p>
        </w:tc>
        <w:tc>
          <w:tcPr>
            <w:tcW w:w="1257" w:type="dxa"/>
            <w:tcBorders>
              <w:top w:val="nil"/>
              <w:left w:val="nil"/>
              <w:bottom w:val="single" w:sz="4" w:space="0" w:color="auto"/>
              <w:right w:val="single" w:sz="4" w:space="0" w:color="auto"/>
            </w:tcBorders>
            <w:shd w:val="clear" w:color="000000" w:fill="FFFFFF"/>
            <w:noWrap/>
            <w:vAlign w:val="bottom"/>
            <w:hideMark/>
          </w:tcPr>
          <w:p w14:paraId="156C71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665,4</w:t>
            </w:r>
          </w:p>
        </w:tc>
        <w:tc>
          <w:tcPr>
            <w:tcW w:w="1384" w:type="dxa"/>
            <w:tcBorders>
              <w:top w:val="nil"/>
              <w:left w:val="nil"/>
              <w:bottom w:val="single" w:sz="4" w:space="0" w:color="auto"/>
              <w:right w:val="single" w:sz="4" w:space="0" w:color="auto"/>
            </w:tcBorders>
            <w:shd w:val="clear" w:color="000000" w:fill="FFFFFF"/>
            <w:noWrap/>
            <w:vAlign w:val="bottom"/>
            <w:hideMark/>
          </w:tcPr>
          <w:p w14:paraId="7C48E0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1 545,3</w:t>
            </w:r>
          </w:p>
        </w:tc>
        <w:tc>
          <w:tcPr>
            <w:tcW w:w="1134" w:type="dxa"/>
            <w:tcBorders>
              <w:top w:val="nil"/>
              <w:left w:val="nil"/>
              <w:bottom w:val="single" w:sz="4" w:space="0" w:color="auto"/>
              <w:right w:val="single" w:sz="4" w:space="0" w:color="auto"/>
            </w:tcBorders>
            <w:shd w:val="clear" w:color="000000" w:fill="FFFFFF"/>
            <w:noWrap/>
            <w:vAlign w:val="bottom"/>
            <w:hideMark/>
          </w:tcPr>
          <w:p w14:paraId="12D7AB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131,0</w:t>
            </w:r>
          </w:p>
        </w:tc>
        <w:tc>
          <w:tcPr>
            <w:tcW w:w="1277" w:type="dxa"/>
            <w:tcBorders>
              <w:top w:val="nil"/>
              <w:left w:val="nil"/>
              <w:bottom w:val="single" w:sz="4" w:space="0" w:color="auto"/>
              <w:right w:val="single" w:sz="4" w:space="0" w:color="auto"/>
            </w:tcBorders>
            <w:shd w:val="clear" w:color="000000" w:fill="FFFFFF"/>
            <w:noWrap/>
            <w:vAlign w:val="bottom"/>
            <w:hideMark/>
          </w:tcPr>
          <w:p w14:paraId="76D223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4 882,7</w:t>
            </w:r>
          </w:p>
        </w:tc>
        <w:tc>
          <w:tcPr>
            <w:tcW w:w="1040" w:type="dxa"/>
            <w:tcBorders>
              <w:top w:val="nil"/>
              <w:left w:val="nil"/>
              <w:bottom w:val="single" w:sz="4" w:space="0" w:color="auto"/>
              <w:right w:val="single" w:sz="4" w:space="0" w:color="auto"/>
            </w:tcBorders>
            <w:shd w:val="clear" w:color="000000" w:fill="FFFFFF"/>
            <w:noWrap/>
            <w:vAlign w:val="bottom"/>
            <w:hideMark/>
          </w:tcPr>
          <w:p w14:paraId="76AA95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476,0</w:t>
            </w:r>
          </w:p>
        </w:tc>
        <w:tc>
          <w:tcPr>
            <w:tcW w:w="1087" w:type="dxa"/>
            <w:tcBorders>
              <w:top w:val="nil"/>
              <w:left w:val="nil"/>
              <w:bottom w:val="single" w:sz="4" w:space="0" w:color="auto"/>
              <w:right w:val="single" w:sz="4" w:space="0" w:color="auto"/>
            </w:tcBorders>
            <w:shd w:val="clear" w:color="000000" w:fill="FFFFFF"/>
            <w:noWrap/>
            <w:vAlign w:val="bottom"/>
            <w:hideMark/>
          </w:tcPr>
          <w:p w14:paraId="0936B2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1 349,8</w:t>
            </w:r>
          </w:p>
        </w:tc>
        <w:tc>
          <w:tcPr>
            <w:tcW w:w="1040" w:type="dxa"/>
            <w:tcBorders>
              <w:top w:val="nil"/>
              <w:left w:val="nil"/>
              <w:bottom w:val="single" w:sz="4" w:space="0" w:color="auto"/>
              <w:right w:val="single" w:sz="4" w:space="0" w:color="auto"/>
            </w:tcBorders>
            <w:shd w:val="clear" w:color="000000" w:fill="FFFFFF"/>
            <w:noWrap/>
            <w:vAlign w:val="bottom"/>
            <w:hideMark/>
          </w:tcPr>
          <w:p w14:paraId="127A52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123,7</w:t>
            </w:r>
          </w:p>
        </w:tc>
        <w:tc>
          <w:tcPr>
            <w:tcW w:w="1226" w:type="dxa"/>
            <w:tcBorders>
              <w:top w:val="nil"/>
              <w:left w:val="nil"/>
              <w:bottom w:val="single" w:sz="4" w:space="0" w:color="auto"/>
              <w:right w:val="single" w:sz="4" w:space="0" w:color="auto"/>
            </w:tcBorders>
            <w:shd w:val="clear" w:color="000000" w:fill="FFFFFF"/>
            <w:noWrap/>
            <w:vAlign w:val="bottom"/>
            <w:hideMark/>
          </w:tcPr>
          <w:p w14:paraId="79CB8C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593408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B62F97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Черноочене</w:t>
            </w:r>
          </w:p>
        </w:tc>
        <w:tc>
          <w:tcPr>
            <w:tcW w:w="1911" w:type="dxa"/>
            <w:tcBorders>
              <w:top w:val="nil"/>
              <w:left w:val="nil"/>
              <w:bottom w:val="single" w:sz="4" w:space="0" w:color="auto"/>
              <w:right w:val="single" w:sz="4" w:space="0" w:color="auto"/>
            </w:tcBorders>
            <w:shd w:val="clear" w:color="000000" w:fill="FFFFFF"/>
            <w:noWrap/>
            <w:vAlign w:val="bottom"/>
            <w:hideMark/>
          </w:tcPr>
          <w:p w14:paraId="1F09AE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5 202,3</w:t>
            </w:r>
          </w:p>
        </w:tc>
        <w:tc>
          <w:tcPr>
            <w:tcW w:w="1118" w:type="dxa"/>
            <w:tcBorders>
              <w:top w:val="nil"/>
              <w:left w:val="nil"/>
              <w:bottom w:val="single" w:sz="4" w:space="0" w:color="auto"/>
              <w:right w:val="single" w:sz="4" w:space="0" w:color="auto"/>
            </w:tcBorders>
            <w:shd w:val="clear" w:color="000000" w:fill="FFFFFF"/>
            <w:noWrap/>
            <w:vAlign w:val="bottom"/>
            <w:hideMark/>
          </w:tcPr>
          <w:p w14:paraId="51658A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1 466,6</w:t>
            </w:r>
          </w:p>
        </w:tc>
        <w:tc>
          <w:tcPr>
            <w:tcW w:w="1257" w:type="dxa"/>
            <w:tcBorders>
              <w:top w:val="nil"/>
              <w:left w:val="nil"/>
              <w:bottom w:val="single" w:sz="4" w:space="0" w:color="auto"/>
              <w:right w:val="single" w:sz="4" w:space="0" w:color="auto"/>
            </w:tcBorders>
            <w:shd w:val="clear" w:color="000000" w:fill="FFFFFF"/>
            <w:noWrap/>
            <w:vAlign w:val="bottom"/>
            <w:hideMark/>
          </w:tcPr>
          <w:p w14:paraId="3F70A9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594,6</w:t>
            </w:r>
          </w:p>
        </w:tc>
        <w:tc>
          <w:tcPr>
            <w:tcW w:w="1384" w:type="dxa"/>
            <w:tcBorders>
              <w:top w:val="nil"/>
              <w:left w:val="nil"/>
              <w:bottom w:val="single" w:sz="4" w:space="0" w:color="auto"/>
              <w:right w:val="single" w:sz="4" w:space="0" w:color="auto"/>
            </w:tcBorders>
            <w:shd w:val="clear" w:color="000000" w:fill="FFFFFF"/>
            <w:noWrap/>
            <w:vAlign w:val="bottom"/>
            <w:hideMark/>
          </w:tcPr>
          <w:p w14:paraId="602BC5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872,0</w:t>
            </w:r>
          </w:p>
        </w:tc>
        <w:tc>
          <w:tcPr>
            <w:tcW w:w="1134" w:type="dxa"/>
            <w:tcBorders>
              <w:top w:val="nil"/>
              <w:left w:val="nil"/>
              <w:bottom w:val="single" w:sz="4" w:space="0" w:color="auto"/>
              <w:right w:val="single" w:sz="4" w:space="0" w:color="auto"/>
            </w:tcBorders>
            <w:shd w:val="clear" w:color="000000" w:fill="FFFFFF"/>
            <w:noWrap/>
            <w:vAlign w:val="bottom"/>
            <w:hideMark/>
          </w:tcPr>
          <w:p w14:paraId="0A3ACD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113,3</w:t>
            </w:r>
          </w:p>
        </w:tc>
        <w:tc>
          <w:tcPr>
            <w:tcW w:w="1277" w:type="dxa"/>
            <w:tcBorders>
              <w:top w:val="nil"/>
              <w:left w:val="nil"/>
              <w:bottom w:val="single" w:sz="4" w:space="0" w:color="auto"/>
              <w:right w:val="single" w:sz="4" w:space="0" w:color="auto"/>
            </w:tcBorders>
            <w:shd w:val="clear" w:color="000000" w:fill="FFFFFF"/>
            <w:noWrap/>
            <w:vAlign w:val="bottom"/>
            <w:hideMark/>
          </w:tcPr>
          <w:p w14:paraId="0CF2B8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2 983,7</w:t>
            </w:r>
          </w:p>
        </w:tc>
        <w:tc>
          <w:tcPr>
            <w:tcW w:w="1040" w:type="dxa"/>
            <w:tcBorders>
              <w:top w:val="nil"/>
              <w:left w:val="nil"/>
              <w:bottom w:val="single" w:sz="4" w:space="0" w:color="auto"/>
              <w:right w:val="single" w:sz="4" w:space="0" w:color="auto"/>
            </w:tcBorders>
            <w:shd w:val="clear" w:color="000000" w:fill="FFFFFF"/>
            <w:noWrap/>
            <w:vAlign w:val="bottom"/>
            <w:hideMark/>
          </w:tcPr>
          <w:p w14:paraId="569A0A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42,4</w:t>
            </w:r>
          </w:p>
        </w:tc>
        <w:tc>
          <w:tcPr>
            <w:tcW w:w="1087" w:type="dxa"/>
            <w:tcBorders>
              <w:top w:val="nil"/>
              <w:left w:val="nil"/>
              <w:bottom w:val="single" w:sz="4" w:space="0" w:color="auto"/>
              <w:right w:val="single" w:sz="4" w:space="0" w:color="auto"/>
            </w:tcBorders>
            <w:shd w:val="clear" w:color="000000" w:fill="FFFFFF"/>
            <w:noWrap/>
            <w:vAlign w:val="bottom"/>
            <w:hideMark/>
          </w:tcPr>
          <w:p w14:paraId="6E8C40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472,7</w:t>
            </w:r>
          </w:p>
        </w:tc>
        <w:tc>
          <w:tcPr>
            <w:tcW w:w="1040" w:type="dxa"/>
            <w:tcBorders>
              <w:top w:val="nil"/>
              <w:left w:val="nil"/>
              <w:bottom w:val="single" w:sz="4" w:space="0" w:color="auto"/>
              <w:right w:val="single" w:sz="4" w:space="0" w:color="auto"/>
            </w:tcBorders>
            <w:shd w:val="clear" w:color="000000" w:fill="FFFFFF"/>
            <w:noWrap/>
            <w:vAlign w:val="bottom"/>
            <w:hideMark/>
          </w:tcPr>
          <w:p w14:paraId="158C35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123,6</w:t>
            </w:r>
          </w:p>
        </w:tc>
        <w:tc>
          <w:tcPr>
            <w:tcW w:w="1226" w:type="dxa"/>
            <w:tcBorders>
              <w:top w:val="nil"/>
              <w:left w:val="nil"/>
              <w:bottom w:val="single" w:sz="4" w:space="0" w:color="auto"/>
              <w:right w:val="single" w:sz="4" w:space="0" w:color="auto"/>
            </w:tcBorders>
            <w:shd w:val="clear" w:color="000000" w:fill="FFFFFF"/>
            <w:noWrap/>
            <w:vAlign w:val="bottom"/>
            <w:hideMark/>
          </w:tcPr>
          <w:p w14:paraId="3EEF18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E0ADF30"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D1F490B"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244208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44491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258D5D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3B56ED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10D30E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0BDB9C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31BE8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60A9AF6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8BBA9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026A96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0E80840"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22121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КЮСТЕНДИЛ</w:t>
            </w:r>
          </w:p>
        </w:tc>
        <w:tc>
          <w:tcPr>
            <w:tcW w:w="1911" w:type="dxa"/>
            <w:tcBorders>
              <w:top w:val="nil"/>
              <w:left w:val="nil"/>
              <w:bottom w:val="single" w:sz="4" w:space="0" w:color="auto"/>
              <w:right w:val="single" w:sz="4" w:space="0" w:color="auto"/>
            </w:tcBorders>
            <w:shd w:val="clear" w:color="000000" w:fill="FFFFFF"/>
            <w:noWrap/>
            <w:vAlign w:val="bottom"/>
            <w:hideMark/>
          </w:tcPr>
          <w:p w14:paraId="1C07C19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709BB6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20A78A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68965B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700FD91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2B096A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34A94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7F2BBE5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C3296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BD120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D3CFD6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09139E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Бобовдол</w:t>
            </w:r>
          </w:p>
        </w:tc>
        <w:tc>
          <w:tcPr>
            <w:tcW w:w="1911" w:type="dxa"/>
            <w:tcBorders>
              <w:top w:val="nil"/>
              <w:left w:val="nil"/>
              <w:bottom w:val="single" w:sz="4" w:space="0" w:color="auto"/>
              <w:right w:val="single" w:sz="4" w:space="0" w:color="auto"/>
            </w:tcBorders>
            <w:shd w:val="clear" w:color="000000" w:fill="FFFFFF"/>
            <w:noWrap/>
            <w:vAlign w:val="bottom"/>
            <w:hideMark/>
          </w:tcPr>
          <w:p w14:paraId="6E67CE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4 221,8</w:t>
            </w:r>
          </w:p>
        </w:tc>
        <w:tc>
          <w:tcPr>
            <w:tcW w:w="1118" w:type="dxa"/>
            <w:tcBorders>
              <w:top w:val="nil"/>
              <w:left w:val="nil"/>
              <w:bottom w:val="single" w:sz="4" w:space="0" w:color="auto"/>
              <w:right w:val="single" w:sz="4" w:space="0" w:color="auto"/>
            </w:tcBorders>
            <w:shd w:val="clear" w:color="000000" w:fill="FFFFFF"/>
            <w:noWrap/>
            <w:vAlign w:val="bottom"/>
            <w:hideMark/>
          </w:tcPr>
          <w:p w14:paraId="1F7668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870,2</w:t>
            </w:r>
          </w:p>
        </w:tc>
        <w:tc>
          <w:tcPr>
            <w:tcW w:w="1257" w:type="dxa"/>
            <w:tcBorders>
              <w:top w:val="nil"/>
              <w:left w:val="nil"/>
              <w:bottom w:val="single" w:sz="4" w:space="0" w:color="auto"/>
              <w:right w:val="single" w:sz="4" w:space="0" w:color="auto"/>
            </w:tcBorders>
            <w:shd w:val="clear" w:color="000000" w:fill="FFFFFF"/>
            <w:noWrap/>
            <w:vAlign w:val="bottom"/>
            <w:hideMark/>
          </w:tcPr>
          <w:p w14:paraId="1C909C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261,1</w:t>
            </w:r>
          </w:p>
        </w:tc>
        <w:tc>
          <w:tcPr>
            <w:tcW w:w="1384" w:type="dxa"/>
            <w:tcBorders>
              <w:top w:val="nil"/>
              <w:left w:val="nil"/>
              <w:bottom w:val="single" w:sz="4" w:space="0" w:color="auto"/>
              <w:right w:val="single" w:sz="4" w:space="0" w:color="auto"/>
            </w:tcBorders>
            <w:shd w:val="clear" w:color="000000" w:fill="FFFFFF"/>
            <w:noWrap/>
            <w:vAlign w:val="bottom"/>
            <w:hideMark/>
          </w:tcPr>
          <w:p w14:paraId="72DB31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609,1</w:t>
            </w:r>
          </w:p>
        </w:tc>
        <w:tc>
          <w:tcPr>
            <w:tcW w:w="1134" w:type="dxa"/>
            <w:tcBorders>
              <w:top w:val="nil"/>
              <w:left w:val="nil"/>
              <w:bottom w:val="single" w:sz="4" w:space="0" w:color="auto"/>
              <w:right w:val="single" w:sz="4" w:space="0" w:color="auto"/>
            </w:tcBorders>
            <w:shd w:val="clear" w:color="000000" w:fill="FFFFFF"/>
            <w:noWrap/>
            <w:vAlign w:val="bottom"/>
            <w:hideMark/>
          </w:tcPr>
          <w:p w14:paraId="5E1404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122,6</w:t>
            </w:r>
          </w:p>
        </w:tc>
        <w:tc>
          <w:tcPr>
            <w:tcW w:w="1277" w:type="dxa"/>
            <w:tcBorders>
              <w:top w:val="nil"/>
              <w:left w:val="nil"/>
              <w:bottom w:val="single" w:sz="4" w:space="0" w:color="auto"/>
              <w:right w:val="single" w:sz="4" w:space="0" w:color="auto"/>
            </w:tcBorders>
            <w:shd w:val="clear" w:color="000000" w:fill="FFFFFF"/>
            <w:noWrap/>
            <w:vAlign w:val="bottom"/>
            <w:hideMark/>
          </w:tcPr>
          <w:p w14:paraId="40EE7B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1 748,6</w:t>
            </w:r>
          </w:p>
        </w:tc>
        <w:tc>
          <w:tcPr>
            <w:tcW w:w="1040" w:type="dxa"/>
            <w:tcBorders>
              <w:top w:val="nil"/>
              <w:left w:val="nil"/>
              <w:bottom w:val="single" w:sz="4" w:space="0" w:color="auto"/>
              <w:right w:val="single" w:sz="4" w:space="0" w:color="auto"/>
            </w:tcBorders>
            <w:shd w:val="clear" w:color="000000" w:fill="FFFFFF"/>
            <w:noWrap/>
            <w:vAlign w:val="bottom"/>
            <w:hideMark/>
          </w:tcPr>
          <w:p w14:paraId="18054C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60,6</w:t>
            </w:r>
          </w:p>
        </w:tc>
        <w:tc>
          <w:tcPr>
            <w:tcW w:w="1087" w:type="dxa"/>
            <w:tcBorders>
              <w:top w:val="nil"/>
              <w:left w:val="nil"/>
              <w:bottom w:val="single" w:sz="4" w:space="0" w:color="auto"/>
              <w:right w:val="single" w:sz="4" w:space="0" w:color="auto"/>
            </w:tcBorders>
            <w:shd w:val="clear" w:color="000000" w:fill="FFFFFF"/>
            <w:noWrap/>
            <w:vAlign w:val="bottom"/>
            <w:hideMark/>
          </w:tcPr>
          <w:p w14:paraId="1E5574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1 093,9</w:t>
            </w:r>
          </w:p>
        </w:tc>
        <w:tc>
          <w:tcPr>
            <w:tcW w:w="1040" w:type="dxa"/>
            <w:tcBorders>
              <w:top w:val="nil"/>
              <w:left w:val="nil"/>
              <w:bottom w:val="single" w:sz="4" w:space="0" w:color="auto"/>
              <w:right w:val="single" w:sz="4" w:space="0" w:color="auto"/>
            </w:tcBorders>
            <w:shd w:val="clear" w:color="000000" w:fill="FFFFFF"/>
            <w:noWrap/>
            <w:vAlign w:val="bottom"/>
            <w:hideMark/>
          </w:tcPr>
          <w:p w14:paraId="4F6E47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325,9</w:t>
            </w:r>
          </w:p>
        </w:tc>
        <w:tc>
          <w:tcPr>
            <w:tcW w:w="1226" w:type="dxa"/>
            <w:tcBorders>
              <w:top w:val="nil"/>
              <w:left w:val="nil"/>
              <w:bottom w:val="single" w:sz="4" w:space="0" w:color="auto"/>
              <w:right w:val="single" w:sz="4" w:space="0" w:color="auto"/>
            </w:tcBorders>
            <w:shd w:val="clear" w:color="000000" w:fill="FFFFFF"/>
            <w:noWrap/>
            <w:vAlign w:val="bottom"/>
            <w:hideMark/>
          </w:tcPr>
          <w:p w14:paraId="54B98C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B55900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7D1EF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Бобошево</w:t>
            </w:r>
          </w:p>
        </w:tc>
        <w:tc>
          <w:tcPr>
            <w:tcW w:w="1911" w:type="dxa"/>
            <w:tcBorders>
              <w:top w:val="nil"/>
              <w:left w:val="nil"/>
              <w:bottom w:val="single" w:sz="4" w:space="0" w:color="auto"/>
              <w:right w:val="single" w:sz="4" w:space="0" w:color="auto"/>
            </w:tcBorders>
            <w:shd w:val="clear" w:color="000000" w:fill="FFFFFF"/>
            <w:noWrap/>
            <w:vAlign w:val="bottom"/>
            <w:hideMark/>
          </w:tcPr>
          <w:p w14:paraId="2BD513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1 446,1</w:t>
            </w:r>
          </w:p>
        </w:tc>
        <w:tc>
          <w:tcPr>
            <w:tcW w:w="1118" w:type="dxa"/>
            <w:tcBorders>
              <w:top w:val="nil"/>
              <w:left w:val="nil"/>
              <w:bottom w:val="single" w:sz="4" w:space="0" w:color="auto"/>
              <w:right w:val="single" w:sz="4" w:space="0" w:color="auto"/>
            </w:tcBorders>
            <w:shd w:val="clear" w:color="000000" w:fill="FFFFFF"/>
            <w:noWrap/>
            <w:vAlign w:val="bottom"/>
            <w:hideMark/>
          </w:tcPr>
          <w:p w14:paraId="2853D2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628,9</w:t>
            </w:r>
          </w:p>
        </w:tc>
        <w:tc>
          <w:tcPr>
            <w:tcW w:w="1257" w:type="dxa"/>
            <w:tcBorders>
              <w:top w:val="nil"/>
              <w:left w:val="nil"/>
              <w:bottom w:val="single" w:sz="4" w:space="0" w:color="auto"/>
              <w:right w:val="single" w:sz="4" w:space="0" w:color="auto"/>
            </w:tcBorders>
            <w:shd w:val="clear" w:color="000000" w:fill="FFFFFF"/>
            <w:noWrap/>
            <w:vAlign w:val="bottom"/>
            <w:hideMark/>
          </w:tcPr>
          <w:p w14:paraId="32B81B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180,3</w:t>
            </w:r>
          </w:p>
        </w:tc>
        <w:tc>
          <w:tcPr>
            <w:tcW w:w="1384" w:type="dxa"/>
            <w:tcBorders>
              <w:top w:val="nil"/>
              <w:left w:val="nil"/>
              <w:bottom w:val="single" w:sz="4" w:space="0" w:color="auto"/>
              <w:right w:val="single" w:sz="4" w:space="0" w:color="auto"/>
            </w:tcBorders>
            <w:shd w:val="clear" w:color="000000" w:fill="FFFFFF"/>
            <w:noWrap/>
            <w:vAlign w:val="bottom"/>
            <w:hideMark/>
          </w:tcPr>
          <w:p w14:paraId="5C0418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448,6</w:t>
            </w:r>
          </w:p>
        </w:tc>
        <w:tc>
          <w:tcPr>
            <w:tcW w:w="1134" w:type="dxa"/>
            <w:tcBorders>
              <w:top w:val="nil"/>
              <w:left w:val="nil"/>
              <w:bottom w:val="single" w:sz="4" w:space="0" w:color="auto"/>
              <w:right w:val="single" w:sz="4" w:space="0" w:color="auto"/>
            </w:tcBorders>
            <w:shd w:val="clear" w:color="000000" w:fill="FFFFFF"/>
            <w:noWrap/>
            <w:vAlign w:val="bottom"/>
            <w:hideMark/>
          </w:tcPr>
          <w:p w14:paraId="243C25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91,1</w:t>
            </w:r>
          </w:p>
        </w:tc>
        <w:tc>
          <w:tcPr>
            <w:tcW w:w="1277" w:type="dxa"/>
            <w:tcBorders>
              <w:top w:val="nil"/>
              <w:left w:val="nil"/>
              <w:bottom w:val="single" w:sz="4" w:space="0" w:color="auto"/>
              <w:right w:val="single" w:sz="4" w:space="0" w:color="auto"/>
            </w:tcBorders>
            <w:shd w:val="clear" w:color="000000" w:fill="FFFFFF"/>
            <w:noWrap/>
            <w:vAlign w:val="bottom"/>
            <w:hideMark/>
          </w:tcPr>
          <w:p w14:paraId="3268C9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551,5</w:t>
            </w:r>
          </w:p>
        </w:tc>
        <w:tc>
          <w:tcPr>
            <w:tcW w:w="1040" w:type="dxa"/>
            <w:tcBorders>
              <w:top w:val="nil"/>
              <w:left w:val="nil"/>
              <w:bottom w:val="single" w:sz="4" w:space="0" w:color="auto"/>
              <w:right w:val="single" w:sz="4" w:space="0" w:color="auto"/>
            </w:tcBorders>
            <w:shd w:val="clear" w:color="000000" w:fill="FFFFFF"/>
            <w:noWrap/>
            <w:vAlign w:val="bottom"/>
            <w:hideMark/>
          </w:tcPr>
          <w:p w14:paraId="790789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w:t>
            </w:r>
          </w:p>
        </w:tc>
        <w:tc>
          <w:tcPr>
            <w:tcW w:w="1087" w:type="dxa"/>
            <w:tcBorders>
              <w:top w:val="nil"/>
              <w:left w:val="nil"/>
              <w:bottom w:val="single" w:sz="4" w:space="0" w:color="auto"/>
              <w:right w:val="single" w:sz="4" w:space="0" w:color="auto"/>
            </w:tcBorders>
            <w:shd w:val="clear" w:color="000000" w:fill="FFFFFF"/>
            <w:noWrap/>
            <w:vAlign w:val="bottom"/>
            <w:hideMark/>
          </w:tcPr>
          <w:p w14:paraId="313B3D9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69,9</w:t>
            </w:r>
          </w:p>
        </w:tc>
        <w:tc>
          <w:tcPr>
            <w:tcW w:w="1040" w:type="dxa"/>
            <w:tcBorders>
              <w:top w:val="nil"/>
              <w:left w:val="nil"/>
              <w:bottom w:val="single" w:sz="4" w:space="0" w:color="auto"/>
              <w:right w:val="single" w:sz="4" w:space="0" w:color="auto"/>
            </w:tcBorders>
            <w:shd w:val="clear" w:color="000000" w:fill="FFFFFF"/>
            <w:noWrap/>
            <w:vAlign w:val="bottom"/>
            <w:hideMark/>
          </w:tcPr>
          <w:p w14:paraId="48B6E3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89,9</w:t>
            </w:r>
          </w:p>
        </w:tc>
        <w:tc>
          <w:tcPr>
            <w:tcW w:w="1226" w:type="dxa"/>
            <w:tcBorders>
              <w:top w:val="nil"/>
              <w:left w:val="nil"/>
              <w:bottom w:val="single" w:sz="4" w:space="0" w:color="auto"/>
              <w:right w:val="single" w:sz="4" w:space="0" w:color="auto"/>
            </w:tcBorders>
            <w:shd w:val="clear" w:color="000000" w:fill="FFFFFF"/>
            <w:noWrap/>
            <w:vAlign w:val="bottom"/>
            <w:hideMark/>
          </w:tcPr>
          <w:p w14:paraId="2B4F46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E06833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C83AB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Дупница</w:t>
            </w:r>
          </w:p>
        </w:tc>
        <w:tc>
          <w:tcPr>
            <w:tcW w:w="1911" w:type="dxa"/>
            <w:tcBorders>
              <w:top w:val="nil"/>
              <w:left w:val="nil"/>
              <w:bottom w:val="single" w:sz="4" w:space="0" w:color="auto"/>
              <w:right w:val="single" w:sz="4" w:space="0" w:color="auto"/>
            </w:tcBorders>
            <w:shd w:val="clear" w:color="000000" w:fill="FFFFFF"/>
            <w:noWrap/>
            <w:vAlign w:val="bottom"/>
            <w:hideMark/>
          </w:tcPr>
          <w:p w14:paraId="225CB4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22 583,7</w:t>
            </w:r>
          </w:p>
        </w:tc>
        <w:tc>
          <w:tcPr>
            <w:tcW w:w="1118" w:type="dxa"/>
            <w:tcBorders>
              <w:top w:val="nil"/>
              <w:left w:val="nil"/>
              <w:bottom w:val="single" w:sz="4" w:space="0" w:color="auto"/>
              <w:right w:val="single" w:sz="4" w:space="0" w:color="auto"/>
            </w:tcBorders>
            <w:shd w:val="clear" w:color="000000" w:fill="FFFFFF"/>
            <w:noWrap/>
            <w:vAlign w:val="bottom"/>
            <w:hideMark/>
          </w:tcPr>
          <w:p w14:paraId="5993F0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1 952,8</w:t>
            </w:r>
          </w:p>
        </w:tc>
        <w:tc>
          <w:tcPr>
            <w:tcW w:w="1257" w:type="dxa"/>
            <w:tcBorders>
              <w:top w:val="nil"/>
              <w:left w:val="nil"/>
              <w:bottom w:val="single" w:sz="4" w:space="0" w:color="auto"/>
              <w:right w:val="single" w:sz="4" w:space="0" w:color="auto"/>
            </w:tcBorders>
            <w:shd w:val="clear" w:color="000000" w:fill="FFFFFF"/>
            <w:noWrap/>
            <w:vAlign w:val="bottom"/>
            <w:hideMark/>
          </w:tcPr>
          <w:p w14:paraId="1B8628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289,7</w:t>
            </w:r>
          </w:p>
        </w:tc>
        <w:tc>
          <w:tcPr>
            <w:tcW w:w="1384" w:type="dxa"/>
            <w:tcBorders>
              <w:top w:val="nil"/>
              <w:left w:val="nil"/>
              <w:bottom w:val="single" w:sz="4" w:space="0" w:color="auto"/>
              <w:right w:val="single" w:sz="4" w:space="0" w:color="auto"/>
            </w:tcBorders>
            <w:shd w:val="clear" w:color="000000" w:fill="FFFFFF"/>
            <w:noWrap/>
            <w:vAlign w:val="bottom"/>
            <w:hideMark/>
          </w:tcPr>
          <w:p w14:paraId="04D9BF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1 663,1</w:t>
            </w:r>
          </w:p>
        </w:tc>
        <w:tc>
          <w:tcPr>
            <w:tcW w:w="1134" w:type="dxa"/>
            <w:tcBorders>
              <w:top w:val="nil"/>
              <w:left w:val="nil"/>
              <w:bottom w:val="single" w:sz="4" w:space="0" w:color="auto"/>
              <w:right w:val="single" w:sz="4" w:space="0" w:color="auto"/>
            </w:tcBorders>
            <w:shd w:val="clear" w:color="000000" w:fill="FFFFFF"/>
            <w:noWrap/>
            <w:vAlign w:val="bottom"/>
            <w:hideMark/>
          </w:tcPr>
          <w:p w14:paraId="30884A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190,3</w:t>
            </w:r>
          </w:p>
        </w:tc>
        <w:tc>
          <w:tcPr>
            <w:tcW w:w="1277" w:type="dxa"/>
            <w:tcBorders>
              <w:top w:val="nil"/>
              <w:left w:val="nil"/>
              <w:bottom w:val="single" w:sz="4" w:space="0" w:color="auto"/>
              <w:right w:val="single" w:sz="4" w:space="0" w:color="auto"/>
            </w:tcBorders>
            <w:shd w:val="clear" w:color="000000" w:fill="FFFFFF"/>
            <w:noWrap/>
            <w:vAlign w:val="bottom"/>
            <w:hideMark/>
          </w:tcPr>
          <w:p w14:paraId="7797A9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16 460,9</w:t>
            </w:r>
          </w:p>
        </w:tc>
        <w:tc>
          <w:tcPr>
            <w:tcW w:w="1040" w:type="dxa"/>
            <w:tcBorders>
              <w:top w:val="nil"/>
              <w:left w:val="nil"/>
              <w:bottom w:val="single" w:sz="4" w:space="0" w:color="auto"/>
              <w:right w:val="single" w:sz="4" w:space="0" w:color="auto"/>
            </w:tcBorders>
            <w:shd w:val="clear" w:color="000000" w:fill="FFFFFF"/>
            <w:noWrap/>
            <w:vAlign w:val="bottom"/>
            <w:hideMark/>
          </w:tcPr>
          <w:p w14:paraId="105002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1 279,5</w:t>
            </w:r>
          </w:p>
        </w:tc>
        <w:tc>
          <w:tcPr>
            <w:tcW w:w="1087" w:type="dxa"/>
            <w:tcBorders>
              <w:top w:val="nil"/>
              <w:left w:val="nil"/>
              <w:bottom w:val="single" w:sz="4" w:space="0" w:color="auto"/>
              <w:right w:val="single" w:sz="4" w:space="0" w:color="auto"/>
            </w:tcBorders>
            <w:shd w:val="clear" w:color="000000" w:fill="FFFFFF"/>
            <w:noWrap/>
            <w:vAlign w:val="bottom"/>
            <w:hideMark/>
          </w:tcPr>
          <w:p w14:paraId="686D79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2 250,6</w:t>
            </w:r>
          </w:p>
        </w:tc>
        <w:tc>
          <w:tcPr>
            <w:tcW w:w="1040" w:type="dxa"/>
            <w:tcBorders>
              <w:top w:val="nil"/>
              <w:left w:val="nil"/>
              <w:bottom w:val="single" w:sz="4" w:space="0" w:color="auto"/>
              <w:right w:val="single" w:sz="4" w:space="0" w:color="auto"/>
            </w:tcBorders>
            <w:shd w:val="clear" w:color="000000" w:fill="FFFFFF"/>
            <w:noWrap/>
            <w:vAlign w:val="bottom"/>
            <w:hideMark/>
          </w:tcPr>
          <w:p w14:paraId="4AE3F6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449,6</w:t>
            </w:r>
          </w:p>
        </w:tc>
        <w:tc>
          <w:tcPr>
            <w:tcW w:w="1226" w:type="dxa"/>
            <w:tcBorders>
              <w:top w:val="nil"/>
              <w:left w:val="nil"/>
              <w:bottom w:val="single" w:sz="4" w:space="0" w:color="auto"/>
              <w:right w:val="single" w:sz="4" w:space="0" w:color="auto"/>
            </w:tcBorders>
            <w:shd w:val="clear" w:color="000000" w:fill="FFFFFF"/>
            <w:noWrap/>
            <w:vAlign w:val="bottom"/>
            <w:hideMark/>
          </w:tcPr>
          <w:p w14:paraId="267127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812816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AE5BE8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Kочериново</w:t>
            </w:r>
          </w:p>
        </w:tc>
        <w:tc>
          <w:tcPr>
            <w:tcW w:w="1911" w:type="dxa"/>
            <w:tcBorders>
              <w:top w:val="nil"/>
              <w:left w:val="nil"/>
              <w:bottom w:val="single" w:sz="4" w:space="0" w:color="auto"/>
              <w:right w:val="single" w:sz="4" w:space="0" w:color="auto"/>
            </w:tcBorders>
            <w:shd w:val="clear" w:color="000000" w:fill="FFFFFF"/>
            <w:noWrap/>
            <w:vAlign w:val="bottom"/>
            <w:hideMark/>
          </w:tcPr>
          <w:p w14:paraId="1ACA6B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3 087,3</w:t>
            </w:r>
          </w:p>
        </w:tc>
        <w:tc>
          <w:tcPr>
            <w:tcW w:w="1118" w:type="dxa"/>
            <w:tcBorders>
              <w:top w:val="nil"/>
              <w:left w:val="nil"/>
              <w:bottom w:val="single" w:sz="4" w:space="0" w:color="auto"/>
              <w:right w:val="single" w:sz="4" w:space="0" w:color="auto"/>
            </w:tcBorders>
            <w:shd w:val="clear" w:color="000000" w:fill="FFFFFF"/>
            <w:noWrap/>
            <w:vAlign w:val="bottom"/>
            <w:hideMark/>
          </w:tcPr>
          <w:p w14:paraId="6278B1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639,7</w:t>
            </w:r>
          </w:p>
        </w:tc>
        <w:tc>
          <w:tcPr>
            <w:tcW w:w="1257" w:type="dxa"/>
            <w:tcBorders>
              <w:top w:val="nil"/>
              <w:left w:val="nil"/>
              <w:bottom w:val="single" w:sz="4" w:space="0" w:color="auto"/>
              <w:right w:val="single" w:sz="4" w:space="0" w:color="auto"/>
            </w:tcBorders>
            <w:shd w:val="clear" w:color="000000" w:fill="FFFFFF"/>
            <w:noWrap/>
            <w:vAlign w:val="bottom"/>
            <w:hideMark/>
          </w:tcPr>
          <w:p w14:paraId="4B36B4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154,9</w:t>
            </w:r>
          </w:p>
        </w:tc>
        <w:tc>
          <w:tcPr>
            <w:tcW w:w="1384" w:type="dxa"/>
            <w:tcBorders>
              <w:top w:val="nil"/>
              <w:left w:val="nil"/>
              <w:bottom w:val="single" w:sz="4" w:space="0" w:color="auto"/>
              <w:right w:val="single" w:sz="4" w:space="0" w:color="auto"/>
            </w:tcBorders>
            <w:shd w:val="clear" w:color="000000" w:fill="FFFFFF"/>
            <w:noWrap/>
            <w:vAlign w:val="bottom"/>
            <w:hideMark/>
          </w:tcPr>
          <w:p w14:paraId="0CC806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484,8</w:t>
            </w:r>
          </w:p>
        </w:tc>
        <w:tc>
          <w:tcPr>
            <w:tcW w:w="1134" w:type="dxa"/>
            <w:tcBorders>
              <w:top w:val="nil"/>
              <w:left w:val="nil"/>
              <w:bottom w:val="single" w:sz="4" w:space="0" w:color="auto"/>
              <w:right w:val="single" w:sz="4" w:space="0" w:color="auto"/>
            </w:tcBorders>
            <w:shd w:val="clear" w:color="000000" w:fill="FFFFFF"/>
            <w:noWrap/>
            <w:vAlign w:val="bottom"/>
            <w:hideMark/>
          </w:tcPr>
          <w:p w14:paraId="709FB0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94,4</w:t>
            </w:r>
          </w:p>
        </w:tc>
        <w:tc>
          <w:tcPr>
            <w:tcW w:w="1277" w:type="dxa"/>
            <w:tcBorders>
              <w:top w:val="nil"/>
              <w:left w:val="nil"/>
              <w:bottom w:val="single" w:sz="4" w:space="0" w:color="auto"/>
              <w:right w:val="single" w:sz="4" w:space="0" w:color="auto"/>
            </w:tcBorders>
            <w:shd w:val="clear" w:color="000000" w:fill="FFFFFF"/>
            <w:noWrap/>
            <w:vAlign w:val="bottom"/>
            <w:hideMark/>
          </w:tcPr>
          <w:p w14:paraId="39366A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1 281,5</w:t>
            </w:r>
          </w:p>
        </w:tc>
        <w:tc>
          <w:tcPr>
            <w:tcW w:w="1040" w:type="dxa"/>
            <w:tcBorders>
              <w:top w:val="nil"/>
              <w:left w:val="nil"/>
              <w:bottom w:val="single" w:sz="4" w:space="0" w:color="auto"/>
              <w:right w:val="single" w:sz="4" w:space="0" w:color="auto"/>
            </w:tcBorders>
            <w:shd w:val="clear" w:color="000000" w:fill="FFFFFF"/>
            <w:noWrap/>
            <w:vAlign w:val="bottom"/>
            <w:hideMark/>
          </w:tcPr>
          <w:p w14:paraId="77AC9D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54,7</w:t>
            </w:r>
          </w:p>
        </w:tc>
        <w:tc>
          <w:tcPr>
            <w:tcW w:w="1087" w:type="dxa"/>
            <w:tcBorders>
              <w:top w:val="nil"/>
              <w:left w:val="nil"/>
              <w:bottom w:val="single" w:sz="4" w:space="0" w:color="auto"/>
              <w:right w:val="single" w:sz="4" w:space="0" w:color="auto"/>
            </w:tcBorders>
            <w:shd w:val="clear" w:color="000000" w:fill="FFFFFF"/>
            <w:noWrap/>
            <w:vAlign w:val="bottom"/>
            <w:hideMark/>
          </w:tcPr>
          <w:p w14:paraId="3431A5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893,4</w:t>
            </w:r>
          </w:p>
        </w:tc>
        <w:tc>
          <w:tcPr>
            <w:tcW w:w="1040" w:type="dxa"/>
            <w:tcBorders>
              <w:top w:val="nil"/>
              <w:left w:val="nil"/>
              <w:bottom w:val="single" w:sz="4" w:space="0" w:color="auto"/>
              <w:right w:val="single" w:sz="4" w:space="0" w:color="auto"/>
            </w:tcBorders>
            <w:shd w:val="clear" w:color="000000" w:fill="FFFFFF"/>
            <w:noWrap/>
            <w:vAlign w:val="bottom"/>
            <w:hideMark/>
          </w:tcPr>
          <w:p w14:paraId="6F9EFF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123,6</w:t>
            </w:r>
          </w:p>
        </w:tc>
        <w:tc>
          <w:tcPr>
            <w:tcW w:w="1226" w:type="dxa"/>
            <w:tcBorders>
              <w:top w:val="nil"/>
              <w:left w:val="nil"/>
              <w:bottom w:val="single" w:sz="4" w:space="0" w:color="auto"/>
              <w:right w:val="single" w:sz="4" w:space="0" w:color="auto"/>
            </w:tcBorders>
            <w:shd w:val="clear" w:color="000000" w:fill="FFFFFF"/>
            <w:noWrap/>
            <w:vAlign w:val="bottom"/>
            <w:hideMark/>
          </w:tcPr>
          <w:p w14:paraId="41AD152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EE0238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8FBBB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Kюстендил</w:t>
            </w:r>
          </w:p>
        </w:tc>
        <w:tc>
          <w:tcPr>
            <w:tcW w:w="1911" w:type="dxa"/>
            <w:tcBorders>
              <w:top w:val="nil"/>
              <w:left w:val="nil"/>
              <w:bottom w:val="single" w:sz="4" w:space="0" w:color="auto"/>
              <w:right w:val="single" w:sz="4" w:space="0" w:color="auto"/>
            </w:tcBorders>
            <w:shd w:val="clear" w:color="000000" w:fill="FFFFFF"/>
            <w:noWrap/>
            <w:vAlign w:val="bottom"/>
            <w:hideMark/>
          </w:tcPr>
          <w:p w14:paraId="1C52A2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34 767,5</w:t>
            </w:r>
          </w:p>
        </w:tc>
        <w:tc>
          <w:tcPr>
            <w:tcW w:w="1118" w:type="dxa"/>
            <w:tcBorders>
              <w:top w:val="nil"/>
              <w:left w:val="nil"/>
              <w:bottom w:val="single" w:sz="4" w:space="0" w:color="auto"/>
              <w:right w:val="single" w:sz="4" w:space="0" w:color="auto"/>
            </w:tcBorders>
            <w:shd w:val="clear" w:color="000000" w:fill="FFFFFF"/>
            <w:noWrap/>
            <w:vAlign w:val="bottom"/>
            <w:hideMark/>
          </w:tcPr>
          <w:p w14:paraId="2923DD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3 404,9</w:t>
            </w:r>
          </w:p>
        </w:tc>
        <w:tc>
          <w:tcPr>
            <w:tcW w:w="1257" w:type="dxa"/>
            <w:tcBorders>
              <w:top w:val="nil"/>
              <w:left w:val="nil"/>
              <w:bottom w:val="single" w:sz="4" w:space="0" w:color="auto"/>
              <w:right w:val="single" w:sz="4" w:space="0" w:color="auto"/>
            </w:tcBorders>
            <w:shd w:val="clear" w:color="000000" w:fill="FFFFFF"/>
            <w:noWrap/>
            <w:vAlign w:val="bottom"/>
            <w:hideMark/>
          </w:tcPr>
          <w:p w14:paraId="5FE24E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822,1</w:t>
            </w:r>
          </w:p>
        </w:tc>
        <w:tc>
          <w:tcPr>
            <w:tcW w:w="1384" w:type="dxa"/>
            <w:tcBorders>
              <w:top w:val="nil"/>
              <w:left w:val="nil"/>
              <w:bottom w:val="single" w:sz="4" w:space="0" w:color="auto"/>
              <w:right w:val="single" w:sz="4" w:space="0" w:color="auto"/>
            </w:tcBorders>
            <w:shd w:val="clear" w:color="000000" w:fill="FFFFFF"/>
            <w:noWrap/>
            <w:vAlign w:val="bottom"/>
            <w:hideMark/>
          </w:tcPr>
          <w:p w14:paraId="07EE18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2 582,8</w:t>
            </w:r>
          </w:p>
        </w:tc>
        <w:tc>
          <w:tcPr>
            <w:tcW w:w="1134" w:type="dxa"/>
            <w:tcBorders>
              <w:top w:val="nil"/>
              <w:left w:val="nil"/>
              <w:bottom w:val="single" w:sz="4" w:space="0" w:color="auto"/>
              <w:right w:val="single" w:sz="4" w:space="0" w:color="auto"/>
            </w:tcBorders>
            <w:shd w:val="clear" w:color="000000" w:fill="FFFFFF"/>
            <w:noWrap/>
            <w:vAlign w:val="bottom"/>
            <w:hideMark/>
          </w:tcPr>
          <w:p w14:paraId="542532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258,0</w:t>
            </w:r>
          </w:p>
        </w:tc>
        <w:tc>
          <w:tcPr>
            <w:tcW w:w="1277" w:type="dxa"/>
            <w:tcBorders>
              <w:top w:val="nil"/>
              <w:left w:val="nil"/>
              <w:bottom w:val="single" w:sz="4" w:space="0" w:color="auto"/>
              <w:right w:val="single" w:sz="4" w:space="0" w:color="auto"/>
            </w:tcBorders>
            <w:shd w:val="clear" w:color="000000" w:fill="FFFFFF"/>
            <w:noWrap/>
            <w:vAlign w:val="bottom"/>
            <w:hideMark/>
          </w:tcPr>
          <w:p w14:paraId="321BD8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18 189,3</w:t>
            </w:r>
          </w:p>
        </w:tc>
        <w:tc>
          <w:tcPr>
            <w:tcW w:w="1040" w:type="dxa"/>
            <w:tcBorders>
              <w:top w:val="nil"/>
              <w:left w:val="nil"/>
              <w:bottom w:val="single" w:sz="4" w:space="0" w:color="auto"/>
              <w:right w:val="single" w:sz="4" w:space="0" w:color="auto"/>
            </w:tcBorders>
            <w:shd w:val="clear" w:color="000000" w:fill="FFFFFF"/>
            <w:noWrap/>
            <w:vAlign w:val="bottom"/>
            <w:hideMark/>
          </w:tcPr>
          <w:p w14:paraId="714290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851,0</w:t>
            </w:r>
          </w:p>
        </w:tc>
        <w:tc>
          <w:tcPr>
            <w:tcW w:w="1087" w:type="dxa"/>
            <w:tcBorders>
              <w:top w:val="nil"/>
              <w:left w:val="nil"/>
              <w:bottom w:val="single" w:sz="4" w:space="0" w:color="auto"/>
              <w:right w:val="single" w:sz="4" w:space="0" w:color="auto"/>
            </w:tcBorders>
            <w:shd w:val="clear" w:color="000000" w:fill="FFFFFF"/>
            <w:noWrap/>
            <w:vAlign w:val="bottom"/>
            <w:hideMark/>
          </w:tcPr>
          <w:p w14:paraId="21B6BB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8 483,4</w:t>
            </w:r>
          </w:p>
        </w:tc>
        <w:tc>
          <w:tcPr>
            <w:tcW w:w="1040" w:type="dxa"/>
            <w:tcBorders>
              <w:top w:val="nil"/>
              <w:left w:val="nil"/>
              <w:bottom w:val="single" w:sz="4" w:space="0" w:color="auto"/>
              <w:right w:val="single" w:sz="4" w:space="0" w:color="auto"/>
            </w:tcBorders>
            <w:shd w:val="clear" w:color="000000" w:fill="FFFFFF"/>
            <w:noWrap/>
            <w:vAlign w:val="bottom"/>
            <w:hideMark/>
          </w:tcPr>
          <w:p w14:paraId="7A4079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3 580,9</w:t>
            </w:r>
          </w:p>
        </w:tc>
        <w:tc>
          <w:tcPr>
            <w:tcW w:w="1226" w:type="dxa"/>
            <w:tcBorders>
              <w:top w:val="nil"/>
              <w:left w:val="nil"/>
              <w:bottom w:val="single" w:sz="4" w:space="0" w:color="auto"/>
              <w:right w:val="single" w:sz="4" w:space="0" w:color="auto"/>
            </w:tcBorders>
            <w:shd w:val="clear" w:color="000000" w:fill="FFFFFF"/>
            <w:noWrap/>
            <w:vAlign w:val="bottom"/>
            <w:hideMark/>
          </w:tcPr>
          <w:p w14:paraId="16859C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21DD47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7BED57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Hевестино</w:t>
            </w:r>
          </w:p>
        </w:tc>
        <w:tc>
          <w:tcPr>
            <w:tcW w:w="1911" w:type="dxa"/>
            <w:tcBorders>
              <w:top w:val="nil"/>
              <w:left w:val="nil"/>
              <w:bottom w:val="single" w:sz="4" w:space="0" w:color="auto"/>
              <w:right w:val="single" w:sz="4" w:space="0" w:color="auto"/>
            </w:tcBorders>
            <w:shd w:val="clear" w:color="000000" w:fill="FFFFFF"/>
            <w:noWrap/>
            <w:vAlign w:val="bottom"/>
            <w:hideMark/>
          </w:tcPr>
          <w:p w14:paraId="0F0F38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1 760,5</w:t>
            </w:r>
          </w:p>
        </w:tc>
        <w:tc>
          <w:tcPr>
            <w:tcW w:w="1118" w:type="dxa"/>
            <w:tcBorders>
              <w:top w:val="nil"/>
              <w:left w:val="nil"/>
              <w:bottom w:val="single" w:sz="4" w:space="0" w:color="auto"/>
              <w:right w:val="single" w:sz="4" w:space="0" w:color="auto"/>
            </w:tcBorders>
            <w:shd w:val="clear" w:color="000000" w:fill="FFFFFF"/>
            <w:noWrap/>
            <w:vAlign w:val="bottom"/>
            <w:hideMark/>
          </w:tcPr>
          <w:p w14:paraId="55E908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646,6</w:t>
            </w:r>
          </w:p>
        </w:tc>
        <w:tc>
          <w:tcPr>
            <w:tcW w:w="1257" w:type="dxa"/>
            <w:tcBorders>
              <w:top w:val="nil"/>
              <w:left w:val="nil"/>
              <w:bottom w:val="single" w:sz="4" w:space="0" w:color="auto"/>
              <w:right w:val="single" w:sz="4" w:space="0" w:color="auto"/>
            </w:tcBorders>
            <w:shd w:val="clear" w:color="000000" w:fill="FFFFFF"/>
            <w:noWrap/>
            <w:vAlign w:val="bottom"/>
            <w:hideMark/>
          </w:tcPr>
          <w:p w14:paraId="68085C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215,7</w:t>
            </w:r>
          </w:p>
        </w:tc>
        <w:tc>
          <w:tcPr>
            <w:tcW w:w="1384" w:type="dxa"/>
            <w:tcBorders>
              <w:top w:val="nil"/>
              <w:left w:val="nil"/>
              <w:bottom w:val="single" w:sz="4" w:space="0" w:color="auto"/>
              <w:right w:val="single" w:sz="4" w:space="0" w:color="auto"/>
            </w:tcBorders>
            <w:shd w:val="clear" w:color="000000" w:fill="FFFFFF"/>
            <w:noWrap/>
            <w:vAlign w:val="bottom"/>
            <w:hideMark/>
          </w:tcPr>
          <w:p w14:paraId="23C2B3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430,9</w:t>
            </w:r>
          </w:p>
        </w:tc>
        <w:tc>
          <w:tcPr>
            <w:tcW w:w="1134" w:type="dxa"/>
            <w:tcBorders>
              <w:top w:val="nil"/>
              <w:left w:val="nil"/>
              <w:bottom w:val="single" w:sz="4" w:space="0" w:color="auto"/>
              <w:right w:val="single" w:sz="4" w:space="0" w:color="auto"/>
            </w:tcBorders>
            <w:shd w:val="clear" w:color="000000" w:fill="FFFFFF"/>
            <w:noWrap/>
            <w:vAlign w:val="bottom"/>
            <w:hideMark/>
          </w:tcPr>
          <w:p w14:paraId="7F7015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119,0</w:t>
            </w:r>
          </w:p>
        </w:tc>
        <w:tc>
          <w:tcPr>
            <w:tcW w:w="1277" w:type="dxa"/>
            <w:tcBorders>
              <w:top w:val="nil"/>
              <w:left w:val="nil"/>
              <w:bottom w:val="single" w:sz="4" w:space="0" w:color="auto"/>
              <w:right w:val="single" w:sz="4" w:space="0" w:color="auto"/>
            </w:tcBorders>
            <w:shd w:val="clear" w:color="000000" w:fill="FFFFFF"/>
            <w:noWrap/>
            <w:vAlign w:val="bottom"/>
            <w:hideMark/>
          </w:tcPr>
          <w:p w14:paraId="0A06D5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782,4</w:t>
            </w:r>
          </w:p>
        </w:tc>
        <w:tc>
          <w:tcPr>
            <w:tcW w:w="1040" w:type="dxa"/>
            <w:tcBorders>
              <w:top w:val="nil"/>
              <w:left w:val="nil"/>
              <w:bottom w:val="single" w:sz="4" w:space="0" w:color="auto"/>
              <w:right w:val="single" w:sz="4" w:space="0" w:color="auto"/>
            </w:tcBorders>
            <w:shd w:val="clear" w:color="000000" w:fill="FFFFFF"/>
            <w:noWrap/>
            <w:vAlign w:val="bottom"/>
            <w:hideMark/>
          </w:tcPr>
          <w:p w14:paraId="4331FC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18,1</w:t>
            </w:r>
          </w:p>
        </w:tc>
        <w:tc>
          <w:tcPr>
            <w:tcW w:w="1087" w:type="dxa"/>
            <w:tcBorders>
              <w:top w:val="nil"/>
              <w:left w:val="nil"/>
              <w:bottom w:val="single" w:sz="4" w:space="0" w:color="auto"/>
              <w:right w:val="single" w:sz="4" w:space="0" w:color="auto"/>
            </w:tcBorders>
            <w:shd w:val="clear" w:color="000000" w:fill="FFFFFF"/>
            <w:noWrap/>
            <w:vAlign w:val="bottom"/>
            <w:hideMark/>
          </w:tcPr>
          <w:p w14:paraId="6FBE50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93,2</w:t>
            </w:r>
          </w:p>
        </w:tc>
        <w:tc>
          <w:tcPr>
            <w:tcW w:w="1040" w:type="dxa"/>
            <w:tcBorders>
              <w:top w:val="nil"/>
              <w:left w:val="nil"/>
              <w:bottom w:val="single" w:sz="4" w:space="0" w:color="auto"/>
              <w:right w:val="single" w:sz="4" w:space="0" w:color="auto"/>
            </w:tcBorders>
            <w:shd w:val="clear" w:color="000000" w:fill="FFFFFF"/>
            <w:noWrap/>
            <w:vAlign w:val="bottom"/>
            <w:hideMark/>
          </w:tcPr>
          <w:p w14:paraId="73230A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101,2</w:t>
            </w:r>
          </w:p>
        </w:tc>
        <w:tc>
          <w:tcPr>
            <w:tcW w:w="1226" w:type="dxa"/>
            <w:tcBorders>
              <w:top w:val="nil"/>
              <w:left w:val="nil"/>
              <w:bottom w:val="single" w:sz="4" w:space="0" w:color="auto"/>
              <w:right w:val="single" w:sz="4" w:space="0" w:color="auto"/>
            </w:tcBorders>
            <w:shd w:val="clear" w:color="000000" w:fill="FFFFFF"/>
            <w:noWrap/>
            <w:vAlign w:val="bottom"/>
            <w:hideMark/>
          </w:tcPr>
          <w:p w14:paraId="2252EB6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54C1F8F"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D6CB1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Pила</w:t>
            </w:r>
          </w:p>
        </w:tc>
        <w:tc>
          <w:tcPr>
            <w:tcW w:w="1911" w:type="dxa"/>
            <w:tcBorders>
              <w:top w:val="nil"/>
              <w:left w:val="nil"/>
              <w:bottom w:val="single" w:sz="4" w:space="0" w:color="auto"/>
              <w:right w:val="single" w:sz="4" w:space="0" w:color="auto"/>
            </w:tcBorders>
            <w:shd w:val="clear" w:color="000000" w:fill="FFFFFF"/>
            <w:noWrap/>
            <w:vAlign w:val="bottom"/>
            <w:hideMark/>
          </w:tcPr>
          <w:p w14:paraId="3DDC6E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2 317,6</w:t>
            </w:r>
          </w:p>
        </w:tc>
        <w:tc>
          <w:tcPr>
            <w:tcW w:w="1118" w:type="dxa"/>
            <w:tcBorders>
              <w:top w:val="nil"/>
              <w:left w:val="nil"/>
              <w:bottom w:val="single" w:sz="4" w:space="0" w:color="auto"/>
              <w:right w:val="single" w:sz="4" w:space="0" w:color="auto"/>
            </w:tcBorders>
            <w:shd w:val="clear" w:color="000000" w:fill="FFFFFF"/>
            <w:noWrap/>
            <w:vAlign w:val="bottom"/>
            <w:hideMark/>
          </w:tcPr>
          <w:p w14:paraId="4C7BEC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560,1</w:t>
            </w:r>
          </w:p>
        </w:tc>
        <w:tc>
          <w:tcPr>
            <w:tcW w:w="1257" w:type="dxa"/>
            <w:tcBorders>
              <w:top w:val="nil"/>
              <w:left w:val="nil"/>
              <w:bottom w:val="single" w:sz="4" w:space="0" w:color="auto"/>
              <w:right w:val="single" w:sz="4" w:space="0" w:color="auto"/>
            </w:tcBorders>
            <w:shd w:val="clear" w:color="000000" w:fill="FFFFFF"/>
            <w:noWrap/>
            <w:vAlign w:val="bottom"/>
            <w:hideMark/>
          </w:tcPr>
          <w:p w14:paraId="492D96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96,0</w:t>
            </w:r>
          </w:p>
        </w:tc>
        <w:tc>
          <w:tcPr>
            <w:tcW w:w="1384" w:type="dxa"/>
            <w:tcBorders>
              <w:top w:val="nil"/>
              <w:left w:val="nil"/>
              <w:bottom w:val="single" w:sz="4" w:space="0" w:color="auto"/>
              <w:right w:val="single" w:sz="4" w:space="0" w:color="auto"/>
            </w:tcBorders>
            <w:shd w:val="clear" w:color="000000" w:fill="FFFFFF"/>
            <w:noWrap/>
            <w:vAlign w:val="bottom"/>
            <w:hideMark/>
          </w:tcPr>
          <w:p w14:paraId="74EB64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464,1</w:t>
            </w:r>
          </w:p>
        </w:tc>
        <w:tc>
          <w:tcPr>
            <w:tcW w:w="1134" w:type="dxa"/>
            <w:tcBorders>
              <w:top w:val="nil"/>
              <w:left w:val="nil"/>
              <w:bottom w:val="single" w:sz="4" w:space="0" w:color="auto"/>
              <w:right w:val="single" w:sz="4" w:space="0" w:color="auto"/>
            </w:tcBorders>
            <w:shd w:val="clear" w:color="000000" w:fill="FFFFFF"/>
            <w:noWrap/>
            <w:vAlign w:val="bottom"/>
            <w:hideMark/>
          </w:tcPr>
          <w:p w14:paraId="058AF1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119,0</w:t>
            </w:r>
          </w:p>
        </w:tc>
        <w:tc>
          <w:tcPr>
            <w:tcW w:w="1277" w:type="dxa"/>
            <w:tcBorders>
              <w:top w:val="nil"/>
              <w:left w:val="nil"/>
              <w:bottom w:val="single" w:sz="4" w:space="0" w:color="auto"/>
              <w:right w:val="single" w:sz="4" w:space="0" w:color="auto"/>
            </w:tcBorders>
            <w:shd w:val="clear" w:color="000000" w:fill="FFFFFF"/>
            <w:noWrap/>
            <w:vAlign w:val="bottom"/>
            <w:hideMark/>
          </w:tcPr>
          <w:p w14:paraId="3E6BE1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815,7</w:t>
            </w:r>
          </w:p>
        </w:tc>
        <w:tc>
          <w:tcPr>
            <w:tcW w:w="1040" w:type="dxa"/>
            <w:tcBorders>
              <w:top w:val="nil"/>
              <w:left w:val="nil"/>
              <w:bottom w:val="single" w:sz="4" w:space="0" w:color="auto"/>
              <w:right w:val="single" w:sz="4" w:space="0" w:color="auto"/>
            </w:tcBorders>
            <w:shd w:val="clear" w:color="000000" w:fill="FFFFFF"/>
            <w:noWrap/>
            <w:vAlign w:val="bottom"/>
            <w:hideMark/>
          </w:tcPr>
          <w:p w14:paraId="4BB7C2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w:t>
            </w:r>
          </w:p>
        </w:tc>
        <w:tc>
          <w:tcPr>
            <w:tcW w:w="1087" w:type="dxa"/>
            <w:tcBorders>
              <w:top w:val="nil"/>
              <w:left w:val="nil"/>
              <w:bottom w:val="single" w:sz="4" w:space="0" w:color="auto"/>
              <w:right w:val="single" w:sz="4" w:space="0" w:color="auto"/>
            </w:tcBorders>
            <w:shd w:val="clear" w:color="000000" w:fill="FFFFFF"/>
            <w:noWrap/>
            <w:vAlign w:val="bottom"/>
            <w:hideMark/>
          </w:tcPr>
          <w:p w14:paraId="63AE57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713,8</w:t>
            </w:r>
          </w:p>
        </w:tc>
        <w:tc>
          <w:tcPr>
            <w:tcW w:w="1040" w:type="dxa"/>
            <w:tcBorders>
              <w:top w:val="nil"/>
              <w:left w:val="nil"/>
              <w:bottom w:val="single" w:sz="4" w:space="0" w:color="auto"/>
              <w:right w:val="single" w:sz="4" w:space="0" w:color="auto"/>
            </w:tcBorders>
            <w:shd w:val="clear" w:color="000000" w:fill="FFFFFF"/>
            <w:noWrap/>
            <w:vAlign w:val="bottom"/>
            <w:hideMark/>
          </w:tcPr>
          <w:p w14:paraId="325765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89,9</w:t>
            </w:r>
          </w:p>
        </w:tc>
        <w:tc>
          <w:tcPr>
            <w:tcW w:w="1226" w:type="dxa"/>
            <w:tcBorders>
              <w:top w:val="nil"/>
              <w:left w:val="nil"/>
              <w:bottom w:val="single" w:sz="4" w:space="0" w:color="auto"/>
              <w:right w:val="single" w:sz="4" w:space="0" w:color="auto"/>
            </w:tcBorders>
            <w:shd w:val="clear" w:color="000000" w:fill="FFFFFF"/>
            <w:noWrap/>
            <w:vAlign w:val="bottom"/>
            <w:hideMark/>
          </w:tcPr>
          <w:p w14:paraId="5DE6AB7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610C0F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463A7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Cапарева баня</w:t>
            </w:r>
          </w:p>
        </w:tc>
        <w:tc>
          <w:tcPr>
            <w:tcW w:w="1911" w:type="dxa"/>
            <w:tcBorders>
              <w:top w:val="nil"/>
              <w:left w:val="nil"/>
              <w:bottom w:val="single" w:sz="4" w:space="0" w:color="auto"/>
              <w:right w:val="single" w:sz="4" w:space="0" w:color="auto"/>
            </w:tcBorders>
            <w:shd w:val="clear" w:color="000000" w:fill="FFFFFF"/>
            <w:noWrap/>
            <w:vAlign w:val="bottom"/>
            <w:hideMark/>
          </w:tcPr>
          <w:p w14:paraId="7E1A47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3 718,9</w:t>
            </w:r>
          </w:p>
        </w:tc>
        <w:tc>
          <w:tcPr>
            <w:tcW w:w="1118" w:type="dxa"/>
            <w:tcBorders>
              <w:top w:val="nil"/>
              <w:left w:val="nil"/>
              <w:bottom w:val="single" w:sz="4" w:space="0" w:color="auto"/>
              <w:right w:val="single" w:sz="4" w:space="0" w:color="auto"/>
            </w:tcBorders>
            <w:shd w:val="clear" w:color="000000" w:fill="FFFFFF"/>
            <w:noWrap/>
            <w:vAlign w:val="bottom"/>
            <w:hideMark/>
          </w:tcPr>
          <w:p w14:paraId="513E89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692,6</w:t>
            </w:r>
          </w:p>
        </w:tc>
        <w:tc>
          <w:tcPr>
            <w:tcW w:w="1257" w:type="dxa"/>
            <w:tcBorders>
              <w:top w:val="nil"/>
              <w:left w:val="nil"/>
              <w:bottom w:val="single" w:sz="4" w:space="0" w:color="auto"/>
              <w:right w:val="single" w:sz="4" w:space="0" w:color="auto"/>
            </w:tcBorders>
            <w:shd w:val="clear" w:color="000000" w:fill="FFFFFF"/>
            <w:noWrap/>
            <w:vAlign w:val="bottom"/>
            <w:hideMark/>
          </w:tcPr>
          <w:p w14:paraId="6730D8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91,0</w:t>
            </w:r>
          </w:p>
        </w:tc>
        <w:tc>
          <w:tcPr>
            <w:tcW w:w="1384" w:type="dxa"/>
            <w:tcBorders>
              <w:top w:val="nil"/>
              <w:left w:val="nil"/>
              <w:bottom w:val="single" w:sz="4" w:space="0" w:color="auto"/>
              <w:right w:val="single" w:sz="4" w:space="0" w:color="auto"/>
            </w:tcBorders>
            <w:shd w:val="clear" w:color="000000" w:fill="FFFFFF"/>
            <w:noWrap/>
            <w:vAlign w:val="bottom"/>
            <w:hideMark/>
          </w:tcPr>
          <w:p w14:paraId="57FD92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601,6</w:t>
            </w:r>
          </w:p>
        </w:tc>
        <w:tc>
          <w:tcPr>
            <w:tcW w:w="1134" w:type="dxa"/>
            <w:tcBorders>
              <w:top w:val="nil"/>
              <w:left w:val="nil"/>
              <w:bottom w:val="single" w:sz="4" w:space="0" w:color="auto"/>
              <w:right w:val="single" w:sz="4" w:space="0" w:color="auto"/>
            </w:tcBorders>
            <w:shd w:val="clear" w:color="000000" w:fill="FFFFFF"/>
            <w:noWrap/>
            <w:vAlign w:val="bottom"/>
            <w:hideMark/>
          </w:tcPr>
          <w:p w14:paraId="35F477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116,7</w:t>
            </w:r>
          </w:p>
        </w:tc>
        <w:tc>
          <w:tcPr>
            <w:tcW w:w="1277" w:type="dxa"/>
            <w:tcBorders>
              <w:top w:val="nil"/>
              <w:left w:val="nil"/>
              <w:bottom w:val="single" w:sz="4" w:space="0" w:color="auto"/>
              <w:right w:val="single" w:sz="4" w:space="0" w:color="auto"/>
            </w:tcBorders>
            <w:shd w:val="clear" w:color="000000" w:fill="FFFFFF"/>
            <w:noWrap/>
            <w:vAlign w:val="bottom"/>
            <w:hideMark/>
          </w:tcPr>
          <w:p w14:paraId="7E9EB3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2 525,7</w:t>
            </w:r>
          </w:p>
        </w:tc>
        <w:tc>
          <w:tcPr>
            <w:tcW w:w="1040" w:type="dxa"/>
            <w:tcBorders>
              <w:top w:val="nil"/>
              <w:left w:val="nil"/>
              <w:bottom w:val="single" w:sz="4" w:space="0" w:color="auto"/>
              <w:right w:val="single" w:sz="4" w:space="0" w:color="auto"/>
            </w:tcBorders>
            <w:shd w:val="clear" w:color="000000" w:fill="FFFFFF"/>
            <w:noWrap/>
            <w:vAlign w:val="bottom"/>
            <w:hideMark/>
          </w:tcPr>
          <w:p w14:paraId="2967AE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188,7</w:t>
            </w:r>
          </w:p>
        </w:tc>
        <w:tc>
          <w:tcPr>
            <w:tcW w:w="1087" w:type="dxa"/>
            <w:tcBorders>
              <w:top w:val="nil"/>
              <w:left w:val="nil"/>
              <w:bottom w:val="single" w:sz="4" w:space="0" w:color="auto"/>
              <w:right w:val="single" w:sz="4" w:space="0" w:color="auto"/>
            </w:tcBorders>
            <w:shd w:val="clear" w:color="000000" w:fill="FFFFFF"/>
            <w:noWrap/>
            <w:vAlign w:val="bottom"/>
            <w:hideMark/>
          </w:tcPr>
          <w:p w14:paraId="09A811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116,5</w:t>
            </w:r>
          </w:p>
        </w:tc>
        <w:tc>
          <w:tcPr>
            <w:tcW w:w="1040" w:type="dxa"/>
            <w:tcBorders>
              <w:top w:val="nil"/>
              <w:left w:val="nil"/>
              <w:bottom w:val="single" w:sz="4" w:space="0" w:color="auto"/>
              <w:right w:val="single" w:sz="4" w:space="0" w:color="auto"/>
            </w:tcBorders>
            <w:shd w:val="clear" w:color="000000" w:fill="FFFFFF"/>
            <w:noWrap/>
            <w:vAlign w:val="bottom"/>
            <w:hideMark/>
          </w:tcPr>
          <w:p w14:paraId="0FA9EC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78,7</w:t>
            </w:r>
          </w:p>
        </w:tc>
        <w:tc>
          <w:tcPr>
            <w:tcW w:w="1226" w:type="dxa"/>
            <w:tcBorders>
              <w:top w:val="nil"/>
              <w:left w:val="nil"/>
              <w:bottom w:val="single" w:sz="4" w:space="0" w:color="auto"/>
              <w:right w:val="single" w:sz="4" w:space="0" w:color="auto"/>
            </w:tcBorders>
            <w:shd w:val="clear" w:color="000000" w:fill="FFFFFF"/>
            <w:noWrap/>
            <w:vAlign w:val="bottom"/>
            <w:hideMark/>
          </w:tcPr>
          <w:p w14:paraId="04E5FC6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27000C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BC719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Tрекляно</w:t>
            </w:r>
          </w:p>
        </w:tc>
        <w:tc>
          <w:tcPr>
            <w:tcW w:w="1911" w:type="dxa"/>
            <w:tcBorders>
              <w:top w:val="nil"/>
              <w:left w:val="nil"/>
              <w:bottom w:val="single" w:sz="4" w:space="0" w:color="auto"/>
              <w:right w:val="single" w:sz="4" w:space="0" w:color="auto"/>
            </w:tcBorders>
            <w:shd w:val="clear" w:color="000000" w:fill="FFFFFF"/>
            <w:noWrap/>
            <w:vAlign w:val="bottom"/>
            <w:hideMark/>
          </w:tcPr>
          <w:p w14:paraId="30319F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1 093,2</w:t>
            </w:r>
          </w:p>
        </w:tc>
        <w:tc>
          <w:tcPr>
            <w:tcW w:w="1118" w:type="dxa"/>
            <w:tcBorders>
              <w:top w:val="nil"/>
              <w:left w:val="nil"/>
              <w:bottom w:val="single" w:sz="4" w:space="0" w:color="auto"/>
              <w:right w:val="single" w:sz="4" w:space="0" w:color="auto"/>
            </w:tcBorders>
            <w:shd w:val="clear" w:color="000000" w:fill="FFFFFF"/>
            <w:noWrap/>
            <w:vAlign w:val="bottom"/>
            <w:hideMark/>
          </w:tcPr>
          <w:p w14:paraId="7ABA0E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593,7</w:t>
            </w:r>
          </w:p>
        </w:tc>
        <w:tc>
          <w:tcPr>
            <w:tcW w:w="1257" w:type="dxa"/>
            <w:tcBorders>
              <w:top w:val="nil"/>
              <w:left w:val="nil"/>
              <w:bottom w:val="single" w:sz="4" w:space="0" w:color="auto"/>
              <w:right w:val="single" w:sz="4" w:space="0" w:color="auto"/>
            </w:tcBorders>
            <w:shd w:val="clear" w:color="000000" w:fill="FFFFFF"/>
            <w:noWrap/>
            <w:vAlign w:val="bottom"/>
            <w:hideMark/>
          </w:tcPr>
          <w:p w14:paraId="4EDBFA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202,0</w:t>
            </w:r>
          </w:p>
        </w:tc>
        <w:tc>
          <w:tcPr>
            <w:tcW w:w="1384" w:type="dxa"/>
            <w:tcBorders>
              <w:top w:val="nil"/>
              <w:left w:val="nil"/>
              <w:bottom w:val="single" w:sz="4" w:space="0" w:color="auto"/>
              <w:right w:val="single" w:sz="4" w:space="0" w:color="auto"/>
            </w:tcBorders>
            <w:shd w:val="clear" w:color="000000" w:fill="FFFFFF"/>
            <w:noWrap/>
            <w:vAlign w:val="bottom"/>
            <w:hideMark/>
          </w:tcPr>
          <w:p w14:paraId="682907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391,7</w:t>
            </w:r>
          </w:p>
        </w:tc>
        <w:tc>
          <w:tcPr>
            <w:tcW w:w="1134" w:type="dxa"/>
            <w:tcBorders>
              <w:top w:val="nil"/>
              <w:left w:val="nil"/>
              <w:bottom w:val="single" w:sz="4" w:space="0" w:color="auto"/>
              <w:right w:val="single" w:sz="4" w:space="0" w:color="auto"/>
            </w:tcBorders>
            <w:shd w:val="clear" w:color="000000" w:fill="FFFFFF"/>
            <w:noWrap/>
            <w:vAlign w:val="bottom"/>
            <w:hideMark/>
          </w:tcPr>
          <w:p w14:paraId="091011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91,9</w:t>
            </w:r>
          </w:p>
        </w:tc>
        <w:tc>
          <w:tcPr>
            <w:tcW w:w="1277" w:type="dxa"/>
            <w:tcBorders>
              <w:top w:val="nil"/>
              <w:left w:val="nil"/>
              <w:bottom w:val="single" w:sz="4" w:space="0" w:color="auto"/>
              <w:right w:val="single" w:sz="4" w:space="0" w:color="auto"/>
            </w:tcBorders>
            <w:shd w:val="clear" w:color="000000" w:fill="FFFFFF"/>
            <w:noWrap/>
            <w:vAlign w:val="bottom"/>
            <w:hideMark/>
          </w:tcPr>
          <w:p w14:paraId="4888FB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297,0</w:t>
            </w:r>
          </w:p>
        </w:tc>
        <w:tc>
          <w:tcPr>
            <w:tcW w:w="1040" w:type="dxa"/>
            <w:tcBorders>
              <w:top w:val="nil"/>
              <w:left w:val="nil"/>
              <w:bottom w:val="single" w:sz="4" w:space="0" w:color="auto"/>
              <w:right w:val="single" w:sz="4" w:space="0" w:color="auto"/>
            </w:tcBorders>
            <w:shd w:val="clear" w:color="000000" w:fill="FFFFFF"/>
            <w:noWrap/>
            <w:vAlign w:val="bottom"/>
            <w:hideMark/>
          </w:tcPr>
          <w:p w14:paraId="4A2B4F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w:t>
            </w:r>
          </w:p>
        </w:tc>
        <w:tc>
          <w:tcPr>
            <w:tcW w:w="1087" w:type="dxa"/>
            <w:tcBorders>
              <w:top w:val="nil"/>
              <w:left w:val="nil"/>
              <w:bottom w:val="single" w:sz="4" w:space="0" w:color="auto"/>
              <w:right w:val="single" w:sz="4" w:space="0" w:color="auto"/>
            </w:tcBorders>
            <w:shd w:val="clear" w:color="000000" w:fill="FFFFFF"/>
            <w:noWrap/>
            <w:vAlign w:val="bottom"/>
            <w:hideMark/>
          </w:tcPr>
          <w:p w14:paraId="7A9E31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41,9</w:t>
            </w:r>
          </w:p>
        </w:tc>
        <w:tc>
          <w:tcPr>
            <w:tcW w:w="1040" w:type="dxa"/>
            <w:tcBorders>
              <w:top w:val="nil"/>
              <w:left w:val="nil"/>
              <w:bottom w:val="single" w:sz="4" w:space="0" w:color="auto"/>
              <w:right w:val="single" w:sz="4" w:space="0" w:color="auto"/>
            </w:tcBorders>
            <w:shd w:val="clear" w:color="000000" w:fill="FFFFFF"/>
            <w:noWrap/>
            <w:vAlign w:val="bottom"/>
            <w:hideMark/>
          </w:tcPr>
          <w:p w14:paraId="21CD30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67,4</w:t>
            </w:r>
          </w:p>
        </w:tc>
        <w:tc>
          <w:tcPr>
            <w:tcW w:w="1226" w:type="dxa"/>
            <w:tcBorders>
              <w:top w:val="nil"/>
              <w:left w:val="nil"/>
              <w:bottom w:val="single" w:sz="4" w:space="0" w:color="auto"/>
              <w:right w:val="single" w:sz="4" w:space="0" w:color="auto"/>
            </w:tcBorders>
            <w:shd w:val="clear" w:color="000000" w:fill="FFFFFF"/>
            <w:noWrap/>
            <w:vAlign w:val="bottom"/>
            <w:hideMark/>
          </w:tcPr>
          <w:p w14:paraId="57C0970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C371A9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DDB96F4"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1C3B10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20FD22E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2A3103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35691A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1C395D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5FBBDB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4E5BF3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3CE4F03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5DFCB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6583CC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9B6B8B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903B1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ЛОВЕЧ</w:t>
            </w:r>
          </w:p>
        </w:tc>
        <w:tc>
          <w:tcPr>
            <w:tcW w:w="1911" w:type="dxa"/>
            <w:tcBorders>
              <w:top w:val="nil"/>
              <w:left w:val="nil"/>
              <w:bottom w:val="single" w:sz="4" w:space="0" w:color="auto"/>
              <w:right w:val="single" w:sz="4" w:space="0" w:color="auto"/>
            </w:tcBorders>
            <w:shd w:val="clear" w:color="000000" w:fill="FFFFFF"/>
            <w:noWrap/>
            <w:vAlign w:val="bottom"/>
            <w:hideMark/>
          </w:tcPr>
          <w:p w14:paraId="5DBD60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452C09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45626A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6BAB8C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2F3A55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6BF6CB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5EDE4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426DAC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47557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24B75E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DCA7E3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1D9C12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Aприлци</w:t>
            </w:r>
          </w:p>
        </w:tc>
        <w:tc>
          <w:tcPr>
            <w:tcW w:w="1911" w:type="dxa"/>
            <w:tcBorders>
              <w:top w:val="nil"/>
              <w:left w:val="nil"/>
              <w:bottom w:val="single" w:sz="4" w:space="0" w:color="auto"/>
              <w:right w:val="single" w:sz="4" w:space="0" w:color="auto"/>
            </w:tcBorders>
            <w:shd w:val="clear" w:color="000000" w:fill="FFFFFF"/>
            <w:noWrap/>
            <w:vAlign w:val="bottom"/>
            <w:hideMark/>
          </w:tcPr>
          <w:p w14:paraId="79D348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2 714,8</w:t>
            </w:r>
          </w:p>
        </w:tc>
        <w:tc>
          <w:tcPr>
            <w:tcW w:w="1118" w:type="dxa"/>
            <w:tcBorders>
              <w:top w:val="nil"/>
              <w:left w:val="nil"/>
              <w:bottom w:val="single" w:sz="4" w:space="0" w:color="auto"/>
              <w:right w:val="single" w:sz="4" w:space="0" w:color="auto"/>
            </w:tcBorders>
            <w:shd w:val="clear" w:color="000000" w:fill="FFFFFF"/>
            <w:noWrap/>
            <w:vAlign w:val="bottom"/>
            <w:hideMark/>
          </w:tcPr>
          <w:p w14:paraId="398EB9A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545,3</w:t>
            </w:r>
          </w:p>
        </w:tc>
        <w:tc>
          <w:tcPr>
            <w:tcW w:w="1257" w:type="dxa"/>
            <w:tcBorders>
              <w:top w:val="nil"/>
              <w:left w:val="nil"/>
              <w:bottom w:val="single" w:sz="4" w:space="0" w:color="auto"/>
              <w:right w:val="single" w:sz="4" w:space="0" w:color="auto"/>
            </w:tcBorders>
            <w:shd w:val="clear" w:color="000000" w:fill="FFFFFF"/>
            <w:noWrap/>
            <w:vAlign w:val="bottom"/>
            <w:hideMark/>
          </w:tcPr>
          <w:p w14:paraId="3375AB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80,9</w:t>
            </w:r>
          </w:p>
        </w:tc>
        <w:tc>
          <w:tcPr>
            <w:tcW w:w="1384" w:type="dxa"/>
            <w:tcBorders>
              <w:top w:val="nil"/>
              <w:left w:val="nil"/>
              <w:bottom w:val="single" w:sz="4" w:space="0" w:color="auto"/>
              <w:right w:val="single" w:sz="4" w:space="0" w:color="auto"/>
            </w:tcBorders>
            <w:shd w:val="clear" w:color="000000" w:fill="FFFFFF"/>
            <w:noWrap/>
            <w:vAlign w:val="bottom"/>
            <w:hideMark/>
          </w:tcPr>
          <w:p w14:paraId="4452EA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464,4</w:t>
            </w:r>
          </w:p>
        </w:tc>
        <w:tc>
          <w:tcPr>
            <w:tcW w:w="1134" w:type="dxa"/>
            <w:tcBorders>
              <w:top w:val="nil"/>
              <w:left w:val="nil"/>
              <w:bottom w:val="single" w:sz="4" w:space="0" w:color="auto"/>
              <w:right w:val="single" w:sz="4" w:space="0" w:color="auto"/>
            </w:tcBorders>
            <w:shd w:val="clear" w:color="000000" w:fill="FFFFFF"/>
            <w:noWrap/>
            <w:vAlign w:val="bottom"/>
            <w:hideMark/>
          </w:tcPr>
          <w:p w14:paraId="3BEFFE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185,3</w:t>
            </w:r>
          </w:p>
        </w:tc>
        <w:tc>
          <w:tcPr>
            <w:tcW w:w="1277" w:type="dxa"/>
            <w:tcBorders>
              <w:top w:val="nil"/>
              <w:left w:val="nil"/>
              <w:bottom w:val="single" w:sz="4" w:space="0" w:color="auto"/>
              <w:right w:val="single" w:sz="4" w:space="0" w:color="auto"/>
            </w:tcBorders>
            <w:shd w:val="clear" w:color="000000" w:fill="FFFFFF"/>
            <w:noWrap/>
            <w:vAlign w:val="bottom"/>
            <w:hideMark/>
          </w:tcPr>
          <w:p w14:paraId="00FF4E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1 120,1</w:t>
            </w:r>
          </w:p>
        </w:tc>
        <w:tc>
          <w:tcPr>
            <w:tcW w:w="1040" w:type="dxa"/>
            <w:tcBorders>
              <w:top w:val="nil"/>
              <w:left w:val="nil"/>
              <w:bottom w:val="single" w:sz="4" w:space="0" w:color="auto"/>
              <w:right w:val="single" w:sz="4" w:space="0" w:color="auto"/>
            </w:tcBorders>
            <w:shd w:val="clear" w:color="000000" w:fill="FFFFFF"/>
            <w:noWrap/>
            <w:vAlign w:val="bottom"/>
            <w:hideMark/>
          </w:tcPr>
          <w:p w14:paraId="5D6B78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19,4</w:t>
            </w:r>
          </w:p>
        </w:tc>
        <w:tc>
          <w:tcPr>
            <w:tcW w:w="1087" w:type="dxa"/>
            <w:tcBorders>
              <w:top w:val="nil"/>
              <w:left w:val="nil"/>
              <w:bottom w:val="single" w:sz="4" w:space="0" w:color="auto"/>
              <w:right w:val="single" w:sz="4" w:space="0" w:color="auto"/>
            </w:tcBorders>
            <w:shd w:val="clear" w:color="000000" w:fill="FFFFFF"/>
            <w:noWrap/>
            <w:vAlign w:val="bottom"/>
            <w:hideMark/>
          </w:tcPr>
          <w:p w14:paraId="7F0522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687,3</w:t>
            </w:r>
          </w:p>
        </w:tc>
        <w:tc>
          <w:tcPr>
            <w:tcW w:w="1040" w:type="dxa"/>
            <w:tcBorders>
              <w:top w:val="nil"/>
              <w:left w:val="nil"/>
              <w:bottom w:val="single" w:sz="4" w:space="0" w:color="auto"/>
              <w:right w:val="single" w:sz="4" w:space="0" w:color="auto"/>
            </w:tcBorders>
            <w:shd w:val="clear" w:color="000000" w:fill="FFFFFF"/>
            <w:noWrap/>
            <w:vAlign w:val="bottom"/>
            <w:hideMark/>
          </w:tcPr>
          <w:p w14:paraId="030903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157,4</w:t>
            </w:r>
          </w:p>
        </w:tc>
        <w:tc>
          <w:tcPr>
            <w:tcW w:w="1226" w:type="dxa"/>
            <w:tcBorders>
              <w:top w:val="nil"/>
              <w:left w:val="nil"/>
              <w:bottom w:val="single" w:sz="4" w:space="0" w:color="auto"/>
              <w:right w:val="single" w:sz="4" w:space="0" w:color="auto"/>
            </w:tcBorders>
            <w:shd w:val="clear" w:color="000000" w:fill="FFFFFF"/>
            <w:noWrap/>
            <w:vAlign w:val="bottom"/>
            <w:hideMark/>
          </w:tcPr>
          <w:p w14:paraId="0BDA39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11E730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C59B9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Летница</w:t>
            </w:r>
          </w:p>
        </w:tc>
        <w:tc>
          <w:tcPr>
            <w:tcW w:w="1911" w:type="dxa"/>
            <w:tcBorders>
              <w:top w:val="nil"/>
              <w:left w:val="nil"/>
              <w:bottom w:val="single" w:sz="4" w:space="0" w:color="auto"/>
              <w:right w:val="single" w:sz="4" w:space="0" w:color="auto"/>
            </w:tcBorders>
            <w:shd w:val="clear" w:color="000000" w:fill="FFFFFF"/>
            <w:noWrap/>
            <w:vAlign w:val="bottom"/>
            <w:hideMark/>
          </w:tcPr>
          <w:p w14:paraId="49311B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3 017,7</w:t>
            </w:r>
          </w:p>
        </w:tc>
        <w:tc>
          <w:tcPr>
            <w:tcW w:w="1118" w:type="dxa"/>
            <w:tcBorders>
              <w:top w:val="nil"/>
              <w:left w:val="nil"/>
              <w:bottom w:val="single" w:sz="4" w:space="0" w:color="auto"/>
              <w:right w:val="single" w:sz="4" w:space="0" w:color="auto"/>
            </w:tcBorders>
            <w:shd w:val="clear" w:color="000000" w:fill="FFFFFF"/>
            <w:noWrap/>
            <w:vAlign w:val="bottom"/>
            <w:hideMark/>
          </w:tcPr>
          <w:p w14:paraId="7BFE10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629,8</w:t>
            </w:r>
          </w:p>
        </w:tc>
        <w:tc>
          <w:tcPr>
            <w:tcW w:w="1257" w:type="dxa"/>
            <w:tcBorders>
              <w:top w:val="nil"/>
              <w:left w:val="nil"/>
              <w:bottom w:val="single" w:sz="4" w:space="0" w:color="auto"/>
              <w:right w:val="single" w:sz="4" w:space="0" w:color="auto"/>
            </w:tcBorders>
            <w:shd w:val="clear" w:color="000000" w:fill="FFFFFF"/>
            <w:noWrap/>
            <w:vAlign w:val="bottom"/>
            <w:hideMark/>
          </w:tcPr>
          <w:p w14:paraId="5CDD71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84,2</w:t>
            </w:r>
          </w:p>
        </w:tc>
        <w:tc>
          <w:tcPr>
            <w:tcW w:w="1384" w:type="dxa"/>
            <w:tcBorders>
              <w:top w:val="nil"/>
              <w:left w:val="nil"/>
              <w:bottom w:val="single" w:sz="4" w:space="0" w:color="auto"/>
              <w:right w:val="single" w:sz="4" w:space="0" w:color="auto"/>
            </w:tcBorders>
            <w:shd w:val="clear" w:color="000000" w:fill="FFFFFF"/>
            <w:noWrap/>
            <w:vAlign w:val="bottom"/>
            <w:hideMark/>
          </w:tcPr>
          <w:p w14:paraId="365A13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545,6</w:t>
            </w:r>
          </w:p>
        </w:tc>
        <w:tc>
          <w:tcPr>
            <w:tcW w:w="1134" w:type="dxa"/>
            <w:tcBorders>
              <w:top w:val="nil"/>
              <w:left w:val="nil"/>
              <w:bottom w:val="single" w:sz="4" w:space="0" w:color="auto"/>
              <w:right w:val="single" w:sz="4" w:space="0" w:color="auto"/>
            </w:tcBorders>
            <w:shd w:val="clear" w:color="000000" w:fill="FFFFFF"/>
            <w:noWrap/>
            <w:vAlign w:val="bottom"/>
            <w:hideMark/>
          </w:tcPr>
          <w:p w14:paraId="38A90B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128,5</w:t>
            </w:r>
          </w:p>
        </w:tc>
        <w:tc>
          <w:tcPr>
            <w:tcW w:w="1277" w:type="dxa"/>
            <w:tcBorders>
              <w:top w:val="nil"/>
              <w:left w:val="nil"/>
              <w:bottom w:val="single" w:sz="4" w:space="0" w:color="auto"/>
              <w:right w:val="single" w:sz="4" w:space="0" w:color="auto"/>
            </w:tcBorders>
            <w:shd w:val="clear" w:color="000000" w:fill="FFFFFF"/>
            <w:noWrap/>
            <w:vAlign w:val="bottom"/>
            <w:hideMark/>
          </w:tcPr>
          <w:p w14:paraId="483790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1 439,5</w:t>
            </w:r>
          </w:p>
        </w:tc>
        <w:tc>
          <w:tcPr>
            <w:tcW w:w="1040" w:type="dxa"/>
            <w:tcBorders>
              <w:top w:val="nil"/>
              <w:left w:val="nil"/>
              <w:bottom w:val="single" w:sz="4" w:space="0" w:color="auto"/>
              <w:right w:val="single" w:sz="4" w:space="0" w:color="auto"/>
            </w:tcBorders>
            <w:shd w:val="clear" w:color="000000" w:fill="FFFFFF"/>
            <w:noWrap/>
            <w:vAlign w:val="bottom"/>
            <w:hideMark/>
          </w:tcPr>
          <w:p w14:paraId="16BB82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67,3</w:t>
            </w:r>
          </w:p>
        </w:tc>
        <w:tc>
          <w:tcPr>
            <w:tcW w:w="1087" w:type="dxa"/>
            <w:tcBorders>
              <w:top w:val="nil"/>
              <w:left w:val="nil"/>
              <w:bottom w:val="single" w:sz="4" w:space="0" w:color="auto"/>
              <w:right w:val="single" w:sz="4" w:space="0" w:color="auto"/>
            </w:tcBorders>
            <w:shd w:val="clear" w:color="000000" w:fill="FFFFFF"/>
            <w:noWrap/>
            <w:vAlign w:val="bottom"/>
            <w:hideMark/>
          </w:tcPr>
          <w:p w14:paraId="329333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606,5</w:t>
            </w:r>
          </w:p>
        </w:tc>
        <w:tc>
          <w:tcPr>
            <w:tcW w:w="1040" w:type="dxa"/>
            <w:tcBorders>
              <w:top w:val="nil"/>
              <w:left w:val="nil"/>
              <w:bottom w:val="single" w:sz="4" w:space="0" w:color="auto"/>
              <w:right w:val="single" w:sz="4" w:space="0" w:color="auto"/>
            </w:tcBorders>
            <w:shd w:val="clear" w:color="000000" w:fill="FFFFFF"/>
            <w:noWrap/>
            <w:vAlign w:val="bottom"/>
            <w:hideMark/>
          </w:tcPr>
          <w:p w14:paraId="5438E5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146,1</w:t>
            </w:r>
          </w:p>
        </w:tc>
        <w:tc>
          <w:tcPr>
            <w:tcW w:w="1226" w:type="dxa"/>
            <w:tcBorders>
              <w:top w:val="nil"/>
              <w:left w:val="nil"/>
              <w:bottom w:val="single" w:sz="4" w:space="0" w:color="auto"/>
              <w:right w:val="single" w:sz="4" w:space="0" w:color="auto"/>
            </w:tcBorders>
            <w:shd w:val="clear" w:color="000000" w:fill="FFFFFF"/>
            <w:noWrap/>
            <w:vAlign w:val="bottom"/>
            <w:hideMark/>
          </w:tcPr>
          <w:p w14:paraId="25CCE9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0929DD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82FC7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Ловеч</w:t>
            </w:r>
          </w:p>
        </w:tc>
        <w:tc>
          <w:tcPr>
            <w:tcW w:w="1911" w:type="dxa"/>
            <w:tcBorders>
              <w:top w:val="nil"/>
              <w:left w:val="nil"/>
              <w:bottom w:val="single" w:sz="4" w:space="0" w:color="auto"/>
              <w:right w:val="single" w:sz="4" w:space="0" w:color="auto"/>
            </w:tcBorders>
            <w:shd w:val="clear" w:color="000000" w:fill="FFFFFF"/>
            <w:noWrap/>
            <w:vAlign w:val="bottom"/>
            <w:hideMark/>
          </w:tcPr>
          <w:p w14:paraId="6C0F2C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27 925,5</w:t>
            </w:r>
          </w:p>
        </w:tc>
        <w:tc>
          <w:tcPr>
            <w:tcW w:w="1118" w:type="dxa"/>
            <w:tcBorders>
              <w:top w:val="nil"/>
              <w:left w:val="nil"/>
              <w:bottom w:val="single" w:sz="4" w:space="0" w:color="auto"/>
              <w:right w:val="single" w:sz="4" w:space="0" w:color="auto"/>
            </w:tcBorders>
            <w:shd w:val="clear" w:color="000000" w:fill="FFFFFF"/>
            <w:noWrap/>
            <w:vAlign w:val="bottom"/>
            <w:hideMark/>
          </w:tcPr>
          <w:p w14:paraId="1D34A2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2 247,5</w:t>
            </w:r>
          </w:p>
        </w:tc>
        <w:tc>
          <w:tcPr>
            <w:tcW w:w="1257" w:type="dxa"/>
            <w:tcBorders>
              <w:top w:val="nil"/>
              <w:left w:val="nil"/>
              <w:bottom w:val="single" w:sz="4" w:space="0" w:color="auto"/>
              <w:right w:val="single" w:sz="4" w:space="0" w:color="auto"/>
            </w:tcBorders>
            <w:shd w:val="clear" w:color="000000" w:fill="FFFFFF"/>
            <w:noWrap/>
            <w:vAlign w:val="bottom"/>
            <w:hideMark/>
          </w:tcPr>
          <w:p w14:paraId="074475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550,9</w:t>
            </w:r>
          </w:p>
        </w:tc>
        <w:tc>
          <w:tcPr>
            <w:tcW w:w="1384" w:type="dxa"/>
            <w:tcBorders>
              <w:top w:val="nil"/>
              <w:left w:val="nil"/>
              <w:bottom w:val="single" w:sz="4" w:space="0" w:color="auto"/>
              <w:right w:val="single" w:sz="4" w:space="0" w:color="auto"/>
            </w:tcBorders>
            <w:shd w:val="clear" w:color="000000" w:fill="FFFFFF"/>
            <w:noWrap/>
            <w:vAlign w:val="bottom"/>
            <w:hideMark/>
          </w:tcPr>
          <w:p w14:paraId="686E4B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1 696,6</w:t>
            </w:r>
          </w:p>
        </w:tc>
        <w:tc>
          <w:tcPr>
            <w:tcW w:w="1134" w:type="dxa"/>
            <w:tcBorders>
              <w:top w:val="nil"/>
              <w:left w:val="nil"/>
              <w:bottom w:val="single" w:sz="4" w:space="0" w:color="auto"/>
              <w:right w:val="single" w:sz="4" w:space="0" w:color="auto"/>
            </w:tcBorders>
            <w:shd w:val="clear" w:color="000000" w:fill="FFFFFF"/>
            <w:noWrap/>
            <w:vAlign w:val="bottom"/>
            <w:hideMark/>
          </w:tcPr>
          <w:p w14:paraId="6A51D9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302,3</w:t>
            </w:r>
          </w:p>
        </w:tc>
        <w:tc>
          <w:tcPr>
            <w:tcW w:w="1277" w:type="dxa"/>
            <w:tcBorders>
              <w:top w:val="nil"/>
              <w:left w:val="nil"/>
              <w:bottom w:val="single" w:sz="4" w:space="0" w:color="auto"/>
              <w:right w:val="single" w:sz="4" w:space="0" w:color="auto"/>
            </w:tcBorders>
            <w:shd w:val="clear" w:color="000000" w:fill="FFFFFF"/>
            <w:noWrap/>
            <w:vAlign w:val="bottom"/>
            <w:hideMark/>
          </w:tcPr>
          <w:p w14:paraId="61191D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14 772,7</w:t>
            </w:r>
          </w:p>
        </w:tc>
        <w:tc>
          <w:tcPr>
            <w:tcW w:w="1040" w:type="dxa"/>
            <w:tcBorders>
              <w:top w:val="nil"/>
              <w:left w:val="nil"/>
              <w:bottom w:val="single" w:sz="4" w:space="0" w:color="auto"/>
              <w:right w:val="single" w:sz="4" w:space="0" w:color="auto"/>
            </w:tcBorders>
            <w:shd w:val="clear" w:color="000000" w:fill="FFFFFF"/>
            <w:noWrap/>
            <w:vAlign w:val="bottom"/>
            <w:hideMark/>
          </w:tcPr>
          <w:p w14:paraId="1B8940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1 819,3</w:t>
            </w:r>
          </w:p>
        </w:tc>
        <w:tc>
          <w:tcPr>
            <w:tcW w:w="1087" w:type="dxa"/>
            <w:tcBorders>
              <w:top w:val="nil"/>
              <w:left w:val="nil"/>
              <w:bottom w:val="single" w:sz="4" w:space="0" w:color="auto"/>
              <w:right w:val="single" w:sz="4" w:space="0" w:color="auto"/>
            </w:tcBorders>
            <w:shd w:val="clear" w:color="000000" w:fill="FFFFFF"/>
            <w:noWrap/>
            <w:vAlign w:val="bottom"/>
            <w:hideMark/>
          </w:tcPr>
          <w:p w14:paraId="7B85BA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6 699,8</w:t>
            </w:r>
          </w:p>
        </w:tc>
        <w:tc>
          <w:tcPr>
            <w:tcW w:w="1040" w:type="dxa"/>
            <w:tcBorders>
              <w:top w:val="nil"/>
              <w:left w:val="nil"/>
              <w:bottom w:val="single" w:sz="4" w:space="0" w:color="auto"/>
              <w:right w:val="single" w:sz="4" w:space="0" w:color="auto"/>
            </w:tcBorders>
            <w:shd w:val="clear" w:color="000000" w:fill="FFFFFF"/>
            <w:noWrap/>
            <w:vAlign w:val="bottom"/>
            <w:hideMark/>
          </w:tcPr>
          <w:p w14:paraId="545C15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2 083,9</w:t>
            </w:r>
          </w:p>
        </w:tc>
        <w:tc>
          <w:tcPr>
            <w:tcW w:w="1226" w:type="dxa"/>
            <w:tcBorders>
              <w:top w:val="nil"/>
              <w:left w:val="nil"/>
              <w:bottom w:val="single" w:sz="4" w:space="0" w:color="auto"/>
              <w:right w:val="single" w:sz="4" w:space="0" w:color="auto"/>
            </w:tcBorders>
            <w:shd w:val="clear" w:color="000000" w:fill="FFFFFF"/>
            <w:noWrap/>
            <w:vAlign w:val="bottom"/>
            <w:hideMark/>
          </w:tcPr>
          <w:p w14:paraId="6B9F7D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EE0EEDF"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3BEF1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Луковит</w:t>
            </w:r>
          </w:p>
        </w:tc>
        <w:tc>
          <w:tcPr>
            <w:tcW w:w="1911" w:type="dxa"/>
            <w:tcBorders>
              <w:top w:val="nil"/>
              <w:left w:val="nil"/>
              <w:bottom w:val="single" w:sz="4" w:space="0" w:color="auto"/>
              <w:right w:val="single" w:sz="4" w:space="0" w:color="auto"/>
            </w:tcBorders>
            <w:shd w:val="clear" w:color="000000" w:fill="FFFFFF"/>
            <w:noWrap/>
            <w:vAlign w:val="bottom"/>
            <w:hideMark/>
          </w:tcPr>
          <w:p w14:paraId="7F5094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13 178,0</w:t>
            </w:r>
          </w:p>
        </w:tc>
        <w:tc>
          <w:tcPr>
            <w:tcW w:w="1118" w:type="dxa"/>
            <w:tcBorders>
              <w:top w:val="nil"/>
              <w:left w:val="nil"/>
              <w:bottom w:val="single" w:sz="4" w:space="0" w:color="auto"/>
              <w:right w:val="single" w:sz="4" w:space="0" w:color="auto"/>
            </w:tcBorders>
            <w:shd w:val="clear" w:color="000000" w:fill="FFFFFF"/>
            <w:noWrap/>
            <w:vAlign w:val="bottom"/>
            <w:hideMark/>
          </w:tcPr>
          <w:p w14:paraId="5164AD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1 163,5</w:t>
            </w:r>
          </w:p>
        </w:tc>
        <w:tc>
          <w:tcPr>
            <w:tcW w:w="1257" w:type="dxa"/>
            <w:tcBorders>
              <w:top w:val="nil"/>
              <w:left w:val="nil"/>
              <w:bottom w:val="single" w:sz="4" w:space="0" w:color="auto"/>
              <w:right w:val="single" w:sz="4" w:space="0" w:color="auto"/>
            </w:tcBorders>
            <w:shd w:val="clear" w:color="000000" w:fill="FFFFFF"/>
            <w:noWrap/>
            <w:vAlign w:val="bottom"/>
            <w:hideMark/>
          </w:tcPr>
          <w:p w14:paraId="1E5F17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218,9</w:t>
            </w:r>
          </w:p>
        </w:tc>
        <w:tc>
          <w:tcPr>
            <w:tcW w:w="1384" w:type="dxa"/>
            <w:tcBorders>
              <w:top w:val="nil"/>
              <w:left w:val="nil"/>
              <w:bottom w:val="single" w:sz="4" w:space="0" w:color="auto"/>
              <w:right w:val="single" w:sz="4" w:space="0" w:color="auto"/>
            </w:tcBorders>
            <w:shd w:val="clear" w:color="000000" w:fill="FFFFFF"/>
            <w:noWrap/>
            <w:vAlign w:val="bottom"/>
            <w:hideMark/>
          </w:tcPr>
          <w:p w14:paraId="411C2E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944,6</w:t>
            </w:r>
          </w:p>
        </w:tc>
        <w:tc>
          <w:tcPr>
            <w:tcW w:w="1134" w:type="dxa"/>
            <w:tcBorders>
              <w:top w:val="nil"/>
              <w:left w:val="nil"/>
              <w:bottom w:val="single" w:sz="4" w:space="0" w:color="auto"/>
              <w:right w:val="single" w:sz="4" w:space="0" w:color="auto"/>
            </w:tcBorders>
            <w:shd w:val="clear" w:color="000000" w:fill="FFFFFF"/>
            <w:noWrap/>
            <w:vAlign w:val="bottom"/>
            <w:hideMark/>
          </w:tcPr>
          <w:p w14:paraId="712539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180,6</w:t>
            </w:r>
          </w:p>
        </w:tc>
        <w:tc>
          <w:tcPr>
            <w:tcW w:w="1277" w:type="dxa"/>
            <w:tcBorders>
              <w:top w:val="nil"/>
              <w:left w:val="nil"/>
              <w:bottom w:val="single" w:sz="4" w:space="0" w:color="auto"/>
              <w:right w:val="single" w:sz="4" w:space="0" w:color="auto"/>
            </w:tcBorders>
            <w:shd w:val="clear" w:color="000000" w:fill="FFFFFF"/>
            <w:noWrap/>
            <w:vAlign w:val="bottom"/>
            <w:hideMark/>
          </w:tcPr>
          <w:p w14:paraId="3C0903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9 376,8</w:t>
            </w:r>
          </w:p>
        </w:tc>
        <w:tc>
          <w:tcPr>
            <w:tcW w:w="1040" w:type="dxa"/>
            <w:tcBorders>
              <w:top w:val="nil"/>
              <w:left w:val="nil"/>
              <w:bottom w:val="single" w:sz="4" w:space="0" w:color="auto"/>
              <w:right w:val="single" w:sz="4" w:space="0" w:color="auto"/>
            </w:tcBorders>
            <w:shd w:val="clear" w:color="000000" w:fill="FFFFFF"/>
            <w:noWrap/>
            <w:vAlign w:val="bottom"/>
            <w:hideMark/>
          </w:tcPr>
          <w:p w14:paraId="40E3B5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600,6</w:t>
            </w:r>
          </w:p>
        </w:tc>
        <w:tc>
          <w:tcPr>
            <w:tcW w:w="1087" w:type="dxa"/>
            <w:tcBorders>
              <w:top w:val="nil"/>
              <w:left w:val="nil"/>
              <w:bottom w:val="single" w:sz="4" w:space="0" w:color="auto"/>
              <w:right w:val="single" w:sz="4" w:space="0" w:color="auto"/>
            </w:tcBorders>
            <w:shd w:val="clear" w:color="000000" w:fill="FFFFFF"/>
            <w:noWrap/>
            <w:vAlign w:val="bottom"/>
            <w:hideMark/>
          </w:tcPr>
          <w:p w14:paraId="7AC61E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1 598,0</w:t>
            </w:r>
          </w:p>
        </w:tc>
        <w:tc>
          <w:tcPr>
            <w:tcW w:w="1040" w:type="dxa"/>
            <w:tcBorders>
              <w:top w:val="nil"/>
              <w:left w:val="nil"/>
              <w:bottom w:val="single" w:sz="4" w:space="0" w:color="auto"/>
              <w:right w:val="single" w:sz="4" w:space="0" w:color="auto"/>
            </w:tcBorders>
            <w:shd w:val="clear" w:color="000000" w:fill="FFFFFF"/>
            <w:noWrap/>
            <w:vAlign w:val="bottom"/>
            <w:hideMark/>
          </w:tcPr>
          <w:p w14:paraId="1D7A0A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258,5</w:t>
            </w:r>
          </w:p>
        </w:tc>
        <w:tc>
          <w:tcPr>
            <w:tcW w:w="1226" w:type="dxa"/>
            <w:tcBorders>
              <w:top w:val="nil"/>
              <w:left w:val="nil"/>
              <w:bottom w:val="single" w:sz="4" w:space="0" w:color="auto"/>
              <w:right w:val="single" w:sz="4" w:space="0" w:color="auto"/>
            </w:tcBorders>
            <w:shd w:val="clear" w:color="000000" w:fill="FFFFFF"/>
            <w:noWrap/>
            <w:vAlign w:val="bottom"/>
            <w:hideMark/>
          </w:tcPr>
          <w:p w14:paraId="6DEAAC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37B6CB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638C6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Tетевен</w:t>
            </w:r>
          </w:p>
        </w:tc>
        <w:tc>
          <w:tcPr>
            <w:tcW w:w="1911" w:type="dxa"/>
            <w:tcBorders>
              <w:top w:val="nil"/>
              <w:left w:val="nil"/>
              <w:bottom w:val="single" w:sz="4" w:space="0" w:color="auto"/>
              <w:right w:val="single" w:sz="4" w:space="0" w:color="auto"/>
            </w:tcBorders>
            <w:shd w:val="clear" w:color="000000" w:fill="FFFFFF"/>
            <w:noWrap/>
            <w:vAlign w:val="bottom"/>
            <w:hideMark/>
          </w:tcPr>
          <w:p w14:paraId="7B19FB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12 705,2</w:t>
            </w:r>
          </w:p>
        </w:tc>
        <w:tc>
          <w:tcPr>
            <w:tcW w:w="1118" w:type="dxa"/>
            <w:tcBorders>
              <w:top w:val="nil"/>
              <w:left w:val="nil"/>
              <w:bottom w:val="single" w:sz="4" w:space="0" w:color="auto"/>
              <w:right w:val="single" w:sz="4" w:space="0" w:color="auto"/>
            </w:tcBorders>
            <w:shd w:val="clear" w:color="000000" w:fill="FFFFFF"/>
            <w:noWrap/>
            <w:vAlign w:val="bottom"/>
            <w:hideMark/>
          </w:tcPr>
          <w:p w14:paraId="2EC713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1 214,1</w:t>
            </w:r>
          </w:p>
        </w:tc>
        <w:tc>
          <w:tcPr>
            <w:tcW w:w="1257" w:type="dxa"/>
            <w:tcBorders>
              <w:top w:val="nil"/>
              <w:left w:val="nil"/>
              <w:bottom w:val="single" w:sz="4" w:space="0" w:color="auto"/>
              <w:right w:val="single" w:sz="4" w:space="0" w:color="auto"/>
            </w:tcBorders>
            <w:shd w:val="clear" w:color="000000" w:fill="FFFFFF"/>
            <w:noWrap/>
            <w:vAlign w:val="bottom"/>
            <w:hideMark/>
          </w:tcPr>
          <w:p w14:paraId="264690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239,1</w:t>
            </w:r>
          </w:p>
        </w:tc>
        <w:tc>
          <w:tcPr>
            <w:tcW w:w="1384" w:type="dxa"/>
            <w:tcBorders>
              <w:top w:val="nil"/>
              <w:left w:val="nil"/>
              <w:bottom w:val="single" w:sz="4" w:space="0" w:color="auto"/>
              <w:right w:val="single" w:sz="4" w:space="0" w:color="auto"/>
            </w:tcBorders>
            <w:shd w:val="clear" w:color="000000" w:fill="FFFFFF"/>
            <w:noWrap/>
            <w:vAlign w:val="bottom"/>
            <w:hideMark/>
          </w:tcPr>
          <w:p w14:paraId="7C2224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975,0</w:t>
            </w:r>
          </w:p>
        </w:tc>
        <w:tc>
          <w:tcPr>
            <w:tcW w:w="1134" w:type="dxa"/>
            <w:tcBorders>
              <w:top w:val="nil"/>
              <w:left w:val="nil"/>
              <w:bottom w:val="single" w:sz="4" w:space="0" w:color="auto"/>
              <w:right w:val="single" w:sz="4" w:space="0" w:color="auto"/>
            </w:tcBorders>
            <w:shd w:val="clear" w:color="000000" w:fill="FFFFFF"/>
            <w:noWrap/>
            <w:vAlign w:val="bottom"/>
            <w:hideMark/>
          </w:tcPr>
          <w:p w14:paraId="44DBCC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238,9</w:t>
            </w:r>
          </w:p>
        </w:tc>
        <w:tc>
          <w:tcPr>
            <w:tcW w:w="1277" w:type="dxa"/>
            <w:tcBorders>
              <w:top w:val="nil"/>
              <w:left w:val="nil"/>
              <w:bottom w:val="single" w:sz="4" w:space="0" w:color="auto"/>
              <w:right w:val="single" w:sz="4" w:space="0" w:color="auto"/>
            </w:tcBorders>
            <w:shd w:val="clear" w:color="000000" w:fill="FFFFFF"/>
            <w:noWrap/>
            <w:vAlign w:val="bottom"/>
            <w:hideMark/>
          </w:tcPr>
          <w:p w14:paraId="3F507E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8 582,7</w:t>
            </w:r>
          </w:p>
        </w:tc>
        <w:tc>
          <w:tcPr>
            <w:tcW w:w="1040" w:type="dxa"/>
            <w:tcBorders>
              <w:top w:val="nil"/>
              <w:left w:val="nil"/>
              <w:bottom w:val="single" w:sz="4" w:space="0" w:color="auto"/>
              <w:right w:val="single" w:sz="4" w:space="0" w:color="auto"/>
            </w:tcBorders>
            <w:shd w:val="clear" w:color="000000" w:fill="FFFFFF"/>
            <w:noWrap/>
            <w:vAlign w:val="bottom"/>
            <w:hideMark/>
          </w:tcPr>
          <w:p w14:paraId="0DFFB0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473,6</w:t>
            </w:r>
          </w:p>
        </w:tc>
        <w:tc>
          <w:tcPr>
            <w:tcW w:w="1087" w:type="dxa"/>
            <w:tcBorders>
              <w:top w:val="nil"/>
              <w:left w:val="nil"/>
              <w:bottom w:val="single" w:sz="4" w:space="0" w:color="auto"/>
              <w:right w:val="single" w:sz="4" w:space="0" w:color="auto"/>
            </w:tcBorders>
            <w:shd w:val="clear" w:color="000000" w:fill="FFFFFF"/>
            <w:noWrap/>
            <w:vAlign w:val="bottom"/>
            <w:hideMark/>
          </w:tcPr>
          <w:p w14:paraId="2528D5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1 757,6</w:t>
            </w:r>
          </w:p>
        </w:tc>
        <w:tc>
          <w:tcPr>
            <w:tcW w:w="1040" w:type="dxa"/>
            <w:tcBorders>
              <w:top w:val="nil"/>
              <w:left w:val="nil"/>
              <w:bottom w:val="single" w:sz="4" w:space="0" w:color="auto"/>
              <w:right w:val="single" w:sz="4" w:space="0" w:color="auto"/>
            </w:tcBorders>
            <w:shd w:val="clear" w:color="000000" w:fill="FFFFFF"/>
            <w:noWrap/>
            <w:vAlign w:val="bottom"/>
            <w:hideMark/>
          </w:tcPr>
          <w:p w14:paraId="2AA2D3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438,3</w:t>
            </w:r>
          </w:p>
        </w:tc>
        <w:tc>
          <w:tcPr>
            <w:tcW w:w="1226" w:type="dxa"/>
            <w:tcBorders>
              <w:top w:val="nil"/>
              <w:left w:val="nil"/>
              <w:bottom w:val="single" w:sz="4" w:space="0" w:color="auto"/>
              <w:right w:val="single" w:sz="4" w:space="0" w:color="auto"/>
            </w:tcBorders>
            <w:shd w:val="clear" w:color="000000" w:fill="FFFFFF"/>
            <w:noWrap/>
            <w:vAlign w:val="bottom"/>
            <w:hideMark/>
          </w:tcPr>
          <w:p w14:paraId="439C05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5CA150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10769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Tроян</w:t>
            </w:r>
          </w:p>
        </w:tc>
        <w:tc>
          <w:tcPr>
            <w:tcW w:w="1911" w:type="dxa"/>
            <w:tcBorders>
              <w:top w:val="nil"/>
              <w:left w:val="nil"/>
              <w:bottom w:val="single" w:sz="4" w:space="0" w:color="auto"/>
              <w:right w:val="single" w:sz="4" w:space="0" w:color="auto"/>
            </w:tcBorders>
            <w:shd w:val="clear" w:color="000000" w:fill="FFFFFF"/>
            <w:noWrap/>
            <w:vAlign w:val="bottom"/>
            <w:hideMark/>
          </w:tcPr>
          <w:p w14:paraId="546346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18 113,3</w:t>
            </w:r>
          </w:p>
        </w:tc>
        <w:tc>
          <w:tcPr>
            <w:tcW w:w="1118" w:type="dxa"/>
            <w:tcBorders>
              <w:top w:val="nil"/>
              <w:left w:val="nil"/>
              <w:bottom w:val="single" w:sz="4" w:space="0" w:color="auto"/>
              <w:right w:val="single" w:sz="4" w:space="0" w:color="auto"/>
            </w:tcBorders>
            <w:shd w:val="clear" w:color="000000" w:fill="FFFFFF"/>
            <w:noWrap/>
            <w:vAlign w:val="bottom"/>
            <w:hideMark/>
          </w:tcPr>
          <w:p w14:paraId="7F9910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1 598,8</w:t>
            </w:r>
          </w:p>
        </w:tc>
        <w:tc>
          <w:tcPr>
            <w:tcW w:w="1257" w:type="dxa"/>
            <w:tcBorders>
              <w:top w:val="nil"/>
              <w:left w:val="nil"/>
              <w:bottom w:val="single" w:sz="4" w:space="0" w:color="auto"/>
              <w:right w:val="single" w:sz="4" w:space="0" w:color="auto"/>
            </w:tcBorders>
            <w:shd w:val="clear" w:color="000000" w:fill="FFFFFF"/>
            <w:noWrap/>
            <w:vAlign w:val="bottom"/>
            <w:hideMark/>
          </w:tcPr>
          <w:p w14:paraId="2E0A08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370,5</w:t>
            </w:r>
          </w:p>
        </w:tc>
        <w:tc>
          <w:tcPr>
            <w:tcW w:w="1384" w:type="dxa"/>
            <w:tcBorders>
              <w:top w:val="nil"/>
              <w:left w:val="nil"/>
              <w:bottom w:val="single" w:sz="4" w:space="0" w:color="auto"/>
              <w:right w:val="single" w:sz="4" w:space="0" w:color="auto"/>
            </w:tcBorders>
            <w:shd w:val="clear" w:color="000000" w:fill="FFFFFF"/>
            <w:noWrap/>
            <w:vAlign w:val="bottom"/>
            <w:hideMark/>
          </w:tcPr>
          <w:p w14:paraId="51F637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1 228,3</w:t>
            </w:r>
          </w:p>
        </w:tc>
        <w:tc>
          <w:tcPr>
            <w:tcW w:w="1134" w:type="dxa"/>
            <w:tcBorders>
              <w:top w:val="nil"/>
              <w:left w:val="nil"/>
              <w:bottom w:val="single" w:sz="4" w:space="0" w:color="auto"/>
              <w:right w:val="single" w:sz="4" w:space="0" w:color="auto"/>
            </w:tcBorders>
            <w:shd w:val="clear" w:color="000000" w:fill="FFFFFF"/>
            <w:noWrap/>
            <w:vAlign w:val="bottom"/>
            <w:hideMark/>
          </w:tcPr>
          <w:p w14:paraId="6DC0D6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186,2</w:t>
            </w:r>
          </w:p>
        </w:tc>
        <w:tc>
          <w:tcPr>
            <w:tcW w:w="1277" w:type="dxa"/>
            <w:tcBorders>
              <w:top w:val="nil"/>
              <w:left w:val="nil"/>
              <w:bottom w:val="single" w:sz="4" w:space="0" w:color="auto"/>
              <w:right w:val="single" w:sz="4" w:space="0" w:color="auto"/>
            </w:tcBorders>
            <w:shd w:val="clear" w:color="000000" w:fill="FFFFFF"/>
            <w:noWrap/>
            <w:vAlign w:val="bottom"/>
            <w:hideMark/>
          </w:tcPr>
          <w:p w14:paraId="19ED3E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10 784,3</w:t>
            </w:r>
          </w:p>
        </w:tc>
        <w:tc>
          <w:tcPr>
            <w:tcW w:w="1040" w:type="dxa"/>
            <w:tcBorders>
              <w:top w:val="nil"/>
              <w:left w:val="nil"/>
              <w:bottom w:val="single" w:sz="4" w:space="0" w:color="auto"/>
              <w:right w:val="single" w:sz="4" w:space="0" w:color="auto"/>
            </w:tcBorders>
            <w:shd w:val="clear" w:color="000000" w:fill="FFFFFF"/>
            <w:noWrap/>
            <w:vAlign w:val="bottom"/>
            <w:hideMark/>
          </w:tcPr>
          <w:p w14:paraId="3D875B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863,9</w:t>
            </w:r>
          </w:p>
        </w:tc>
        <w:tc>
          <w:tcPr>
            <w:tcW w:w="1087" w:type="dxa"/>
            <w:tcBorders>
              <w:top w:val="nil"/>
              <w:left w:val="nil"/>
              <w:bottom w:val="single" w:sz="4" w:space="0" w:color="auto"/>
              <w:right w:val="single" w:sz="4" w:space="0" w:color="auto"/>
            </w:tcBorders>
            <w:shd w:val="clear" w:color="000000" w:fill="FFFFFF"/>
            <w:noWrap/>
            <w:vAlign w:val="bottom"/>
            <w:hideMark/>
          </w:tcPr>
          <w:p w14:paraId="0CBD22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3 448,8</w:t>
            </w:r>
          </w:p>
        </w:tc>
        <w:tc>
          <w:tcPr>
            <w:tcW w:w="1040" w:type="dxa"/>
            <w:tcBorders>
              <w:top w:val="nil"/>
              <w:left w:val="nil"/>
              <w:bottom w:val="single" w:sz="4" w:space="0" w:color="auto"/>
              <w:right w:val="single" w:sz="4" w:space="0" w:color="auto"/>
            </w:tcBorders>
            <w:shd w:val="clear" w:color="000000" w:fill="FFFFFF"/>
            <w:noWrap/>
            <w:vAlign w:val="bottom"/>
            <w:hideMark/>
          </w:tcPr>
          <w:p w14:paraId="4EDC5A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1 231,3</w:t>
            </w:r>
          </w:p>
        </w:tc>
        <w:tc>
          <w:tcPr>
            <w:tcW w:w="1226" w:type="dxa"/>
            <w:tcBorders>
              <w:top w:val="nil"/>
              <w:left w:val="nil"/>
              <w:bottom w:val="single" w:sz="4" w:space="0" w:color="auto"/>
              <w:right w:val="single" w:sz="4" w:space="0" w:color="auto"/>
            </w:tcBorders>
            <w:shd w:val="clear" w:color="000000" w:fill="FFFFFF"/>
            <w:noWrap/>
            <w:vAlign w:val="bottom"/>
            <w:hideMark/>
          </w:tcPr>
          <w:p w14:paraId="7693239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3BDF7F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49583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Угърчин</w:t>
            </w:r>
          </w:p>
        </w:tc>
        <w:tc>
          <w:tcPr>
            <w:tcW w:w="1911" w:type="dxa"/>
            <w:tcBorders>
              <w:top w:val="nil"/>
              <w:left w:val="nil"/>
              <w:bottom w:val="single" w:sz="4" w:space="0" w:color="auto"/>
              <w:right w:val="single" w:sz="4" w:space="0" w:color="auto"/>
            </w:tcBorders>
            <w:shd w:val="clear" w:color="000000" w:fill="FFFFFF"/>
            <w:noWrap/>
            <w:vAlign w:val="bottom"/>
            <w:hideMark/>
          </w:tcPr>
          <w:p w14:paraId="66D0D3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4 541,7</w:t>
            </w:r>
          </w:p>
        </w:tc>
        <w:tc>
          <w:tcPr>
            <w:tcW w:w="1118" w:type="dxa"/>
            <w:tcBorders>
              <w:top w:val="nil"/>
              <w:left w:val="nil"/>
              <w:bottom w:val="single" w:sz="4" w:space="0" w:color="auto"/>
              <w:right w:val="single" w:sz="4" w:space="0" w:color="auto"/>
            </w:tcBorders>
            <w:shd w:val="clear" w:color="000000" w:fill="FFFFFF"/>
            <w:noWrap/>
            <w:vAlign w:val="bottom"/>
            <w:hideMark/>
          </w:tcPr>
          <w:p w14:paraId="745935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753,3</w:t>
            </w:r>
          </w:p>
        </w:tc>
        <w:tc>
          <w:tcPr>
            <w:tcW w:w="1257" w:type="dxa"/>
            <w:tcBorders>
              <w:top w:val="nil"/>
              <w:left w:val="nil"/>
              <w:bottom w:val="single" w:sz="4" w:space="0" w:color="auto"/>
              <w:right w:val="single" w:sz="4" w:space="0" w:color="auto"/>
            </w:tcBorders>
            <w:shd w:val="clear" w:color="000000" w:fill="FFFFFF"/>
            <w:noWrap/>
            <w:vAlign w:val="bottom"/>
            <w:hideMark/>
          </w:tcPr>
          <w:p w14:paraId="1D5944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185,3</w:t>
            </w:r>
          </w:p>
        </w:tc>
        <w:tc>
          <w:tcPr>
            <w:tcW w:w="1384" w:type="dxa"/>
            <w:tcBorders>
              <w:top w:val="nil"/>
              <w:left w:val="nil"/>
              <w:bottom w:val="single" w:sz="4" w:space="0" w:color="auto"/>
              <w:right w:val="single" w:sz="4" w:space="0" w:color="auto"/>
            </w:tcBorders>
            <w:shd w:val="clear" w:color="000000" w:fill="FFFFFF"/>
            <w:noWrap/>
            <w:vAlign w:val="bottom"/>
            <w:hideMark/>
          </w:tcPr>
          <w:p w14:paraId="04AF78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568,0</w:t>
            </w:r>
          </w:p>
        </w:tc>
        <w:tc>
          <w:tcPr>
            <w:tcW w:w="1134" w:type="dxa"/>
            <w:tcBorders>
              <w:top w:val="nil"/>
              <w:left w:val="nil"/>
              <w:bottom w:val="single" w:sz="4" w:space="0" w:color="auto"/>
              <w:right w:val="single" w:sz="4" w:space="0" w:color="auto"/>
            </w:tcBorders>
            <w:shd w:val="clear" w:color="000000" w:fill="FFFFFF"/>
            <w:noWrap/>
            <w:vAlign w:val="bottom"/>
            <w:hideMark/>
          </w:tcPr>
          <w:p w14:paraId="5AACD9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129,3</w:t>
            </w:r>
          </w:p>
        </w:tc>
        <w:tc>
          <w:tcPr>
            <w:tcW w:w="1277" w:type="dxa"/>
            <w:tcBorders>
              <w:top w:val="nil"/>
              <w:left w:val="nil"/>
              <w:bottom w:val="single" w:sz="4" w:space="0" w:color="auto"/>
              <w:right w:val="single" w:sz="4" w:space="0" w:color="auto"/>
            </w:tcBorders>
            <w:shd w:val="clear" w:color="000000" w:fill="FFFFFF"/>
            <w:noWrap/>
            <w:vAlign w:val="bottom"/>
            <w:hideMark/>
          </w:tcPr>
          <w:p w14:paraId="34302B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2 648,2</w:t>
            </w:r>
          </w:p>
        </w:tc>
        <w:tc>
          <w:tcPr>
            <w:tcW w:w="1040" w:type="dxa"/>
            <w:tcBorders>
              <w:top w:val="nil"/>
              <w:left w:val="nil"/>
              <w:bottom w:val="single" w:sz="4" w:space="0" w:color="auto"/>
              <w:right w:val="single" w:sz="4" w:space="0" w:color="auto"/>
            </w:tcBorders>
            <w:shd w:val="clear" w:color="000000" w:fill="FFFFFF"/>
            <w:noWrap/>
            <w:vAlign w:val="bottom"/>
            <w:hideMark/>
          </w:tcPr>
          <w:p w14:paraId="3706F9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131,0</w:t>
            </w:r>
          </w:p>
        </w:tc>
        <w:tc>
          <w:tcPr>
            <w:tcW w:w="1087" w:type="dxa"/>
            <w:tcBorders>
              <w:top w:val="nil"/>
              <w:left w:val="nil"/>
              <w:bottom w:val="single" w:sz="4" w:space="0" w:color="auto"/>
              <w:right w:val="single" w:sz="4" w:space="0" w:color="auto"/>
            </w:tcBorders>
            <w:shd w:val="clear" w:color="000000" w:fill="FFFFFF"/>
            <w:noWrap/>
            <w:vAlign w:val="bottom"/>
            <w:hideMark/>
          </w:tcPr>
          <w:p w14:paraId="219737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711,3</w:t>
            </w:r>
          </w:p>
        </w:tc>
        <w:tc>
          <w:tcPr>
            <w:tcW w:w="1040" w:type="dxa"/>
            <w:tcBorders>
              <w:top w:val="nil"/>
              <w:left w:val="nil"/>
              <w:bottom w:val="single" w:sz="4" w:space="0" w:color="auto"/>
              <w:right w:val="single" w:sz="4" w:space="0" w:color="auto"/>
            </w:tcBorders>
            <w:shd w:val="clear" w:color="000000" w:fill="FFFFFF"/>
            <w:noWrap/>
            <w:vAlign w:val="bottom"/>
            <w:hideMark/>
          </w:tcPr>
          <w:p w14:paraId="4139D1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62312D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111604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9DE62E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Ябланица</w:t>
            </w:r>
          </w:p>
        </w:tc>
        <w:tc>
          <w:tcPr>
            <w:tcW w:w="1911" w:type="dxa"/>
            <w:tcBorders>
              <w:top w:val="nil"/>
              <w:left w:val="nil"/>
              <w:bottom w:val="single" w:sz="4" w:space="0" w:color="auto"/>
              <w:right w:val="single" w:sz="4" w:space="0" w:color="auto"/>
            </w:tcBorders>
            <w:shd w:val="clear" w:color="000000" w:fill="FFFFFF"/>
            <w:noWrap/>
            <w:vAlign w:val="bottom"/>
            <w:hideMark/>
          </w:tcPr>
          <w:p w14:paraId="6385C7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5 369,2</w:t>
            </w:r>
          </w:p>
        </w:tc>
        <w:tc>
          <w:tcPr>
            <w:tcW w:w="1118" w:type="dxa"/>
            <w:tcBorders>
              <w:top w:val="nil"/>
              <w:left w:val="nil"/>
              <w:bottom w:val="single" w:sz="4" w:space="0" w:color="auto"/>
              <w:right w:val="single" w:sz="4" w:space="0" w:color="auto"/>
            </w:tcBorders>
            <w:shd w:val="clear" w:color="000000" w:fill="FFFFFF"/>
            <w:noWrap/>
            <w:vAlign w:val="bottom"/>
            <w:hideMark/>
          </w:tcPr>
          <w:p w14:paraId="1E3BF7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734,3</w:t>
            </w:r>
          </w:p>
        </w:tc>
        <w:tc>
          <w:tcPr>
            <w:tcW w:w="1257" w:type="dxa"/>
            <w:tcBorders>
              <w:top w:val="nil"/>
              <w:left w:val="nil"/>
              <w:bottom w:val="single" w:sz="4" w:space="0" w:color="auto"/>
              <w:right w:val="single" w:sz="4" w:space="0" w:color="auto"/>
            </w:tcBorders>
            <w:shd w:val="clear" w:color="000000" w:fill="FFFFFF"/>
            <w:noWrap/>
            <w:vAlign w:val="bottom"/>
            <w:hideMark/>
          </w:tcPr>
          <w:p w14:paraId="7DA3B5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161,6</w:t>
            </w:r>
          </w:p>
        </w:tc>
        <w:tc>
          <w:tcPr>
            <w:tcW w:w="1384" w:type="dxa"/>
            <w:tcBorders>
              <w:top w:val="nil"/>
              <w:left w:val="nil"/>
              <w:bottom w:val="single" w:sz="4" w:space="0" w:color="auto"/>
              <w:right w:val="single" w:sz="4" w:space="0" w:color="auto"/>
            </w:tcBorders>
            <w:shd w:val="clear" w:color="000000" w:fill="FFFFFF"/>
            <w:noWrap/>
            <w:vAlign w:val="bottom"/>
            <w:hideMark/>
          </w:tcPr>
          <w:p w14:paraId="0C6413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572,7</w:t>
            </w:r>
          </w:p>
        </w:tc>
        <w:tc>
          <w:tcPr>
            <w:tcW w:w="1134" w:type="dxa"/>
            <w:tcBorders>
              <w:top w:val="nil"/>
              <w:left w:val="nil"/>
              <w:bottom w:val="single" w:sz="4" w:space="0" w:color="auto"/>
              <w:right w:val="single" w:sz="4" w:space="0" w:color="auto"/>
            </w:tcBorders>
            <w:shd w:val="clear" w:color="000000" w:fill="FFFFFF"/>
            <w:noWrap/>
            <w:vAlign w:val="bottom"/>
            <w:hideMark/>
          </w:tcPr>
          <w:p w14:paraId="764BEB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151,0</w:t>
            </w:r>
          </w:p>
        </w:tc>
        <w:tc>
          <w:tcPr>
            <w:tcW w:w="1277" w:type="dxa"/>
            <w:tcBorders>
              <w:top w:val="nil"/>
              <w:left w:val="nil"/>
              <w:bottom w:val="single" w:sz="4" w:space="0" w:color="auto"/>
              <w:right w:val="single" w:sz="4" w:space="0" w:color="auto"/>
            </w:tcBorders>
            <w:shd w:val="clear" w:color="000000" w:fill="FFFFFF"/>
            <w:noWrap/>
            <w:vAlign w:val="bottom"/>
            <w:hideMark/>
          </w:tcPr>
          <w:p w14:paraId="599BAE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4 101,2</w:t>
            </w:r>
          </w:p>
        </w:tc>
        <w:tc>
          <w:tcPr>
            <w:tcW w:w="1040" w:type="dxa"/>
            <w:tcBorders>
              <w:top w:val="nil"/>
              <w:left w:val="nil"/>
              <w:bottom w:val="single" w:sz="4" w:space="0" w:color="auto"/>
              <w:right w:val="single" w:sz="4" w:space="0" w:color="auto"/>
            </w:tcBorders>
            <w:shd w:val="clear" w:color="000000" w:fill="FFFFFF"/>
            <w:noWrap/>
            <w:vAlign w:val="bottom"/>
            <w:hideMark/>
          </w:tcPr>
          <w:p w14:paraId="44830A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125,5</w:t>
            </w:r>
          </w:p>
        </w:tc>
        <w:tc>
          <w:tcPr>
            <w:tcW w:w="1087" w:type="dxa"/>
            <w:tcBorders>
              <w:top w:val="nil"/>
              <w:left w:val="nil"/>
              <w:bottom w:val="single" w:sz="4" w:space="0" w:color="auto"/>
              <w:right w:val="single" w:sz="4" w:space="0" w:color="auto"/>
            </w:tcBorders>
            <w:shd w:val="clear" w:color="000000" w:fill="FFFFFF"/>
            <w:noWrap/>
            <w:vAlign w:val="bottom"/>
            <w:hideMark/>
          </w:tcPr>
          <w:p w14:paraId="722901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88,6</w:t>
            </w:r>
          </w:p>
        </w:tc>
        <w:tc>
          <w:tcPr>
            <w:tcW w:w="1040" w:type="dxa"/>
            <w:tcBorders>
              <w:top w:val="nil"/>
              <w:left w:val="nil"/>
              <w:bottom w:val="single" w:sz="4" w:space="0" w:color="auto"/>
              <w:right w:val="single" w:sz="4" w:space="0" w:color="auto"/>
            </w:tcBorders>
            <w:shd w:val="clear" w:color="000000" w:fill="FFFFFF"/>
            <w:noWrap/>
            <w:vAlign w:val="bottom"/>
            <w:hideMark/>
          </w:tcPr>
          <w:p w14:paraId="2A2BD0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6DF592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709DD2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2A6DAF6"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262AC3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518A55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42F57A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E6138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52C576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7C59ADE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770C5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5C62A3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F3A2D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05FAF15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1B0F83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0767B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ОБЛАСТ МОНТАНА</w:t>
            </w:r>
          </w:p>
        </w:tc>
        <w:tc>
          <w:tcPr>
            <w:tcW w:w="1911" w:type="dxa"/>
            <w:tcBorders>
              <w:top w:val="nil"/>
              <w:left w:val="nil"/>
              <w:bottom w:val="single" w:sz="4" w:space="0" w:color="auto"/>
              <w:right w:val="single" w:sz="4" w:space="0" w:color="auto"/>
            </w:tcBorders>
            <w:shd w:val="clear" w:color="000000" w:fill="FFFFFF"/>
            <w:noWrap/>
            <w:vAlign w:val="bottom"/>
            <w:hideMark/>
          </w:tcPr>
          <w:p w14:paraId="7C6A2F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0B614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342BAE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0AC8DF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57392D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478F046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4A8002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4C1A25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20CDB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6253BE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C96CA9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D2FFB4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Берковица</w:t>
            </w:r>
          </w:p>
        </w:tc>
        <w:tc>
          <w:tcPr>
            <w:tcW w:w="1911" w:type="dxa"/>
            <w:tcBorders>
              <w:top w:val="nil"/>
              <w:left w:val="nil"/>
              <w:bottom w:val="single" w:sz="4" w:space="0" w:color="auto"/>
              <w:right w:val="single" w:sz="4" w:space="0" w:color="auto"/>
            </w:tcBorders>
            <w:shd w:val="clear" w:color="000000" w:fill="FFFFFF"/>
            <w:noWrap/>
            <w:vAlign w:val="bottom"/>
            <w:hideMark/>
          </w:tcPr>
          <w:p w14:paraId="74C69D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13 748,6</w:t>
            </w:r>
          </w:p>
        </w:tc>
        <w:tc>
          <w:tcPr>
            <w:tcW w:w="1118" w:type="dxa"/>
            <w:tcBorders>
              <w:top w:val="nil"/>
              <w:left w:val="nil"/>
              <w:bottom w:val="single" w:sz="4" w:space="0" w:color="auto"/>
              <w:right w:val="single" w:sz="4" w:space="0" w:color="auto"/>
            </w:tcBorders>
            <w:shd w:val="clear" w:color="000000" w:fill="FFFFFF"/>
            <w:noWrap/>
            <w:vAlign w:val="bottom"/>
            <w:hideMark/>
          </w:tcPr>
          <w:p w14:paraId="02A227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1 146,0</w:t>
            </w:r>
          </w:p>
        </w:tc>
        <w:tc>
          <w:tcPr>
            <w:tcW w:w="1257" w:type="dxa"/>
            <w:tcBorders>
              <w:top w:val="nil"/>
              <w:left w:val="nil"/>
              <w:bottom w:val="single" w:sz="4" w:space="0" w:color="auto"/>
              <w:right w:val="single" w:sz="4" w:space="0" w:color="auto"/>
            </w:tcBorders>
            <w:shd w:val="clear" w:color="000000" w:fill="FFFFFF"/>
            <w:noWrap/>
            <w:vAlign w:val="bottom"/>
            <w:hideMark/>
          </w:tcPr>
          <w:p w14:paraId="21E1D1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222,4</w:t>
            </w:r>
          </w:p>
        </w:tc>
        <w:tc>
          <w:tcPr>
            <w:tcW w:w="1384" w:type="dxa"/>
            <w:tcBorders>
              <w:top w:val="nil"/>
              <w:left w:val="nil"/>
              <w:bottom w:val="single" w:sz="4" w:space="0" w:color="auto"/>
              <w:right w:val="single" w:sz="4" w:space="0" w:color="auto"/>
            </w:tcBorders>
            <w:shd w:val="clear" w:color="000000" w:fill="FFFFFF"/>
            <w:noWrap/>
            <w:vAlign w:val="bottom"/>
            <w:hideMark/>
          </w:tcPr>
          <w:p w14:paraId="6F23ED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923,6</w:t>
            </w:r>
          </w:p>
        </w:tc>
        <w:tc>
          <w:tcPr>
            <w:tcW w:w="1134" w:type="dxa"/>
            <w:tcBorders>
              <w:top w:val="nil"/>
              <w:left w:val="nil"/>
              <w:bottom w:val="single" w:sz="4" w:space="0" w:color="auto"/>
              <w:right w:val="single" w:sz="4" w:space="0" w:color="auto"/>
            </w:tcBorders>
            <w:shd w:val="clear" w:color="000000" w:fill="FFFFFF"/>
            <w:noWrap/>
            <w:vAlign w:val="bottom"/>
            <w:hideMark/>
          </w:tcPr>
          <w:p w14:paraId="506D1C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148,3</w:t>
            </w:r>
          </w:p>
        </w:tc>
        <w:tc>
          <w:tcPr>
            <w:tcW w:w="1277" w:type="dxa"/>
            <w:tcBorders>
              <w:top w:val="nil"/>
              <w:left w:val="nil"/>
              <w:bottom w:val="single" w:sz="4" w:space="0" w:color="auto"/>
              <w:right w:val="single" w:sz="4" w:space="0" w:color="auto"/>
            </w:tcBorders>
            <w:shd w:val="clear" w:color="000000" w:fill="FFFFFF"/>
            <w:noWrap/>
            <w:vAlign w:val="bottom"/>
            <w:hideMark/>
          </w:tcPr>
          <w:p w14:paraId="04E7AF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6 768,6</w:t>
            </w:r>
          </w:p>
        </w:tc>
        <w:tc>
          <w:tcPr>
            <w:tcW w:w="1040" w:type="dxa"/>
            <w:tcBorders>
              <w:top w:val="nil"/>
              <w:left w:val="nil"/>
              <w:bottom w:val="single" w:sz="4" w:space="0" w:color="auto"/>
              <w:right w:val="single" w:sz="4" w:space="0" w:color="auto"/>
            </w:tcBorders>
            <w:shd w:val="clear" w:color="000000" w:fill="FFFFFF"/>
            <w:noWrap/>
            <w:vAlign w:val="bottom"/>
            <w:hideMark/>
          </w:tcPr>
          <w:p w14:paraId="4740D2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429,7</w:t>
            </w:r>
          </w:p>
        </w:tc>
        <w:tc>
          <w:tcPr>
            <w:tcW w:w="1087" w:type="dxa"/>
            <w:tcBorders>
              <w:top w:val="nil"/>
              <w:left w:val="nil"/>
              <w:bottom w:val="single" w:sz="4" w:space="0" w:color="auto"/>
              <w:right w:val="single" w:sz="4" w:space="0" w:color="auto"/>
            </w:tcBorders>
            <w:shd w:val="clear" w:color="000000" w:fill="FFFFFF"/>
            <w:noWrap/>
            <w:vAlign w:val="bottom"/>
            <w:hideMark/>
          </w:tcPr>
          <w:p w14:paraId="1CD052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5 031,2</w:t>
            </w:r>
          </w:p>
        </w:tc>
        <w:tc>
          <w:tcPr>
            <w:tcW w:w="1040" w:type="dxa"/>
            <w:tcBorders>
              <w:top w:val="nil"/>
              <w:left w:val="nil"/>
              <w:bottom w:val="single" w:sz="4" w:space="0" w:color="auto"/>
              <w:right w:val="single" w:sz="4" w:space="0" w:color="auto"/>
            </w:tcBorders>
            <w:shd w:val="clear" w:color="000000" w:fill="FFFFFF"/>
            <w:noWrap/>
            <w:vAlign w:val="bottom"/>
            <w:hideMark/>
          </w:tcPr>
          <w:p w14:paraId="7F0733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224,8</w:t>
            </w:r>
          </w:p>
        </w:tc>
        <w:tc>
          <w:tcPr>
            <w:tcW w:w="1226" w:type="dxa"/>
            <w:tcBorders>
              <w:top w:val="nil"/>
              <w:left w:val="nil"/>
              <w:bottom w:val="single" w:sz="4" w:space="0" w:color="auto"/>
              <w:right w:val="single" w:sz="4" w:space="0" w:color="auto"/>
            </w:tcBorders>
            <w:shd w:val="clear" w:color="000000" w:fill="FFFFFF"/>
            <w:noWrap/>
            <w:vAlign w:val="bottom"/>
            <w:hideMark/>
          </w:tcPr>
          <w:p w14:paraId="52456DE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6A6D73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FE6736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Бойчиновци</w:t>
            </w:r>
          </w:p>
        </w:tc>
        <w:tc>
          <w:tcPr>
            <w:tcW w:w="1911" w:type="dxa"/>
            <w:tcBorders>
              <w:top w:val="nil"/>
              <w:left w:val="nil"/>
              <w:bottom w:val="single" w:sz="4" w:space="0" w:color="auto"/>
              <w:right w:val="single" w:sz="4" w:space="0" w:color="auto"/>
            </w:tcBorders>
            <w:shd w:val="clear" w:color="000000" w:fill="FFFFFF"/>
            <w:noWrap/>
            <w:vAlign w:val="bottom"/>
            <w:hideMark/>
          </w:tcPr>
          <w:p w14:paraId="56E6C0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4 909,7</w:t>
            </w:r>
          </w:p>
        </w:tc>
        <w:tc>
          <w:tcPr>
            <w:tcW w:w="1118" w:type="dxa"/>
            <w:tcBorders>
              <w:top w:val="nil"/>
              <w:left w:val="nil"/>
              <w:bottom w:val="single" w:sz="4" w:space="0" w:color="auto"/>
              <w:right w:val="single" w:sz="4" w:space="0" w:color="auto"/>
            </w:tcBorders>
            <w:shd w:val="clear" w:color="000000" w:fill="FFFFFF"/>
            <w:noWrap/>
            <w:vAlign w:val="bottom"/>
            <w:hideMark/>
          </w:tcPr>
          <w:p w14:paraId="6D6216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862,3</w:t>
            </w:r>
          </w:p>
        </w:tc>
        <w:tc>
          <w:tcPr>
            <w:tcW w:w="1257" w:type="dxa"/>
            <w:tcBorders>
              <w:top w:val="nil"/>
              <w:left w:val="nil"/>
              <w:bottom w:val="single" w:sz="4" w:space="0" w:color="auto"/>
              <w:right w:val="single" w:sz="4" w:space="0" w:color="auto"/>
            </w:tcBorders>
            <w:shd w:val="clear" w:color="000000" w:fill="FFFFFF"/>
            <w:noWrap/>
            <w:vAlign w:val="bottom"/>
            <w:hideMark/>
          </w:tcPr>
          <w:p w14:paraId="66FC6E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229,0</w:t>
            </w:r>
          </w:p>
        </w:tc>
        <w:tc>
          <w:tcPr>
            <w:tcW w:w="1384" w:type="dxa"/>
            <w:tcBorders>
              <w:top w:val="nil"/>
              <w:left w:val="nil"/>
              <w:bottom w:val="single" w:sz="4" w:space="0" w:color="auto"/>
              <w:right w:val="single" w:sz="4" w:space="0" w:color="auto"/>
            </w:tcBorders>
            <w:shd w:val="clear" w:color="000000" w:fill="FFFFFF"/>
            <w:noWrap/>
            <w:vAlign w:val="bottom"/>
            <w:hideMark/>
          </w:tcPr>
          <w:p w14:paraId="7D1C18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633,3</w:t>
            </w:r>
          </w:p>
        </w:tc>
        <w:tc>
          <w:tcPr>
            <w:tcW w:w="1134" w:type="dxa"/>
            <w:tcBorders>
              <w:top w:val="nil"/>
              <w:left w:val="nil"/>
              <w:bottom w:val="single" w:sz="4" w:space="0" w:color="auto"/>
              <w:right w:val="single" w:sz="4" w:space="0" w:color="auto"/>
            </w:tcBorders>
            <w:shd w:val="clear" w:color="000000" w:fill="FFFFFF"/>
            <w:noWrap/>
            <w:vAlign w:val="bottom"/>
            <w:hideMark/>
          </w:tcPr>
          <w:p w14:paraId="39EAAA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141,1</w:t>
            </w:r>
          </w:p>
        </w:tc>
        <w:tc>
          <w:tcPr>
            <w:tcW w:w="1277" w:type="dxa"/>
            <w:tcBorders>
              <w:top w:val="nil"/>
              <w:left w:val="nil"/>
              <w:bottom w:val="single" w:sz="4" w:space="0" w:color="auto"/>
              <w:right w:val="single" w:sz="4" w:space="0" w:color="auto"/>
            </w:tcBorders>
            <w:shd w:val="clear" w:color="000000" w:fill="FFFFFF"/>
            <w:noWrap/>
            <w:vAlign w:val="bottom"/>
            <w:hideMark/>
          </w:tcPr>
          <w:p w14:paraId="7A8D06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2 690,1</w:t>
            </w:r>
          </w:p>
        </w:tc>
        <w:tc>
          <w:tcPr>
            <w:tcW w:w="1040" w:type="dxa"/>
            <w:tcBorders>
              <w:top w:val="nil"/>
              <w:left w:val="nil"/>
              <w:bottom w:val="single" w:sz="4" w:space="0" w:color="auto"/>
              <w:right w:val="single" w:sz="4" w:space="0" w:color="auto"/>
            </w:tcBorders>
            <w:shd w:val="clear" w:color="000000" w:fill="FFFFFF"/>
            <w:noWrap/>
            <w:vAlign w:val="bottom"/>
            <w:hideMark/>
          </w:tcPr>
          <w:p w14:paraId="0F4538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83,3</w:t>
            </w:r>
          </w:p>
        </w:tc>
        <w:tc>
          <w:tcPr>
            <w:tcW w:w="1087" w:type="dxa"/>
            <w:tcBorders>
              <w:top w:val="nil"/>
              <w:left w:val="nil"/>
              <w:bottom w:val="single" w:sz="4" w:space="0" w:color="auto"/>
              <w:right w:val="single" w:sz="4" w:space="0" w:color="auto"/>
            </w:tcBorders>
            <w:shd w:val="clear" w:color="000000" w:fill="FFFFFF"/>
            <w:noWrap/>
            <w:vAlign w:val="bottom"/>
            <w:hideMark/>
          </w:tcPr>
          <w:p w14:paraId="6DA839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874,4</w:t>
            </w:r>
          </w:p>
        </w:tc>
        <w:tc>
          <w:tcPr>
            <w:tcW w:w="1040" w:type="dxa"/>
            <w:tcBorders>
              <w:top w:val="nil"/>
              <w:left w:val="nil"/>
              <w:bottom w:val="single" w:sz="4" w:space="0" w:color="auto"/>
              <w:right w:val="single" w:sz="4" w:space="0" w:color="auto"/>
            </w:tcBorders>
            <w:shd w:val="clear" w:color="000000" w:fill="FFFFFF"/>
            <w:noWrap/>
            <w:vAlign w:val="bottom"/>
            <w:hideMark/>
          </w:tcPr>
          <w:p w14:paraId="69BB32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258,5</w:t>
            </w:r>
          </w:p>
        </w:tc>
        <w:tc>
          <w:tcPr>
            <w:tcW w:w="1226" w:type="dxa"/>
            <w:tcBorders>
              <w:top w:val="nil"/>
              <w:left w:val="nil"/>
              <w:bottom w:val="single" w:sz="4" w:space="0" w:color="auto"/>
              <w:right w:val="single" w:sz="4" w:space="0" w:color="auto"/>
            </w:tcBorders>
            <w:shd w:val="clear" w:color="000000" w:fill="FFFFFF"/>
            <w:noWrap/>
            <w:vAlign w:val="bottom"/>
            <w:hideMark/>
          </w:tcPr>
          <w:p w14:paraId="4D948B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AF816F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99A8D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Брусарци</w:t>
            </w:r>
          </w:p>
        </w:tc>
        <w:tc>
          <w:tcPr>
            <w:tcW w:w="1911" w:type="dxa"/>
            <w:tcBorders>
              <w:top w:val="nil"/>
              <w:left w:val="nil"/>
              <w:bottom w:val="single" w:sz="4" w:space="0" w:color="auto"/>
              <w:right w:val="single" w:sz="4" w:space="0" w:color="auto"/>
            </w:tcBorders>
            <w:shd w:val="clear" w:color="000000" w:fill="FFFFFF"/>
            <w:noWrap/>
            <w:vAlign w:val="bottom"/>
            <w:hideMark/>
          </w:tcPr>
          <w:p w14:paraId="193FD0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3 105,9</w:t>
            </w:r>
          </w:p>
        </w:tc>
        <w:tc>
          <w:tcPr>
            <w:tcW w:w="1118" w:type="dxa"/>
            <w:tcBorders>
              <w:top w:val="nil"/>
              <w:left w:val="nil"/>
              <w:bottom w:val="single" w:sz="4" w:space="0" w:color="auto"/>
              <w:right w:val="single" w:sz="4" w:space="0" w:color="auto"/>
            </w:tcBorders>
            <w:shd w:val="clear" w:color="000000" w:fill="FFFFFF"/>
            <w:noWrap/>
            <w:vAlign w:val="bottom"/>
            <w:hideMark/>
          </w:tcPr>
          <w:p w14:paraId="4037AA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674,4</w:t>
            </w:r>
          </w:p>
        </w:tc>
        <w:tc>
          <w:tcPr>
            <w:tcW w:w="1257" w:type="dxa"/>
            <w:tcBorders>
              <w:top w:val="nil"/>
              <w:left w:val="nil"/>
              <w:bottom w:val="single" w:sz="4" w:space="0" w:color="auto"/>
              <w:right w:val="single" w:sz="4" w:space="0" w:color="auto"/>
            </w:tcBorders>
            <w:shd w:val="clear" w:color="000000" w:fill="FFFFFF"/>
            <w:noWrap/>
            <w:vAlign w:val="bottom"/>
            <w:hideMark/>
          </w:tcPr>
          <w:p w14:paraId="32956B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161,6</w:t>
            </w:r>
          </w:p>
        </w:tc>
        <w:tc>
          <w:tcPr>
            <w:tcW w:w="1384" w:type="dxa"/>
            <w:tcBorders>
              <w:top w:val="nil"/>
              <w:left w:val="nil"/>
              <w:bottom w:val="single" w:sz="4" w:space="0" w:color="auto"/>
              <w:right w:val="single" w:sz="4" w:space="0" w:color="auto"/>
            </w:tcBorders>
            <w:shd w:val="clear" w:color="000000" w:fill="FFFFFF"/>
            <w:noWrap/>
            <w:vAlign w:val="bottom"/>
            <w:hideMark/>
          </w:tcPr>
          <w:p w14:paraId="293EC7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512,8</w:t>
            </w:r>
          </w:p>
        </w:tc>
        <w:tc>
          <w:tcPr>
            <w:tcW w:w="1134" w:type="dxa"/>
            <w:tcBorders>
              <w:top w:val="nil"/>
              <w:left w:val="nil"/>
              <w:bottom w:val="single" w:sz="4" w:space="0" w:color="auto"/>
              <w:right w:val="single" w:sz="4" w:space="0" w:color="auto"/>
            </w:tcBorders>
            <w:shd w:val="clear" w:color="000000" w:fill="FFFFFF"/>
            <w:noWrap/>
            <w:vAlign w:val="bottom"/>
            <w:hideMark/>
          </w:tcPr>
          <w:p w14:paraId="687CB9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125,7</w:t>
            </w:r>
          </w:p>
        </w:tc>
        <w:tc>
          <w:tcPr>
            <w:tcW w:w="1277" w:type="dxa"/>
            <w:tcBorders>
              <w:top w:val="nil"/>
              <w:left w:val="nil"/>
              <w:bottom w:val="single" w:sz="4" w:space="0" w:color="auto"/>
              <w:right w:val="single" w:sz="4" w:space="0" w:color="auto"/>
            </w:tcBorders>
            <w:shd w:val="clear" w:color="000000" w:fill="FFFFFF"/>
            <w:noWrap/>
            <w:vAlign w:val="bottom"/>
            <w:hideMark/>
          </w:tcPr>
          <w:p w14:paraId="13E2CA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1 894,7</w:t>
            </w:r>
          </w:p>
        </w:tc>
        <w:tc>
          <w:tcPr>
            <w:tcW w:w="1040" w:type="dxa"/>
            <w:tcBorders>
              <w:top w:val="nil"/>
              <w:left w:val="nil"/>
              <w:bottom w:val="single" w:sz="4" w:space="0" w:color="auto"/>
              <w:right w:val="single" w:sz="4" w:space="0" w:color="auto"/>
            </w:tcBorders>
            <w:shd w:val="clear" w:color="000000" w:fill="FFFFFF"/>
            <w:noWrap/>
            <w:vAlign w:val="bottom"/>
            <w:hideMark/>
          </w:tcPr>
          <w:p w14:paraId="7E84BD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58,8</w:t>
            </w:r>
          </w:p>
        </w:tc>
        <w:tc>
          <w:tcPr>
            <w:tcW w:w="1087" w:type="dxa"/>
            <w:tcBorders>
              <w:top w:val="nil"/>
              <w:left w:val="nil"/>
              <w:bottom w:val="single" w:sz="4" w:space="0" w:color="auto"/>
              <w:right w:val="single" w:sz="4" w:space="0" w:color="auto"/>
            </w:tcBorders>
            <w:shd w:val="clear" w:color="000000" w:fill="FFFFFF"/>
            <w:noWrap/>
            <w:vAlign w:val="bottom"/>
            <w:hideMark/>
          </w:tcPr>
          <w:p w14:paraId="45784B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206,2</w:t>
            </w:r>
          </w:p>
        </w:tc>
        <w:tc>
          <w:tcPr>
            <w:tcW w:w="1040" w:type="dxa"/>
            <w:tcBorders>
              <w:top w:val="nil"/>
              <w:left w:val="nil"/>
              <w:bottom w:val="single" w:sz="4" w:space="0" w:color="auto"/>
              <w:right w:val="single" w:sz="4" w:space="0" w:color="auto"/>
            </w:tcBorders>
            <w:shd w:val="clear" w:color="000000" w:fill="FFFFFF"/>
            <w:noWrap/>
            <w:vAlign w:val="bottom"/>
            <w:hideMark/>
          </w:tcPr>
          <w:p w14:paraId="32FC06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146,1</w:t>
            </w:r>
          </w:p>
        </w:tc>
        <w:tc>
          <w:tcPr>
            <w:tcW w:w="1226" w:type="dxa"/>
            <w:tcBorders>
              <w:top w:val="nil"/>
              <w:left w:val="nil"/>
              <w:bottom w:val="single" w:sz="4" w:space="0" w:color="auto"/>
              <w:right w:val="single" w:sz="4" w:space="0" w:color="auto"/>
            </w:tcBorders>
            <w:shd w:val="clear" w:color="000000" w:fill="FFFFFF"/>
            <w:noWrap/>
            <w:vAlign w:val="bottom"/>
            <w:hideMark/>
          </w:tcPr>
          <w:p w14:paraId="098FC1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39CCB3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A95FA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Bълчедръм</w:t>
            </w:r>
          </w:p>
        </w:tc>
        <w:tc>
          <w:tcPr>
            <w:tcW w:w="1911" w:type="dxa"/>
            <w:tcBorders>
              <w:top w:val="nil"/>
              <w:left w:val="nil"/>
              <w:bottom w:val="single" w:sz="4" w:space="0" w:color="auto"/>
              <w:right w:val="single" w:sz="4" w:space="0" w:color="auto"/>
            </w:tcBorders>
            <w:shd w:val="clear" w:color="000000" w:fill="FFFFFF"/>
            <w:noWrap/>
            <w:vAlign w:val="bottom"/>
            <w:hideMark/>
          </w:tcPr>
          <w:p w14:paraId="76A72D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6 021,8</w:t>
            </w:r>
          </w:p>
        </w:tc>
        <w:tc>
          <w:tcPr>
            <w:tcW w:w="1118" w:type="dxa"/>
            <w:tcBorders>
              <w:top w:val="nil"/>
              <w:left w:val="nil"/>
              <w:bottom w:val="single" w:sz="4" w:space="0" w:color="auto"/>
              <w:right w:val="single" w:sz="4" w:space="0" w:color="auto"/>
            </w:tcBorders>
            <w:shd w:val="clear" w:color="000000" w:fill="FFFFFF"/>
            <w:noWrap/>
            <w:vAlign w:val="bottom"/>
            <w:hideMark/>
          </w:tcPr>
          <w:p w14:paraId="067ED5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837,5</w:t>
            </w:r>
          </w:p>
        </w:tc>
        <w:tc>
          <w:tcPr>
            <w:tcW w:w="1257" w:type="dxa"/>
            <w:tcBorders>
              <w:top w:val="nil"/>
              <w:left w:val="nil"/>
              <w:bottom w:val="single" w:sz="4" w:space="0" w:color="auto"/>
              <w:right w:val="single" w:sz="4" w:space="0" w:color="auto"/>
            </w:tcBorders>
            <w:shd w:val="clear" w:color="000000" w:fill="FFFFFF"/>
            <w:noWrap/>
            <w:vAlign w:val="bottom"/>
            <w:hideMark/>
          </w:tcPr>
          <w:p w14:paraId="4ADAEB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195,4</w:t>
            </w:r>
          </w:p>
        </w:tc>
        <w:tc>
          <w:tcPr>
            <w:tcW w:w="1384" w:type="dxa"/>
            <w:tcBorders>
              <w:top w:val="nil"/>
              <w:left w:val="nil"/>
              <w:bottom w:val="single" w:sz="4" w:space="0" w:color="auto"/>
              <w:right w:val="single" w:sz="4" w:space="0" w:color="auto"/>
            </w:tcBorders>
            <w:shd w:val="clear" w:color="000000" w:fill="FFFFFF"/>
            <w:noWrap/>
            <w:vAlign w:val="bottom"/>
            <w:hideMark/>
          </w:tcPr>
          <w:p w14:paraId="4B9916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642,1</w:t>
            </w:r>
          </w:p>
        </w:tc>
        <w:tc>
          <w:tcPr>
            <w:tcW w:w="1134" w:type="dxa"/>
            <w:tcBorders>
              <w:top w:val="nil"/>
              <w:left w:val="nil"/>
              <w:bottom w:val="single" w:sz="4" w:space="0" w:color="auto"/>
              <w:right w:val="single" w:sz="4" w:space="0" w:color="auto"/>
            </w:tcBorders>
            <w:shd w:val="clear" w:color="000000" w:fill="FFFFFF"/>
            <w:noWrap/>
            <w:vAlign w:val="bottom"/>
            <w:hideMark/>
          </w:tcPr>
          <w:p w14:paraId="4AF654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125,4</w:t>
            </w:r>
          </w:p>
        </w:tc>
        <w:tc>
          <w:tcPr>
            <w:tcW w:w="1277" w:type="dxa"/>
            <w:tcBorders>
              <w:top w:val="nil"/>
              <w:left w:val="nil"/>
              <w:bottom w:val="single" w:sz="4" w:space="0" w:color="auto"/>
              <w:right w:val="single" w:sz="4" w:space="0" w:color="auto"/>
            </w:tcBorders>
            <w:shd w:val="clear" w:color="000000" w:fill="FFFFFF"/>
            <w:noWrap/>
            <w:vAlign w:val="bottom"/>
            <w:hideMark/>
          </w:tcPr>
          <w:p w14:paraId="6718BE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3 977,3</w:t>
            </w:r>
          </w:p>
        </w:tc>
        <w:tc>
          <w:tcPr>
            <w:tcW w:w="1040" w:type="dxa"/>
            <w:tcBorders>
              <w:top w:val="nil"/>
              <w:left w:val="nil"/>
              <w:bottom w:val="single" w:sz="4" w:space="0" w:color="auto"/>
              <w:right w:val="single" w:sz="4" w:space="0" w:color="auto"/>
            </w:tcBorders>
            <w:shd w:val="clear" w:color="000000" w:fill="FFFFFF"/>
            <w:noWrap/>
            <w:vAlign w:val="bottom"/>
            <w:hideMark/>
          </w:tcPr>
          <w:p w14:paraId="3B5459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135,4</w:t>
            </w:r>
          </w:p>
        </w:tc>
        <w:tc>
          <w:tcPr>
            <w:tcW w:w="1087" w:type="dxa"/>
            <w:tcBorders>
              <w:top w:val="nil"/>
              <w:left w:val="nil"/>
              <w:bottom w:val="single" w:sz="4" w:space="0" w:color="auto"/>
              <w:right w:val="single" w:sz="4" w:space="0" w:color="auto"/>
            </w:tcBorders>
            <w:shd w:val="clear" w:color="000000" w:fill="FFFFFF"/>
            <w:noWrap/>
            <w:vAlign w:val="bottom"/>
            <w:hideMark/>
          </w:tcPr>
          <w:p w14:paraId="2DEC42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777,6</w:t>
            </w:r>
          </w:p>
        </w:tc>
        <w:tc>
          <w:tcPr>
            <w:tcW w:w="1040" w:type="dxa"/>
            <w:tcBorders>
              <w:top w:val="nil"/>
              <w:left w:val="nil"/>
              <w:bottom w:val="single" w:sz="4" w:space="0" w:color="auto"/>
              <w:right w:val="single" w:sz="4" w:space="0" w:color="auto"/>
            </w:tcBorders>
            <w:shd w:val="clear" w:color="000000" w:fill="FFFFFF"/>
            <w:noWrap/>
            <w:vAlign w:val="bottom"/>
            <w:hideMark/>
          </w:tcPr>
          <w:p w14:paraId="5BC49C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20AF64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BD6C19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12BD3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Bършец</w:t>
            </w:r>
          </w:p>
        </w:tc>
        <w:tc>
          <w:tcPr>
            <w:tcW w:w="1911" w:type="dxa"/>
            <w:tcBorders>
              <w:top w:val="nil"/>
              <w:left w:val="nil"/>
              <w:bottom w:val="single" w:sz="4" w:space="0" w:color="auto"/>
              <w:right w:val="single" w:sz="4" w:space="0" w:color="auto"/>
            </w:tcBorders>
            <w:shd w:val="clear" w:color="000000" w:fill="FFFFFF"/>
            <w:noWrap/>
            <w:vAlign w:val="bottom"/>
            <w:hideMark/>
          </w:tcPr>
          <w:p w14:paraId="7951E8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4 572,1</w:t>
            </w:r>
          </w:p>
        </w:tc>
        <w:tc>
          <w:tcPr>
            <w:tcW w:w="1118" w:type="dxa"/>
            <w:tcBorders>
              <w:top w:val="nil"/>
              <w:left w:val="nil"/>
              <w:bottom w:val="single" w:sz="4" w:space="0" w:color="auto"/>
              <w:right w:val="single" w:sz="4" w:space="0" w:color="auto"/>
            </w:tcBorders>
            <w:shd w:val="clear" w:color="000000" w:fill="FFFFFF"/>
            <w:noWrap/>
            <w:vAlign w:val="bottom"/>
            <w:hideMark/>
          </w:tcPr>
          <w:p w14:paraId="564102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748,1</w:t>
            </w:r>
          </w:p>
        </w:tc>
        <w:tc>
          <w:tcPr>
            <w:tcW w:w="1257" w:type="dxa"/>
            <w:tcBorders>
              <w:top w:val="nil"/>
              <w:left w:val="nil"/>
              <w:bottom w:val="single" w:sz="4" w:space="0" w:color="auto"/>
              <w:right w:val="single" w:sz="4" w:space="0" w:color="auto"/>
            </w:tcBorders>
            <w:shd w:val="clear" w:color="000000" w:fill="FFFFFF"/>
            <w:noWrap/>
            <w:vAlign w:val="bottom"/>
            <w:hideMark/>
          </w:tcPr>
          <w:p w14:paraId="170DEF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136,5</w:t>
            </w:r>
          </w:p>
        </w:tc>
        <w:tc>
          <w:tcPr>
            <w:tcW w:w="1384" w:type="dxa"/>
            <w:tcBorders>
              <w:top w:val="nil"/>
              <w:left w:val="nil"/>
              <w:bottom w:val="single" w:sz="4" w:space="0" w:color="auto"/>
              <w:right w:val="single" w:sz="4" w:space="0" w:color="auto"/>
            </w:tcBorders>
            <w:shd w:val="clear" w:color="000000" w:fill="FFFFFF"/>
            <w:noWrap/>
            <w:vAlign w:val="bottom"/>
            <w:hideMark/>
          </w:tcPr>
          <w:p w14:paraId="0C9B20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611,6</w:t>
            </w:r>
          </w:p>
        </w:tc>
        <w:tc>
          <w:tcPr>
            <w:tcW w:w="1134" w:type="dxa"/>
            <w:tcBorders>
              <w:top w:val="nil"/>
              <w:left w:val="nil"/>
              <w:bottom w:val="single" w:sz="4" w:space="0" w:color="auto"/>
              <w:right w:val="single" w:sz="4" w:space="0" w:color="auto"/>
            </w:tcBorders>
            <w:shd w:val="clear" w:color="000000" w:fill="FFFFFF"/>
            <w:noWrap/>
            <w:vAlign w:val="bottom"/>
            <w:hideMark/>
          </w:tcPr>
          <w:p w14:paraId="363D76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134,4</w:t>
            </w:r>
          </w:p>
        </w:tc>
        <w:tc>
          <w:tcPr>
            <w:tcW w:w="1277" w:type="dxa"/>
            <w:tcBorders>
              <w:top w:val="nil"/>
              <w:left w:val="nil"/>
              <w:bottom w:val="single" w:sz="4" w:space="0" w:color="auto"/>
              <w:right w:val="single" w:sz="4" w:space="0" w:color="auto"/>
            </w:tcBorders>
            <w:shd w:val="clear" w:color="000000" w:fill="FFFFFF"/>
            <w:noWrap/>
            <w:vAlign w:val="bottom"/>
            <w:hideMark/>
          </w:tcPr>
          <w:p w14:paraId="6EFBCB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3 009,5</w:t>
            </w:r>
          </w:p>
        </w:tc>
        <w:tc>
          <w:tcPr>
            <w:tcW w:w="1040" w:type="dxa"/>
            <w:tcBorders>
              <w:top w:val="nil"/>
              <w:left w:val="nil"/>
              <w:bottom w:val="single" w:sz="4" w:space="0" w:color="auto"/>
              <w:right w:val="single" w:sz="4" w:space="0" w:color="auto"/>
            </w:tcBorders>
            <w:shd w:val="clear" w:color="000000" w:fill="FFFFFF"/>
            <w:noWrap/>
            <w:vAlign w:val="bottom"/>
            <w:hideMark/>
          </w:tcPr>
          <w:p w14:paraId="4CBD10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110,6</w:t>
            </w:r>
          </w:p>
        </w:tc>
        <w:tc>
          <w:tcPr>
            <w:tcW w:w="1087" w:type="dxa"/>
            <w:tcBorders>
              <w:top w:val="nil"/>
              <w:left w:val="nil"/>
              <w:bottom w:val="single" w:sz="4" w:space="0" w:color="auto"/>
              <w:right w:val="single" w:sz="4" w:space="0" w:color="auto"/>
            </w:tcBorders>
            <w:shd w:val="clear" w:color="000000" w:fill="FFFFFF"/>
            <w:noWrap/>
            <w:vAlign w:val="bottom"/>
            <w:hideMark/>
          </w:tcPr>
          <w:p w14:paraId="0C1EB5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434,6</w:t>
            </w:r>
          </w:p>
        </w:tc>
        <w:tc>
          <w:tcPr>
            <w:tcW w:w="1040" w:type="dxa"/>
            <w:tcBorders>
              <w:top w:val="nil"/>
              <w:left w:val="nil"/>
              <w:bottom w:val="single" w:sz="4" w:space="0" w:color="auto"/>
              <w:right w:val="single" w:sz="4" w:space="0" w:color="auto"/>
            </w:tcBorders>
            <w:shd w:val="clear" w:color="000000" w:fill="FFFFFF"/>
            <w:noWrap/>
            <w:vAlign w:val="bottom"/>
            <w:hideMark/>
          </w:tcPr>
          <w:p w14:paraId="11162D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134,9</w:t>
            </w:r>
          </w:p>
        </w:tc>
        <w:tc>
          <w:tcPr>
            <w:tcW w:w="1226" w:type="dxa"/>
            <w:tcBorders>
              <w:top w:val="nil"/>
              <w:left w:val="nil"/>
              <w:bottom w:val="single" w:sz="4" w:space="0" w:color="auto"/>
              <w:right w:val="single" w:sz="4" w:space="0" w:color="auto"/>
            </w:tcBorders>
            <w:shd w:val="clear" w:color="000000" w:fill="FFFFFF"/>
            <w:noWrap/>
            <w:vAlign w:val="bottom"/>
            <w:hideMark/>
          </w:tcPr>
          <w:p w14:paraId="1AE770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21A2EE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8CCD5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Георги Дамяново</w:t>
            </w:r>
          </w:p>
        </w:tc>
        <w:tc>
          <w:tcPr>
            <w:tcW w:w="1911" w:type="dxa"/>
            <w:tcBorders>
              <w:top w:val="nil"/>
              <w:left w:val="nil"/>
              <w:bottom w:val="single" w:sz="4" w:space="0" w:color="auto"/>
              <w:right w:val="single" w:sz="4" w:space="0" w:color="auto"/>
            </w:tcBorders>
            <w:shd w:val="clear" w:color="000000" w:fill="FFFFFF"/>
            <w:noWrap/>
            <w:vAlign w:val="bottom"/>
            <w:hideMark/>
          </w:tcPr>
          <w:p w14:paraId="253228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2 082,4</w:t>
            </w:r>
          </w:p>
        </w:tc>
        <w:tc>
          <w:tcPr>
            <w:tcW w:w="1118" w:type="dxa"/>
            <w:tcBorders>
              <w:top w:val="nil"/>
              <w:left w:val="nil"/>
              <w:bottom w:val="single" w:sz="4" w:space="0" w:color="auto"/>
              <w:right w:val="single" w:sz="4" w:space="0" w:color="auto"/>
            </w:tcBorders>
            <w:shd w:val="clear" w:color="000000" w:fill="FFFFFF"/>
            <w:noWrap/>
            <w:vAlign w:val="bottom"/>
            <w:hideMark/>
          </w:tcPr>
          <w:p w14:paraId="1036949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646,3</w:t>
            </w:r>
          </w:p>
        </w:tc>
        <w:tc>
          <w:tcPr>
            <w:tcW w:w="1257" w:type="dxa"/>
            <w:tcBorders>
              <w:top w:val="nil"/>
              <w:left w:val="nil"/>
              <w:bottom w:val="single" w:sz="4" w:space="0" w:color="auto"/>
              <w:right w:val="single" w:sz="4" w:space="0" w:color="auto"/>
            </w:tcBorders>
            <w:shd w:val="clear" w:color="000000" w:fill="FFFFFF"/>
            <w:noWrap/>
            <w:vAlign w:val="bottom"/>
            <w:hideMark/>
          </w:tcPr>
          <w:p w14:paraId="18EF75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210,6</w:t>
            </w:r>
          </w:p>
        </w:tc>
        <w:tc>
          <w:tcPr>
            <w:tcW w:w="1384" w:type="dxa"/>
            <w:tcBorders>
              <w:top w:val="nil"/>
              <w:left w:val="nil"/>
              <w:bottom w:val="single" w:sz="4" w:space="0" w:color="auto"/>
              <w:right w:val="single" w:sz="4" w:space="0" w:color="auto"/>
            </w:tcBorders>
            <w:shd w:val="clear" w:color="000000" w:fill="FFFFFF"/>
            <w:noWrap/>
            <w:vAlign w:val="bottom"/>
            <w:hideMark/>
          </w:tcPr>
          <w:p w14:paraId="357486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435,7</w:t>
            </w:r>
          </w:p>
        </w:tc>
        <w:tc>
          <w:tcPr>
            <w:tcW w:w="1134" w:type="dxa"/>
            <w:tcBorders>
              <w:top w:val="nil"/>
              <w:left w:val="nil"/>
              <w:bottom w:val="single" w:sz="4" w:space="0" w:color="auto"/>
              <w:right w:val="single" w:sz="4" w:space="0" w:color="auto"/>
            </w:tcBorders>
            <w:shd w:val="clear" w:color="000000" w:fill="FFFFFF"/>
            <w:noWrap/>
            <w:vAlign w:val="bottom"/>
            <w:hideMark/>
          </w:tcPr>
          <w:p w14:paraId="5247BA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115,3</w:t>
            </w:r>
          </w:p>
        </w:tc>
        <w:tc>
          <w:tcPr>
            <w:tcW w:w="1277" w:type="dxa"/>
            <w:tcBorders>
              <w:top w:val="nil"/>
              <w:left w:val="nil"/>
              <w:bottom w:val="single" w:sz="4" w:space="0" w:color="auto"/>
              <w:right w:val="single" w:sz="4" w:space="0" w:color="auto"/>
            </w:tcBorders>
            <w:shd w:val="clear" w:color="000000" w:fill="FFFFFF"/>
            <w:noWrap/>
            <w:vAlign w:val="bottom"/>
            <w:hideMark/>
          </w:tcPr>
          <w:p w14:paraId="24DAE8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784,4</w:t>
            </w:r>
          </w:p>
        </w:tc>
        <w:tc>
          <w:tcPr>
            <w:tcW w:w="1040" w:type="dxa"/>
            <w:tcBorders>
              <w:top w:val="nil"/>
              <w:left w:val="nil"/>
              <w:bottom w:val="single" w:sz="4" w:space="0" w:color="auto"/>
              <w:right w:val="single" w:sz="4" w:space="0" w:color="auto"/>
            </w:tcBorders>
            <w:shd w:val="clear" w:color="000000" w:fill="FFFFFF"/>
            <w:noWrap/>
            <w:vAlign w:val="bottom"/>
            <w:hideMark/>
          </w:tcPr>
          <w:p w14:paraId="7D2568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w:t>
            </w:r>
          </w:p>
        </w:tc>
        <w:tc>
          <w:tcPr>
            <w:tcW w:w="1087" w:type="dxa"/>
            <w:tcBorders>
              <w:top w:val="nil"/>
              <w:left w:val="nil"/>
              <w:bottom w:val="single" w:sz="4" w:space="0" w:color="auto"/>
              <w:right w:val="single" w:sz="4" w:space="0" w:color="auto"/>
            </w:tcBorders>
            <w:shd w:val="clear" w:color="000000" w:fill="FFFFFF"/>
            <w:noWrap/>
            <w:vAlign w:val="bottom"/>
            <w:hideMark/>
          </w:tcPr>
          <w:p w14:paraId="1F143E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391,9</w:t>
            </w:r>
          </w:p>
        </w:tc>
        <w:tc>
          <w:tcPr>
            <w:tcW w:w="1040" w:type="dxa"/>
            <w:tcBorders>
              <w:top w:val="nil"/>
              <w:left w:val="nil"/>
              <w:bottom w:val="single" w:sz="4" w:space="0" w:color="auto"/>
              <w:right w:val="single" w:sz="4" w:space="0" w:color="auto"/>
            </w:tcBorders>
            <w:shd w:val="clear" w:color="000000" w:fill="FFFFFF"/>
            <w:noWrap/>
            <w:vAlign w:val="bottom"/>
            <w:hideMark/>
          </w:tcPr>
          <w:p w14:paraId="66B1F8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134,9</w:t>
            </w:r>
          </w:p>
        </w:tc>
        <w:tc>
          <w:tcPr>
            <w:tcW w:w="1226" w:type="dxa"/>
            <w:tcBorders>
              <w:top w:val="nil"/>
              <w:left w:val="nil"/>
              <w:bottom w:val="single" w:sz="4" w:space="0" w:color="auto"/>
              <w:right w:val="single" w:sz="4" w:space="0" w:color="auto"/>
            </w:tcBorders>
            <w:shd w:val="clear" w:color="000000" w:fill="FFFFFF"/>
            <w:noWrap/>
            <w:vAlign w:val="bottom"/>
            <w:hideMark/>
          </w:tcPr>
          <w:p w14:paraId="548F8C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D8212A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185385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Лом</w:t>
            </w:r>
          </w:p>
        </w:tc>
        <w:tc>
          <w:tcPr>
            <w:tcW w:w="1911" w:type="dxa"/>
            <w:tcBorders>
              <w:top w:val="nil"/>
              <w:left w:val="nil"/>
              <w:bottom w:val="single" w:sz="4" w:space="0" w:color="auto"/>
              <w:right w:val="single" w:sz="4" w:space="0" w:color="auto"/>
            </w:tcBorders>
            <w:shd w:val="clear" w:color="000000" w:fill="FFFFFF"/>
            <w:noWrap/>
            <w:vAlign w:val="bottom"/>
            <w:hideMark/>
          </w:tcPr>
          <w:p w14:paraId="4ED044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17 641,9</w:t>
            </w:r>
          </w:p>
        </w:tc>
        <w:tc>
          <w:tcPr>
            <w:tcW w:w="1118" w:type="dxa"/>
            <w:tcBorders>
              <w:top w:val="nil"/>
              <w:left w:val="nil"/>
              <w:bottom w:val="single" w:sz="4" w:space="0" w:color="auto"/>
              <w:right w:val="single" w:sz="4" w:space="0" w:color="auto"/>
            </w:tcBorders>
            <w:shd w:val="clear" w:color="000000" w:fill="FFFFFF"/>
            <w:noWrap/>
            <w:vAlign w:val="bottom"/>
            <w:hideMark/>
          </w:tcPr>
          <w:p w14:paraId="26E80C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1 350,7</w:t>
            </w:r>
          </w:p>
        </w:tc>
        <w:tc>
          <w:tcPr>
            <w:tcW w:w="1257" w:type="dxa"/>
            <w:tcBorders>
              <w:top w:val="nil"/>
              <w:left w:val="nil"/>
              <w:bottom w:val="single" w:sz="4" w:space="0" w:color="auto"/>
              <w:right w:val="single" w:sz="4" w:space="0" w:color="auto"/>
            </w:tcBorders>
            <w:shd w:val="clear" w:color="000000" w:fill="FFFFFF"/>
            <w:noWrap/>
            <w:vAlign w:val="bottom"/>
            <w:hideMark/>
          </w:tcPr>
          <w:p w14:paraId="2F2BA8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185,3</w:t>
            </w:r>
          </w:p>
        </w:tc>
        <w:tc>
          <w:tcPr>
            <w:tcW w:w="1384" w:type="dxa"/>
            <w:tcBorders>
              <w:top w:val="nil"/>
              <w:left w:val="nil"/>
              <w:bottom w:val="single" w:sz="4" w:space="0" w:color="auto"/>
              <w:right w:val="single" w:sz="4" w:space="0" w:color="auto"/>
            </w:tcBorders>
            <w:shd w:val="clear" w:color="000000" w:fill="FFFFFF"/>
            <w:noWrap/>
            <w:vAlign w:val="bottom"/>
            <w:hideMark/>
          </w:tcPr>
          <w:p w14:paraId="38E582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1 165,4</w:t>
            </w:r>
          </w:p>
        </w:tc>
        <w:tc>
          <w:tcPr>
            <w:tcW w:w="1134" w:type="dxa"/>
            <w:tcBorders>
              <w:top w:val="nil"/>
              <w:left w:val="nil"/>
              <w:bottom w:val="single" w:sz="4" w:space="0" w:color="auto"/>
              <w:right w:val="single" w:sz="4" w:space="0" w:color="auto"/>
            </w:tcBorders>
            <w:shd w:val="clear" w:color="000000" w:fill="FFFFFF"/>
            <w:noWrap/>
            <w:vAlign w:val="bottom"/>
            <w:hideMark/>
          </w:tcPr>
          <w:p w14:paraId="57D0DB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173,9</w:t>
            </w:r>
          </w:p>
        </w:tc>
        <w:tc>
          <w:tcPr>
            <w:tcW w:w="1277" w:type="dxa"/>
            <w:tcBorders>
              <w:top w:val="nil"/>
              <w:left w:val="nil"/>
              <w:bottom w:val="single" w:sz="4" w:space="0" w:color="auto"/>
              <w:right w:val="single" w:sz="4" w:space="0" w:color="auto"/>
            </w:tcBorders>
            <w:shd w:val="clear" w:color="000000" w:fill="FFFFFF"/>
            <w:noWrap/>
            <w:vAlign w:val="bottom"/>
            <w:hideMark/>
          </w:tcPr>
          <w:p w14:paraId="026EE6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9 209,7</w:t>
            </w:r>
          </w:p>
        </w:tc>
        <w:tc>
          <w:tcPr>
            <w:tcW w:w="1040" w:type="dxa"/>
            <w:tcBorders>
              <w:top w:val="nil"/>
              <w:left w:val="nil"/>
              <w:bottom w:val="single" w:sz="4" w:space="0" w:color="auto"/>
              <w:right w:val="single" w:sz="4" w:space="0" w:color="auto"/>
            </w:tcBorders>
            <w:shd w:val="clear" w:color="000000" w:fill="FFFFFF"/>
            <w:noWrap/>
            <w:vAlign w:val="bottom"/>
            <w:hideMark/>
          </w:tcPr>
          <w:p w14:paraId="738799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739,4</w:t>
            </w:r>
          </w:p>
        </w:tc>
        <w:tc>
          <w:tcPr>
            <w:tcW w:w="1087" w:type="dxa"/>
            <w:tcBorders>
              <w:top w:val="nil"/>
              <w:left w:val="nil"/>
              <w:bottom w:val="single" w:sz="4" w:space="0" w:color="auto"/>
              <w:right w:val="single" w:sz="4" w:space="0" w:color="auto"/>
            </w:tcBorders>
            <w:shd w:val="clear" w:color="000000" w:fill="FFFFFF"/>
            <w:noWrap/>
            <w:vAlign w:val="bottom"/>
            <w:hideMark/>
          </w:tcPr>
          <w:p w14:paraId="340B6F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5 808,5</w:t>
            </w:r>
          </w:p>
        </w:tc>
        <w:tc>
          <w:tcPr>
            <w:tcW w:w="1040" w:type="dxa"/>
            <w:tcBorders>
              <w:top w:val="nil"/>
              <w:left w:val="nil"/>
              <w:bottom w:val="single" w:sz="4" w:space="0" w:color="auto"/>
              <w:right w:val="single" w:sz="4" w:space="0" w:color="auto"/>
            </w:tcBorders>
            <w:shd w:val="clear" w:color="000000" w:fill="FFFFFF"/>
            <w:noWrap/>
            <w:vAlign w:val="bottom"/>
            <w:hideMark/>
          </w:tcPr>
          <w:p w14:paraId="35C31A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359,7</w:t>
            </w:r>
          </w:p>
        </w:tc>
        <w:tc>
          <w:tcPr>
            <w:tcW w:w="1226" w:type="dxa"/>
            <w:tcBorders>
              <w:top w:val="nil"/>
              <w:left w:val="nil"/>
              <w:bottom w:val="single" w:sz="4" w:space="0" w:color="auto"/>
              <w:right w:val="single" w:sz="4" w:space="0" w:color="auto"/>
            </w:tcBorders>
            <w:shd w:val="clear" w:color="000000" w:fill="FFFFFF"/>
            <w:noWrap/>
            <w:vAlign w:val="bottom"/>
            <w:hideMark/>
          </w:tcPr>
          <w:p w14:paraId="18DCE6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9D414B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212B66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Mедковец</w:t>
            </w:r>
          </w:p>
        </w:tc>
        <w:tc>
          <w:tcPr>
            <w:tcW w:w="1911" w:type="dxa"/>
            <w:tcBorders>
              <w:top w:val="nil"/>
              <w:left w:val="nil"/>
              <w:bottom w:val="single" w:sz="4" w:space="0" w:color="auto"/>
              <w:right w:val="single" w:sz="4" w:space="0" w:color="auto"/>
            </w:tcBorders>
            <w:shd w:val="clear" w:color="000000" w:fill="FFFFFF"/>
            <w:noWrap/>
            <w:vAlign w:val="bottom"/>
            <w:hideMark/>
          </w:tcPr>
          <w:p w14:paraId="12ECAB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2 653,4</w:t>
            </w:r>
          </w:p>
        </w:tc>
        <w:tc>
          <w:tcPr>
            <w:tcW w:w="1118" w:type="dxa"/>
            <w:tcBorders>
              <w:top w:val="nil"/>
              <w:left w:val="nil"/>
              <w:bottom w:val="single" w:sz="4" w:space="0" w:color="auto"/>
              <w:right w:val="single" w:sz="4" w:space="0" w:color="auto"/>
            </w:tcBorders>
            <w:shd w:val="clear" w:color="000000" w:fill="FFFFFF"/>
            <w:noWrap/>
            <w:vAlign w:val="bottom"/>
            <w:hideMark/>
          </w:tcPr>
          <w:p w14:paraId="1C8B2A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589,1</w:t>
            </w:r>
          </w:p>
        </w:tc>
        <w:tc>
          <w:tcPr>
            <w:tcW w:w="1257" w:type="dxa"/>
            <w:tcBorders>
              <w:top w:val="nil"/>
              <w:left w:val="nil"/>
              <w:bottom w:val="single" w:sz="4" w:space="0" w:color="auto"/>
              <w:right w:val="single" w:sz="4" w:space="0" w:color="auto"/>
            </w:tcBorders>
            <w:shd w:val="clear" w:color="000000" w:fill="FFFFFF"/>
            <w:noWrap/>
            <w:vAlign w:val="bottom"/>
            <w:hideMark/>
          </w:tcPr>
          <w:p w14:paraId="21DE3D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101,1</w:t>
            </w:r>
          </w:p>
        </w:tc>
        <w:tc>
          <w:tcPr>
            <w:tcW w:w="1384" w:type="dxa"/>
            <w:tcBorders>
              <w:top w:val="nil"/>
              <w:left w:val="nil"/>
              <w:bottom w:val="single" w:sz="4" w:space="0" w:color="auto"/>
              <w:right w:val="single" w:sz="4" w:space="0" w:color="auto"/>
            </w:tcBorders>
            <w:shd w:val="clear" w:color="000000" w:fill="FFFFFF"/>
            <w:noWrap/>
            <w:vAlign w:val="bottom"/>
            <w:hideMark/>
          </w:tcPr>
          <w:p w14:paraId="65EBC9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488,0</w:t>
            </w:r>
          </w:p>
        </w:tc>
        <w:tc>
          <w:tcPr>
            <w:tcW w:w="1134" w:type="dxa"/>
            <w:tcBorders>
              <w:top w:val="nil"/>
              <w:left w:val="nil"/>
              <w:bottom w:val="single" w:sz="4" w:space="0" w:color="auto"/>
              <w:right w:val="single" w:sz="4" w:space="0" w:color="auto"/>
            </w:tcBorders>
            <w:shd w:val="clear" w:color="000000" w:fill="FFFFFF"/>
            <w:noWrap/>
            <w:vAlign w:val="bottom"/>
            <w:hideMark/>
          </w:tcPr>
          <w:p w14:paraId="21A2C7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111,3</w:t>
            </w:r>
          </w:p>
        </w:tc>
        <w:tc>
          <w:tcPr>
            <w:tcW w:w="1277" w:type="dxa"/>
            <w:tcBorders>
              <w:top w:val="nil"/>
              <w:left w:val="nil"/>
              <w:bottom w:val="single" w:sz="4" w:space="0" w:color="auto"/>
              <w:right w:val="single" w:sz="4" w:space="0" w:color="auto"/>
            </w:tcBorders>
            <w:shd w:val="clear" w:color="000000" w:fill="FFFFFF"/>
            <w:noWrap/>
            <w:vAlign w:val="bottom"/>
            <w:hideMark/>
          </w:tcPr>
          <w:p w14:paraId="7CCF6B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1 647,2</w:t>
            </w:r>
          </w:p>
        </w:tc>
        <w:tc>
          <w:tcPr>
            <w:tcW w:w="1040" w:type="dxa"/>
            <w:tcBorders>
              <w:top w:val="nil"/>
              <w:left w:val="nil"/>
              <w:bottom w:val="single" w:sz="4" w:space="0" w:color="auto"/>
              <w:right w:val="single" w:sz="4" w:space="0" w:color="auto"/>
            </w:tcBorders>
            <w:shd w:val="clear" w:color="000000" w:fill="FFFFFF"/>
            <w:noWrap/>
            <w:vAlign w:val="bottom"/>
            <w:hideMark/>
          </w:tcPr>
          <w:p w14:paraId="3C584B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78,0</w:t>
            </w:r>
          </w:p>
        </w:tc>
        <w:tc>
          <w:tcPr>
            <w:tcW w:w="1087" w:type="dxa"/>
            <w:tcBorders>
              <w:top w:val="nil"/>
              <w:left w:val="nil"/>
              <w:bottom w:val="single" w:sz="4" w:space="0" w:color="auto"/>
              <w:right w:val="single" w:sz="4" w:space="0" w:color="auto"/>
            </w:tcBorders>
            <w:shd w:val="clear" w:color="000000" w:fill="FFFFFF"/>
            <w:noWrap/>
            <w:vAlign w:val="bottom"/>
            <w:hideMark/>
          </w:tcPr>
          <w:p w14:paraId="2248C1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104,2</w:t>
            </w:r>
          </w:p>
        </w:tc>
        <w:tc>
          <w:tcPr>
            <w:tcW w:w="1040" w:type="dxa"/>
            <w:tcBorders>
              <w:top w:val="nil"/>
              <w:left w:val="nil"/>
              <w:bottom w:val="single" w:sz="4" w:space="0" w:color="auto"/>
              <w:right w:val="single" w:sz="4" w:space="0" w:color="auto"/>
            </w:tcBorders>
            <w:shd w:val="clear" w:color="000000" w:fill="FFFFFF"/>
            <w:noWrap/>
            <w:vAlign w:val="bottom"/>
            <w:hideMark/>
          </w:tcPr>
          <w:p w14:paraId="5C3283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123,6</w:t>
            </w:r>
          </w:p>
        </w:tc>
        <w:tc>
          <w:tcPr>
            <w:tcW w:w="1226" w:type="dxa"/>
            <w:tcBorders>
              <w:top w:val="nil"/>
              <w:left w:val="nil"/>
              <w:bottom w:val="single" w:sz="4" w:space="0" w:color="auto"/>
              <w:right w:val="single" w:sz="4" w:space="0" w:color="auto"/>
            </w:tcBorders>
            <w:shd w:val="clear" w:color="000000" w:fill="FFFFFF"/>
            <w:noWrap/>
            <w:vAlign w:val="bottom"/>
            <w:hideMark/>
          </w:tcPr>
          <w:p w14:paraId="18EFFD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999BEA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82C53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Mонтана</w:t>
            </w:r>
          </w:p>
        </w:tc>
        <w:tc>
          <w:tcPr>
            <w:tcW w:w="1911" w:type="dxa"/>
            <w:tcBorders>
              <w:top w:val="nil"/>
              <w:left w:val="nil"/>
              <w:bottom w:val="single" w:sz="4" w:space="0" w:color="auto"/>
              <w:right w:val="single" w:sz="4" w:space="0" w:color="auto"/>
            </w:tcBorders>
            <w:shd w:val="clear" w:color="000000" w:fill="FFFFFF"/>
            <w:noWrap/>
            <w:vAlign w:val="bottom"/>
            <w:hideMark/>
          </w:tcPr>
          <w:p w14:paraId="079AA1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30 440,2</w:t>
            </w:r>
          </w:p>
        </w:tc>
        <w:tc>
          <w:tcPr>
            <w:tcW w:w="1118" w:type="dxa"/>
            <w:tcBorders>
              <w:top w:val="nil"/>
              <w:left w:val="nil"/>
              <w:bottom w:val="single" w:sz="4" w:space="0" w:color="auto"/>
              <w:right w:val="single" w:sz="4" w:space="0" w:color="auto"/>
            </w:tcBorders>
            <w:shd w:val="clear" w:color="000000" w:fill="FFFFFF"/>
            <w:noWrap/>
            <w:vAlign w:val="bottom"/>
            <w:hideMark/>
          </w:tcPr>
          <w:p w14:paraId="52355F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2 249,7</w:t>
            </w:r>
          </w:p>
        </w:tc>
        <w:tc>
          <w:tcPr>
            <w:tcW w:w="1257" w:type="dxa"/>
            <w:tcBorders>
              <w:top w:val="nil"/>
              <w:left w:val="nil"/>
              <w:bottom w:val="single" w:sz="4" w:space="0" w:color="auto"/>
              <w:right w:val="single" w:sz="4" w:space="0" w:color="auto"/>
            </w:tcBorders>
            <w:shd w:val="clear" w:color="000000" w:fill="FFFFFF"/>
            <w:noWrap/>
            <w:vAlign w:val="bottom"/>
            <w:hideMark/>
          </w:tcPr>
          <w:p w14:paraId="648FC0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396,0</w:t>
            </w:r>
          </w:p>
        </w:tc>
        <w:tc>
          <w:tcPr>
            <w:tcW w:w="1384" w:type="dxa"/>
            <w:tcBorders>
              <w:top w:val="nil"/>
              <w:left w:val="nil"/>
              <w:bottom w:val="single" w:sz="4" w:space="0" w:color="auto"/>
              <w:right w:val="single" w:sz="4" w:space="0" w:color="auto"/>
            </w:tcBorders>
            <w:shd w:val="clear" w:color="000000" w:fill="FFFFFF"/>
            <w:noWrap/>
            <w:vAlign w:val="bottom"/>
            <w:hideMark/>
          </w:tcPr>
          <w:p w14:paraId="79DE48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1 853,7</w:t>
            </w:r>
          </w:p>
        </w:tc>
        <w:tc>
          <w:tcPr>
            <w:tcW w:w="1134" w:type="dxa"/>
            <w:tcBorders>
              <w:top w:val="nil"/>
              <w:left w:val="nil"/>
              <w:bottom w:val="single" w:sz="4" w:space="0" w:color="auto"/>
              <w:right w:val="single" w:sz="4" w:space="0" w:color="auto"/>
            </w:tcBorders>
            <w:shd w:val="clear" w:color="000000" w:fill="FFFFFF"/>
            <w:noWrap/>
            <w:vAlign w:val="bottom"/>
            <w:hideMark/>
          </w:tcPr>
          <w:p w14:paraId="5F8645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363,4</w:t>
            </w:r>
          </w:p>
        </w:tc>
        <w:tc>
          <w:tcPr>
            <w:tcW w:w="1277" w:type="dxa"/>
            <w:tcBorders>
              <w:top w:val="nil"/>
              <w:left w:val="nil"/>
              <w:bottom w:val="single" w:sz="4" w:space="0" w:color="auto"/>
              <w:right w:val="single" w:sz="4" w:space="0" w:color="auto"/>
            </w:tcBorders>
            <w:shd w:val="clear" w:color="000000" w:fill="FFFFFF"/>
            <w:noWrap/>
            <w:vAlign w:val="bottom"/>
            <w:hideMark/>
          </w:tcPr>
          <w:p w14:paraId="3D1B49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18 751,8</w:t>
            </w:r>
          </w:p>
        </w:tc>
        <w:tc>
          <w:tcPr>
            <w:tcW w:w="1040" w:type="dxa"/>
            <w:tcBorders>
              <w:top w:val="nil"/>
              <w:left w:val="nil"/>
              <w:bottom w:val="single" w:sz="4" w:space="0" w:color="auto"/>
              <w:right w:val="single" w:sz="4" w:space="0" w:color="auto"/>
            </w:tcBorders>
            <w:shd w:val="clear" w:color="000000" w:fill="FFFFFF"/>
            <w:noWrap/>
            <w:vAlign w:val="bottom"/>
            <w:hideMark/>
          </w:tcPr>
          <w:p w14:paraId="5AE8DF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2 300,2</w:t>
            </w:r>
          </w:p>
        </w:tc>
        <w:tc>
          <w:tcPr>
            <w:tcW w:w="1087" w:type="dxa"/>
            <w:tcBorders>
              <w:top w:val="nil"/>
              <w:left w:val="nil"/>
              <w:bottom w:val="single" w:sz="4" w:space="0" w:color="auto"/>
              <w:right w:val="single" w:sz="4" w:space="0" w:color="auto"/>
            </w:tcBorders>
            <w:shd w:val="clear" w:color="000000" w:fill="FFFFFF"/>
            <w:noWrap/>
            <w:vAlign w:val="bottom"/>
            <w:hideMark/>
          </w:tcPr>
          <w:p w14:paraId="32CA9E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5 222,4</w:t>
            </w:r>
          </w:p>
        </w:tc>
        <w:tc>
          <w:tcPr>
            <w:tcW w:w="1040" w:type="dxa"/>
            <w:tcBorders>
              <w:top w:val="nil"/>
              <w:left w:val="nil"/>
              <w:bottom w:val="single" w:sz="4" w:space="0" w:color="auto"/>
              <w:right w:val="single" w:sz="4" w:space="0" w:color="auto"/>
            </w:tcBorders>
            <w:shd w:val="clear" w:color="000000" w:fill="FFFFFF"/>
            <w:noWrap/>
            <w:vAlign w:val="bottom"/>
            <w:hideMark/>
          </w:tcPr>
          <w:p w14:paraId="222225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1 552,7</w:t>
            </w:r>
          </w:p>
        </w:tc>
        <w:tc>
          <w:tcPr>
            <w:tcW w:w="1226" w:type="dxa"/>
            <w:tcBorders>
              <w:top w:val="nil"/>
              <w:left w:val="nil"/>
              <w:bottom w:val="single" w:sz="4" w:space="0" w:color="auto"/>
              <w:right w:val="single" w:sz="4" w:space="0" w:color="auto"/>
            </w:tcBorders>
            <w:shd w:val="clear" w:color="000000" w:fill="FFFFFF"/>
            <w:noWrap/>
            <w:vAlign w:val="bottom"/>
            <w:hideMark/>
          </w:tcPr>
          <w:p w14:paraId="13081E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702AAF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A33F8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Чипровци</w:t>
            </w:r>
          </w:p>
        </w:tc>
        <w:tc>
          <w:tcPr>
            <w:tcW w:w="1911" w:type="dxa"/>
            <w:tcBorders>
              <w:top w:val="nil"/>
              <w:left w:val="nil"/>
              <w:bottom w:val="single" w:sz="4" w:space="0" w:color="auto"/>
              <w:right w:val="single" w:sz="4" w:space="0" w:color="auto"/>
            </w:tcBorders>
            <w:shd w:val="clear" w:color="000000" w:fill="FFFFFF"/>
            <w:noWrap/>
            <w:vAlign w:val="bottom"/>
            <w:hideMark/>
          </w:tcPr>
          <w:p w14:paraId="16CAFC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1 666,5</w:t>
            </w:r>
          </w:p>
        </w:tc>
        <w:tc>
          <w:tcPr>
            <w:tcW w:w="1118" w:type="dxa"/>
            <w:tcBorders>
              <w:top w:val="nil"/>
              <w:left w:val="nil"/>
              <w:bottom w:val="single" w:sz="4" w:space="0" w:color="auto"/>
              <w:right w:val="single" w:sz="4" w:space="0" w:color="auto"/>
            </w:tcBorders>
            <w:shd w:val="clear" w:color="000000" w:fill="FFFFFF"/>
            <w:noWrap/>
            <w:vAlign w:val="bottom"/>
            <w:hideMark/>
          </w:tcPr>
          <w:p w14:paraId="0436F4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646,6</w:t>
            </w:r>
          </w:p>
        </w:tc>
        <w:tc>
          <w:tcPr>
            <w:tcW w:w="1257" w:type="dxa"/>
            <w:tcBorders>
              <w:top w:val="nil"/>
              <w:left w:val="nil"/>
              <w:bottom w:val="single" w:sz="4" w:space="0" w:color="auto"/>
              <w:right w:val="single" w:sz="4" w:space="0" w:color="auto"/>
            </w:tcBorders>
            <w:shd w:val="clear" w:color="000000" w:fill="FFFFFF"/>
            <w:noWrap/>
            <w:vAlign w:val="bottom"/>
            <w:hideMark/>
          </w:tcPr>
          <w:p w14:paraId="4B5EDC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170,2</w:t>
            </w:r>
          </w:p>
        </w:tc>
        <w:tc>
          <w:tcPr>
            <w:tcW w:w="1384" w:type="dxa"/>
            <w:tcBorders>
              <w:top w:val="nil"/>
              <w:left w:val="nil"/>
              <w:bottom w:val="single" w:sz="4" w:space="0" w:color="auto"/>
              <w:right w:val="single" w:sz="4" w:space="0" w:color="auto"/>
            </w:tcBorders>
            <w:shd w:val="clear" w:color="000000" w:fill="FFFFFF"/>
            <w:noWrap/>
            <w:vAlign w:val="bottom"/>
            <w:hideMark/>
          </w:tcPr>
          <w:p w14:paraId="113A06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476,4</w:t>
            </w:r>
          </w:p>
        </w:tc>
        <w:tc>
          <w:tcPr>
            <w:tcW w:w="1134" w:type="dxa"/>
            <w:tcBorders>
              <w:top w:val="nil"/>
              <w:left w:val="nil"/>
              <w:bottom w:val="single" w:sz="4" w:space="0" w:color="auto"/>
              <w:right w:val="single" w:sz="4" w:space="0" w:color="auto"/>
            </w:tcBorders>
            <w:shd w:val="clear" w:color="000000" w:fill="FFFFFF"/>
            <w:noWrap/>
            <w:vAlign w:val="bottom"/>
            <w:hideMark/>
          </w:tcPr>
          <w:p w14:paraId="7A1E07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112,8</w:t>
            </w:r>
          </w:p>
        </w:tc>
        <w:tc>
          <w:tcPr>
            <w:tcW w:w="1277" w:type="dxa"/>
            <w:tcBorders>
              <w:top w:val="nil"/>
              <w:left w:val="nil"/>
              <w:bottom w:val="single" w:sz="4" w:space="0" w:color="auto"/>
              <w:right w:val="single" w:sz="4" w:space="0" w:color="auto"/>
            </w:tcBorders>
            <w:shd w:val="clear" w:color="000000" w:fill="FFFFFF"/>
            <w:noWrap/>
            <w:vAlign w:val="bottom"/>
            <w:hideMark/>
          </w:tcPr>
          <w:p w14:paraId="6D02CFB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493,4</w:t>
            </w:r>
          </w:p>
        </w:tc>
        <w:tc>
          <w:tcPr>
            <w:tcW w:w="1040" w:type="dxa"/>
            <w:tcBorders>
              <w:top w:val="nil"/>
              <w:left w:val="nil"/>
              <w:bottom w:val="single" w:sz="4" w:space="0" w:color="auto"/>
              <w:right w:val="single" w:sz="4" w:space="0" w:color="auto"/>
            </w:tcBorders>
            <w:shd w:val="clear" w:color="000000" w:fill="FFFFFF"/>
            <w:noWrap/>
            <w:vAlign w:val="bottom"/>
            <w:hideMark/>
          </w:tcPr>
          <w:p w14:paraId="1FE6F7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w:t>
            </w:r>
          </w:p>
        </w:tc>
        <w:tc>
          <w:tcPr>
            <w:tcW w:w="1087" w:type="dxa"/>
            <w:tcBorders>
              <w:top w:val="nil"/>
              <w:left w:val="nil"/>
              <w:bottom w:val="single" w:sz="4" w:space="0" w:color="auto"/>
              <w:right w:val="single" w:sz="4" w:space="0" w:color="auto"/>
            </w:tcBorders>
            <w:shd w:val="clear" w:color="000000" w:fill="FFFFFF"/>
            <w:noWrap/>
            <w:vAlign w:val="bottom"/>
            <w:hideMark/>
          </w:tcPr>
          <w:p w14:paraId="7ABEF0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88,5</w:t>
            </w:r>
          </w:p>
        </w:tc>
        <w:tc>
          <w:tcPr>
            <w:tcW w:w="1040" w:type="dxa"/>
            <w:tcBorders>
              <w:top w:val="nil"/>
              <w:left w:val="nil"/>
              <w:bottom w:val="single" w:sz="4" w:space="0" w:color="auto"/>
              <w:right w:val="single" w:sz="4" w:space="0" w:color="auto"/>
            </w:tcBorders>
            <w:shd w:val="clear" w:color="000000" w:fill="FFFFFF"/>
            <w:noWrap/>
            <w:vAlign w:val="bottom"/>
            <w:hideMark/>
          </w:tcPr>
          <w:p w14:paraId="0A0A75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299,7</w:t>
            </w:r>
          </w:p>
        </w:tc>
        <w:tc>
          <w:tcPr>
            <w:tcW w:w="1226" w:type="dxa"/>
            <w:tcBorders>
              <w:top w:val="nil"/>
              <w:left w:val="nil"/>
              <w:bottom w:val="single" w:sz="4" w:space="0" w:color="auto"/>
              <w:right w:val="single" w:sz="4" w:space="0" w:color="auto"/>
            </w:tcBorders>
            <w:shd w:val="clear" w:color="000000" w:fill="FFFFFF"/>
            <w:noWrap/>
            <w:vAlign w:val="bottom"/>
            <w:hideMark/>
          </w:tcPr>
          <w:p w14:paraId="4E39B5D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522564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C658A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Якимово</w:t>
            </w:r>
          </w:p>
        </w:tc>
        <w:tc>
          <w:tcPr>
            <w:tcW w:w="1911" w:type="dxa"/>
            <w:tcBorders>
              <w:top w:val="nil"/>
              <w:left w:val="nil"/>
              <w:bottom w:val="single" w:sz="4" w:space="0" w:color="auto"/>
              <w:right w:val="single" w:sz="4" w:space="0" w:color="auto"/>
            </w:tcBorders>
            <w:shd w:val="clear" w:color="000000" w:fill="FFFFFF"/>
            <w:noWrap/>
            <w:vAlign w:val="bottom"/>
            <w:hideMark/>
          </w:tcPr>
          <w:p w14:paraId="3E8859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2 067,0</w:t>
            </w:r>
          </w:p>
        </w:tc>
        <w:tc>
          <w:tcPr>
            <w:tcW w:w="1118" w:type="dxa"/>
            <w:tcBorders>
              <w:top w:val="nil"/>
              <w:left w:val="nil"/>
              <w:bottom w:val="single" w:sz="4" w:space="0" w:color="auto"/>
              <w:right w:val="single" w:sz="4" w:space="0" w:color="auto"/>
            </w:tcBorders>
            <w:shd w:val="clear" w:color="000000" w:fill="FFFFFF"/>
            <w:noWrap/>
            <w:vAlign w:val="bottom"/>
            <w:hideMark/>
          </w:tcPr>
          <w:p w14:paraId="0FE4A2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591,8</w:t>
            </w:r>
          </w:p>
        </w:tc>
        <w:tc>
          <w:tcPr>
            <w:tcW w:w="1257" w:type="dxa"/>
            <w:tcBorders>
              <w:top w:val="nil"/>
              <w:left w:val="nil"/>
              <w:bottom w:val="single" w:sz="4" w:space="0" w:color="auto"/>
              <w:right w:val="single" w:sz="4" w:space="0" w:color="auto"/>
            </w:tcBorders>
            <w:shd w:val="clear" w:color="000000" w:fill="FFFFFF"/>
            <w:noWrap/>
            <w:vAlign w:val="bottom"/>
            <w:hideMark/>
          </w:tcPr>
          <w:p w14:paraId="514A51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91,0</w:t>
            </w:r>
          </w:p>
        </w:tc>
        <w:tc>
          <w:tcPr>
            <w:tcW w:w="1384" w:type="dxa"/>
            <w:tcBorders>
              <w:top w:val="nil"/>
              <w:left w:val="nil"/>
              <w:bottom w:val="single" w:sz="4" w:space="0" w:color="auto"/>
              <w:right w:val="single" w:sz="4" w:space="0" w:color="auto"/>
            </w:tcBorders>
            <w:shd w:val="clear" w:color="000000" w:fill="FFFFFF"/>
            <w:noWrap/>
            <w:vAlign w:val="bottom"/>
            <w:hideMark/>
          </w:tcPr>
          <w:p w14:paraId="2B1572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500,8</w:t>
            </w:r>
          </w:p>
        </w:tc>
        <w:tc>
          <w:tcPr>
            <w:tcW w:w="1134" w:type="dxa"/>
            <w:tcBorders>
              <w:top w:val="nil"/>
              <w:left w:val="nil"/>
              <w:bottom w:val="single" w:sz="4" w:space="0" w:color="auto"/>
              <w:right w:val="single" w:sz="4" w:space="0" w:color="auto"/>
            </w:tcBorders>
            <w:shd w:val="clear" w:color="000000" w:fill="FFFFFF"/>
            <w:noWrap/>
            <w:vAlign w:val="bottom"/>
            <w:hideMark/>
          </w:tcPr>
          <w:p w14:paraId="70CF3F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130,3</w:t>
            </w:r>
          </w:p>
        </w:tc>
        <w:tc>
          <w:tcPr>
            <w:tcW w:w="1277" w:type="dxa"/>
            <w:tcBorders>
              <w:top w:val="nil"/>
              <w:left w:val="nil"/>
              <w:bottom w:val="single" w:sz="4" w:space="0" w:color="auto"/>
              <w:right w:val="single" w:sz="4" w:space="0" w:color="auto"/>
            </w:tcBorders>
            <w:shd w:val="clear" w:color="000000" w:fill="FFFFFF"/>
            <w:noWrap/>
            <w:vAlign w:val="bottom"/>
            <w:hideMark/>
          </w:tcPr>
          <w:p w14:paraId="59B792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1 149,9</w:t>
            </w:r>
          </w:p>
        </w:tc>
        <w:tc>
          <w:tcPr>
            <w:tcW w:w="1040" w:type="dxa"/>
            <w:tcBorders>
              <w:top w:val="nil"/>
              <w:left w:val="nil"/>
              <w:bottom w:val="single" w:sz="4" w:space="0" w:color="auto"/>
              <w:right w:val="single" w:sz="4" w:space="0" w:color="auto"/>
            </w:tcBorders>
            <w:shd w:val="clear" w:color="000000" w:fill="FFFFFF"/>
            <w:noWrap/>
            <w:vAlign w:val="bottom"/>
            <w:hideMark/>
          </w:tcPr>
          <w:p w14:paraId="727E89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28,5</w:t>
            </w:r>
          </w:p>
        </w:tc>
        <w:tc>
          <w:tcPr>
            <w:tcW w:w="1087" w:type="dxa"/>
            <w:tcBorders>
              <w:top w:val="nil"/>
              <w:left w:val="nil"/>
              <w:bottom w:val="single" w:sz="4" w:space="0" w:color="auto"/>
              <w:right w:val="single" w:sz="4" w:space="0" w:color="auto"/>
            </w:tcBorders>
            <w:shd w:val="clear" w:color="000000" w:fill="FFFFFF"/>
            <w:noWrap/>
            <w:vAlign w:val="bottom"/>
            <w:hideMark/>
          </w:tcPr>
          <w:p w14:paraId="7B7AA3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65,3</w:t>
            </w:r>
          </w:p>
        </w:tc>
        <w:tc>
          <w:tcPr>
            <w:tcW w:w="1040" w:type="dxa"/>
            <w:tcBorders>
              <w:top w:val="nil"/>
              <w:left w:val="nil"/>
              <w:bottom w:val="single" w:sz="4" w:space="0" w:color="auto"/>
              <w:right w:val="single" w:sz="4" w:space="0" w:color="auto"/>
            </w:tcBorders>
            <w:shd w:val="clear" w:color="000000" w:fill="FFFFFF"/>
            <w:noWrap/>
            <w:vAlign w:val="bottom"/>
            <w:hideMark/>
          </w:tcPr>
          <w:p w14:paraId="2AD84C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101,2</w:t>
            </w:r>
          </w:p>
        </w:tc>
        <w:tc>
          <w:tcPr>
            <w:tcW w:w="1226" w:type="dxa"/>
            <w:tcBorders>
              <w:top w:val="nil"/>
              <w:left w:val="nil"/>
              <w:bottom w:val="single" w:sz="4" w:space="0" w:color="auto"/>
              <w:right w:val="single" w:sz="4" w:space="0" w:color="auto"/>
            </w:tcBorders>
            <w:shd w:val="clear" w:color="000000" w:fill="FFFFFF"/>
            <w:noWrap/>
            <w:vAlign w:val="bottom"/>
            <w:hideMark/>
          </w:tcPr>
          <w:p w14:paraId="4708BC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8DBFD3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1548D55"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23BE97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61C4D8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57B7E3F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4B0FE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550E2C1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1BBDFD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2BE184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31B568B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77E9B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6F15F8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7D8845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A8D5B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ПАЗАРДЖИК</w:t>
            </w:r>
          </w:p>
        </w:tc>
        <w:tc>
          <w:tcPr>
            <w:tcW w:w="1911" w:type="dxa"/>
            <w:tcBorders>
              <w:top w:val="nil"/>
              <w:left w:val="nil"/>
              <w:bottom w:val="single" w:sz="4" w:space="0" w:color="auto"/>
              <w:right w:val="single" w:sz="4" w:space="0" w:color="auto"/>
            </w:tcBorders>
            <w:shd w:val="clear" w:color="000000" w:fill="FFFFFF"/>
            <w:noWrap/>
            <w:vAlign w:val="bottom"/>
            <w:hideMark/>
          </w:tcPr>
          <w:p w14:paraId="4C08A6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02F1688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024371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705AF5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6C8D86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0C6B33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7908F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4FE758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94740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3D7836B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3D46DF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85ADB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Батак</w:t>
            </w:r>
          </w:p>
        </w:tc>
        <w:tc>
          <w:tcPr>
            <w:tcW w:w="1911" w:type="dxa"/>
            <w:tcBorders>
              <w:top w:val="nil"/>
              <w:left w:val="nil"/>
              <w:bottom w:val="single" w:sz="4" w:space="0" w:color="auto"/>
              <w:right w:val="single" w:sz="4" w:space="0" w:color="auto"/>
            </w:tcBorders>
            <w:shd w:val="clear" w:color="000000" w:fill="FFFFFF"/>
            <w:noWrap/>
            <w:vAlign w:val="bottom"/>
            <w:hideMark/>
          </w:tcPr>
          <w:p w14:paraId="3098E1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5 477,2</w:t>
            </w:r>
          </w:p>
        </w:tc>
        <w:tc>
          <w:tcPr>
            <w:tcW w:w="1118" w:type="dxa"/>
            <w:tcBorders>
              <w:top w:val="nil"/>
              <w:left w:val="nil"/>
              <w:bottom w:val="single" w:sz="4" w:space="0" w:color="auto"/>
              <w:right w:val="single" w:sz="4" w:space="0" w:color="auto"/>
            </w:tcBorders>
            <w:shd w:val="clear" w:color="000000" w:fill="FFFFFF"/>
            <w:noWrap/>
            <w:vAlign w:val="bottom"/>
            <w:hideMark/>
          </w:tcPr>
          <w:p w14:paraId="7417F2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651,8</w:t>
            </w:r>
          </w:p>
        </w:tc>
        <w:tc>
          <w:tcPr>
            <w:tcW w:w="1257" w:type="dxa"/>
            <w:tcBorders>
              <w:top w:val="nil"/>
              <w:left w:val="nil"/>
              <w:bottom w:val="single" w:sz="4" w:space="0" w:color="auto"/>
              <w:right w:val="single" w:sz="4" w:space="0" w:color="auto"/>
            </w:tcBorders>
            <w:shd w:val="clear" w:color="000000" w:fill="FFFFFF"/>
            <w:noWrap/>
            <w:vAlign w:val="bottom"/>
            <w:hideMark/>
          </w:tcPr>
          <w:p w14:paraId="55B7AF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77,5</w:t>
            </w:r>
          </w:p>
        </w:tc>
        <w:tc>
          <w:tcPr>
            <w:tcW w:w="1384" w:type="dxa"/>
            <w:tcBorders>
              <w:top w:val="nil"/>
              <w:left w:val="nil"/>
              <w:bottom w:val="single" w:sz="4" w:space="0" w:color="auto"/>
              <w:right w:val="single" w:sz="4" w:space="0" w:color="auto"/>
            </w:tcBorders>
            <w:shd w:val="clear" w:color="000000" w:fill="FFFFFF"/>
            <w:noWrap/>
            <w:vAlign w:val="bottom"/>
            <w:hideMark/>
          </w:tcPr>
          <w:p w14:paraId="02E0CD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574,3</w:t>
            </w:r>
          </w:p>
        </w:tc>
        <w:tc>
          <w:tcPr>
            <w:tcW w:w="1134" w:type="dxa"/>
            <w:tcBorders>
              <w:top w:val="nil"/>
              <w:left w:val="nil"/>
              <w:bottom w:val="single" w:sz="4" w:space="0" w:color="auto"/>
              <w:right w:val="single" w:sz="4" w:space="0" w:color="auto"/>
            </w:tcBorders>
            <w:shd w:val="clear" w:color="000000" w:fill="FFFFFF"/>
            <w:noWrap/>
            <w:vAlign w:val="bottom"/>
            <w:hideMark/>
          </w:tcPr>
          <w:p w14:paraId="052B1E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116,1</w:t>
            </w:r>
          </w:p>
        </w:tc>
        <w:tc>
          <w:tcPr>
            <w:tcW w:w="1277" w:type="dxa"/>
            <w:tcBorders>
              <w:top w:val="nil"/>
              <w:left w:val="nil"/>
              <w:bottom w:val="single" w:sz="4" w:space="0" w:color="auto"/>
              <w:right w:val="single" w:sz="4" w:space="0" w:color="auto"/>
            </w:tcBorders>
            <w:shd w:val="clear" w:color="000000" w:fill="FFFFFF"/>
            <w:noWrap/>
            <w:vAlign w:val="bottom"/>
            <w:hideMark/>
          </w:tcPr>
          <w:p w14:paraId="622C73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2 209,3</w:t>
            </w:r>
          </w:p>
        </w:tc>
        <w:tc>
          <w:tcPr>
            <w:tcW w:w="1040" w:type="dxa"/>
            <w:tcBorders>
              <w:top w:val="nil"/>
              <w:left w:val="nil"/>
              <w:bottom w:val="single" w:sz="4" w:space="0" w:color="auto"/>
              <w:right w:val="single" w:sz="4" w:space="0" w:color="auto"/>
            </w:tcBorders>
            <w:shd w:val="clear" w:color="000000" w:fill="FFFFFF"/>
            <w:noWrap/>
            <w:vAlign w:val="bottom"/>
            <w:hideMark/>
          </w:tcPr>
          <w:p w14:paraId="5E6253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60,5</w:t>
            </w:r>
          </w:p>
        </w:tc>
        <w:tc>
          <w:tcPr>
            <w:tcW w:w="1087" w:type="dxa"/>
            <w:tcBorders>
              <w:top w:val="nil"/>
              <w:left w:val="nil"/>
              <w:bottom w:val="single" w:sz="4" w:space="0" w:color="auto"/>
              <w:right w:val="single" w:sz="4" w:space="0" w:color="auto"/>
            </w:tcBorders>
            <w:shd w:val="clear" w:color="000000" w:fill="FFFFFF"/>
            <w:noWrap/>
            <w:vAlign w:val="bottom"/>
            <w:hideMark/>
          </w:tcPr>
          <w:p w14:paraId="7D248B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2 039,1</w:t>
            </w:r>
          </w:p>
        </w:tc>
        <w:tc>
          <w:tcPr>
            <w:tcW w:w="1040" w:type="dxa"/>
            <w:tcBorders>
              <w:top w:val="nil"/>
              <w:left w:val="nil"/>
              <w:bottom w:val="single" w:sz="4" w:space="0" w:color="auto"/>
              <w:right w:val="single" w:sz="4" w:space="0" w:color="auto"/>
            </w:tcBorders>
            <w:shd w:val="clear" w:color="000000" w:fill="FFFFFF"/>
            <w:noWrap/>
            <w:vAlign w:val="bottom"/>
            <w:hideMark/>
          </w:tcPr>
          <w:p w14:paraId="7E15C9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400,4</w:t>
            </w:r>
          </w:p>
        </w:tc>
        <w:tc>
          <w:tcPr>
            <w:tcW w:w="1226" w:type="dxa"/>
            <w:tcBorders>
              <w:top w:val="nil"/>
              <w:left w:val="nil"/>
              <w:bottom w:val="single" w:sz="4" w:space="0" w:color="auto"/>
              <w:right w:val="single" w:sz="4" w:space="0" w:color="auto"/>
            </w:tcBorders>
            <w:shd w:val="clear" w:color="000000" w:fill="FFFFFF"/>
            <w:noWrap/>
            <w:vAlign w:val="bottom"/>
            <w:hideMark/>
          </w:tcPr>
          <w:p w14:paraId="24E943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653F83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78AE3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Белово</w:t>
            </w:r>
          </w:p>
        </w:tc>
        <w:tc>
          <w:tcPr>
            <w:tcW w:w="1911" w:type="dxa"/>
            <w:tcBorders>
              <w:top w:val="nil"/>
              <w:left w:val="nil"/>
              <w:bottom w:val="single" w:sz="4" w:space="0" w:color="auto"/>
              <w:right w:val="single" w:sz="4" w:space="0" w:color="auto"/>
            </w:tcBorders>
            <w:shd w:val="clear" w:color="000000" w:fill="FFFFFF"/>
            <w:noWrap/>
            <w:vAlign w:val="bottom"/>
            <w:hideMark/>
          </w:tcPr>
          <w:p w14:paraId="16516E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4 758,9</w:t>
            </w:r>
          </w:p>
        </w:tc>
        <w:tc>
          <w:tcPr>
            <w:tcW w:w="1118" w:type="dxa"/>
            <w:tcBorders>
              <w:top w:val="nil"/>
              <w:left w:val="nil"/>
              <w:bottom w:val="single" w:sz="4" w:space="0" w:color="auto"/>
              <w:right w:val="single" w:sz="4" w:space="0" w:color="auto"/>
            </w:tcBorders>
            <w:shd w:val="clear" w:color="000000" w:fill="FFFFFF"/>
            <w:noWrap/>
            <w:vAlign w:val="bottom"/>
            <w:hideMark/>
          </w:tcPr>
          <w:p w14:paraId="4CF81F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786,5</w:t>
            </w:r>
          </w:p>
        </w:tc>
        <w:tc>
          <w:tcPr>
            <w:tcW w:w="1257" w:type="dxa"/>
            <w:tcBorders>
              <w:top w:val="nil"/>
              <w:left w:val="nil"/>
              <w:bottom w:val="single" w:sz="4" w:space="0" w:color="auto"/>
              <w:right w:val="single" w:sz="4" w:space="0" w:color="auto"/>
            </w:tcBorders>
            <w:shd w:val="clear" w:color="000000" w:fill="FFFFFF"/>
            <w:noWrap/>
            <w:vAlign w:val="bottom"/>
            <w:hideMark/>
          </w:tcPr>
          <w:p w14:paraId="65E4DF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151,6</w:t>
            </w:r>
          </w:p>
        </w:tc>
        <w:tc>
          <w:tcPr>
            <w:tcW w:w="1384" w:type="dxa"/>
            <w:tcBorders>
              <w:top w:val="nil"/>
              <w:left w:val="nil"/>
              <w:bottom w:val="single" w:sz="4" w:space="0" w:color="auto"/>
              <w:right w:val="single" w:sz="4" w:space="0" w:color="auto"/>
            </w:tcBorders>
            <w:shd w:val="clear" w:color="000000" w:fill="FFFFFF"/>
            <w:noWrap/>
            <w:vAlign w:val="bottom"/>
            <w:hideMark/>
          </w:tcPr>
          <w:p w14:paraId="1854C6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634,9</w:t>
            </w:r>
          </w:p>
        </w:tc>
        <w:tc>
          <w:tcPr>
            <w:tcW w:w="1134" w:type="dxa"/>
            <w:tcBorders>
              <w:top w:val="nil"/>
              <w:left w:val="nil"/>
              <w:bottom w:val="single" w:sz="4" w:space="0" w:color="auto"/>
              <w:right w:val="single" w:sz="4" w:space="0" w:color="auto"/>
            </w:tcBorders>
            <w:shd w:val="clear" w:color="000000" w:fill="FFFFFF"/>
            <w:noWrap/>
            <w:vAlign w:val="bottom"/>
            <w:hideMark/>
          </w:tcPr>
          <w:p w14:paraId="073DF4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195,8</w:t>
            </w:r>
          </w:p>
        </w:tc>
        <w:tc>
          <w:tcPr>
            <w:tcW w:w="1277" w:type="dxa"/>
            <w:tcBorders>
              <w:top w:val="nil"/>
              <w:left w:val="nil"/>
              <w:bottom w:val="single" w:sz="4" w:space="0" w:color="auto"/>
              <w:right w:val="single" w:sz="4" w:space="0" w:color="auto"/>
            </w:tcBorders>
            <w:shd w:val="clear" w:color="000000" w:fill="FFFFFF"/>
            <w:noWrap/>
            <w:vAlign w:val="bottom"/>
            <w:hideMark/>
          </w:tcPr>
          <w:p w14:paraId="6ED7CD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2 756,9</w:t>
            </w:r>
          </w:p>
        </w:tc>
        <w:tc>
          <w:tcPr>
            <w:tcW w:w="1040" w:type="dxa"/>
            <w:tcBorders>
              <w:top w:val="nil"/>
              <w:left w:val="nil"/>
              <w:bottom w:val="single" w:sz="4" w:space="0" w:color="auto"/>
              <w:right w:val="single" w:sz="4" w:space="0" w:color="auto"/>
            </w:tcBorders>
            <w:shd w:val="clear" w:color="000000" w:fill="FFFFFF"/>
            <w:noWrap/>
            <w:vAlign w:val="bottom"/>
            <w:hideMark/>
          </w:tcPr>
          <w:p w14:paraId="6803B1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51,7</w:t>
            </w:r>
          </w:p>
        </w:tc>
        <w:tc>
          <w:tcPr>
            <w:tcW w:w="1087" w:type="dxa"/>
            <w:tcBorders>
              <w:top w:val="nil"/>
              <w:left w:val="nil"/>
              <w:bottom w:val="single" w:sz="4" w:space="0" w:color="auto"/>
              <w:right w:val="single" w:sz="4" w:space="0" w:color="auto"/>
            </w:tcBorders>
            <w:shd w:val="clear" w:color="000000" w:fill="FFFFFF"/>
            <w:noWrap/>
            <w:vAlign w:val="bottom"/>
            <w:hideMark/>
          </w:tcPr>
          <w:p w14:paraId="70AB08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743,2</w:t>
            </w:r>
          </w:p>
        </w:tc>
        <w:tc>
          <w:tcPr>
            <w:tcW w:w="1040" w:type="dxa"/>
            <w:tcBorders>
              <w:top w:val="nil"/>
              <w:left w:val="nil"/>
              <w:bottom w:val="single" w:sz="4" w:space="0" w:color="auto"/>
              <w:right w:val="single" w:sz="4" w:space="0" w:color="auto"/>
            </w:tcBorders>
            <w:shd w:val="clear" w:color="000000" w:fill="FFFFFF"/>
            <w:noWrap/>
            <w:vAlign w:val="bottom"/>
            <w:hideMark/>
          </w:tcPr>
          <w:p w14:paraId="6C6D12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224,8</w:t>
            </w:r>
          </w:p>
        </w:tc>
        <w:tc>
          <w:tcPr>
            <w:tcW w:w="1226" w:type="dxa"/>
            <w:tcBorders>
              <w:top w:val="nil"/>
              <w:left w:val="nil"/>
              <w:bottom w:val="single" w:sz="4" w:space="0" w:color="auto"/>
              <w:right w:val="single" w:sz="4" w:space="0" w:color="auto"/>
            </w:tcBorders>
            <w:shd w:val="clear" w:color="000000" w:fill="FFFFFF"/>
            <w:noWrap/>
            <w:vAlign w:val="bottom"/>
            <w:hideMark/>
          </w:tcPr>
          <w:p w14:paraId="2F6BD19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FB3C6A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E65A9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Брацигово</w:t>
            </w:r>
          </w:p>
        </w:tc>
        <w:tc>
          <w:tcPr>
            <w:tcW w:w="1911" w:type="dxa"/>
            <w:tcBorders>
              <w:top w:val="nil"/>
              <w:left w:val="nil"/>
              <w:bottom w:val="single" w:sz="4" w:space="0" w:color="auto"/>
              <w:right w:val="single" w:sz="4" w:space="0" w:color="auto"/>
            </w:tcBorders>
            <w:shd w:val="clear" w:color="000000" w:fill="FFFFFF"/>
            <w:noWrap/>
            <w:vAlign w:val="bottom"/>
            <w:hideMark/>
          </w:tcPr>
          <w:p w14:paraId="4D2EE4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5 254,5</w:t>
            </w:r>
          </w:p>
        </w:tc>
        <w:tc>
          <w:tcPr>
            <w:tcW w:w="1118" w:type="dxa"/>
            <w:tcBorders>
              <w:top w:val="nil"/>
              <w:left w:val="nil"/>
              <w:bottom w:val="single" w:sz="4" w:space="0" w:color="auto"/>
              <w:right w:val="single" w:sz="4" w:space="0" w:color="auto"/>
            </w:tcBorders>
            <w:shd w:val="clear" w:color="000000" w:fill="FFFFFF"/>
            <w:noWrap/>
            <w:vAlign w:val="bottom"/>
            <w:hideMark/>
          </w:tcPr>
          <w:p w14:paraId="1AFA24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791,5</w:t>
            </w:r>
          </w:p>
        </w:tc>
        <w:tc>
          <w:tcPr>
            <w:tcW w:w="1257" w:type="dxa"/>
            <w:tcBorders>
              <w:top w:val="nil"/>
              <w:left w:val="nil"/>
              <w:bottom w:val="single" w:sz="4" w:space="0" w:color="auto"/>
              <w:right w:val="single" w:sz="4" w:space="0" w:color="auto"/>
            </w:tcBorders>
            <w:shd w:val="clear" w:color="000000" w:fill="FFFFFF"/>
            <w:noWrap/>
            <w:vAlign w:val="bottom"/>
            <w:hideMark/>
          </w:tcPr>
          <w:p w14:paraId="09549F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134,7</w:t>
            </w:r>
          </w:p>
        </w:tc>
        <w:tc>
          <w:tcPr>
            <w:tcW w:w="1384" w:type="dxa"/>
            <w:tcBorders>
              <w:top w:val="nil"/>
              <w:left w:val="nil"/>
              <w:bottom w:val="single" w:sz="4" w:space="0" w:color="auto"/>
              <w:right w:val="single" w:sz="4" w:space="0" w:color="auto"/>
            </w:tcBorders>
            <w:shd w:val="clear" w:color="000000" w:fill="FFFFFF"/>
            <w:noWrap/>
            <w:vAlign w:val="bottom"/>
            <w:hideMark/>
          </w:tcPr>
          <w:p w14:paraId="0E8431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656,8</w:t>
            </w:r>
          </w:p>
        </w:tc>
        <w:tc>
          <w:tcPr>
            <w:tcW w:w="1134" w:type="dxa"/>
            <w:tcBorders>
              <w:top w:val="nil"/>
              <w:left w:val="nil"/>
              <w:bottom w:val="single" w:sz="4" w:space="0" w:color="auto"/>
              <w:right w:val="single" w:sz="4" w:space="0" w:color="auto"/>
            </w:tcBorders>
            <w:shd w:val="clear" w:color="000000" w:fill="FFFFFF"/>
            <w:noWrap/>
            <w:vAlign w:val="bottom"/>
            <w:hideMark/>
          </w:tcPr>
          <w:p w14:paraId="007B33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117,9</w:t>
            </w:r>
          </w:p>
        </w:tc>
        <w:tc>
          <w:tcPr>
            <w:tcW w:w="1277" w:type="dxa"/>
            <w:tcBorders>
              <w:top w:val="nil"/>
              <w:left w:val="nil"/>
              <w:bottom w:val="single" w:sz="4" w:space="0" w:color="auto"/>
              <w:right w:val="single" w:sz="4" w:space="0" w:color="auto"/>
            </w:tcBorders>
            <w:shd w:val="clear" w:color="000000" w:fill="FFFFFF"/>
            <w:noWrap/>
            <w:vAlign w:val="bottom"/>
            <w:hideMark/>
          </w:tcPr>
          <w:p w14:paraId="116056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2 633,6</w:t>
            </w:r>
          </w:p>
        </w:tc>
        <w:tc>
          <w:tcPr>
            <w:tcW w:w="1040" w:type="dxa"/>
            <w:tcBorders>
              <w:top w:val="nil"/>
              <w:left w:val="nil"/>
              <w:bottom w:val="single" w:sz="4" w:space="0" w:color="auto"/>
              <w:right w:val="single" w:sz="4" w:space="0" w:color="auto"/>
            </w:tcBorders>
            <w:shd w:val="clear" w:color="000000" w:fill="FFFFFF"/>
            <w:noWrap/>
            <w:vAlign w:val="bottom"/>
            <w:hideMark/>
          </w:tcPr>
          <w:p w14:paraId="37EEBB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144,6</w:t>
            </w:r>
          </w:p>
        </w:tc>
        <w:tc>
          <w:tcPr>
            <w:tcW w:w="1087" w:type="dxa"/>
            <w:tcBorders>
              <w:top w:val="nil"/>
              <w:left w:val="nil"/>
              <w:bottom w:val="single" w:sz="4" w:space="0" w:color="auto"/>
              <w:right w:val="single" w:sz="4" w:space="0" w:color="auto"/>
            </w:tcBorders>
            <w:shd w:val="clear" w:color="000000" w:fill="FFFFFF"/>
            <w:noWrap/>
            <w:vAlign w:val="bottom"/>
            <w:hideMark/>
          </w:tcPr>
          <w:p w14:paraId="5C8CEE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1 387,1</w:t>
            </w:r>
          </w:p>
        </w:tc>
        <w:tc>
          <w:tcPr>
            <w:tcW w:w="1040" w:type="dxa"/>
            <w:tcBorders>
              <w:top w:val="nil"/>
              <w:left w:val="nil"/>
              <w:bottom w:val="single" w:sz="4" w:space="0" w:color="auto"/>
              <w:right w:val="single" w:sz="4" w:space="0" w:color="auto"/>
            </w:tcBorders>
            <w:shd w:val="clear" w:color="000000" w:fill="FFFFFF"/>
            <w:noWrap/>
            <w:vAlign w:val="bottom"/>
            <w:hideMark/>
          </w:tcPr>
          <w:p w14:paraId="25B358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179,8</w:t>
            </w:r>
          </w:p>
        </w:tc>
        <w:tc>
          <w:tcPr>
            <w:tcW w:w="1226" w:type="dxa"/>
            <w:tcBorders>
              <w:top w:val="nil"/>
              <w:left w:val="nil"/>
              <w:bottom w:val="single" w:sz="4" w:space="0" w:color="auto"/>
              <w:right w:val="single" w:sz="4" w:space="0" w:color="auto"/>
            </w:tcBorders>
            <w:shd w:val="clear" w:color="000000" w:fill="FFFFFF"/>
            <w:noWrap/>
            <w:vAlign w:val="bottom"/>
            <w:hideMark/>
          </w:tcPr>
          <w:p w14:paraId="6C6311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6DDF80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ED8E3C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Bелинград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01A77E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23 917,4</w:t>
            </w:r>
          </w:p>
        </w:tc>
        <w:tc>
          <w:tcPr>
            <w:tcW w:w="1118" w:type="dxa"/>
            <w:tcBorders>
              <w:top w:val="nil"/>
              <w:left w:val="nil"/>
              <w:bottom w:val="single" w:sz="4" w:space="0" w:color="auto"/>
              <w:right w:val="single" w:sz="4" w:space="0" w:color="auto"/>
            </w:tcBorders>
            <w:shd w:val="clear" w:color="000000" w:fill="FFFFFF"/>
            <w:noWrap/>
            <w:vAlign w:val="bottom"/>
            <w:hideMark/>
          </w:tcPr>
          <w:p w14:paraId="11A023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1 796,4</w:t>
            </w:r>
          </w:p>
        </w:tc>
        <w:tc>
          <w:tcPr>
            <w:tcW w:w="1257" w:type="dxa"/>
            <w:tcBorders>
              <w:top w:val="nil"/>
              <w:left w:val="nil"/>
              <w:bottom w:val="single" w:sz="4" w:space="0" w:color="auto"/>
              <w:right w:val="single" w:sz="4" w:space="0" w:color="auto"/>
            </w:tcBorders>
            <w:shd w:val="clear" w:color="000000" w:fill="FFFFFF"/>
            <w:noWrap/>
            <w:vAlign w:val="bottom"/>
            <w:hideMark/>
          </w:tcPr>
          <w:p w14:paraId="478DCD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357,1</w:t>
            </w:r>
          </w:p>
        </w:tc>
        <w:tc>
          <w:tcPr>
            <w:tcW w:w="1384" w:type="dxa"/>
            <w:tcBorders>
              <w:top w:val="nil"/>
              <w:left w:val="nil"/>
              <w:bottom w:val="single" w:sz="4" w:space="0" w:color="auto"/>
              <w:right w:val="single" w:sz="4" w:space="0" w:color="auto"/>
            </w:tcBorders>
            <w:shd w:val="clear" w:color="000000" w:fill="FFFFFF"/>
            <w:noWrap/>
            <w:vAlign w:val="bottom"/>
            <w:hideMark/>
          </w:tcPr>
          <w:p w14:paraId="261A2D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1 439,3</w:t>
            </w:r>
          </w:p>
        </w:tc>
        <w:tc>
          <w:tcPr>
            <w:tcW w:w="1134" w:type="dxa"/>
            <w:tcBorders>
              <w:top w:val="nil"/>
              <w:left w:val="nil"/>
              <w:bottom w:val="single" w:sz="4" w:space="0" w:color="auto"/>
              <w:right w:val="single" w:sz="4" w:space="0" w:color="auto"/>
            </w:tcBorders>
            <w:shd w:val="clear" w:color="000000" w:fill="FFFFFF"/>
            <w:noWrap/>
            <w:vAlign w:val="bottom"/>
            <w:hideMark/>
          </w:tcPr>
          <w:p w14:paraId="554210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179,4</w:t>
            </w:r>
          </w:p>
        </w:tc>
        <w:tc>
          <w:tcPr>
            <w:tcW w:w="1277" w:type="dxa"/>
            <w:tcBorders>
              <w:top w:val="nil"/>
              <w:left w:val="nil"/>
              <w:bottom w:val="single" w:sz="4" w:space="0" w:color="auto"/>
              <w:right w:val="single" w:sz="4" w:space="0" w:color="auto"/>
            </w:tcBorders>
            <w:shd w:val="clear" w:color="000000" w:fill="FFFFFF"/>
            <w:noWrap/>
            <w:vAlign w:val="bottom"/>
            <w:hideMark/>
          </w:tcPr>
          <w:p w14:paraId="6291EC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17 343,0</w:t>
            </w:r>
          </w:p>
        </w:tc>
        <w:tc>
          <w:tcPr>
            <w:tcW w:w="1040" w:type="dxa"/>
            <w:tcBorders>
              <w:top w:val="nil"/>
              <w:left w:val="nil"/>
              <w:bottom w:val="single" w:sz="4" w:space="0" w:color="auto"/>
              <w:right w:val="single" w:sz="4" w:space="0" w:color="auto"/>
            </w:tcBorders>
            <w:shd w:val="clear" w:color="000000" w:fill="FFFFFF"/>
            <w:noWrap/>
            <w:vAlign w:val="bottom"/>
            <w:hideMark/>
          </w:tcPr>
          <w:p w14:paraId="133C5E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434,9</w:t>
            </w:r>
          </w:p>
        </w:tc>
        <w:tc>
          <w:tcPr>
            <w:tcW w:w="1087" w:type="dxa"/>
            <w:tcBorders>
              <w:top w:val="nil"/>
              <w:left w:val="nil"/>
              <w:bottom w:val="single" w:sz="4" w:space="0" w:color="auto"/>
              <w:right w:val="single" w:sz="4" w:space="0" w:color="auto"/>
            </w:tcBorders>
            <w:shd w:val="clear" w:color="000000" w:fill="FFFFFF"/>
            <w:noWrap/>
            <w:vAlign w:val="bottom"/>
            <w:hideMark/>
          </w:tcPr>
          <w:p w14:paraId="0DFA8E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3 549,7</w:t>
            </w:r>
          </w:p>
        </w:tc>
        <w:tc>
          <w:tcPr>
            <w:tcW w:w="1040" w:type="dxa"/>
            <w:tcBorders>
              <w:top w:val="nil"/>
              <w:left w:val="nil"/>
              <w:bottom w:val="single" w:sz="4" w:space="0" w:color="auto"/>
              <w:right w:val="single" w:sz="4" w:space="0" w:color="auto"/>
            </w:tcBorders>
            <w:shd w:val="clear" w:color="000000" w:fill="FFFFFF"/>
            <w:noWrap/>
            <w:vAlign w:val="bottom"/>
            <w:hideMark/>
          </w:tcPr>
          <w:p w14:paraId="6026BA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614,0</w:t>
            </w:r>
          </w:p>
        </w:tc>
        <w:tc>
          <w:tcPr>
            <w:tcW w:w="1226" w:type="dxa"/>
            <w:tcBorders>
              <w:top w:val="nil"/>
              <w:left w:val="nil"/>
              <w:bottom w:val="single" w:sz="4" w:space="0" w:color="auto"/>
              <w:right w:val="single" w:sz="4" w:space="0" w:color="auto"/>
            </w:tcBorders>
            <w:shd w:val="clear" w:color="000000" w:fill="FFFFFF"/>
            <w:noWrap/>
            <w:vAlign w:val="bottom"/>
            <w:hideMark/>
          </w:tcPr>
          <w:p w14:paraId="48E07B1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54B0F0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C809E2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Лесичово</w:t>
            </w:r>
          </w:p>
        </w:tc>
        <w:tc>
          <w:tcPr>
            <w:tcW w:w="1911" w:type="dxa"/>
            <w:tcBorders>
              <w:top w:val="nil"/>
              <w:left w:val="nil"/>
              <w:bottom w:val="single" w:sz="4" w:space="0" w:color="auto"/>
              <w:right w:val="single" w:sz="4" w:space="0" w:color="auto"/>
            </w:tcBorders>
            <w:shd w:val="clear" w:color="000000" w:fill="FFFFFF"/>
            <w:noWrap/>
            <w:vAlign w:val="bottom"/>
            <w:hideMark/>
          </w:tcPr>
          <w:p w14:paraId="1D40ED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4 266,1</w:t>
            </w:r>
          </w:p>
        </w:tc>
        <w:tc>
          <w:tcPr>
            <w:tcW w:w="1118" w:type="dxa"/>
            <w:tcBorders>
              <w:top w:val="nil"/>
              <w:left w:val="nil"/>
              <w:bottom w:val="single" w:sz="4" w:space="0" w:color="auto"/>
              <w:right w:val="single" w:sz="4" w:space="0" w:color="auto"/>
            </w:tcBorders>
            <w:shd w:val="clear" w:color="000000" w:fill="FFFFFF"/>
            <w:noWrap/>
            <w:vAlign w:val="bottom"/>
            <w:hideMark/>
          </w:tcPr>
          <w:p w14:paraId="5EDD86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677,2</w:t>
            </w:r>
          </w:p>
        </w:tc>
        <w:tc>
          <w:tcPr>
            <w:tcW w:w="1257" w:type="dxa"/>
            <w:tcBorders>
              <w:top w:val="nil"/>
              <w:left w:val="nil"/>
              <w:bottom w:val="single" w:sz="4" w:space="0" w:color="auto"/>
              <w:right w:val="single" w:sz="4" w:space="0" w:color="auto"/>
            </w:tcBorders>
            <w:shd w:val="clear" w:color="000000" w:fill="FFFFFF"/>
            <w:noWrap/>
            <w:vAlign w:val="bottom"/>
            <w:hideMark/>
          </w:tcPr>
          <w:p w14:paraId="73783E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138,2</w:t>
            </w:r>
          </w:p>
        </w:tc>
        <w:tc>
          <w:tcPr>
            <w:tcW w:w="1384" w:type="dxa"/>
            <w:tcBorders>
              <w:top w:val="nil"/>
              <w:left w:val="nil"/>
              <w:bottom w:val="single" w:sz="4" w:space="0" w:color="auto"/>
              <w:right w:val="single" w:sz="4" w:space="0" w:color="auto"/>
            </w:tcBorders>
            <w:shd w:val="clear" w:color="000000" w:fill="FFFFFF"/>
            <w:noWrap/>
            <w:vAlign w:val="bottom"/>
            <w:hideMark/>
          </w:tcPr>
          <w:p w14:paraId="671208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539,0</w:t>
            </w:r>
          </w:p>
        </w:tc>
        <w:tc>
          <w:tcPr>
            <w:tcW w:w="1134" w:type="dxa"/>
            <w:tcBorders>
              <w:top w:val="nil"/>
              <w:left w:val="nil"/>
              <w:bottom w:val="single" w:sz="4" w:space="0" w:color="auto"/>
              <w:right w:val="single" w:sz="4" w:space="0" w:color="auto"/>
            </w:tcBorders>
            <w:shd w:val="clear" w:color="000000" w:fill="FFFFFF"/>
            <w:noWrap/>
            <w:vAlign w:val="bottom"/>
            <w:hideMark/>
          </w:tcPr>
          <w:p w14:paraId="39E47A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116,0</w:t>
            </w:r>
          </w:p>
        </w:tc>
        <w:tc>
          <w:tcPr>
            <w:tcW w:w="1277" w:type="dxa"/>
            <w:tcBorders>
              <w:top w:val="nil"/>
              <w:left w:val="nil"/>
              <w:bottom w:val="single" w:sz="4" w:space="0" w:color="auto"/>
              <w:right w:val="single" w:sz="4" w:space="0" w:color="auto"/>
            </w:tcBorders>
            <w:shd w:val="clear" w:color="000000" w:fill="FFFFFF"/>
            <w:noWrap/>
            <w:vAlign w:val="bottom"/>
            <w:hideMark/>
          </w:tcPr>
          <w:p w14:paraId="0D3648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1 723,5</w:t>
            </w:r>
          </w:p>
        </w:tc>
        <w:tc>
          <w:tcPr>
            <w:tcW w:w="1040" w:type="dxa"/>
            <w:tcBorders>
              <w:top w:val="nil"/>
              <w:left w:val="nil"/>
              <w:bottom w:val="single" w:sz="4" w:space="0" w:color="auto"/>
              <w:right w:val="single" w:sz="4" w:space="0" w:color="auto"/>
            </w:tcBorders>
            <w:shd w:val="clear" w:color="000000" w:fill="FFFFFF"/>
            <w:noWrap/>
            <w:vAlign w:val="bottom"/>
            <w:hideMark/>
          </w:tcPr>
          <w:p w14:paraId="7678E7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35,4</w:t>
            </w:r>
          </w:p>
        </w:tc>
        <w:tc>
          <w:tcPr>
            <w:tcW w:w="1087" w:type="dxa"/>
            <w:tcBorders>
              <w:top w:val="nil"/>
              <w:left w:val="nil"/>
              <w:bottom w:val="single" w:sz="4" w:space="0" w:color="auto"/>
              <w:right w:val="single" w:sz="4" w:space="0" w:color="auto"/>
            </w:tcBorders>
            <w:shd w:val="clear" w:color="000000" w:fill="FFFFFF"/>
            <w:noWrap/>
            <w:vAlign w:val="bottom"/>
            <w:hideMark/>
          </w:tcPr>
          <w:p w14:paraId="1764AC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1 556,7</w:t>
            </w:r>
          </w:p>
        </w:tc>
        <w:tc>
          <w:tcPr>
            <w:tcW w:w="1040" w:type="dxa"/>
            <w:tcBorders>
              <w:top w:val="nil"/>
              <w:left w:val="nil"/>
              <w:bottom w:val="single" w:sz="4" w:space="0" w:color="auto"/>
              <w:right w:val="single" w:sz="4" w:space="0" w:color="auto"/>
            </w:tcBorders>
            <w:shd w:val="clear" w:color="000000" w:fill="FFFFFF"/>
            <w:noWrap/>
            <w:vAlign w:val="bottom"/>
            <w:hideMark/>
          </w:tcPr>
          <w:p w14:paraId="0C2D59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157,3</w:t>
            </w:r>
          </w:p>
        </w:tc>
        <w:tc>
          <w:tcPr>
            <w:tcW w:w="1226" w:type="dxa"/>
            <w:tcBorders>
              <w:top w:val="nil"/>
              <w:left w:val="nil"/>
              <w:bottom w:val="single" w:sz="4" w:space="0" w:color="auto"/>
              <w:right w:val="single" w:sz="4" w:space="0" w:color="auto"/>
            </w:tcBorders>
            <w:shd w:val="clear" w:color="000000" w:fill="FFFFFF"/>
            <w:noWrap/>
            <w:vAlign w:val="bottom"/>
            <w:hideMark/>
          </w:tcPr>
          <w:p w14:paraId="42CE09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E14C81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B8C67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Пазарджик</w:t>
            </w:r>
          </w:p>
        </w:tc>
        <w:tc>
          <w:tcPr>
            <w:tcW w:w="1911" w:type="dxa"/>
            <w:tcBorders>
              <w:top w:val="nil"/>
              <w:left w:val="nil"/>
              <w:bottom w:val="single" w:sz="4" w:space="0" w:color="auto"/>
              <w:right w:val="single" w:sz="4" w:space="0" w:color="auto"/>
            </w:tcBorders>
            <w:shd w:val="clear" w:color="000000" w:fill="FFFFFF"/>
            <w:noWrap/>
            <w:vAlign w:val="bottom"/>
            <w:hideMark/>
          </w:tcPr>
          <w:p w14:paraId="34619E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61 933,4</w:t>
            </w:r>
          </w:p>
        </w:tc>
        <w:tc>
          <w:tcPr>
            <w:tcW w:w="1118" w:type="dxa"/>
            <w:tcBorders>
              <w:top w:val="nil"/>
              <w:left w:val="nil"/>
              <w:bottom w:val="single" w:sz="4" w:space="0" w:color="auto"/>
              <w:right w:val="single" w:sz="4" w:space="0" w:color="auto"/>
            </w:tcBorders>
            <w:shd w:val="clear" w:color="000000" w:fill="FFFFFF"/>
            <w:noWrap/>
            <w:vAlign w:val="bottom"/>
            <w:hideMark/>
          </w:tcPr>
          <w:p w14:paraId="20049A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3 955,4</w:t>
            </w:r>
          </w:p>
        </w:tc>
        <w:tc>
          <w:tcPr>
            <w:tcW w:w="1257" w:type="dxa"/>
            <w:tcBorders>
              <w:top w:val="nil"/>
              <w:left w:val="nil"/>
              <w:bottom w:val="single" w:sz="4" w:space="0" w:color="auto"/>
              <w:right w:val="single" w:sz="4" w:space="0" w:color="auto"/>
            </w:tcBorders>
            <w:shd w:val="clear" w:color="000000" w:fill="FFFFFF"/>
            <w:noWrap/>
            <w:vAlign w:val="bottom"/>
            <w:hideMark/>
          </w:tcPr>
          <w:p w14:paraId="6BAB80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571,1</w:t>
            </w:r>
          </w:p>
        </w:tc>
        <w:tc>
          <w:tcPr>
            <w:tcW w:w="1384" w:type="dxa"/>
            <w:tcBorders>
              <w:top w:val="nil"/>
              <w:left w:val="nil"/>
              <w:bottom w:val="single" w:sz="4" w:space="0" w:color="auto"/>
              <w:right w:val="single" w:sz="4" w:space="0" w:color="auto"/>
            </w:tcBorders>
            <w:shd w:val="clear" w:color="000000" w:fill="FFFFFF"/>
            <w:noWrap/>
            <w:vAlign w:val="bottom"/>
            <w:hideMark/>
          </w:tcPr>
          <w:p w14:paraId="2D5B58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3 384,3</w:t>
            </w:r>
          </w:p>
        </w:tc>
        <w:tc>
          <w:tcPr>
            <w:tcW w:w="1134" w:type="dxa"/>
            <w:tcBorders>
              <w:top w:val="nil"/>
              <w:left w:val="nil"/>
              <w:bottom w:val="single" w:sz="4" w:space="0" w:color="auto"/>
              <w:right w:val="single" w:sz="4" w:space="0" w:color="auto"/>
            </w:tcBorders>
            <w:shd w:val="clear" w:color="000000" w:fill="FFFFFF"/>
            <w:noWrap/>
            <w:vAlign w:val="bottom"/>
            <w:hideMark/>
          </w:tcPr>
          <w:p w14:paraId="247106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294,6</w:t>
            </w:r>
          </w:p>
        </w:tc>
        <w:tc>
          <w:tcPr>
            <w:tcW w:w="1277" w:type="dxa"/>
            <w:tcBorders>
              <w:top w:val="nil"/>
              <w:left w:val="nil"/>
              <w:bottom w:val="single" w:sz="4" w:space="0" w:color="auto"/>
              <w:right w:val="single" w:sz="4" w:space="0" w:color="auto"/>
            </w:tcBorders>
            <w:shd w:val="clear" w:color="000000" w:fill="FFFFFF"/>
            <w:noWrap/>
            <w:vAlign w:val="bottom"/>
            <w:hideMark/>
          </w:tcPr>
          <w:p w14:paraId="1F103F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43 053,5</w:t>
            </w:r>
          </w:p>
        </w:tc>
        <w:tc>
          <w:tcPr>
            <w:tcW w:w="1040" w:type="dxa"/>
            <w:tcBorders>
              <w:top w:val="nil"/>
              <w:left w:val="nil"/>
              <w:bottom w:val="single" w:sz="4" w:space="0" w:color="auto"/>
              <w:right w:val="single" w:sz="4" w:space="0" w:color="auto"/>
            </w:tcBorders>
            <w:shd w:val="clear" w:color="000000" w:fill="FFFFFF"/>
            <w:noWrap/>
            <w:vAlign w:val="bottom"/>
            <w:hideMark/>
          </w:tcPr>
          <w:p w14:paraId="4D5CB7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1 432,4</w:t>
            </w:r>
          </w:p>
        </w:tc>
        <w:tc>
          <w:tcPr>
            <w:tcW w:w="1087" w:type="dxa"/>
            <w:tcBorders>
              <w:top w:val="nil"/>
              <w:left w:val="nil"/>
              <w:bottom w:val="single" w:sz="4" w:space="0" w:color="auto"/>
              <w:right w:val="single" w:sz="4" w:space="0" w:color="auto"/>
            </w:tcBorders>
            <w:shd w:val="clear" w:color="000000" w:fill="FFFFFF"/>
            <w:noWrap/>
            <w:vAlign w:val="bottom"/>
            <w:hideMark/>
          </w:tcPr>
          <w:p w14:paraId="78EDBB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10 690,6</w:t>
            </w:r>
          </w:p>
        </w:tc>
        <w:tc>
          <w:tcPr>
            <w:tcW w:w="1040" w:type="dxa"/>
            <w:tcBorders>
              <w:top w:val="nil"/>
              <w:left w:val="nil"/>
              <w:bottom w:val="single" w:sz="4" w:space="0" w:color="auto"/>
              <w:right w:val="single" w:sz="4" w:space="0" w:color="auto"/>
            </w:tcBorders>
            <w:shd w:val="clear" w:color="000000" w:fill="FFFFFF"/>
            <w:noWrap/>
            <w:vAlign w:val="bottom"/>
            <w:hideMark/>
          </w:tcPr>
          <w:p w14:paraId="5344ED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2 506,9</w:t>
            </w:r>
          </w:p>
        </w:tc>
        <w:tc>
          <w:tcPr>
            <w:tcW w:w="1226" w:type="dxa"/>
            <w:tcBorders>
              <w:top w:val="nil"/>
              <w:left w:val="nil"/>
              <w:bottom w:val="single" w:sz="4" w:space="0" w:color="auto"/>
              <w:right w:val="single" w:sz="4" w:space="0" w:color="auto"/>
            </w:tcBorders>
            <w:shd w:val="clear" w:color="000000" w:fill="FFFFFF"/>
            <w:noWrap/>
            <w:vAlign w:val="bottom"/>
            <w:hideMark/>
          </w:tcPr>
          <w:p w14:paraId="16574C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0A8FBE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E4C94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Панагюрище</w:t>
            </w:r>
          </w:p>
        </w:tc>
        <w:tc>
          <w:tcPr>
            <w:tcW w:w="1911" w:type="dxa"/>
            <w:tcBorders>
              <w:top w:val="nil"/>
              <w:left w:val="nil"/>
              <w:bottom w:val="single" w:sz="4" w:space="0" w:color="auto"/>
              <w:right w:val="single" w:sz="4" w:space="0" w:color="auto"/>
            </w:tcBorders>
            <w:shd w:val="clear" w:color="000000" w:fill="FFFFFF"/>
            <w:noWrap/>
            <w:vAlign w:val="bottom"/>
            <w:hideMark/>
          </w:tcPr>
          <w:p w14:paraId="0ADBD9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12 347,4</w:t>
            </w:r>
          </w:p>
        </w:tc>
        <w:tc>
          <w:tcPr>
            <w:tcW w:w="1118" w:type="dxa"/>
            <w:tcBorders>
              <w:top w:val="nil"/>
              <w:left w:val="nil"/>
              <w:bottom w:val="single" w:sz="4" w:space="0" w:color="auto"/>
              <w:right w:val="single" w:sz="4" w:space="0" w:color="auto"/>
            </w:tcBorders>
            <w:shd w:val="clear" w:color="000000" w:fill="FFFFFF"/>
            <w:noWrap/>
            <w:vAlign w:val="bottom"/>
            <w:hideMark/>
          </w:tcPr>
          <w:p w14:paraId="2F38EA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1 244,9</w:t>
            </w:r>
          </w:p>
        </w:tc>
        <w:tc>
          <w:tcPr>
            <w:tcW w:w="1257" w:type="dxa"/>
            <w:tcBorders>
              <w:top w:val="nil"/>
              <w:left w:val="nil"/>
              <w:bottom w:val="single" w:sz="4" w:space="0" w:color="auto"/>
              <w:right w:val="single" w:sz="4" w:space="0" w:color="auto"/>
            </w:tcBorders>
            <w:shd w:val="clear" w:color="000000" w:fill="FFFFFF"/>
            <w:noWrap/>
            <w:vAlign w:val="bottom"/>
            <w:hideMark/>
          </w:tcPr>
          <w:p w14:paraId="35816C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176,8</w:t>
            </w:r>
          </w:p>
        </w:tc>
        <w:tc>
          <w:tcPr>
            <w:tcW w:w="1384" w:type="dxa"/>
            <w:tcBorders>
              <w:top w:val="nil"/>
              <w:left w:val="nil"/>
              <w:bottom w:val="single" w:sz="4" w:space="0" w:color="auto"/>
              <w:right w:val="single" w:sz="4" w:space="0" w:color="auto"/>
            </w:tcBorders>
            <w:shd w:val="clear" w:color="000000" w:fill="FFFFFF"/>
            <w:noWrap/>
            <w:vAlign w:val="bottom"/>
            <w:hideMark/>
          </w:tcPr>
          <w:p w14:paraId="413142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1 068,1</w:t>
            </w:r>
          </w:p>
        </w:tc>
        <w:tc>
          <w:tcPr>
            <w:tcW w:w="1134" w:type="dxa"/>
            <w:tcBorders>
              <w:top w:val="nil"/>
              <w:left w:val="nil"/>
              <w:bottom w:val="single" w:sz="4" w:space="0" w:color="auto"/>
              <w:right w:val="single" w:sz="4" w:space="0" w:color="auto"/>
            </w:tcBorders>
            <w:shd w:val="clear" w:color="000000" w:fill="FFFFFF"/>
            <w:noWrap/>
            <w:vAlign w:val="bottom"/>
            <w:hideMark/>
          </w:tcPr>
          <w:p w14:paraId="19CFB1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145,3</w:t>
            </w:r>
          </w:p>
        </w:tc>
        <w:tc>
          <w:tcPr>
            <w:tcW w:w="1277" w:type="dxa"/>
            <w:tcBorders>
              <w:top w:val="nil"/>
              <w:left w:val="nil"/>
              <w:bottom w:val="single" w:sz="4" w:space="0" w:color="auto"/>
              <w:right w:val="single" w:sz="4" w:space="0" w:color="auto"/>
            </w:tcBorders>
            <w:shd w:val="clear" w:color="000000" w:fill="FFFFFF"/>
            <w:noWrap/>
            <w:vAlign w:val="bottom"/>
            <w:hideMark/>
          </w:tcPr>
          <w:p w14:paraId="4FCF3B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8 288,7</w:t>
            </w:r>
          </w:p>
        </w:tc>
        <w:tc>
          <w:tcPr>
            <w:tcW w:w="1040" w:type="dxa"/>
            <w:tcBorders>
              <w:top w:val="nil"/>
              <w:left w:val="nil"/>
              <w:bottom w:val="single" w:sz="4" w:space="0" w:color="auto"/>
              <w:right w:val="single" w:sz="4" w:space="0" w:color="auto"/>
            </w:tcBorders>
            <w:shd w:val="clear" w:color="000000" w:fill="FFFFFF"/>
            <w:noWrap/>
            <w:vAlign w:val="bottom"/>
            <w:hideMark/>
          </w:tcPr>
          <w:p w14:paraId="5C1BAC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336,6</w:t>
            </w:r>
          </w:p>
        </w:tc>
        <w:tc>
          <w:tcPr>
            <w:tcW w:w="1087" w:type="dxa"/>
            <w:tcBorders>
              <w:top w:val="nil"/>
              <w:left w:val="nil"/>
              <w:bottom w:val="single" w:sz="4" w:space="0" w:color="auto"/>
              <w:right w:val="single" w:sz="4" w:space="0" w:color="auto"/>
            </w:tcBorders>
            <w:shd w:val="clear" w:color="000000" w:fill="FFFFFF"/>
            <w:noWrap/>
            <w:vAlign w:val="bottom"/>
            <w:hideMark/>
          </w:tcPr>
          <w:p w14:paraId="2CA5BF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1 452,7</w:t>
            </w:r>
          </w:p>
        </w:tc>
        <w:tc>
          <w:tcPr>
            <w:tcW w:w="1040" w:type="dxa"/>
            <w:tcBorders>
              <w:top w:val="nil"/>
              <w:left w:val="nil"/>
              <w:bottom w:val="single" w:sz="4" w:space="0" w:color="auto"/>
              <w:right w:val="single" w:sz="4" w:space="0" w:color="auto"/>
            </w:tcBorders>
            <w:shd w:val="clear" w:color="000000" w:fill="FFFFFF"/>
            <w:noWrap/>
            <w:vAlign w:val="bottom"/>
            <w:hideMark/>
          </w:tcPr>
          <w:p w14:paraId="6D9F47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879,2</w:t>
            </w:r>
          </w:p>
        </w:tc>
        <w:tc>
          <w:tcPr>
            <w:tcW w:w="1226" w:type="dxa"/>
            <w:tcBorders>
              <w:top w:val="nil"/>
              <w:left w:val="nil"/>
              <w:bottom w:val="single" w:sz="4" w:space="0" w:color="auto"/>
              <w:right w:val="single" w:sz="4" w:space="0" w:color="auto"/>
            </w:tcBorders>
            <w:shd w:val="clear" w:color="000000" w:fill="FFFFFF"/>
            <w:noWrap/>
            <w:vAlign w:val="bottom"/>
            <w:hideMark/>
          </w:tcPr>
          <w:p w14:paraId="128B2F7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486C14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DD51A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Пещера</w:t>
            </w:r>
          </w:p>
        </w:tc>
        <w:tc>
          <w:tcPr>
            <w:tcW w:w="1911" w:type="dxa"/>
            <w:tcBorders>
              <w:top w:val="nil"/>
              <w:left w:val="nil"/>
              <w:bottom w:val="single" w:sz="4" w:space="0" w:color="auto"/>
              <w:right w:val="single" w:sz="4" w:space="0" w:color="auto"/>
            </w:tcBorders>
            <w:shd w:val="clear" w:color="000000" w:fill="FFFFFF"/>
            <w:noWrap/>
            <w:vAlign w:val="bottom"/>
            <w:hideMark/>
          </w:tcPr>
          <w:p w14:paraId="23618A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10 300,1</w:t>
            </w:r>
          </w:p>
        </w:tc>
        <w:tc>
          <w:tcPr>
            <w:tcW w:w="1118" w:type="dxa"/>
            <w:tcBorders>
              <w:top w:val="nil"/>
              <w:left w:val="nil"/>
              <w:bottom w:val="single" w:sz="4" w:space="0" w:color="auto"/>
              <w:right w:val="single" w:sz="4" w:space="0" w:color="auto"/>
            </w:tcBorders>
            <w:shd w:val="clear" w:color="000000" w:fill="FFFFFF"/>
            <w:noWrap/>
            <w:vAlign w:val="bottom"/>
            <w:hideMark/>
          </w:tcPr>
          <w:p w14:paraId="700EFE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1 150,9</w:t>
            </w:r>
          </w:p>
        </w:tc>
        <w:tc>
          <w:tcPr>
            <w:tcW w:w="1257" w:type="dxa"/>
            <w:tcBorders>
              <w:top w:val="nil"/>
              <w:left w:val="nil"/>
              <w:bottom w:val="single" w:sz="4" w:space="0" w:color="auto"/>
              <w:right w:val="single" w:sz="4" w:space="0" w:color="auto"/>
            </w:tcBorders>
            <w:shd w:val="clear" w:color="000000" w:fill="FFFFFF"/>
            <w:noWrap/>
            <w:vAlign w:val="bottom"/>
            <w:hideMark/>
          </w:tcPr>
          <w:p w14:paraId="0A3702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91,0</w:t>
            </w:r>
          </w:p>
        </w:tc>
        <w:tc>
          <w:tcPr>
            <w:tcW w:w="1384" w:type="dxa"/>
            <w:tcBorders>
              <w:top w:val="nil"/>
              <w:left w:val="nil"/>
              <w:bottom w:val="single" w:sz="4" w:space="0" w:color="auto"/>
              <w:right w:val="single" w:sz="4" w:space="0" w:color="auto"/>
            </w:tcBorders>
            <w:shd w:val="clear" w:color="000000" w:fill="FFFFFF"/>
            <w:noWrap/>
            <w:vAlign w:val="bottom"/>
            <w:hideMark/>
          </w:tcPr>
          <w:p w14:paraId="7B5CB8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1 059,9</w:t>
            </w:r>
          </w:p>
        </w:tc>
        <w:tc>
          <w:tcPr>
            <w:tcW w:w="1134" w:type="dxa"/>
            <w:tcBorders>
              <w:top w:val="nil"/>
              <w:left w:val="nil"/>
              <w:bottom w:val="single" w:sz="4" w:space="0" w:color="auto"/>
              <w:right w:val="single" w:sz="4" w:space="0" w:color="auto"/>
            </w:tcBorders>
            <w:shd w:val="clear" w:color="000000" w:fill="FFFFFF"/>
            <w:noWrap/>
            <w:vAlign w:val="bottom"/>
            <w:hideMark/>
          </w:tcPr>
          <w:p w14:paraId="2F2462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142,7</w:t>
            </w:r>
          </w:p>
        </w:tc>
        <w:tc>
          <w:tcPr>
            <w:tcW w:w="1277" w:type="dxa"/>
            <w:tcBorders>
              <w:top w:val="nil"/>
              <w:left w:val="nil"/>
              <w:bottom w:val="single" w:sz="4" w:space="0" w:color="auto"/>
              <w:right w:val="single" w:sz="4" w:space="0" w:color="auto"/>
            </w:tcBorders>
            <w:shd w:val="clear" w:color="000000" w:fill="FFFFFF"/>
            <w:noWrap/>
            <w:vAlign w:val="bottom"/>
            <w:hideMark/>
          </w:tcPr>
          <w:p w14:paraId="21E059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6 866,8</w:t>
            </w:r>
          </w:p>
        </w:tc>
        <w:tc>
          <w:tcPr>
            <w:tcW w:w="1040" w:type="dxa"/>
            <w:tcBorders>
              <w:top w:val="nil"/>
              <w:left w:val="nil"/>
              <w:bottom w:val="single" w:sz="4" w:space="0" w:color="auto"/>
              <w:right w:val="single" w:sz="4" w:space="0" w:color="auto"/>
            </w:tcBorders>
            <w:shd w:val="clear" w:color="000000" w:fill="FFFFFF"/>
            <w:noWrap/>
            <w:vAlign w:val="bottom"/>
            <w:hideMark/>
          </w:tcPr>
          <w:p w14:paraId="36DBE0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255,4</w:t>
            </w:r>
          </w:p>
        </w:tc>
        <w:tc>
          <w:tcPr>
            <w:tcW w:w="1087" w:type="dxa"/>
            <w:tcBorders>
              <w:top w:val="nil"/>
              <w:left w:val="nil"/>
              <w:bottom w:val="single" w:sz="4" w:space="0" w:color="auto"/>
              <w:right w:val="single" w:sz="4" w:space="0" w:color="auto"/>
            </w:tcBorders>
            <w:shd w:val="clear" w:color="000000" w:fill="FFFFFF"/>
            <w:noWrap/>
            <w:vAlign w:val="bottom"/>
            <w:hideMark/>
          </w:tcPr>
          <w:p w14:paraId="2C3940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1 715,7</w:t>
            </w:r>
          </w:p>
        </w:tc>
        <w:tc>
          <w:tcPr>
            <w:tcW w:w="1040" w:type="dxa"/>
            <w:tcBorders>
              <w:top w:val="nil"/>
              <w:left w:val="nil"/>
              <w:bottom w:val="single" w:sz="4" w:space="0" w:color="auto"/>
              <w:right w:val="single" w:sz="4" w:space="0" w:color="auto"/>
            </w:tcBorders>
            <w:shd w:val="clear" w:color="000000" w:fill="FFFFFF"/>
            <w:noWrap/>
            <w:vAlign w:val="bottom"/>
            <w:hideMark/>
          </w:tcPr>
          <w:p w14:paraId="2B7D3C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7E7DA0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CE0C1A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0B1CD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Pакитово</w:t>
            </w:r>
          </w:p>
        </w:tc>
        <w:tc>
          <w:tcPr>
            <w:tcW w:w="1911" w:type="dxa"/>
            <w:tcBorders>
              <w:top w:val="nil"/>
              <w:left w:val="nil"/>
              <w:bottom w:val="single" w:sz="4" w:space="0" w:color="auto"/>
              <w:right w:val="single" w:sz="4" w:space="0" w:color="auto"/>
            </w:tcBorders>
            <w:shd w:val="clear" w:color="000000" w:fill="FFFFFF"/>
            <w:noWrap/>
            <w:vAlign w:val="bottom"/>
            <w:hideMark/>
          </w:tcPr>
          <w:p w14:paraId="303432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9 639,5</w:t>
            </w:r>
          </w:p>
        </w:tc>
        <w:tc>
          <w:tcPr>
            <w:tcW w:w="1118" w:type="dxa"/>
            <w:tcBorders>
              <w:top w:val="nil"/>
              <w:left w:val="nil"/>
              <w:bottom w:val="single" w:sz="4" w:space="0" w:color="auto"/>
              <w:right w:val="single" w:sz="4" w:space="0" w:color="auto"/>
            </w:tcBorders>
            <w:shd w:val="clear" w:color="000000" w:fill="FFFFFF"/>
            <w:noWrap/>
            <w:vAlign w:val="bottom"/>
            <w:hideMark/>
          </w:tcPr>
          <w:p w14:paraId="5D717D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982,1</w:t>
            </w:r>
          </w:p>
        </w:tc>
        <w:tc>
          <w:tcPr>
            <w:tcW w:w="1257" w:type="dxa"/>
            <w:tcBorders>
              <w:top w:val="nil"/>
              <w:left w:val="nil"/>
              <w:bottom w:val="single" w:sz="4" w:space="0" w:color="auto"/>
              <w:right w:val="single" w:sz="4" w:space="0" w:color="auto"/>
            </w:tcBorders>
            <w:shd w:val="clear" w:color="000000" w:fill="FFFFFF"/>
            <w:noWrap/>
            <w:vAlign w:val="bottom"/>
            <w:hideMark/>
          </w:tcPr>
          <w:p w14:paraId="65E01B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84,2</w:t>
            </w:r>
          </w:p>
        </w:tc>
        <w:tc>
          <w:tcPr>
            <w:tcW w:w="1384" w:type="dxa"/>
            <w:tcBorders>
              <w:top w:val="nil"/>
              <w:left w:val="nil"/>
              <w:bottom w:val="single" w:sz="4" w:space="0" w:color="auto"/>
              <w:right w:val="single" w:sz="4" w:space="0" w:color="auto"/>
            </w:tcBorders>
            <w:shd w:val="clear" w:color="000000" w:fill="FFFFFF"/>
            <w:noWrap/>
            <w:vAlign w:val="bottom"/>
            <w:hideMark/>
          </w:tcPr>
          <w:p w14:paraId="618A2B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897,9</w:t>
            </w:r>
          </w:p>
        </w:tc>
        <w:tc>
          <w:tcPr>
            <w:tcW w:w="1134" w:type="dxa"/>
            <w:tcBorders>
              <w:top w:val="nil"/>
              <w:left w:val="nil"/>
              <w:bottom w:val="single" w:sz="4" w:space="0" w:color="auto"/>
              <w:right w:val="single" w:sz="4" w:space="0" w:color="auto"/>
            </w:tcBorders>
            <w:shd w:val="clear" w:color="000000" w:fill="FFFFFF"/>
            <w:noWrap/>
            <w:vAlign w:val="bottom"/>
            <w:hideMark/>
          </w:tcPr>
          <w:p w14:paraId="0CADD8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130,7</w:t>
            </w:r>
          </w:p>
        </w:tc>
        <w:tc>
          <w:tcPr>
            <w:tcW w:w="1277" w:type="dxa"/>
            <w:tcBorders>
              <w:top w:val="nil"/>
              <w:left w:val="nil"/>
              <w:bottom w:val="single" w:sz="4" w:space="0" w:color="auto"/>
              <w:right w:val="single" w:sz="4" w:space="0" w:color="auto"/>
            </w:tcBorders>
            <w:shd w:val="clear" w:color="000000" w:fill="FFFFFF"/>
            <w:noWrap/>
            <w:vAlign w:val="bottom"/>
            <w:hideMark/>
          </w:tcPr>
          <w:p w14:paraId="046A2B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7 150,2</w:t>
            </w:r>
          </w:p>
        </w:tc>
        <w:tc>
          <w:tcPr>
            <w:tcW w:w="1040" w:type="dxa"/>
            <w:tcBorders>
              <w:top w:val="nil"/>
              <w:left w:val="nil"/>
              <w:bottom w:val="single" w:sz="4" w:space="0" w:color="auto"/>
              <w:right w:val="single" w:sz="4" w:space="0" w:color="auto"/>
            </w:tcBorders>
            <w:shd w:val="clear" w:color="000000" w:fill="FFFFFF"/>
            <w:noWrap/>
            <w:vAlign w:val="bottom"/>
            <w:hideMark/>
          </w:tcPr>
          <w:p w14:paraId="781BE2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196,8</w:t>
            </w:r>
          </w:p>
        </w:tc>
        <w:tc>
          <w:tcPr>
            <w:tcW w:w="1087" w:type="dxa"/>
            <w:tcBorders>
              <w:top w:val="nil"/>
              <w:left w:val="nil"/>
              <w:bottom w:val="single" w:sz="4" w:space="0" w:color="auto"/>
              <w:right w:val="single" w:sz="4" w:space="0" w:color="auto"/>
            </w:tcBorders>
            <w:shd w:val="clear" w:color="000000" w:fill="FFFFFF"/>
            <w:noWrap/>
            <w:vAlign w:val="bottom"/>
            <w:hideMark/>
          </w:tcPr>
          <w:p w14:paraId="60BDB2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1 022,3</w:t>
            </w:r>
          </w:p>
        </w:tc>
        <w:tc>
          <w:tcPr>
            <w:tcW w:w="1040" w:type="dxa"/>
            <w:tcBorders>
              <w:top w:val="nil"/>
              <w:left w:val="nil"/>
              <w:bottom w:val="single" w:sz="4" w:space="0" w:color="auto"/>
              <w:right w:val="single" w:sz="4" w:space="0" w:color="auto"/>
            </w:tcBorders>
            <w:shd w:val="clear" w:color="000000" w:fill="FFFFFF"/>
            <w:noWrap/>
            <w:vAlign w:val="bottom"/>
            <w:hideMark/>
          </w:tcPr>
          <w:p w14:paraId="68635B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157,4</w:t>
            </w:r>
          </w:p>
        </w:tc>
        <w:tc>
          <w:tcPr>
            <w:tcW w:w="1226" w:type="dxa"/>
            <w:tcBorders>
              <w:top w:val="nil"/>
              <w:left w:val="nil"/>
              <w:bottom w:val="single" w:sz="4" w:space="0" w:color="auto"/>
              <w:right w:val="single" w:sz="4" w:space="0" w:color="auto"/>
            </w:tcBorders>
            <w:shd w:val="clear" w:color="000000" w:fill="FFFFFF"/>
            <w:noWrap/>
            <w:vAlign w:val="bottom"/>
            <w:hideMark/>
          </w:tcPr>
          <w:p w14:paraId="46A82D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67A2A5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5728D2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Cептември</w:t>
            </w:r>
          </w:p>
        </w:tc>
        <w:tc>
          <w:tcPr>
            <w:tcW w:w="1911" w:type="dxa"/>
            <w:tcBorders>
              <w:top w:val="nil"/>
              <w:left w:val="nil"/>
              <w:bottom w:val="single" w:sz="4" w:space="0" w:color="auto"/>
              <w:right w:val="single" w:sz="4" w:space="0" w:color="auto"/>
            </w:tcBorders>
            <w:shd w:val="clear" w:color="000000" w:fill="FFFFFF"/>
            <w:noWrap/>
            <w:vAlign w:val="bottom"/>
            <w:hideMark/>
          </w:tcPr>
          <w:p w14:paraId="669D9D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13 916,9</w:t>
            </w:r>
          </w:p>
        </w:tc>
        <w:tc>
          <w:tcPr>
            <w:tcW w:w="1118" w:type="dxa"/>
            <w:tcBorders>
              <w:top w:val="nil"/>
              <w:left w:val="nil"/>
              <w:bottom w:val="single" w:sz="4" w:space="0" w:color="auto"/>
              <w:right w:val="single" w:sz="4" w:space="0" w:color="auto"/>
            </w:tcBorders>
            <w:shd w:val="clear" w:color="000000" w:fill="FFFFFF"/>
            <w:noWrap/>
            <w:vAlign w:val="bottom"/>
            <w:hideMark/>
          </w:tcPr>
          <w:p w14:paraId="47C282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1 397,2</w:t>
            </w:r>
          </w:p>
        </w:tc>
        <w:tc>
          <w:tcPr>
            <w:tcW w:w="1257" w:type="dxa"/>
            <w:tcBorders>
              <w:top w:val="nil"/>
              <w:left w:val="nil"/>
              <w:bottom w:val="single" w:sz="4" w:space="0" w:color="auto"/>
              <w:right w:val="single" w:sz="4" w:space="0" w:color="auto"/>
            </w:tcBorders>
            <w:shd w:val="clear" w:color="000000" w:fill="FFFFFF"/>
            <w:noWrap/>
            <w:vAlign w:val="bottom"/>
            <w:hideMark/>
          </w:tcPr>
          <w:p w14:paraId="0C0F53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264,5</w:t>
            </w:r>
          </w:p>
        </w:tc>
        <w:tc>
          <w:tcPr>
            <w:tcW w:w="1384" w:type="dxa"/>
            <w:tcBorders>
              <w:top w:val="nil"/>
              <w:left w:val="nil"/>
              <w:bottom w:val="single" w:sz="4" w:space="0" w:color="auto"/>
              <w:right w:val="single" w:sz="4" w:space="0" w:color="auto"/>
            </w:tcBorders>
            <w:shd w:val="clear" w:color="000000" w:fill="FFFFFF"/>
            <w:noWrap/>
            <w:vAlign w:val="bottom"/>
            <w:hideMark/>
          </w:tcPr>
          <w:p w14:paraId="431052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1 132,7</w:t>
            </w:r>
          </w:p>
        </w:tc>
        <w:tc>
          <w:tcPr>
            <w:tcW w:w="1134" w:type="dxa"/>
            <w:tcBorders>
              <w:top w:val="nil"/>
              <w:left w:val="nil"/>
              <w:bottom w:val="single" w:sz="4" w:space="0" w:color="auto"/>
              <w:right w:val="single" w:sz="4" w:space="0" w:color="auto"/>
            </w:tcBorders>
            <w:shd w:val="clear" w:color="000000" w:fill="FFFFFF"/>
            <w:noWrap/>
            <w:vAlign w:val="bottom"/>
            <w:hideMark/>
          </w:tcPr>
          <w:p w14:paraId="642E22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149,4</w:t>
            </w:r>
          </w:p>
        </w:tc>
        <w:tc>
          <w:tcPr>
            <w:tcW w:w="1277" w:type="dxa"/>
            <w:tcBorders>
              <w:top w:val="nil"/>
              <w:left w:val="nil"/>
              <w:bottom w:val="single" w:sz="4" w:space="0" w:color="auto"/>
              <w:right w:val="single" w:sz="4" w:space="0" w:color="auto"/>
            </w:tcBorders>
            <w:shd w:val="clear" w:color="000000" w:fill="FFFFFF"/>
            <w:noWrap/>
            <w:vAlign w:val="bottom"/>
            <w:hideMark/>
          </w:tcPr>
          <w:p w14:paraId="58DB52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10 112,7</w:t>
            </w:r>
          </w:p>
        </w:tc>
        <w:tc>
          <w:tcPr>
            <w:tcW w:w="1040" w:type="dxa"/>
            <w:tcBorders>
              <w:top w:val="nil"/>
              <w:left w:val="nil"/>
              <w:bottom w:val="single" w:sz="4" w:space="0" w:color="auto"/>
              <w:right w:val="single" w:sz="4" w:space="0" w:color="auto"/>
            </w:tcBorders>
            <w:shd w:val="clear" w:color="000000" w:fill="FFFFFF"/>
            <w:noWrap/>
            <w:vAlign w:val="bottom"/>
            <w:hideMark/>
          </w:tcPr>
          <w:p w14:paraId="70E6FC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306,0</w:t>
            </w:r>
          </w:p>
        </w:tc>
        <w:tc>
          <w:tcPr>
            <w:tcW w:w="1087" w:type="dxa"/>
            <w:tcBorders>
              <w:top w:val="nil"/>
              <w:left w:val="nil"/>
              <w:bottom w:val="single" w:sz="4" w:space="0" w:color="auto"/>
              <w:right w:val="single" w:sz="4" w:space="0" w:color="auto"/>
            </w:tcBorders>
            <w:shd w:val="clear" w:color="000000" w:fill="FFFFFF"/>
            <w:noWrap/>
            <w:vAlign w:val="bottom"/>
            <w:hideMark/>
          </w:tcPr>
          <w:p w14:paraId="6877AD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1 371,2</w:t>
            </w:r>
          </w:p>
        </w:tc>
        <w:tc>
          <w:tcPr>
            <w:tcW w:w="1040" w:type="dxa"/>
            <w:tcBorders>
              <w:top w:val="nil"/>
              <w:left w:val="nil"/>
              <w:bottom w:val="single" w:sz="4" w:space="0" w:color="auto"/>
              <w:right w:val="single" w:sz="4" w:space="0" w:color="auto"/>
            </w:tcBorders>
            <w:shd w:val="clear" w:color="000000" w:fill="FFFFFF"/>
            <w:noWrap/>
            <w:vAlign w:val="bottom"/>
            <w:hideMark/>
          </w:tcPr>
          <w:p w14:paraId="524C78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580,4</w:t>
            </w:r>
          </w:p>
        </w:tc>
        <w:tc>
          <w:tcPr>
            <w:tcW w:w="1226" w:type="dxa"/>
            <w:tcBorders>
              <w:top w:val="nil"/>
              <w:left w:val="nil"/>
              <w:bottom w:val="single" w:sz="4" w:space="0" w:color="auto"/>
              <w:right w:val="single" w:sz="4" w:space="0" w:color="auto"/>
            </w:tcBorders>
            <w:shd w:val="clear" w:color="000000" w:fill="FFFFFF"/>
            <w:noWrap/>
            <w:vAlign w:val="bottom"/>
            <w:hideMark/>
          </w:tcPr>
          <w:p w14:paraId="5AB82B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532B43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7B7467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Cтрелча</w:t>
            </w:r>
          </w:p>
        </w:tc>
        <w:tc>
          <w:tcPr>
            <w:tcW w:w="1911" w:type="dxa"/>
            <w:tcBorders>
              <w:top w:val="nil"/>
              <w:left w:val="nil"/>
              <w:bottom w:val="single" w:sz="4" w:space="0" w:color="auto"/>
              <w:right w:val="single" w:sz="4" w:space="0" w:color="auto"/>
            </w:tcBorders>
            <w:shd w:val="clear" w:color="000000" w:fill="FFFFFF"/>
            <w:noWrap/>
            <w:vAlign w:val="bottom"/>
            <w:hideMark/>
          </w:tcPr>
          <w:p w14:paraId="4D17FF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3 264,6</w:t>
            </w:r>
          </w:p>
        </w:tc>
        <w:tc>
          <w:tcPr>
            <w:tcW w:w="1118" w:type="dxa"/>
            <w:tcBorders>
              <w:top w:val="nil"/>
              <w:left w:val="nil"/>
              <w:bottom w:val="single" w:sz="4" w:space="0" w:color="auto"/>
              <w:right w:val="single" w:sz="4" w:space="0" w:color="auto"/>
            </w:tcBorders>
            <w:shd w:val="clear" w:color="000000" w:fill="FFFFFF"/>
            <w:noWrap/>
            <w:vAlign w:val="bottom"/>
            <w:hideMark/>
          </w:tcPr>
          <w:p w14:paraId="2CA087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629,7</w:t>
            </w:r>
          </w:p>
        </w:tc>
        <w:tc>
          <w:tcPr>
            <w:tcW w:w="1257" w:type="dxa"/>
            <w:tcBorders>
              <w:top w:val="nil"/>
              <w:left w:val="nil"/>
              <w:bottom w:val="single" w:sz="4" w:space="0" w:color="auto"/>
              <w:right w:val="single" w:sz="4" w:space="0" w:color="auto"/>
            </w:tcBorders>
            <w:shd w:val="clear" w:color="000000" w:fill="FFFFFF"/>
            <w:noWrap/>
            <w:vAlign w:val="bottom"/>
            <w:hideMark/>
          </w:tcPr>
          <w:p w14:paraId="257110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99,4</w:t>
            </w:r>
          </w:p>
        </w:tc>
        <w:tc>
          <w:tcPr>
            <w:tcW w:w="1384" w:type="dxa"/>
            <w:tcBorders>
              <w:top w:val="nil"/>
              <w:left w:val="nil"/>
              <w:bottom w:val="single" w:sz="4" w:space="0" w:color="auto"/>
              <w:right w:val="single" w:sz="4" w:space="0" w:color="auto"/>
            </w:tcBorders>
            <w:shd w:val="clear" w:color="000000" w:fill="FFFFFF"/>
            <w:noWrap/>
            <w:vAlign w:val="bottom"/>
            <w:hideMark/>
          </w:tcPr>
          <w:p w14:paraId="7D842A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530,3</w:t>
            </w:r>
          </w:p>
        </w:tc>
        <w:tc>
          <w:tcPr>
            <w:tcW w:w="1134" w:type="dxa"/>
            <w:tcBorders>
              <w:top w:val="nil"/>
              <w:left w:val="nil"/>
              <w:bottom w:val="single" w:sz="4" w:space="0" w:color="auto"/>
              <w:right w:val="single" w:sz="4" w:space="0" w:color="auto"/>
            </w:tcBorders>
            <w:shd w:val="clear" w:color="000000" w:fill="FFFFFF"/>
            <w:noWrap/>
            <w:vAlign w:val="bottom"/>
            <w:hideMark/>
          </w:tcPr>
          <w:p w14:paraId="525AE9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139,6</w:t>
            </w:r>
          </w:p>
        </w:tc>
        <w:tc>
          <w:tcPr>
            <w:tcW w:w="1277" w:type="dxa"/>
            <w:tcBorders>
              <w:top w:val="nil"/>
              <w:left w:val="nil"/>
              <w:bottom w:val="single" w:sz="4" w:space="0" w:color="auto"/>
              <w:right w:val="single" w:sz="4" w:space="0" w:color="auto"/>
            </w:tcBorders>
            <w:shd w:val="clear" w:color="000000" w:fill="FFFFFF"/>
            <w:noWrap/>
            <w:vAlign w:val="bottom"/>
            <w:hideMark/>
          </w:tcPr>
          <w:p w14:paraId="04BC2B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1 873,5</w:t>
            </w:r>
          </w:p>
        </w:tc>
        <w:tc>
          <w:tcPr>
            <w:tcW w:w="1040" w:type="dxa"/>
            <w:tcBorders>
              <w:top w:val="nil"/>
              <w:left w:val="nil"/>
              <w:bottom w:val="single" w:sz="4" w:space="0" w:color="auto"/>
              <w:right w:val="single" w:sz="4" w:space="0" w:color="auto"/>
            </w:tcBorders>
            <w:shd w:val="clear" w:color="000000" w:fill="FFFFFF"/>
            <w:noWrap/>
            <w:vAlign w:val="bottom"/>
            <w:hideMark/>
          </w:tcPr>
          <w:p w14:paraId="41EB93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97,4</w:t>
            </w:r>
          </w:p>
        </w:tc>
        <w:tc>
          <w:tcPr>
            <w:tcW w:w="1087" w:type="dxa"/>
            <w:tcBorders>
              <w:top w:val="nil"/>
              <w:left w:val="nil"/>
              <w:bottom w:val="single" w:sz="4" w:space="0" w:color="auto"/>
              <w:right w:val="single" w:sz="4" w:space="0" w:color="auto"/>
            </w:tcBorders>
            <w:shd w:val="clear" w:color="000000" w:fill="FFFFFF"/>
            <w:noWrap/>
            <w:vAlign w:val="bottom"/>
            <w:hideMark/>
          </w:tcPr>
          <w:p w14:paraId="05901E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266,7</w:t>
            </w:r>
          </w:p>
        </w:tc>
        <w:tc>
          <w:tcPr>
            <w:tcW w:w="1040" w:type="dxa"/>
            <w:tcBorders>
              <w:top w:val="nil"/>
              <w:left w:val="nil"/>
              <w:bottom w:val="single" w:sz="4" w:space="0" w:color="auto"/>
              <w:right w:val="single" w:sz="4" w:space="0" w:color="auto"/>
            </w:tcBorders>
            <w:shd w:val="clear" w:color="000000" w:fill="FFFFFF"/>
            <w:noWrap/>
            <w:vAlign w:val="bottom"/>
            <w:hideMark/>
          </w:tcPr>
          <w:p w14:paraId="04E037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257,7</w:t>
            </w:r>
          </w:p>
        </w:tc>
        <w:tc>
          <w:tcPr>
            <w:tcW w:w="1226" w:type="dxa"/>
            <w:tcBorders>
              <w:top w:val="nil"/>
              <w:left w:val="nil"/>
              <w:bottom w:val="single" w:sz="4" w:space="0" w:color="auto"/>
              <w:right w:val="single" w:sz="4" w:space="0" w:color="auto"/>
            </w:tcBorders>
            <w:shd w:val="clear" w:color="000000" w:fill="FFFFFF"/>
            <w:noWrap/>
            <w:vAlign w:val="bottom"/>
            <w:hideMark/>
          </w:tcPr>
          <w:p w14:paraId="28CE16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28C89E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5389A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Сърница</w:t>
            </w:r>
          </w:p>
        </w:tc>
        <w:tc>
          <w:tcPr>
            <w:tcW w:w="1911" w:type="dxa"/>
            <w:tcBorders>
              <w:top w:val="nil"/>
              <w:left w:val="nil"/>
              <w:bottom w:val="single" w:sz="4" w:space="0" w:color="auto"/>
              <w:right w:val="single" w:sz="4" w:space="0" w:color="auto"/>
            </w:tcBorders>
            <w:shd w:val="clear" w:color="000000" w:fill="FFFFFF"/>
            <w:noWrap/>
            <w:vAlign w:val="bottom"/>
            <w:hideMark/>
          </w:tcPr>
          <w:p w14:paraId="679903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3 524,5</w:t>
            </w:r>
          </w:p>
        </w:tc>
        <w:tc>
          <w:tcPr>
            <w:tcW w:w="1118" w:type="dxa"/>
            <w:tcBorders>
              <w:top w:val="nil"/>
              <w:left w:val="nil"/>
              <w:bottom w:val="single" w:sz="4" w:space="0" w:color="auto"/>
              <w:right w:val="single" w:sz="4" w:space="0" w:color="auto"/>
            </w:tcBorders>
            <w:shd w:val="clear" w:color="000000" w:fill="FFFFFF"/>
            <w:noWrap/>
            <w:vAlign w:val="bottom"/>
            <w:hideMark/>
          </w:tcPr>
          <w:p w14:paraId="74250D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619,6</w:t>
            </w:r>
          </w:p>
        </w:tc>
        <w:tc>
          <w:tcPr>
            <w:tcW w:w="1257" w:type="dxa"/>
            <w:tcBorders>
              <w:top w:val="nil"/>
              <w:left w:val="nil"/>
              <w:bottom w:val="single" w:sz="4" w:space="0" w:color="auto"/>
              <w:right w:val="single" w:sz="4" w:space="0" w:color="auto"/>
            </w:tcBorders>
            <w:shd w:val="clear" w:color="000000" w:fill="FFFFFF"/>
            <w:noWrap/>
            <w:vAlign w:val="bottom"/>
            <w:hideMark/>
          </w:tcPr>
          <w:p w14:paraId="4C836A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74,2</w:t>
            </w:r>
          </w:p>
        </w:tc>
        <w:tc>
          <w:tcPr>
            <w:tcW w:w="1384" w:type="dxa"/>
            <w:tcBorders>
              <w:top w:val="nil"/>
              <w:left w:val="nil"/>
              <w:bottom w:val="single" w:sz="4" w:space="0" w:color="auto"/>
              <w:right w:val="single" w:sz="4" w:space="0" w:color="auto"/>
            </w:tcBorders>
            <w:shd w:val="clear" w:color="000000" w:fill="FFFFFF"/>
            <w:noWrap/>
            <w:vAlign w:val="bottom"/>
            <w:hideMark/>
          </w:tcPr>
          <w:p w14:paraId="689F2E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545,4</w:t>
            </w:r>
          </w:p>
        </w:tc>
        <w:tc>
          <w:tcPr>
            <w:tcW w:w="1134" w:type="dxa"/>
            <w:tcBorders>
              <w:top w:val="nil"/>
              <w:left w:val="nil"/>
              <w:bottom w:val="single" w:sz="4" w:space="0" w:color="auto"/>
              <w:right w:val="single" w:sz="4" w:space="0" w:color="auto"/>
            </w:tcBorders>
            <w:shd w:val="clear" w:color="000000" w:fill="FFFFFF"/>
            <w:noWrap/>
            <w:vAlign w:val="bottom"/>
            <w:hideMark/>
          </w:tcPr>
          <w:p w14:paraId="3DB6C1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96,1</w:t>
            </w:r>
          </w:p>
        </w:tc>
        <w:tc>
          <w:tcPr>
            <w:tcW w:w="1277" w:type="dxa"/>
            <w:tcBorders>
              <w:top w:val="nil"/>
              <w:left w:val="nil"/>
              <w:bottom w:val="single" w:sz="4" w:space="0" w:color="auto"/>
              <w:right w:val="single" w:sz="4" w:space="0" w:color="auto"/>
            </w:tcBorders>
            <w:shd w:val="clear" w:color="000000" w:fill="FFFFFF"/>
            <w:noWrap/>
            <w:vAlign w:val="bottom"/>
            <w:hideMark/>
          </w:tcPr>
          <w:p w14:paraId="272753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2 362,2</w:t>
            </w:r>
          </w:p>
        </w:tc>
        <w:tc>
          <w:tcPr>
            <w:tcW w:w="1040" w:type="dxa"/>
            <w:tcBorders>
              <w:top w:val="nil"/>
              <w:left w:val="nil"/>
              <w:bottom w:val="single" w:sz="4" w:space="0" w:color="auto"/>
              <w:right w:val="single" w:sz="4" w:space="0" w:color="auto"/>
            </w:tcBorders>
            <w:shd w:val="clear" w:color="000000" w:fill="FFFFFF"/>
            <w:noWrap/>
            <w:vAlign w:val="bottom"/>
            <w:hideMark/>
          </w:tcPr>
          <w:p w14:paraId="2ABA6A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33,5</w:t>
            </w:r>
          </w:p>
        </w:tc>
        <w:tc>
          <w:tcPr>
            <w:tcW w:w="1087" w:type="dxa"/>
            <w:tcBorders>
              <w:top w:val="nil"/>
              <w:left w:val="nil"/>
              <w:bottom w:val="single" w:sz="4" w:space="0" w:color="auto"/>
              <w:right w:val="single" w:sz="4" w:space="0" w:color="auto"/>
            </w:tcBorders>
            <w:shd w:val="clear" w:color="000000" w:fill="FFFFFF"/>
            <w:noWrap/>
            <w:vAlign w:val="bottom"/>
            <w:hideMark/>
          </w:tcPr>
          <w:p w14:paraId="4C8922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379,4</w:t>
            </w:r>
          </w:p>
        </w:tc>
        <w:tc>
          <w:tcPr>
            <w:tcW w:w="1040" w:type="dxa"/>
            <w:tcBorders>
              <w:top w:val="nil"/>
              <w:left w:val="nil"/>
              <w:bottom w:val="single" w:sz="4" w:space="0" w:color="auto"/>
              <w:right w:val="single" w:sz="4" w:space="0" w:color="auto"/>
            </w:tcBorders>
            <w:shd w:val="clear" w:color="000000" w:fill="FFFFFF"/>
            <w:noWrap/>
            <w:vAlign w:val="bottom"/>
            <w:hideMark/>
          </w:tcPr>
          <w:p w14:paraId="43FEAC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33,7</w:t>
            </w:r>
          </w:p>
        </w:tc>
        <w:tc>
          <w:tcPr>
            <w:tcW w:w="1226" w:type="dxa"/>
            <w:tcBorders>
              <w:top w:val="nil"/>
              <w:left w:val="nil"/>
              <w:bottom w:val="single" w:sz="4" w:space="0" w:color="auto"/>
              <w:right w:val="single" w:sz="4" w:space="0" w:color="auto"/>
            </w:tcBorders>
            <w:shd w:val="clear" w:color="000000" w:fill="FFFFFF"/>
            <w:noWrap/>
            <w:vAlign w:val="bottom"/>
            <w:hideMark/>
          </w:tcPr>
          <w:p w14:paraId="1C39DA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507BF2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4930DB4"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688181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4B4F97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477CA5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13F6F3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03EA62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51DA791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56493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3E859E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7177A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AC8D10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7D7257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53D0B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ПЕРНИК</w:t>
            </w:r>
          </w:p>
        </w:tc>
        <w:tc>
          <w:tcPr>
            <w:tcW w:w="1911" w:type="dxa"/>
            <w:tcBorders>
              <w:top w:val="nil"/>
              <w:left w:val="nil"/>
              <w:bottom w:val="single" w:sz="4" w:space="0" w:color="auto"/>
              <w:right w:val="single" w:sz="4" w:space="0" w:color="auto"/>
            </w:tcBorders>
            <w:shd w:val="clear" w:color="000000" w:fill="FFFFFF"/>
            <w:noWrap/>
            <w:vAlign w:val="bottom"/>
            <w:hideMark/>
          </w:tcPr>
          <w:p w14:paraId="71E330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33C255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41612A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79DCD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0BEA76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3CE001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8AAB6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482398F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8B0A4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BB05C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F93BD9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3C4BB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Брезник</w:t>
            </w:r>
          </w:p>
        </w:tc>
        <w:tc>
          <w:tcPr>
            <w:tcW w:w="1911" w:type="dxa"/>
            <w:tcBorders>
              <w:top w:val="nil"/>
              <w:left w:val="nil"/>
              <w:bottom w:val="single" w:sz="4" w:space="0" w:color="auto"/>
              <w:right w:val="single" w:sz="4" w:space="0" w:color="auto"/>
            </w:tcBorders>
            <w:shd w:val="clear" w:color="000000" w:fill="FFFFFF"/>
            <w:noWrap/>
            <w:vAlign w:val="bottom"/>
            <w:hideMark/>
          </w:tcPr>
          <w:p w14:paraId="4D4C32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4 531,6</w:t>
            </w:r>
          </w:p>
        </w:tc>
        <w:tc>
          <w:tcPr>
            <w:tcW w:w="1118" w:type="dxa"/>
            <w:tcBorders>
              <w:top w:val="nil"/>
              <w:left w:val="nil"/>
              <w:bottom w:val="single" w:sz="4" w:space="0" w:color="auto"/>
              <w:right w:val="single" w:sz="4" w:space="0" w:color="auto"/>
            </w:tcBorders>
            <w:shd w:val="clear" w:color="000000" w:fill="FFFFFF"/>
            <w:noWrap/>
            <w:vAlign w:val="bottom"/>
            <w:hideMark/>
          </w:tcPr>
          <w:p w14:paraId="7F36DA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873,1</w:t>
            </w:r>
          </w:p>
        </w:tc>
        <w:tc>
          <w:tcPr>
            <w:tcW w:w="1257" w:type="dxa"/>
            <w:tcBorders>
              <w:top w:val="nil"/>
              <w:left w:val="nil"/>
              <w:bottom w:val="single" w:sz="4" w:space="0" w:color="auto"/>
              <w:right w:val="single" w:sz="4" w:space="0" w:color="auto"/>
            </w:tcBorders>
            <w:shd w:val="clear" w:color="000000" w:fill="FFFFFF"/>
            <w:noWrap/>
            <w:vAlign w:val="bottom"/>
            <w:hideMark/>
          </w:tcPr>
          <w:p w14:paraId="7660EA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316,8</w:t>
            </w:r>
          </w:p>
        </w:tc>
        <w:tc>
          <w:tcPr>
            <w:tcW w:w="1384" w:type="dxa"/>
            <w:tcBorders>
              <w:top w:val="nil"/>
              <w:left w:val="nil"/>
              <w:bottom w:val="single" w:sz="4" w:space="0" w:color="auto"/>
              <w:right w:val="single" w:sz="4" w:space="0" w:color="auto"/>
            </w:tcBorders>
            <w:shd w:val="clear" w:color="000000" w:fill="FFFFFF"/>
            <w:noWrap/>
            <w:vAlign w:val="bottom"/>
            <w:hideMark/>
          </w:tcPr>
          <w:p w14:paraId="7F1D85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556,3</w:t>
            </w:r>
          </w:p>
        </w:tc>
        <w:tc>
          <w:tcPr>
            <w:tcW w:w="1134" w:type="dxa"/>
            <w:tcBorders>
              <w:top w:val="nil"/>
              <w:left w:val="nil"/>
              <w:bottom w:val="single" w:sz="4" w:space="0" w:color="auto"/>
              <w:right w:val="single" w:sz="4" w:space="0" w:color="auto"/>
            </w:tcBorders>
            <w:shd w:val="clear" w:color="000000" w:fill="FFFFFF"/>
            <w:noWrap/>
            <w:vAlign w:val="bottom"/>
            <w:hideMark/>
          </w:tcPr>
          <w:p w14:paraId="2A94B2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136,5</w:t>
            </w:r>
          </w:p>
        </w:tc>
        <w:tc>
          <w:tcPr>
            <w:tcW w:w="1277" w:type="dxa"/>
            <w:tcBorders>
              <w:top w:val="nil"/>
              <w:left w:val="nil"/>
              <w:bottom w:val="single" w:sz="4" w:space="0" w:color="auto"/>
              <w:right w:val="single" w:sz="4" w:space="0" w:color="auto"/>
            </w:tcBorders>
            <w:shd w:val="clear" w:color="000000" w:fill="FFFFFF"/>
            <w:noWrap/>
            <w:vAlign w:val="bottom"/>
            <w:hideMark/>
          </w:tcPr>
          <w:p w14:paraId="259603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2 267,3</w:t>
            </w:r>
          </w:p>
        </w:tc>
        <w:tc>
          <w:tcPr>
            <w:tcW w:w="1040" w:type="dxa"/>
            <w:tcBorders>
              <w:top w:val="nil"/>
              <w:left w:val="nil"/>
              <w:bottom w:val="single" w:sz="4" w:space="0" w:color="auto"/>
              <w:right w:val="single" w:sz="4" w:space="0" w:color="auto"/>
            </w:tcBorders>
            <w:shd w:val="clear" w:color="000000" w:fill="FFFFFF"/>
            <w:noWrap/>
            <w:vAlign w:val="bottom"/>
            <w:hideMark/>
          </w:tcPr>
          <w:p w14:paraId="071C17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67,0</w:t>
            </w:r>
          </w:p>
        </w:tc>
        <w:tc>
          <w:tcPr>
            <w:tcW w:w="1087" w:type="dxa"/>
            <w:tcBorders>
              <w:top w:val="nil"/>
              <w:left w:val="nil"/>
              <w:bottom w:val="single" w:sz="4" w:space="0" w:color="auto"/>
              <w:right w:val="single" w:sz="4" w:space="0" w:color="auto"/>
            </w:tcBorders>
            <w:shd w:val="clear" w:color="000000" w:fill="FFFFFF"/>
            <w:noWrap/>
            <w:vAlign w:val="bottom"/>
            <w:hideMark/>
          </w:tcPr>
          <w:p w14:paraId="5BBB8F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824,0</w:t>
            </w:r>
          </w:p>
        </w:tc>
        <w:tc>
          <w:tcPr>
            <w:tcW w:w="1040" w:type="dxa"/>
            <w:tcBorders>
              <w:top w:val="nil"/>
              <w:left w:val="nil"/>
              <w:bottom w:val="single" w:sz="4" w:space="0" w:color="auto"/>
              <w:right w:val="single" w:sz="4" w:space="0" w:color="auto"/>
            </w:tcBorders>
            <w:shd w:val="clear" w:color="000000" w:fill="FFFFFF"/>
            <w:noWrap/>
            <w:vAlign w:val="bottom"/>
            <w:hideMark/>
          </w:tcPr>
          <w:p w14:paraId="457E33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363,7</w:t>
            </w:r>
          </w:p>
        </w:tc>
        <w:tc>
          <w:tcPr>
            <w:tcW w:w="1226" w:type="dxa"/>
            <w:tcBorders>
              <w:top w:val="nil"/>
              <w:left w:val="nil"/>
              <w:bottom w:val="single" w:sz="4" w:space="0" w:color="auto"/>
              <w:right w:val="single" w:sz="4" w:space="0" w:color="auto"/>
            </w:tcBorders>
            <w:shd w:val="clear" w:color="000000" w:fill="FFFFFF"/>
            <w:noWrap/>
            <w:vAlign w:val="bottom"/>
            <w:hideMark/>
          </w:tcPr>
          <w:p w14:paraId="158D0F6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BE84BF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1DC99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Земен</w:t>
            </w:r>
          </w:p>
        </w:tc>
        <w:tc>
          <w:tcPr>
            <w:tcW w:w="1911" w:type="dxa"/>
            <w:tcBorders>
              <w:top w:val="nil"/>
              <w:left w:val="nil"/>
              <w:bottom w:val="single" w:sz="4" w:space="0" w:color="auto"/>
              <w:right w:val="single" w:sz="4" w:space="0" w:color="auto"/>
            </w:tcBorders>
            <w:shd w:val="clear" w:color="000000" w:fill="FFFFFF"/>
            <w:noWrap/>
            <w:vAlign w:val="bottom"/>
            <w:hideMark/>
          </w:tcPr>
          <w:p w14:paraId="46EF24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1 658,4</w:t>
            </w:r>
          </w:p>
        </w:tc>
        <w:tc>
          <w:tcPr>
            <w:tcW w:w="1118" w:type="dxa"/>
            <w:tcBorders>
              <w:top w:val="nil"/>
              <w:left w:val="nil"/>
              <w:bottom w:val="single" w:sz="4" w:space="0" w:color="auto"/>
              <w:right w:val="single" w:sz="4" w:space="0" w:color="auto"/>
            </w:tcBorders>
            <w:shd w:val="clear" w:color="000000" w:fill="FFFFFF"/>
            <w:noWrap/>
            <w:vAlign w:val="bottom"/>
            <w:hideMark/>
          </w:tcPr>
          <w:p w14:paraId="5F5197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604,9</w:t>
            </w:r>
          </w:p>
        </w:tc>
        <w:tc>
          <w:tcPr>
            <w:tcW w:w="1257" w:type="dxa"/>
            <w:tcBorders>
              <w:top w:val="nil"/>
              <w:left w:val="nil"/>
              <w:bottom w:val="single" w:sz="4" w:space="0" w:color="auto"/>
              <w:right w:val="single" w:sz="4" w:space="0" w:color="auto"/>
            </w:tcBorders>
            <w:shd w:val="clear" w:color="000000" w:fill="FFFFFF"/>
            <w:noWrap/>
            <w:vAlign w:val="bottom"/>
            <w:hideMark/>
          </w:tcPr>
          <w:p w14:paraId="583507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165,0</w:t>
            </w:r>
          </w:p>
        </w:tc>
        <w:tc>
          <w:tcPr>
            <w:tcW w:w="1384" w:type="dxa"/>
            <w:tcBorders>
              <w:top w:val="nil"/>
              <w:left w:val="nil"/>
              <w:bottom w:val="single" w:sz="4" w:space="0" w:color="auto"/>
              <w:right w:val="single" w:sz="4" w:space="0" w:color="auto"/>
            </w:tcBorders>
            <w:shd w:val="clear" w:color="000000" w:fill="FFFFFF"/>
            <w:noWrap/>
            <w:vAlign w:val="bottom"/>
            <w:hideMark/>
          </w:tcPr>
          <w:p w14:paraId="05685F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439,9</w:t>
            </w:r>
          </w:p>
        </w:tc>
        <w:tc>
          <w:tcPr>
            <w:tcW w:w="1134" w:type="dxa"/>
            <w:tcBorders>
              <w:top w:val="nil"/>
              <w:left w:val="nil"/>
              <w:bottom w:val="single" w:sz="4" w:space="0" w:color="auto"/>
              <w:right w:val="single" w:sz="4" w:space="0" w:color="auto"/>
            </w:tcBorders>
            <w:shd w:val="clear" w:color="000000" w:fill="FFFFFF"/>
            <w:noWrap/>
            <w:vAlign w:val="bottom"/>
            <w:hideMark/>
          </w:tcPr>
          <w:p w14:paraId="1015BD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110,7</w:t>
            </w:r>
          </w:p>
        </w:tc>
        <w:tc>
          <w:tcPr>
            <w:tcW w:w="1277" w:type="dxa"/>
            <w:tcBorders>
              <w:top w:val="nil"/>
              <w:left w:val="nil"/>
              <w:bottom w:val="single" w:sz="4" w:space="0" w:color="auto"/>
              <w:right w:val="single" w:sz="4" w:space="0" w:color="auto"/>
            </w:tcBorders>
            <w:shd w:val="clear" w:color="000000" w:fill="FFFFFF"/>
            <w:noWrap/>
            <w:vAlign w:val="bottom"/>
            <w:hideMark/>
          </w:tcPr>
          <w:p w14:paraId="2D1B07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688,7</w:t>
            </w:r>
          </w:p>
        </w:tc>
        <w:tc>
          <w:tcPr>
            <w:tcW w:w="1040" w:type="dxa"/>
            <w:tcBorders>
              <w:top w:val="nil"/>
              <w:left w:val="nil"/>
              <w:bottom w:val="single" w:sz="4" w:space="0" w:color="auto"/>
              <w:right w:val="single" w:sz="4" w:space="0" w:color="auto"/>
            </w:tcBorders>
            <w:shd w:val="clear" w:color="000000" w:fill="FFFFFF"/>
            <w:noWrap/>
            <w:vAlign w:val="bottom"/>
            <w:hideMark/>
          </w:tcPr>
          <w:p w14:paraId="00EFBF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w:t>
            </w:r>
          </w:p>
        </w:tc>
        <w:tc>
          <w:tcPr>
            <w:tcW w:w="1087" w:type="dxa"/>
            <w:tcBorders>
              <w:top w:val="nil"/>
              <w:left w:val="nil"/>
              <w:bottom w:val="single" w:sz="4" w:space="0" w:color="auto"/>
              <w:right w:val="single" w:sz="4" w:space="0" w:color="auto"/>
            </w:tcBorders>
            <w:shd w:val="clear" w:color="000000" w:fill="FFFFFF"/>
            <w:noWrap/>
            <w:vAlign w:val="bottom"/>
            <w:hideMark/>
          </w:tcPr>
          <w:p w14:paraId="08838CF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93,2</w:t>
            </w:r>
          </w:p>
        </w:tc>
        <w:tc>
          <w:tcPr>
            <w:tcW w:w="1040" w:type="dxa"/>
            <w:tcBorders>
              <w:top w:val="nil"/>
              <w:left w:val="nil"/>
              <w:bottom w:val="single" w:sz="4" w:space="0" w:color="auto"/>
              <w:right w:val="single" w:sz="4" w:space="0" w:color="auto"/>
            </w:tcBorders>
            <w:shd w:val="clear" w:color="000000" w:fill="FFFFFF"/>
            <w:noWrap/>
            <w:vAlign w:val="bottom"/>
            <w:hideMark/>
          </w:tcPr>
          <w:p w14:paraId="39C464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146,1</w:t>
            </w:r>
          </w:p>
        </w:tc>
        <w:tc>
          <w:tcPr>
            <w:tcW w:w="1226" w:type="dxa"/>
            <w:tcBorders>
              <w:top w:val="nil"/>
              <w:left w:val="nil"/>
              <w:bottom w:val="single" w:sz="4" w:space="0" w:color="auto"/>
              <w:right w:val="single" w:sz="4" w:space="0" w:color="auto"/>
            </w:tcBorders>
            <w:shd w:val="clear" w:color="000000" w:fill="FFFFFF"/>
            <w:noWrap/>
            <w:vAlign w:val="bottom"/>
            <w:hideMark/>
          </w:tcPr>
          <w:p w14:paraId="3E3E6C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4F2557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9B696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Kовачевци</w:t>
            </w:r>
          </w:p>
        </w:tc>
        <w:tc>
          <w:tcPr>
            <w:tcW w:w="1911" w:type="dxa"/>
            <w:tcBorders>
              <w:top w:val="nil"/>
              <w:left w:val="nil"/>
              <w:bottom w:val="single" w:sz="4" w:space="0" w:color="auto"/>
              <w:right w:val="single" w:sz="4" w:space="0" w:color="auto"/>
            </w:tcBorders>
            <w:shd w:val="clear" w:color="000000" w:fill="FFFFFF"/>
            <w:noWrap/>
            <w:vAlign w:val="bottom"/>
            <w:hideMark/>
          </w:tcPr>
          <w:p w14:paraId="0CC7C5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1 713,6</w:t>
            </w:r>
          </w:p>
        </w:tc>
        <w:tc>
          <w:tcPr>
            <w:tcW w:w="1118" w:type="dxa"/>
            <w:tcBorders>
              <w:top w:val="nil"/>
              <w:left w:val="nil"/>
              <w:bottom w:val="single" w:sz="4" w:space="0" w:color="auto"/>
              <w:right w:val="single" w:sz="4" w:space="0" w:color="auto"/>
            </w:tcBorders>
            <w:shd w:val="clear" w:color="000000" w:fill="FFFFFF"/>
            <w:noWrap/>
            <w:vAlign w:val="bottom"/>
            <w:hideMark/>
          </w:tcPr>
          <w:p w14:paraId="66F0B8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560,8</w:t>
            </w:r>
          </w:p>
        </w:tc>
        <w:tc>
          <w:tcPr>
            <w:tcW w:w="1257" w:type="dxa"/>
            <w:tcBorders>
              <w:top w:val="nil"/>
              <w:left w:val="nil"/>
              <w:bottom w:val="single" w:sz="4" w:space="0" w:color="auto"/>
              <w:right w:val="single" w:sz="4" w:space="0" w:color="auto"/>
            </w:tcBorders>
            <w:shd w:val="clear" w:color="000000" w:fill="FFFFFF"/>
            <w:noWrap/>
            <w:vAlign w:val="bottom"/>
            <w:hideMark/>
          </w:tcPr>
          <w:p w14:paraId="3BE05A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148,3</w:t>
            </w:r>
          </w:p>
        </w:tc>
        <w:tc>
          <w:tcPr>
            <w:tcW w:w="1384" w:type="dxa"/>
            <w:tcBorders>
              <w:top w:val="nil"/>
              <w:left w:val="nil"/>
              <w:bottom w:val="single" w:sz="4" w:space="0" w:color="auto"/>
              <w:right w:val="single" w:sz="4" w:space="0" w:color="auto"/>
            </w:tcBorders>
            <w:shd w:val="clear" w:color="000000" w:fill="FFFFFF"/>
            <w:noWrap/>
            <w:vAlign w:val="bottom"/>
            <w:hideMark/>
          </w:tcPr>
          <w:p w14:paraId="2900D5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412,5</w:t>
            </w:r>
          </w:p>
        </w:tc>
        <w:tc>
          <w:tcPr>
            <w:tcW w:w="1134" w:type="dxa"/>
            <w:tcBorders>
              <w:top w:val="nil"/>
              <w:left w:val="nil"/>
              <w:bottom w:val="single" w:sz="4" w:space="0" w:color="auto"/>
              <w:right w:val="single" w:sz="4" w:space="0" w:color="auto"/>
            </w:tcBorders>
            <w:shd w:val="clear" w:color="000000" w:fill="FFFFFF"/>
            <w:noWrap/>
            <w:vAlign w:val="bottom"/>
            <w:hideMark/>
          </w:tcPr>
          <w:p w14:paraId="201736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128,2</w:t>
            </w:r>
          </w:p>
        </w:tc>
        <w:tc>
          <w:tcPr>
            <w:tcW w:w="1277" w:type="dxa"/>
            <w:tcBorders>
              <w:top w:val="nil"/>
              <w:left w:val="nil"/>
              <w:bottom w:val="single" w:sz="4" w:space="0" w:color="auto"/>
              <w:right w:val="single" w:sz="4" w:space="0" w:color="auto"/>
            </w:tcBorders>
            <w:shd w:val="clear" w:color="000000" w:fill="FFFFFF"/>
            <w:noWrap/>
            <w:vAlign w:val="bottom"/>
            <w:hideMark/>
          </w:tcPr>
          <w:p w14:paraId="3590A1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273,1</w:t>
            </w:r>
          </w:p>
        </w:tc>
        <w:tc>
          <w:tcPr>
            <w:tcW w:w="1040" w:type="dxa"/>
            <w:tcBorders>
              <w:top w:val="nil"/>
              <w:left w:val="nil"/>
              <w:bottom w:val="single" w:sz="4" w:space="0" w:color="auto"/>
              <w:right w:val="single" w:sz="4" w:space="0" w:color="auto"/>
            </w:tcBorders>
            <w:shd w:val="clear" w:color="000000" w:fill="FFFFFF"/>
            <w:noWrap/>
            <w:vAlign w:val="bottom"/>
            <w:hideMark/>
          </w:tcPr>
          <w:p w14:paraId="089E44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w:t>
            </w:r>
          </w:p>
        </w:tc>
        <w:tc>
          <w:tcPr>
            <w:tcW w:w="1087" w:type="dxa"/>
            <w:tcBorders>
              <w:top w:val="nil"/>
              <w:left w:val="nil"/>
              <w:bottom w:val="single" w:sz="4" w:space="0" w:color="auto"/>
              <w:right w:val="single" w:sz="4" w:space="0" w:color="auto"/>
            </w:tcBorders>
            <w:shd w:val="clear" w:color="000000" w:fill="FFFFFF"/>
            <w:noWrap/>
            <w:vAlign w:val="bottom"/>
            <w:hideMark/>
          </w:tcPr>
          <w:p w14:paraId="3ABF31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579,0</w:t>
            </w:r>
          </w:p>
        </w:tc>
        <w:tc>
          <w:tcPr>
            <w:tcW w:w="1040" w:type="dxa"/>
            <w:tcBorders>
              <w:top w:val="nil"/>
              <w:left w:val="nil"/>
              <w:bottom w:val="single" w:sz="4" w:space="0" w:color="auto"/>
              <w:right w:val="single" w:sz="4" w:space="0" w:color="auto"/>
            </w:tcBorders>
            <w:shd w:val="clear" w:color="000000" w:fill="FFFFFF"/>
            <w:noWrap/>
            <w:vAlign w:val="bottom"/>
            <w:hideMark/>
          </w:tcPr>
          <w:p w14:paraId="53E7ED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039422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D97E1C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FC50E1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Перник</w:t>
            </w:r>
          </w:p>
        </w:tc>
        <w:tc>
          <w:tcPr>
            <w:tcW w:w="1911" w:type="dxa"/>
            <w:tcBorders>
              <w:top w:val="nil"/>
              <w:left w:val="nil"/>
              <w:bottom w:val="single" w:sz="4" w:space="0" w:color="auto"/>
              <w:right w:val="single" w:sz="4" w:space="0" w:color="auto"/>
            </w:tcBorders>
            <w:shd w:val="clear" w:color="000000" w:fill="FFFFFF"/>
            <w:noWrap/>
            <w:vAlign w:val="bottom"/>
            <w:hideMark/>
          </w:tcPr>
          <w:p w14:paraId="05B994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50 152,3</w:t>
            </w:r>
          </w:p>
        </w:tc>
        <w:tc>
          <w:tcPr>
            <w:tcW w:w="1118" w:type="dxa"/>
            <w:tcBorders>
              <w:top w:val="nil"/>
              <w:left w:val="nil"/>
              <w:bottom w:val="single" w:sz="4" w:space="0" w:color="auto"/>
              <w:right w:val="single" w:sz="4" w:space="0" w:color="auto"/>
            </w:tcBorders>
            <w:shd w:val="clear" w:color="000000" w:fill="FFFFFF"/>
            <w:noWrap/>
            <w:vAlign w:val="bottom"/>
            <w:hideMark/>
          </w:tcPr>
          <w:p w14:paraId="3B864C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3 154,1</w:t>
            </w:r>
          </w:p>
        </w:tc>
        <w:tc>
          <w:tcPr>
            <w:tcW w:w="1257" w:type="dxa"/>
            <w:tcBorders>
              <w:top w:val="nil"/>
              <w:left w:val="nil"/>
              <w:bottom w:val="single" w:sz="4" w:space="0" w:color="auto"/>
              <w:right w:val="single" w:sz="4" w:space="0" w:color="auto"/>
            </w:tcBorders>
            <w:shd w:val="clear" w:color="000000" w:fill="FFFFFF"/>
            <w:noWrap/>
            <w:vAlign w:val="bottom"/>
            <w:hideMark/>
          </w:tcPr>
          <w:p w14:paraId="2A398C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375,6</w:t>
            </w:r>
          </w:p>
        </w:tc>
        <w:tc>
          <w:tcPr>
            <w:tcW w:w="1384" w:type="dxa"/>
            <w:tcBorders>
              <w:top w:val="nil"/>
              <w:left w:val="nil"/>
              <w:bottom w:val="single" w:sz="4" w:space="0" w:color="auto"/>
              <w:right w:val="single" w:sz="4" w:space="0" w:color="auto"/>
            </w:tcBorders>
            <w:shd w:val="clear" w:color="000000" w:fill="FFFFFF"/>
            <w:noWrap/>
            <w:vAlign w:val="bottom"/>
            <w:hideMark/>
          </w:tcPr>
          <w:p w14:paraId="7CC28A2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2 778,5</w:t>
            </w:r>
          </w:p>
        </w:tc>
        <w:tc>
          <w:tcPr>
            <w:tcW w:w="1134" w:type="dxa"/>
            <w:tcBorders>
              <w:top w:val="nil"/>
              <w:left w:val="nil"/>
              <w:bottom w:val="single" w:sz="4" w:space="0" w:color="auto"/>
              <w:right w:val="single" w:sz="4" w:space="0" w:color="auto"/>
            </w:tcBorders>
            <w:shd w:val="clear" w:color="000000" w:fill="FFFFFF"/>
            <w:noWrap/>
            <w:vAlign w:val="bottom"/>
            <w:hideMark/>
          </w:tcPr>
          <w:p w14:paraId="4E3C1A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269,1</w:t>
            </w:r>
          </w:p>
        </w:tc>
        <w:tc>
          <w:tcPr>
            <w:tcW w:w="1277" w:type="dxa"/>
            <w:tcBorders>
              <w:top w:val="nil"/>
              <w:left w:val="nil"/>
              <w:bottom w:val="single" w:sz="4" w:space="0" w:color="auto"/>
              <w:right w:val="single" w:sz="4" w:space="0" w:color="auto"/>
            </w:tcBorders>
            <w:shd w:val="clear" w:color="000000" w:fill="FFFFFF"/>
            <w:noWrap/>
            <w:vAlign w:val="bottom"/>
            <w:hideMark/>
          </w:tcPr>
          <w:p w14:paraId="72E46E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35 204,8</w:t>
            </w:r>
          </w:p>
        </w:tc>
        <w:tc>
          <w:tcPr>
            <w:tcW w:w="1040" w:type="dxa"/>
            <w:tcBorders>
              <w:top w:val="nil"/>
              <w:left w:val="nil"/>
              <w:bottom w:val="single" w:sz="4" w:space="0" w:color="auto"/>
              <w:right w:val="single" w:sz="4" w:space="0" w:color="auto"/>
            </w:tcBorders>
            <w:shd w:val="clear" w:color="000000" w:fill="FFFFFF"/>
            <w:noWrap/>
            <w:vAlign w:val="bottom"/>
            <w:hideMark/>
          </w:tcPr>
          <w:p w14:paraId="406077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2 225,1</w:t>
            </w:r>
          </w:p>
        </w:tc>
        <w:tc>
          <w:tcPr>
            <w:tcW w:w="1087" w:type="dxa"/>
            <w:tcBorders>
              <w:top w:val="nil"/>
              <w:left w:val="nil"/>
              <w:bottom w:val="single" w:sz="4" w:space="0" w:color="auto"/>
              <w:right w:val="single" w:sz="4" w:space="0" w:color="auto"/>
            </w:tcBorders>
            <w:shd w:val="clear" w:color="000000" w:fill="FFFFFF"/>
            <w:noWrap/>
            <w:vAlign w:val="bottom"/>
            <w:hideMark/>
          </w:tcPr>
          <w:p w14:paraId="4FC88E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7 183,2</w:t>
            </w:r>
          </w:p>
        </w:tc>
        <w:tc>
          <w:tcPr>
            <w:tcW w:w="1040" w:type="dxa"/>
            <w:tcBorders>
              <w:top w:val="nil"/>
              <w:left w:val="nil"/>
              <w:bottom w:val="single" w:sz="4" w:space="0" w:color="auto"/>
              <w:right w:val="single" w:sz="4" w:space="0" w:color="auto"/>
            </w:tcBorders>
            <w:shd w:val="clear" w:color="000000" w:fill="FFFFFF"/>
            <w:noWrap/>
            <w:vAlign w:val="bottom"/>
            <w:hideMark/>
          </w:tcPr>
          <w:p w14:paraId="5C11A0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2 116,0</w:t>
            </w:r>
          </w:p>
        </w:tc>
        <w:tc>
          <w:tcPr>
            <w:tcW w:w="1226" w:type="dxa"/>
            <w:tcBorders>
              <w:top w:val="nil"/>
              <w:left w:val="nil"/>
              <w:bottom w:val="single" w:sz="4" w:space="0" w:color="auto"/>
              <w:right w:val="single" w:sz="4" w:space="0" w:color="auto"/>
            </w:tcBorders>
            <w:shd w:val="clear" w:color="000000" w:fill="FFFFFF"/>
            <w:noWrap/>
            <w:vAlign w:val="bottom"/>
            <w:hideMark/>
          </w:tcPr>
          <w:p w14:paraId="2B49E9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80B1EA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6BE6A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Pадомир</w:t>
            </w:r>
          </w:p>
        </w:tc>
        <w:tc>
          <w:tcPr>
            <w:tcW w:w="1911" w:type="dxa"/>
            <w:tcBorders>
              <w:top w:val="nil"/>
              <w:left w:val="nil"/>
              <w:bottom w:val="single" w:sz="4" w:space="0" w:color="auto"/>
              <w:right w:val="single" w:sz="4" w:space="0" w:color="auto"/>
            </w:tcBorders>
            <w:shd w:val="clear" w:color="000000" w:fill="FFFFFF"/>
            <w:noWrap/>
            <w:vAlign w:val="bottom"/>
            <w:hideMark/>
          </w:tcPr>
          <w:p w14:paraId="621752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11 838,1</w:t>
            </w:r>
          </w:p>
        </w:tc>
        <w:tc>
          <w:tcPr>
            <w:tcW w:w="1118" w:type="dxa"/>
            <w:tcBorders>
              <w:top w:val="nil"/>
              <w:left w:val="nil"/>
              <w:bottom w:val="single" w:sz="4" w:space="0" w:color="auto"/>
              <w:right w:val="single" w:sz="4" w:space="0" w:color="auto"/>
            </w:tcBorders>
            <w:shd w:val="clear" w:color="000000" w:fill="FFFFFF"/>
            <w:noWrap/>
            <w:vAlign w:val="bottom"/>
            <w:hideMark/>
          </w:tcPr>
          <w:p w14:paraId="33B71A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1 368,5</w:t>
            </w:r>
          </w:p>
        </w:tc>
        <w:tc>
          <w:tcPr>
            <w:tcW w:w="1257" w:type="dxa"/>
            <w:tcBorders>
              <w:top w:val="nil"/>
              <w:left w:val="nil"/>
              <w:bottom w:val="single" w:sz="4" w:space="0" w:color="auto"/>
              <w:right w:val="single" w:sz="4" w:space="0" w:color="auto"/>
            </w:tcBorders>
            <w:shd w:val="clear" w:color="000000" w:fill="FFFFFF"/>
            <w:noWrap/>
            <w:vAlign w:val="bottom"/>
            <w:hideMark/>
          </w:tcPr>
          <w:p w14:paraId="127E92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456,5</w:t>
            </w:r>
          </w:p>
        </w:tc>
        <w:tc>
          <w:tcPr>
            <w:tcW w:w="1384" w:type="dxa"/>
            <w:tcBorders>
              <w:top w:val="nil"/>
              <w:left w:val="nil"/>
              <w:bottom w:val="single" w:sz="4" w:space="0" w:color="auto"/>
              <w:right w:val="single" w:sz="4" w:space="0" w:color="auto"/>
            </w:tcBorders>
            <w:shd w:val="clear" w:color="000000" w:fill="FFFFFF"/>
            <w:noWrap/>
            <w:vAlign w:val="bottom"/>
            <w:hideMark/>
          </w:tcPr>
          <w:p w14:paraId="1CD1D6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912,0</w:t>
            </w:r>
          </w:p>
        </w:tc>
        <w:tc>
          <w:tcPr>
            <w:tcW w:w="1134" w:type="dxa"/>
            <w:tcBorders>
              <w:top w:val="nil"/>
              <w:left w:val="nil"/>
              <w:bottom w:val="single" w:sz="4" w:space="0" w:color="auto"/>
              <w:right w:val="single" w:sz="4" w:space="0" w:color="auto"/>
            </w:tcBorders>
            <w:shd w:val="clear" w:color="000000" w:fill="FFFFFF"/>
            <w:noWrap/>
            <w:vAlign w:val="bottom"/>
            <w:hideMark/>
          </w:tcPr>
          <w:p w14:paraId="392A4F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158,9</w:t>
            </w:r>
          </w:p>
        </w:tc>
        <w:tc>
          <w:tcPr>
            <w:tcW w:w="1277" w:type="dxa"/>
            <w:tcBorders>
              <w:top w:val="nil"/>
              <w:left w:val="nil"/>
              <w:bottom w:val="single" w:sz="4" w:space="0" w:color="auto"/>
              <w:right w:val="single" w:sz="4" w:space="0" w:color="auto"/>
            </w:tcBorders>
            <w:shd w:val="clear" w:color="000000" w:fill="FFFFFF"/>
            <w:noWrap/>
            <w:vAlign w:val="bottom"/>
            <w:hideMark/>
          </w:tcPr>
          <w:p w14:paraId="273DFF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6 411,7</w:t>
            </w:r>
          </w:p>
        </w:tc>
        <w:tc>
          <w:tcPr>
            <w:tcW w:w="1040" w:type="dxa"/>
            <w:tcBorders>
              <w:top w:val="nil"/>
              <w:left w:val="nil"/>
              <w:bottom w:val="single" w:sz="4" w:space="0" w:color="auto"/>
              <w:right w:val="single" w:sz="4" w:space="0" w:color="auto"/>
            </w:tcBorders>
            <w:shd w:val="clear" w:color="000000" w:fill="FFFFFF"/>
            <w:noWrap/>
            <w:vAlign w:val="bottom"/>
            <w:hideMark/>
          </w:tcPr>
          <w:p w14:paraId="108EF2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192,5</w:t>
            </w:r>
          </w:p>
        </w:tc>
        <w:tc>
          <w:tcPr>
            <w:tcW w:w="1087" w:type="dxa"/>
            <w:tcBorders>
              <w:top w:val="nil"/>
              <w:left w:val="nil"/>
              <w:bottom w:val="single" w:sz="4" w:space="0" w:color="auto"/>
              <w:right w:val="single" w:sz="4" w:space="0" w:color="auto"/>
            </w:tcBorders>
            <w:shd w:val="clear" w:color="000000" w:fill="FFFFFF"/>
            <w:noWrap/>
            <w:vAlign w:val="bottom"/>
            <w:hideMark/>
          </w:tcPr>
          <w:p w14:paraId="57007B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3 301,9</w:t>
            </w:r>
          </w:p>
        </w:tc>
        <w:tc>
          <w:tcPr>
            <w:tcW w:w="1040" w:type="dxa"/>
            <w:tcBorders>
              <w:top w:val="nil"/>
              <w:left w:val="nil"/>
              <w:bottom w:val="single" w:sz="4" w:space="0" w:color="auto"/>
              <w:right w:val="single" w:sz="4" w:space="0" w:color="auto"/>
            </w:tcBorders>
            <w:shd w:val="clear" w:color="000000" w:fill="FFFFFF"/>
            <w:noWrap/>
            <w:vAlign w:val="bottom"/>
            <w:hideMark/>
          </w:tcPr>
          <w:p w14:paraId="48887D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404,6</w:t>
            </w:r>
          </w:p>
        </w:tc>
        <w:tc>
          <w:tcPr>
            <w:tcW w:w="1226" w:type="dxa"/>
            <w:tcBorders>
              <w:top w:val="nil"/>
              <w:left w:val="nil"/>
              <w:bottom w:val="single" w:sz="4" w:space="0" w:color="auto"/>
              <w:right w:val="single" w:sz="4" w:space="0" w:color="auto"/>
            </w:tcBorders>
            <w:shd w:val="clear" w:color="000000" w:fill="FFFFFF"/>
            <w:noWrap/>
            <w:vAlign w:val="bottom"/>
            <w:hideMark/>
          </w:tcPr>
          <w:p w14:paraId="374AB4E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7DE019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DA45F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Tрън</w:t>
            </w:r>
          </w:p>
        </w:tc>
        <w:tc>
          <w:tcPr>
            <w:tcW w:w="1911" w:type="dxa"/>
            <w:tcBorders>
              <w:top w:val="nil"/>
              <w:left w:val="nil"/>
              <w:bottom w:val="single" w:sz="4" w:space="0" w:color="auto"/>
              <w:right w:val="single" w:sz="4" w:space="0" w:color="auto"/>
            </w:tcBorders>
            <w:shd w:val="clear" w:color="000000" w:fill="FFFFFF"/>
            <w:noWrap/>
            <w:vAlign w:val="bottom"/>
            <w:hideMark/>
          </w:tcPr>
          <w:p w14:paraId="55F6B2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3 536,8</w:t>
            </w:r>
          </w:p>
        </w:tc>
        <w:tc>
          <w:tcPr>
            <w:tcW w:w="1118" w:type="dxa"/>
            <w:tcBorders>
              <w:top w:val="nil"/>
              <w:left w:val="nil"/>
              <w:bottom w:val="single" w:sz="4" w:space="0" w:color="auto"/>
              <w:right w:val="single" w:sz="4" w:space="0" w:color="auto"/>
            </w:tcBorders>
            <w:shd w:val="clear" w:color="000000" w:fill="FFFFFF"/>
            <w:noWrap/>
            <w:vAlign w:val="bottom"/>
            <w:hideMark/>
          </w:tcPr>
          <w:p w14:paraId="742CDB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737,1</w:t>
            </w:r>
          </w:p>
        </w:tc>
        <w:tc>
          <w:tcPr>
            <w:tcW w:w="1257" w:type="dxa"/>
            <w:tcBorders>
              <w:top w:val="nil"/>
              <w:left w:val="nil"/>
              <w:bottom w:val="single" w:sz="4" w:space="0" w:color="auto"/>
              <w:right w:val="single" w:sz="4" w:space="0" w:color="auto"/>
            </w:tcBorders>
            <w:shd w:val="clear" w:color="000000" w:fill="FFFFFF"/>
            <w:noWrap/>
            <w:vAlign w:val="bottom"/>
            <w:hideMark/>
          </w:tcPr>
          <w:p w14:paraId="77F1CA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244,2</w:t>
            </w:r>
          </w:p>
        </w:tc>
        <w:tc>
          <w:tcPr>
            <w:tcW w:w="1384" w:type="dxa"/>
            <w:tcBorders>
              <w:top w:val="nil"/>
              <w:left w:val="nil"/>
              <w:bottom w:val="single" w:sz="4" w:space="0" w:color="auto"/>
              <w:right w:val="single" w:sz="4" w:space="0" w:color="auto"/>
            </w:tcBorders>
            <w:shd w:val="clear" w:color="000000" w:fill="FFFFFF"/>
            <w:noWrap/>
            <w:vAlign w:val="bottom"/>
            <w:hideMark/>
          </w:tcPr>
          <w:p w14:paraId="11EC16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492,9</w:t>
            </w:r>
          </w:p>
        </w:tc>
        <w:tc>
          <w:tcPr>
            <w:tcW w:w="1134" w:type="dxa"/>
            <w:tcBorders>
              <w:top w:val="nil"/>
              <w:left w:val="nil"/>
              <w:bottom w:val="single" w:sz="4" w:space="0" w:color="auto"/>
              <w:right w:val="single" w:sz="4" w:space="0" w:color="auto"/>
            </w:tcBorders>
            <w:shd w:val="clear" w:color="000000" w:fill="FFFFFF"/>
            <w:noWrap/>
            <w:vAlign w:val="bottom"/>
            <w:hideMark/>
          </w:tcPr>
          <w:p w14:paraId="293AC8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110,4</w:t>
            </w:r>
          </w:p>
        </w:tc>
        <w:tc>
          <w:tcPr>
            <w:tcW w:w="1277" w:type="dxa"/>
            <w:tcBorders>
              <w:top w:val="nil"/>
              <w:left w:val="nil"/>
              <w:bottom w:val="single" w:sz="4" w:space="0" w:color="auto"/>
              <w:right w:val="single" w:sz="4" w:space="0" w:color="auto"/>
            </w:tcBorders>
            <w:shd w:val="clear" w:color="000000" w:fill="FFFFFF"/>
            <w:noWrap/>
            <w:vAlign w:val="bottom"/>
            <w:hideMark/>
          </w:tcPr>
          <w:p w14:paraId="4F24A9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1 304,4</w:t>
            </w:r>
          </w:p>
        </w:tc>
        <w:tc>
          <w:tcPr>
            <w:tcW w:w="1040" w:type="dxa"/>
            <w:tcBorders>
              <w:top w:val="nil"/>
              <w:left w:val="nil"/>
              <w:bottom w:val="single" w:sz="4" w:space="0" w:color="auto"/>
              <w:right w:val="single" w:sz="4" w:space="0" w:color="auto"/>
            </w:tcBorders>
            <w:shd w:val="clear" w:color="000000" w:fill="FFFFFF"/>
            <w:noWrap/>
            <w:vAlign w:val="bottom"/>
            <w:hideMark/>
          </w:tcPr>
          <w:p w14:paraId="4C75D3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65,3</w:t>
            </w:r>
          </w:p>
        </w:tc>
        <w:tc>
          <w:tcPr>
            <w:tcW w:w="1087" w:type="dxa"/>
            <w:tcBorders>
              <w:top w:val="nil"/>
              <w:left w:val="nil"/>
              <w:bottom w:val="single" w:sz="4" w:space="0" w:color="auto"/>
              <w:right w:val="single" w:sz="4" w:space="0" w:color="auto"/>
            </w:tcBorders>
            <w:shd w:val="clear" w:color="000000" w:fill="FFFFFF"/>
            <w:noWrap/>
            <w:vAlign w:val="bottom"/>
            <w:hideMark/>
          </w:tcPr>
          <w:p w14:paraId="5F2C96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1 128,5</w:t>
            </w:r>
          </w:p>
        </w:tc>
        <w:tc>
          <w:tcPr>
            <w:tcW w:w="1040" w:type="dxa"/>
            <w:tcBorders>
              <w:top w:val="nil"/>
              <w:left w:val="nil"/>
              <w:bottom w:val="single" w:sz="4" w:space="0" w:color="auto"/>
              <w:right w:val="single" w:sz="4" w:space="0" w:color="auto"/>
            </w:tcBorders>
            <w:shd w:val="clear" w:color="000000" w:fill="FFFFFF"/>
            <w:noWrap/>
            <w:vAlign w:val="bottom"/>
            <w:hideMark/>
          </w:tcPr>
          <w:p w14:paraId="4C8AC4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02B153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0E39F1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AEFC364"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6B27B36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6D19B1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0DBD97A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3D6F16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69B419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3D37452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C6455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003DD1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EA778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59D023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E73A14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75B12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ПЛЕВЕН</w:t>
            </w:r>
          </w:p>
        </w:tc>
        <w:tc>
          <w:tcPr>
            <w:tcW w:w="1911" w:type="dxa"/>
            <w:tcBorders>
              <w:top w:val="nil"/>
              <w:left w:val="nil"/>
              <w:bottom w:val="single" w:sz="4" w:space="0" w:color="auto"/>
              <w:right w:val="single" w:sz="4" w:space="0" w:color="auto"/>
            </w:tcBorders>
            <w:shd w:val="clear" w:color="000000" w:fill="FFFFFF"/>
            <w:noWrap/>
            <w:vAlign w:val="bottom"/>
            <w:hideMark/>
          </w:tcPr>
          <w:p w14:paraId="5BDB7D6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0E66C4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178EC0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A6C2A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0294B8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1E71AA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9AB39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08C14D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AC274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10F693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1D3C2F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4FFE9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Белене</w:t>
            </w:r>
          </w:p>
        </w:tc>
        <w:tc>
          <w:tcPr>
            <w:tcW w:w="1911" w:type="dxa"/>
            <w:tcBorders>
              <w:top w:val="nil"/>
              <w:left w:val="nil"/>
              <w:bottom w:val="single" w:sz="4" w:space="0" w:color="auto"/>
              <w:right w:val="single" w:sz="4" w:space="0" w:color="auto"/>
            </w:tcBorders>
            <w:shd w:val="clear" w:color="000000" w:fill="FFFFFF"/>
            <w:noWrap/>
            <w:vAlign w:val="bottom"/>
            <w:hideMark/>
          </w:tcPr>
          <w:p w14:paraId="38AAEE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4 015,3</w:t>
            </w:r>
          </w:p>
        </w:tc>
        <w:tc>
          <w:tcPr>
            <w:tcW w:w="1118" w:type="dxa"/>
            <w:tcBorders>
              <w:top w:val="nil"/>
              <w:left w:val="nil"/>
              <w:bottom w:val="single" w:sz="4" w:space="0" w:color="auto"/>
              <w:right w:val="single" w:sz="4" w:space="0" w:color="auto"/>
            </w:tcBorders>
            <w:shd w:val="clear" w:color="000000" w:fill="FFFFFF"/>
            <w:noWrap/>
            <w:vAlign w:val="bottom"/>
            <w:hideMark/>
          </w:tcPr>
          <w:p w14:paraId="108731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764,6</w:t>
            </w:r>
          </w:p>
        </w:tc>
        <w:tc>
          <w:tcPr>
            <w:tcW w:w="1257" w:type="dxa"/>
            <w:tcBorders>
              <w:top w:val="nil"/>
              <w:left w:val="nil"/>
              <w:bottom w:val="single" w:sz="4" w:space="0" w:color="auto"/>
              <w:right w:val="single" w:sz="4" w:space="0" w:color="auto"/>
            </w:tcBorders>
            <w:shd w:val="clear" w:color="000000" w:fill="FFFFFF"/>
            <w:noWrap/>
            <w:vAlign w:val="bottom"/>
            <w:hideMark/>
          </w:tcPr>
          <w:p w14:paraId="2D8726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116,3</w:t>
            </w:r>
          </w:p>
        </w:tc>
        <w:tc>
          <w:tcPr>
            <w:tcW w:w="1384" w:type="dxa"/>
            <w:tcBorders>
              <w:top w:val="nil"/>
              <w:left w:val="nil"/>
              <w:bottom w:val="single" w:sz="4" w:space="0" w:color="auto"/>
              <w:right w:val="single" w:sz="4" w:space="0" w:color="auto"/>
            </w:tcBorders>
            <w:shd w:val="clear" w:color="000000" w:fill="FFFFFF"/>
            <w:noWrap/>
            <w:vAlign w:val="bottom"/>
            <w:hideMark/>
          </w:tcPr>
          <w:p w14:paraId="34EF47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648,3</w:t>
            </w:r>
          </w:p>
        </w:tc>
        <w:tc>
          <w:tcPr>
            <w:tcW w:w="1134" w:type="dxa"/>
            <w:tcBorders>
              <w:top w:val="nil"/>
              <w:left w:val="nil"/>
              <w:bottom w:val="single" w:sz="4" w:space="0" w:color="auto"/>
              <w:right w:val="single" w:sz="4" w:space="0" w:color="auto"/>
            </w:tcBorders>
            <w:shd w:val="clear" w:color="000000" w:fill="FFFFFF"/>
            <w:noWrap/>
            <w:vAlign w:val="bottom"/>
            <w:hideMark/>
          </w:tcPr>
          <w:p w14:paraId="5AA7E3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149,7</w:t>
            </w:r>
          </w:p>
        </w:tc>
        <w:tc>
          <w:tcPr>
            <w:tcW w:w="1277" w:type="dxa"/>
            <w:tcBorders>
              <w:top w:val="nil"/>
              <w:left w:val="nil"/>
              <w:bottom w:val="single" w:sz="4" w:space="0" w:color="auto"/>
              <w:right w:val="single" w:sz="4" w:space="0" w:color="auto"/>
            </w:tcBorders>
            <w:shd w:val="clear" w:color="000000" w:fill="FFFFFF"/>
            <w:noWrap/>
            <w:vAlign w:val="bottom"/>
            <w:hideMark/>
          </w:tcPr>
          <w:p w14:paraId="75DB4E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2 356,4</w:t>
            </w:r>
          </w:p>
        </w:tc>
        <w:tc>
          <w:tcPr>
            <w:tcW w:w="1040" w:type="dxa"/>
            <w:tcBorders>
              <w:top w:val="nil"/>
              <w:left w:val="nil"/>
              <w:bottom w:val="single" w:sz="4" w:space="0" w:color="auto"/>
              <w:right w:val="single" w:sz="4" w:space="0" w:color="auto"/>
            </w:tcBorders>
            <w:shd w:val="clear" w:color="000000" w:fill="FFFFFF"/>
            <w:noWrap/>
            <w:vAlign w:val="bottom"/>
            <w:hideMark/>
          </w:tcPr>
          <w:p w14:paraId="79587C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138,5</w:t>
            </w:r>
          </w:p>
        </w:tc>
        <w:tc>
          <w:tcPr>
            <w:tcW w:w="1087" w:type="dxa"/>
            <w:tcBorders>
              <w:top w:val="nil"/>
              <w:left w:val="nil"/>
              <w:bottom w:val="single" w:sz="4" w:space="0" w:color="auto"/>
              <w:right w:val="single" w:sz="4" w:space="0" w:color="auto"/>
            </w:tcBorders>
            <w:shd w:val="clear" w:color="000000" w:fill="FFFFFF"/>
            <w:noWrap/>
            <w:vAlign w:val="bottom"/>
            <w:hideMark/>
          </w:tcPr>
          <w:p w14:paraId="52B1E2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392,5</w:t>
            </w:r>
          </w:p>
        </w:tc>
        <w:tc>
          <w:tcPr>
            <w:tcW w:w="1040" w:type="dxa"/>
            <w:tcBorders>
              <w:top w:val="nil"/>
              <w:left w:val="nil"/>
              <w:bottom w:val="single" w:sz="4" w:space="0" w:color="auto"/>
              <w:right w:val="single" w:sz="4" w:space="0" w:color="auto"/>
            </w:tcBorders>
            <w:shd w:val="clear" w:color="000000" w:fill="FFFFFF"/>
            <w:noWrap/>
            <w:vAlign w:val="bottom"/>
            <w:hideMark/>
          </w:tcPr>
          <w:p w14:paraId="0D3A54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213,6</w:t>
            </w:r>
          </w:p>
        </w:tc>
        <w:tc>
          <w:tcPr>
            <w:tcW w:w="1226" w:type="dxa"/>
            <w:tcBorders>
              <w:top w:val="nil"/>
              <w:left w:val="nil"/>
              <w:bottom w:val="single" w:sz="4" w:space="0" w:color="auto"/>
              <w:right w:val="single" w:sz="4" w:space="0" w:color="auto"/>
            </w:tcBorders>
            <w:shd w:val="clear" w:color="000000" w:fill="FFFFFF"/>
            <w:noWrap/>
            <w:vAlign w:val="bottom"/>
            <w:hideMark/>
          </w:tcPr>
          <w:p w14:paraId="11D6359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CBB6EE0"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3EC66E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Гулянци</w:t>
            </w:r>
          </w:p>
        </w:tc>
        <w:tc>
          <w:tcPr>
            <w:tcW w:w="1911" w:type="dxa"/>
            <w:tcBorders>
              <w:top w:val="nil"/>
              <w:left w:val="nil"/>
              <w:bottom w:val="single" w:sz="4" w:space="0" w:color="auto"/>
              <w:right w:val="single" w:sz="4" w:space="0" w:color="auto"/>
            </w:tcBorders>
            <w:shd w:val="clear" w:color="000000" w:fill="FFFFFF"/>
            <w:noWrap/>
            <w:vAlign w:val="bottom"/>
            <w:hideMark/>
          </w:tcPr>
          <w:p w14:paraId="6F33D9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5 559,4</w:t>
            </w:r>
          </w:p>
        </w:tc>
        <w:tc>
          <w:tcPr>
            <w:tcW w:w="1118" w:type="dxa"/>
            <w:tcBorders>
              <w:top w:val="nil"/>
              <w:left w:val="nil"/>
              <w:bottom w:val="single" w:sz="4" w:space="0" w:color="auto"/>
              <w:right w:val="single" w:sz="4" w:space="0" w:color="auto"/>
            </w:tcBorders>
            <w:shd w:val="clear" w:color="000000" w:fill="FFFFFF"/>
            <w:noWrap/>
            <w:vAlign w:val="bottom"/>
            <w:hideMark/>
          </w:tcPr>
          <w:p w14:paraId="3328DE9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918,7</w:t>
            </w:r>
          </w:p>
        </w:tc>
        <w:tc>
          <w:tcPr>
            <w:tcW w:w="1257" w:type="dxa"/>
            <w:tcBorders>
              <w:top w:val="nil"/>
              <w:left w:val="nil"/>
              <w:bottom w:val="single" w:sz="4" w:space="0" w:color="auto"/>
              <w:right w:val="single" w:sz="4" w:space="0" w:color="auto"/>
            </w:tcBorders>
            <w:shd w:val="clear" w:color="000000" w:fill="FFFFFF"/>
            <w:noWrap/>
            <w:vAlign w:val="bottom"/>
            <w:hideMark/>
          </w:tcPr>
          <w:p w14:paraId="41F06F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217,3</w:t>
            </w:r>
          </w:p>
        </w:tc>
        <w:tc>
          <w:tcPr>
            <w:tcW w:w="1384" w:type="dxa"/>
            <w:tcBorders>
              <w:top w:val="nil"/>
              <w:left w:val="nil"/>
              <w:bottom w:val="single" w:sz="4" w:space="0" w:color="auto"/>
              <w:right w:val="single" w:sz="4" w:space="0" w:color="auto"/>
            </w:tcBorders>
            <w:shd w:val="clear" w:color="000000" w:fill="FFFFFF"/>
            <w:noWrap/>
            <w:vAlign w:val="bottom"/>
            <w:hideMark/>
          </w:tcPr>
          <w:p w14:paraId="3FFE95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701,4</w:t>
            </w:r>
          </w:p>
        </w:tc>
        <w:tc>
          <w:tcPr>
            <w:tcW w:w="1134" w:type="dxa"/>
            <w:tcBorders>
              <w:top w:val="nil"/>
              <w:left w:val="nil"/>
              <w:bottom w:val="single" w:sz="4" w:space="0" w:color="auto"/>
              <w:right w:val="single" w:sz="4" w:space="0" w:color="auto"/>
            </w:tcBorders>
            <w:shd w:val="clear" w:color="000000" w:fill="FFFFFF"/>
            <w:noWrap/>
            <w:vAlign w:val="bottom"/>
            <w:hideMark/>
          </w:tcPr>
          <w:p w14:paraId="24C46F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129,7</w:t>
            </w:r>
          </w:p>
        </w:tc>
        <w:tc>
          <w:tcPr>
            <w:tcW w:w="1277" w:type="dxa"/>
            <w:tcBorders>
              <w:top w:val="nil"/>
              <w:left w:val="nil"/>
              <w:bottom w:val="single" w:sz="4" w:space="0" w:color="auto"/>
              <w:right w:val="single" w:sz="4" w:space="0" w:color="auto"/>
            </w:tcBorders>
            <w:shd w:val="clear" w:color="000000" w:fill="FFFFFF"/>
            <w:noWrap/>
            <w:vAlign w:val="bottom"/>
            <w:hideMark/>
          </w:tcPr>
          <w:p w14:paraId="1EE9C5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3 545,3</w:t>
            </w:r>
          </w:p>
        </w:tc>
        <w:tc>
          <w:tcPr>
            <w:tcW w:w="1040" w:type="dxa"/>
            <w:tcBorders>
              <w:top w:val="nil"/>
              <w:left w:val="nil"/>
              <w:bottom w:val="single" w:sz="4" w:space="0" w:color="auto"/>
              <w:right w:val="single" w:sz="4" w:space="0" w:color="auto"/>
            </w:tcBorders>
            <w:shd w:val="clear" w:color="000000" w:fill="FFFFFF"/>
            <w:noWrap/>
            <w:vAlign w:val="bottom"/>
            <w:hideMark/>
          </w:tcPr>
          <w:p w14:paraId="093F03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236,3</w:t>
            </w:r>
          </w:p>
        </w:tc>
        <w:tc>
          <w:tcPr>
            <w:tcW w:w="1087" w:type="dxa"/>
            <w:tcBorders>
              <w:top w:val="nil"/>
              <w:left w:val="nil"/>
              <w:bottom w:val="single" w:sz="4" w:space="0" w:color="auto"/>
              <w:right w:val="single" w:sz="4" w:space="0" w:color="auto"/>
            </w:tcBorders>
            <w:shd w:val="clear" w:color="000000" w:fill="FFFFFF"/>
            <w:noWrap/>
            <w:vAlign w:val="bottom"/>
            <w:hideMark/>
          </w:tcPr>
          <w:p w14:paraId="517CEE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504,6</w:t>
            </w:r>
          </w:p>
        </w:tc>
        <w:tc>
          <w:tcPr>
            <w:tcW w:w="1040" w:type="dxa"/>
            <w:tcBorders>
              <w:top w:val="nil"/>
              <w:left w:val="nil"/>
              <w:bottom w:val="single" w:sz="4" w:space="0" w:color="auto"/>
              <w:right w:val="single" w:sz="4" w:space="0" w:color="auto"/>
            </w:tcBorders>
            <w:shd w:val="clear" w:color="000000" w:fill="FFFFFF"/>
            <w:noWrap/>
            <w:vAlign w:val="bottom"/>
            <w:hideMark/>
          </w:tcPr>
          <w:p w14:paraId="40E97C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224,8</w:t>
            </w:r>
          </w:p>
        </w:tc>
        <w:tc>
          <w:tcPr>
            <w:tcW w:w="1226" w:type="dxa"/>
            <w:tcBorders>
              <w:top w:val="nil"/>
              <w:left w:val="nil"/>
              <w:bottom w:val="single" w:sz="4" w:space="0" w:color="auto"/>
              <w:right w:val="single" w:sz="4" w:space="0" w:color="auto"/>
            </w:tcBorders>
            <w:shd w:val="clear" w:color="000000" w:fill="FFFFFF"/>
            <w:noWrap/>
            <w:vAlign w:val="bottom"/>
            <w:hideMark/>
          </w:tcPr>
          <w:p w14:paraId="586318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D59828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D99719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Долна Mитрополия</w:t>
            </w:r>
          </w:p>
        </w:tc>
        <w:tc>
          <w:tcPr>
            <w:tcW w:w="1911" w:type="dxa"/>
            <w:tcBorders>
              <w:top w:val="nil"/>
              <w:left w:val="nil"/>
              <w:bottom w:val="single" w:sz="4" w:space="0" w:color="auto"/>
              <w:right w:val="single" w:sz="4" w:space="0" w:color="auto"/>
            </w:tcBorders>
            <w:shd w:val="clear" w:color="000000" w:fill="FFFFFF"/>
            <w:noWrap/>
            <w:vAlign w:val="bottom"/>
            <w:hideMark/>
          </w:tcPr>
          <w:p w14:paraId="32A8D0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9 047,6</w:t>
            </w:r>
          </w:p>
        </w:tc>
        <w:tc>
          <w:tcPr>
            <w:tcW w:w="1118" w:type="dxa"/>
            <w:tcBorders>
              <w:top w:val="nil"/>
              <w:left w:val="nil"/>
              <w:bottom w:val="single" w:sz="4" w:space="0" w:color="auto"/>
              <w:right w:val="single" w:sz="4" w:space="0" w:color="auto"/>
            </w:tcBorders>
            <w:shd w:val="clear" w:color="000000" w:fill="FFFFFF"/>
            <w:noWrap/>
            <w:vAlign w:val="bottom"/>
            <w:hideMark/>
          </w:tcPr>
          <w:p w14:paraId="1152D1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1 216,1</w:t>
            </w:r>
          </w:p>
        </w:tc>
        <w:tc>
          <w:tcPr>
            <w:tcW w:w="1257" w:type="dxa"/>
            <w:tcBorders>
              <w:top w:val="nil"/>
              <w:left w:val="nil"/>
              <w:bottom w:val="single" w:sz="4" w:space="0" w:color="auto"/>
              <w:right w:val="single" w:sz="4" w:space="0" w:color="auto"/>
            </w:tcBorders>
            <w:shd w:val="clear" w:color="000000" w:fill="FFFFFF"/>
            <w:noWrap/>
            <w:vAlign w:val="bottom"/>
            <w:hideMark/>
          </w:tcPr>
          <w:p w14:paraId="314C69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288,0</w:t>
            </w:r>
          </w:p>
        </w:tc>
        <w:tc>
          <w:tcPr>
            <w:tcW w:w="1384" w:type="dxa"/>
            <w:tcBorders>
              <w:top w:val="nil"/>
              <w:left w:val="nil"/>
              <w:bottom w:val="single" w:sz="4" w:space="0" w:color="auto"/>
              <w:right w:val="single" w:sz="4" w:space="0" w:color="auto"/>
            </w:tcBorders>
            <w:shd w:val="clear" w:color="000000" w:fill="FFFFFF"/>
            <w:noWrap/>
            <w:vAlign w:val="bottom"/>
            <w:hideMark/>
          </w:tcPr>
          <w:p w14:paraId="5B8115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928,1</w:t>
            </w:r>
          </w:p>
        </w:tc>
        <w:tc>
          <w:tcPr>
            <w:tcW w:w="1134" w:type="dxa"/>
            <w:tcBorders>
              <w:top w:val="nil"/>
              <w:left w:val="nil"/>
              <w:bottom w:val="single" w:sz="4" w:space="0" w:color="auto"/>
              <w:right w:val="single" w:sz="4" w:space="0" w:color="auto"/>
            </w:tcBorders>
            <w:shd w:val="clear" w:color="000000" w:fill="FFFFFF"/>
            <w:noWrap/>
            <w:vAlign w:val="bottom"/>
            <w:hideMark/>
          </w:tcPr>
          <w:p w14:paraId="022A94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174,8</w:t>
            </w:r>
          </w:p>
        </w:tc>
        <w:tc>
          <w:tcPr>
            <w:tcW w:w="1277" w:type="dxa"/>
            <w:tcBorders>
              <w:top w:val="nil"/>
              <w:left w:val="nil"/>
              <w:bottom w:val="single" w:sz="4" w:space="0" w:color="auto"/>
              <w:right w:val="single" w:sz="4" w:space="0" w:color="auto"/>
            </w:tcBorders>
            <w:shd w:val="clear" w:color="000000" w:fill="FFFFFF"/>
            <w:noWrap/>
            <w:vAlign w:val="bottom"/>
            <w:hideMark/>
          </w:tcPr>
          <w:p w14:paraId="368AF5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6 358,9</w:t>
            </w:r>
          </w:p>
        </w:tc>
        <w:tc>
          <w:tcPr>
            <w:tcW w:w="1040" w:type="dxa"/>
            <w:tcBorders>
              <w:top w:val="nil"/>
              <w:left w:val="nil"/>
              <w:bottom w:val="single" w:sz="4" w:space="0" w:color="auto"/>
              <w:right w:val="single" w:sz="4" w:space="0" w:color="auto"/>
            </w:tcBorders>
            <w:shd w:val="clear" w:color="000000" w:fill="FFFFFF"/>
            <w:noWrap/>
            <w:vAlign w:val="bottom"/>
            <w:hideMark/>
          </w:tcPr>
          <w:p w14:paraId="0BFDD1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182,9</w:t>
            </w:r>
          </w:p>
        </w:tc>
        <w:tc>
          <w:tcPr>
            <w:tcW w:w="1087" w:type="dxa"/>
            <w:tcBorders>
              <w:top w:val="nil"/>
              <w:left w:val="nil"/>
              <w:bottom w:val="single" w:sz="4" w:space="0" w:color="auto"/>
              <w:right w:val="single" w:sz="4" w:space="0" w:color="auto"/>
            </w:tcBorders>
            <w:shd w:val="clear" w:color="000000" w:fill="FFFFFF"/>
            <w:noWrap/>
            <w:vAlign w:val="bottom"/>
            <w:hideMark/>
          </w:tcPr>
          <w:p w14:paraId="235316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788,9</w:t>
            </w:r>
          </w:p>
        </w:tc>
        <w:tc>
          <w:tcPr>
            <w:tcW w:w="1040" w:type="dxa"/>
            <w:tcBorders>
              <w:top w:val="nil"/>
              <w:left w:val="nil"/>
              <w:bottom w:val="single" w:sz="4" w:space="0" w:color="auto"/>
              <w:right w:val="single" w:sz="4" w:space="0" w:color="auto"/>
            </w:tcBorders>
            <w:shd w:val="clear" w:color="000000" w:fill="FFFFFF"/>
            <w:noWrap/>
            <w:vAlign w:val="bottom"/>
            <w:hideMark/>
          </w:tcPr>
          <w:p w14:paraId="459C51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326,0</w:t>
            </w:r>
          </w:p>
        </w:tc>
        <w:tc>
          <w:tcPr>
            <w:tcW w:w="1226" w:type="dxa"/>
            <w:tcBorders>
              <w:top w:val="nil"/>
              <w:left w:val="nil"/>
              <w:bottom w:val="single" w:sz="4" w:space="0" w:color="auto"/>
              <w:right w:val="single" w:sz="4" w:space="0" w:color="auto"/>
            </w:tcBorders>
            <w:shd w:val="clear" w:color="000000" w:fill="FFFFFF"/>
            <w:noWrap/>
            <w:vAlign w:val="bottom"/>
            <w:hideMark/>
          </w:tcPr>
          <w:p w14:paraId="18EDFE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3AE3A20"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DF0F9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Долни Дъбник</w:t>
            </w:r>
          </w:p>
        </w:tc>
        <w:tc>
          <w:tcPr>
            <w:tcW w:w="1911" w:type="dxa"/>
            <w:tcBorders>
              <w:top w:val="nil"/>
              <w:left w:val="nil"/>
              <w:bottom w:val="single" w:sz="4" w:space="0" w:color="auto"/>
              <w:right w:val="single" w:sz="4" w:space="0" w:color="auto"/>
            </w:tcBorders>
            <w:shd w:val="clear" w:color="000000" w:fill="FFFFFF"/>
            <w:noWrap/>
            <w:vAlign w:val="bottom"/>
            <w:hideMark/>
          </w:tcPr>
          <w:p w14:paraId="50A1F9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7 223,9</w:t>
            </w:r>
          </w:p>
        </w:tc>
        <w:tc>
          <w:tcPr>
            <w:tcW w:w="1118" w:type="dxa"/>
            <w:tcBorders>
              <w:top w:val="nil"/>
              <w:left w:val="nil"/>
              <w:bottom w:val="single" w:sz="4" w:space="0" w:color="auto"/>
              <w:right w:val="single" w:sz="4" w:space="0" w:color="auto"/>
            </w:tcBorders>
            <w:shd w:val="clear" w:color="000000" w:fill="FFFFFF"/>
            <w:noWrap/>
            <w:vAlign w:val="bottom"/>
            <w:hideMark/>
          </w:tcPr>
          <w:p w14:paraId="70DD34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960,8</w:t>
            </w:r>
          </w:p>
        </w:tc>
        <w:tc>
          <w:tcPr>
            <w:tcW w:w="1257" w:type="dxa"/>
            <w:tcBorders>
              <w:top w:val="nil"/>
              <w:left w:val="nil"/>
              <w:bottom w:val="single" w:sz="4" w:space="0" w:color="auto"/>
              <w:right w:val="single" w:sz="4" w:space="0" w:color="auto"/>
            </w:tcBorders>
            <w:shd w:val="clear" w:color="000000" w:fill="FFFFFF"/>
            <w:noWrap/>
            <w:vAlign w:val="bottom"/>
            <w:hideMark/>
          </w:tcPr>
          <w:p w14:paraId="71445E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144,8</w:t>
            </w:r>
          </w:p>
        </w:tc>
        <w:tc>
          <w:tcPr>
            <w:tcW w:w="1384" w:type="dxa"/>
            <w:tcBorders>
              <w:top w:val="nil"/>
              <w:left w:val="nil"/>
              <w:bottom w:val="single" w:sz="4" w:space="0" w:color="auto"/>
              <w:right w:val="single" w:sz="4" w:space="0" w:color="auto"/>
            </w:tcBorders>
            <w:shd w:val="clear" w:color="000000" w:fill="FFFFFF"/>
            <w:noWrap/>
            <w:vAlign w:val="bottom"/>
            <w:hideMark/>
          </w:tcPr>
          <w:p w14:paraId="66FAD3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816,0</w:t>
            </w:r>
          </w:p>
        </w:tc>
        <w:tc>
          <w:tcPr>
            <w:tcW w:w="1134" w:type="dxa"/>
            <w:tcBorders>
              <w:top w:val="nil"/>
              <w:left w:val="nil"/>
              <w:bottom w:val="single" w:sz="4" w:space="0" w:color="auto"/>
              <w:right w:val="single" w:sz="4" w:space="0" w:color="auto"/>
            </w:tcBorders>
            <w:shd w:val="clear" w:color="000000" w:fill="FFFFFF"/>
            <w:noWrap/>
            <w:vAlign w:val="bottom"/>
            <w:hideMark/>
          </w:tcPr>
          <w:p w14:paraId="3FA255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164,5</w:t>
            </w:r>
          </w:p>
        </w:tc>
        <w:tc>
          <w:tcPr>
            <w:tcW w:w="1277" w:type="dxa"/>
            <w:tcBorders>
              <w:top w:val="nil"/>
              <w:left w:val="nil"/>
              <w:bottom w:val="single" w:sz="4" w:space="0" w:color="auto"/>
              <w:right w:val="single" w:sz="4" w:space="0" w:color="auto"/>
            </w:tcBorders>
            <w:shd w:val="clear" w:color="000000" w:fill="FFFFFF"/>
            <w:noWrap/>
            <w:vAlign w:val="bottom"/>
            <w:hideMark/>
          </w:tcPr>
          <w:p w14:paraId="51C2F7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5 214,1</w:t>
            </w:r>
          </w:p>
        </w:tc>
        <w:tc>
          <w:tcPr>
            <w:tcW w:w="1040" w:type="dxa"/>
            <w:tcBorders>
              <w:top w:val="nil"/>
              <w:left w:val="nil"/>
              <w:bottom w:val="single" w:sz="4" w:space="0" w:color="auto"/>
              <w:right w:val="single" w:sz="4" w:space="0" w:color="auto"/>
            </w:tcBorders>
            <w:shd w:val="clear" w:color="000000" w:fill="FFFFFF"/>
            <w:noWrap/>
            <w:vAlign w:val="bottom"/>
            <w:hideMark/>
          </w:tcPr>
          <w:p w14:paraId="3F9A51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131,8</w:t>
            </w:r>
          </w:p>
        </w:tc>
        <w:tc>
          <w:tcPr>
            <w:tcW w:w="1087" w:type="dxa"/>
            <w:tcBorders>
              <w:top w:val="nil"/>
              <w:left w:val="nil"/>
              <w:bottom w:val="single" w:sz="4" w:space="0" w:color="auto"/>
              <w:right w:val="single" w:sz="4" w:space="0" w:color="auto"/>
            </w:tcBorders>
            <w:shd w:val="clear" w:color="000000" w:fill="FFFFFF"/>
            <w:noWrap/>
            <w:vAlign w:val="bottom"/>
            <w:hideMark/>
          </w:tcPr>
          <w:p w14:paraId="1E3E63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584,1</w:t>
            </w:r>
          </w:p>
        </w:tc>
        <w:tc>
          <w:tcPr>
            <w:tcW w:w="1040" w:type="dxa"/>
            <w:tcBorders>
              <w:top w:val="nil"/>
              <w:left w:val="nil"/>
              <w:bottom w:val="single" w:sz="4" w:space="0" w:color="auto"/>
              <w:right w:val="single" w:sz="4" w:space="0" w:color="auto"/>
            </w:tcBorders>
            <w:shd w:val="clear" w:color="000000" w:fill="FFFFFF"/>
            <w:noWrap/>
            <w:vAlign w:val="bottom"/>
            <w:hideMark/>
          </w:tcPr>
          <w:p w14:paraId="5A8C51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5424D2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80A3DC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DF89B5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Искър</w:t>
            </w:r>
          </w:p>
        </w:tc>
        <w:tc>
          <w:tcPr>
            <w:tcW w:w="1911" w:type="dxa"/>
            <w:tcBorders>
              <w:top w:val="nil"/>
              <w:left w:val="nil"/>
              <w:bottom w:val="single" w:sz="4" w:space="0" w:color="auto"/>
              <w:right w:val="single" w:sz="4" w:space="0" w:color="auto"/>
            </w:tcBorders>
            <w:shd w:val="clear" w:color="000000" w:fill="FFFFFF"/>
            <w:noWrap/>
            <w:vAlign w:val="bottom"/>
            <w:hideMark/>
          </w:tcPr>
          <w:p w14:paraId="756D32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3 372,4</w:t>
            </w:r>
          </w:p>
        </w:tc>
        <w:tc>
          <w:tcPr>
            <w:tcW w:w="1118" w:type="dxa"/>
            <w:tcBorders>
              <w:top w:val="nil"/>
              <w:left w:val="nil"/>
              <w:bottom w:val="single" w:sz="4" w:space="0" w:color="auto"/>
              <w:right w:val="single" w:sz="4" w:space="0" w:color="auto"/>
            </w:tcBorders>
            <w:shd w:val="clear" w:color="000000" w:fill="FFFFFF"/>
            <w:noWrap/>
            <w:vAlign w:val="bottom"/>
            <w:hideMark/>
          </w:tcPr>
          <w:p w14:paraId="793357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685,5</w:t>
            </w:r>
          </w:p>
        </w:tc>
        <w:tc>
          <w:tcPr>
            <w:tcW w:w="1257" w:type="dxa"/>
            <w:tcBorders>
              <w:top w:val="nil"/>
              <w:left w:val="nil"/>
              <w:bottom w:val="single" w:sz="4" w:space="0" w:color="auto"/>
              <w:right w:val="single" w:sz="4" w:space="0" w:color="auto"/>
            </w:tcBorders>
            <w:shd w:val="clear" w:color="000000" w:fill="FFFFFF"/>
            <w:noWrap/>
            <w:vAlign w:val="bottom"/>
            <w:hideMark/>
          </w:tcPr>
          <w:p w14:paraId="41AC2C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91,0</w:t>
            </w:r>
          </w:p>
        </w:tc>
        <w:tc>
          <w:tcPr>
            <w:tcW w:w="1384" w:type="dxa"/>
            <w:tcBorders>
              <w:top w:val="nil"/>
              <w:left w:val="nil"/>
              <w:bottom w:val="single" w:sz="4" w:space="0" w:color="auto"/>
              <w:right w:val="single" w:sz="4" w:space="0" w:color="auto"/>
            </w:tcBorders>
            <w:shd w:val="clear" w:color="000000" w:fill="FFFFFF"/>
            <w:noWrap/>
            <w:vAlign w:val="bottom"/>
            <w:hideMark/>
          </w:tcPr>
          <w:p w14:paraId="0540C6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594,5</w:t>
            </w:r>
          </w:p>
        </w:tc>
        <w:tc>
          <w:tcPr>
            <w:tcW w:w="1134" w:type="dxa"/>
            <w:tcBorders>
              <w:top w:val="nil"/>
              <w:left w:val="nil"/>
              <w:bottom w:val="single" w:sz="4" w:space="0" w:color="auto"/>
              <w:right w:val="single" w:sz="4" w:space="0" w:color="auto"/>
            </w:tcBorders>
            <w:shd w:val="clear" w:color="000000" w:fill="FFFFFF"/>
            <w:noWrap/>
            <w:vAlign w:val="bottom"/>
            <w:hideMark/>
          </w:tcPr>
          <w:p w14:paraId="2104CA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125,1</w:t>
            </w:r>
          </w:p>
        </w:tc>
        <w:tc>
          <w:tcPr>
            <w:tcW w:w="1277" w:type="dxa"/>
            <w:tcBorders>
              <w:top w:val="nil"/>
              <w:left w:val="nil"/>
              <w:bottom w:val="single" w:sz="4" w:space="0" w:color="auto"/>
              <w:right w:val="single" w:sz="4" w:space="0" w:color="auto"/>
            </w:tcBorders>
            <w:shd w:val="clear" w:color="000000" w:fill="FFFFFF"/>
            <w:noWrap/>
            <w:vAlign w:val="bottom"/>
            <w:hideMark/>
          </w:tcPr>
          <w:p w14:paraId="4FCEBA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2 214,4</w:t>
            </w:r>
          </w:p>
        </w:tc>
        <w:tc>
          <w:tcPr>
            <w:tcW w:w="1040" w:type="dxa"/>
            <w:tcBorders>
              <w:top w:val="nil"/>
              <w:left w:val="nil"/>
              <w:bottom w:val="single" w:sz="4" w:space="0" w:color="auto"/>
              <w:right w:val="single" w:sz="4" w:space="0" w:color="auto"/>
            </w:tcBorders>
            <w:shd w:val="clear" w:color="000000" w:fill="FFFFFF"/>
            <w:noWrap/>
            <w:vAlign w:val="bottom"/>
            <w:hideMark/>
          </w:tcPr>
          <w:p w14:paraId="48D20F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89,5</w:t>
            </w:r>
          </w:p>
        </w:tc>
        <w:tc>
          <w:tcPr>
            <w:tcW w:w="1087" w:type="dxa"/>
            <w:tcBorders>
              <w:top w:val="nil"/>
              <w:left w:val="nil"/>
              <w:bottom w:val="single" w:sz="4" w:space="0" w:color="auto"/>
              <w:right w:val="single" w:sz="4" w:space="0" w:color="auto"/>
            </w:tcBorders>
            <w:shd w:val="clear" w:color="000000" w:fill="FFFFFF"/>
            <w:noWrap/>
            <w:vAlign w:val="bottom"/>
            <w:hideMark/>
          </w:tcPr>
          <w:p w14:paraId="3DA8CA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111,8</w:t>
            </w:r>
          </w:p>
        </w:tc>
        <w:tc>
          <w:tcPr>
            <w:tcW w:w="1040" w:type="dxa"/>
            <w:tcBorders>
              <w:top w:val="nil"/>
              <w:left w:val="nil"/>
              <w:bottom w:val="single" w:sz="4" w:space="0" w:color="auto"/>
              <w:right w:val="single" w:sz="4" w:space="0" w:color="auto"/>
            </w:tcBorders>
            <w:shd w:val="clear" w:color="000000" w:fill="FFFFFF"/>
            <w:noWrap/>
            <w:vAlign w:val="bottom"/>
            <w:hideMark/>
          </w:tcPr>
          <w:p w14:paraId="0F6DBB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146,1</w:t>
            </w:r>
          </w:p>
        </w:tc>
        <w:tc>
          <w:tcPr>
            <w:tcW w:w="1226" w:type="dxa"/>
            <w:tcBorders>
              <w:top w:val="nil"/>
              <w:left w:val="nil"/>
              <w:bottom w:val="single" w:sz="4" w:space="0" w:color="auto"/>
              <w:right w:val="single" w:sz="4" w:space="0" w:color="auto"/>
            </w:tcBorders>
            <w:shd w:val="clear" w:color="000000" w:fill="FFFFFF"/>
            <w:noWrap/>
            <w:vAlign w:val="bottom"/>
            <w:hideMark/>
          </w:tcPr>
          <w:p w14:paraId="7FBE71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C58FA8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BF092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Левски</w:t>
            </w:r>
          </w:p>
        </w:tc>
        <w:tc>
          <w:tcPr>
            <w:tcW w:w="1911" w:type="dxa"/>
            <w:tcBorders>
              <w:top w:val="nil"/>
              <w:left w:val="nil"/>
              <w:bottom w:val="single" w:sz="4" w:space="0" w:color="auto"/>
              <w:right w:val="single" w:sz="4" w:space="0" w:color="auto"/>
            </w:tcBorders>
            <w:shd w:val="clear" w:color="000000" w:fill="FFFFFF"/>
            <w:noWrap/>
            <w:vAlign w:val="bottom"/>
            <w:hideMark/>
          </w:tcPr>
          <w:p w14:paraId="67403D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10 040,3</w:t>
            </w:r>
          </w:p>
        </w:tc>
        <w:tc>
          <w:tcPr>
            <w:tcW w:w="1118" w:type="dxa"/>
            <w:tcBorders>
              <w:top w:val="nil"/>
              <w:left w:val="nil"/>
              <w:bottom w:val="single" w:sz="4" w:space="0" w:color="auto"/>
              <w:right w:val="single" w:sz="4" w:space="0" w:color="auto"/>
            </w:tcBorders>
            <w:shd w:val="clear" w:color="000000" w:fill="FFFFFF"/>
            <w:noWrap/>
            <w:vAlign w:val="bottom"/>
            <w:hideMark/>
          </w:tcPr>
          <w:p w14:paraId="267E57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1 194,2</w:t>
            </w:r>
          </w:p>
        </w:tc>
        <w:tc>
          <w:tcPr>
            <w:tcW w:w="1257" w:type="dxa"/>
            <w:tcBorders>
              <w:top w:val="nil"/>
              <w:left w:val="nil"/>
              <w:bottom w:val="single" w:sz="4" w:space="0" w:color="auto"/>
              <w:right w:val="single" w:sz="4" w:space="0" w:color="auto"/>
            </w:tcBorders>
            <w:shd w:val="clear" w:color="000000" w:fill="FFFFFF"/>
            <w:noWrap/>
            <w:vAlign w:val="bottom"/>
            <w:hideMark/>
          </w:tcPr>
          <w:p w14:paraId="57E502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234,1</w:t>
            </w:r>
          </w:p>
        </w:tc>
        <w:tc>
          <w:tcPr>
            <w:tcW w:w="1384" w:type="dxa"/>
            <w:tcBorders>
              <w:top w:val="nil"/>
              <w:left w:val="nil"/>
              <w:bottom w:val="single" w:sz="4" w:space="0" w:color="auto"/>
              <w:right w:val="single" w:sz="4" w:space="0" w:color="auto"/>
            </w:tcBorders>
            <w:shd w:val="clear" w:color="000000" w:fill="FFFFFF"/>
            <w:noWrap/>
            <w:vAlign w:val="bottom"/>
            <w:hideMark/>
          </w:tcPr>
          <w:p w14:paraId="078B4B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960,1</w:t>
            </w:r>
          </w:p>
        </w:tc>
        <w:tc>
          <w:tcPr>
            <w:tcW w:w="1134" w:type="dxa"/>
            <w:tcBorders>
              <w:top w:val="nil"/>
              <w:left w:val="nil"/>
              <w:bottom w:val="single" w:sz="4" w:space="0" w:color="auto"/>
              <w:right w:val="single" w:sz="4" w:space="0" w:color="auto"/>
            </w:tcBorders>
            <w:shd w:val="clear" w:color="000000" w:fill="FFFFFF"/>
            <w:noWrap/>
            <w:vAlign w:val="bottom"/>
            <w:hideMark/>
          </w:tcPr>
          <w:p w14:paraId="05D3343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164,5</w:t>
            </w:r>
          </w:p>
        </w:tc>
        <w:tc>
          <w:tcPr>
            <w:tcW w:w="1277" w:type="dxa"/>
            <w:tcBorders>
              <w:top w:val="nil"/>
              <w:left w:val="nil"/>
              <w:bottom w:val="single" w:sz="4" w:space="0" w:color="auto"/>
              <w:right w:val="single" w:sz="4" w:space="0" w:color="auto"/>
            </w:tcBorders>
            <w:shd w:val="clear" w:color="000000" w:fill="FFFFFF"/>
            <w:noWrap/>
            <w:vAlign w:val="bottom"/>
            <w:hideMark/>
          </w:tcPr>
          <w:p w14:paraId="1285F0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6 098,2</w:t>
            </w:r>
          </w:p>
        </w:tc>
        <w:tc>
          <w:tcPr>
            <w:tcW w:w="1040" w:type="dxa"/>
            <w:tcBorders>
              <w:top w:val="nil"/>
              <w:left w:val="nil"/>
              <w:bottom w:val="single" w:sz="4" w:space="0" w:color="auto"/>
              <w:right w:val="single" w:sz="4" w:space="0" w:color="auto"/>
            </w:tcBorders>
            <w:shd w:val="clear" w:color="000000" w:fill="FFFFFF"/>
            <w:noWrap/>
            <w:vAlign w:val="bottom"/>
            <w:hideMark/>
          </w:tcPr>
          <w:p w14:paraId="375607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257,5</w:t>
            </w:r>
          </w:p>
        </w:tc>
        <w:tc>
          <w:tcPr>
            <w:tcW w:w="1087" w:type="dxa"/>
            <w:tcBorders>
              <w:top w:val="nil"/>
              <w:left w:val="nil"/>
              <w:bottom w:val="single" w:sz="4" w:space="0" w:color="auto"/>
              <w:right w:val="single" w:sz="4" w:space="0" w:color="auto"/>
            </w:tcBorders>
            <w:shd w:val="clear" w:color="000000" w:fill="FFFFFF"/>
            <w:noWrap/>
            <w:vAlign w:val="bottom"/>
            <w:hideMark/>
          </w:tcPr>
          <w:p w14:paraId="7A5DF9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1 887,5</w:t>
            </w:r>
          </w:p>
        </w:tc>
        <w:tc>
          <w:tcPr>
            <w:tcW w:w="1040" w:type="dxa"/>
            <w:tcBorders>
              <w:top w:val="nil"/>
              <w:left w:val="nil"/>
              <w:bottom w:val="single" w:sz="4" w:space="0" w:color="auto"/>
              <w:right w:val="single" w:sz="4" w:space="0" w:color="auto"/>
            </w:tcBorders>
            <w:shd w:val="clear" w:color="000000" w:fill="FFFFFF"/>
            <w:noWrap/>
            <w:vAlign w:val="bottom"/>
            <w:hideMark/>
          </w:tcPr>
          <w:p w14:paraId="023A82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438,4</w:t>
            </w:r>
          </w:p>
        </w:tc>
        <w:tc>
          <w:tcPr>
            <w:tcW w:w="1226" w:type="dxa"/>
            <w:tcBorders>
              <w:top w:val="nil"/>
              <w:left w:val="nil"/>
              <w:bottom w:val="single" w:sz="4" w:space="0" w:color="auto"/>
              <w:right w:val="single" w:sz="4" w:space="0" w:color="auto"/>
            </w:tcBorders>
            <w:shd w:val="clear" w:color="000000" w:fill="FFFFFF"/>
            <w:noWrap/>
            <w:vAlign w:val="bottom"/>
            <w:hideMark/>
          </w:tcPr>
          <w:p w14:paraId="199AA2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0925A8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C9082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Hикопол</w:t>
            </w:r>
          </w:p>
        </w:tc>
        <w:tc>
          <w:tcPr>
            <w:tcW w:w="1911" w:type="dxa"/>
            <w:tcBorders>
              <w:top w:val="nil"/>
              <w:left w:val="nil"/>
              <w:bottom w:val="single" w:sz="4" w:space="0" w:color="auto"/>
              <w:right w:val="single" w:sz="4" w:space="0" w:color="auto"/>
            </w:tcBorders>
            <w:shd w:val="clear" w:color="000000" w:fill="FFFFFF"/>
            <w:noWrap/>
            <w:vAlign w:val="bottom"/>
            <w:hideMark/>
          </w:tcPr>
          <w:p w14:paraId="2EEB91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4 547,9</w:t>
            </w:r>
          </w:p>
        </w:tc>
        <w:tc>
          <w:tcPr>
            <w:tcW w:w="1118" w:type="dxa"/>
            <w:tcBorders>
              <w:top w:val="nil"/>
              <w:left w:val="nil"/>
              <w:bottom w:val="single" w:sz="4" w:space="0" w:color="auto"/>
              <w:right w:val="single" w:sz="4" w:space="0" w:color="auto"/>
            </w:tcBorders>
            <w:shd w:val="clear" w:color="000000" w:fill="FFFFFF"/>
            <w:noWrap/>
            <w:vAlign w:val="bottom"/>
            <w:hideMark/>
          </w:tcPr>
          <w:p w14:paraId="1E2CCD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895,0</w:t>
            </w:r>
          </w:p>
        </w:tc>
        <w:tc>
          <w:tcPr>
            <w:tcW w:w="1257" w:type="dxa"/>
            <w:tcBorders>
              <w:top w:val="nil"/>
              <w:left w:val="nil"/>
              <w:bottom w:val="single" w:sz="4" w:space="0" w:color="auto"/>
              <w:right w:val="single" w:sz="4" w:space="0" w:color="auto"/>
            </w:tcBorders>
            <w:shd w:val="clear" w:color="000000" w:fill="FFFFFF"/>
            <w:noWrap/>
            <w:vAlign w:val="bottom"/>
            <w:hideMark/>
          </w:tcPr>
          <w:p w14:paraId="37CA03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239,1</w:t>
            </w:r>
          </w:p>
        </w:tc>
        <w:tc>
          <w:tcPr>
            <w:tcW w:w="1384" w:type="dxa"/>
            <w:tcBorders>
              <w:top w:val="nil"/>
              <w:left w:val="nil"/>
              <w:bottom w:val="single" w:sz="4" w:space="0" w:color="auto"/>
              <w:right w:val="single" w:sz="4" w:space="0" w:color="auto"/>
            </w:tcBorders>
            <w:shd w:val="clear" w:color="000000" w:fill="FFFFFF"/>
            <w:noWrap/>
            <w:vAlign w:val="bottom"/>
            <w:hideMark/>
          </w:tcPr>
          <w:p w14:paraId="5BE814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655,9</w:t>
            </w:r>
          </w:p>
        </w:tc>
        <w:tc>
          <w:tcPr>
            <w:tcW w:w="1134" w:type="dxa"/>
            <w:tcBorders>
              <w:top w:val="nil"/>
              <w:left w:val="nil"/>
              <w:bottom w:val="single" w:sz="4" w:space="0" w:color="auto"/>
              <w:right w:val="single" w:sz="4" w:space="0" w:color="auto"/>
            </w:tcBorders>
            <w:shd w:val="clear" w:color="000000" w:fill="FFFFFF"/>
            <w:noWrap/>
            <w:vAlign w:val="bottom"/>
            <w:hideMark/>
          </w:tcPr>
          <w:p w14:paraId="716B80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140,1</w:t>
            </w:r>
          </w:p>
        </w:tc>
        <w:tc>
          <w:tcPr>
            <w:tcW w:w="1277" w:type="dxa"/>
            <w:tcBorders>
              <w:top w:val="nil"/>
              <w:left w:val="nil"/>
              <w:bottom w:val="single" w:sz="4" w:space="0" w:color="auto"/>
              <w:right w:val="single" w:sz="4" w:space="0" w:color="auto"/>
            </w:tcBorders>
            <w:shd w:val="clear" w:color="000000" w:fill="FFFFFF"/>
            <w:noWrap/>
            <w:vAlign w:val="bottom"/>
            <w:hideMark/>
          </w:tcPr>
          <w:p w14:paraId="443D35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2 151,0</w:t>
            </w:r>
          </w:p>
        </w:tc>
        <w:tc>
          <w:tcPr>
            <w:tcW w:w="1040" w:type="dxa"/>
            <w:tcBorders>
              <w:top w:val="nil"/>
              <w:left w:val="nil"/>
              <w:bottom w:val="single" w:sz="4" w:space="0" w:color="auto"/>
              <w:right w:val="single" w:sz="4" w:space="0" w:color="auto"/>
            </w:tcBorders>
            <w:shd w:val="clear" w:color="000000" w:fill="FFFFFF"/>
            <w:noWrap/>
            <w:vAlign w:val="bottom"/>
            <w:hideMark/>
          </w:tcPr>
          <w:p w14:paraId="7B2BD5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38,0</w:t>
            </w:r>
          </w:p>
        </w:tc>
        <w:tc>
          <w:tcPr>
            <w:tcW w:w="1087" w:type="dxa"/>
            <w:tcBorders>
              <w:top w:val="nil"/>
              <w:left w:val="nil"/>
              <w:bottom w:val="single" w:sz="4" w:space="0" w:color="auto"/>
              <w:right w:val="single" w:sz="4" w:space="0" w:color="auto"/>
            </w:tcBorders>
            <w:shd w:val="clear" w:color="000000" w:fill="FFFFFF"/>
            <w:noWrap/>
            <w:vAlign w:val="bottom"/>
            <w:hideMark/>
          </w:tcPr>
          <w:p w14:paraId="5BA5D2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1 009,1</w:t>
            </w:r>
          </w:p>
        </w:tc>
        <w:tc>
          <w:tcPr>
            <w:tcW w:w="1040" w:type="dxa"/>
            <w:tcBorders>
              <w:top w:val="nil"/>
              <w:left w:val="nil"/>
              <w:bottom w:val="single" w:sz="4" w:space="0" w:color="auto"/>
              <w:right w:val="single" w:sz="4" w:space="0" w:color="auto"/>
            </w:tcBorders>
            <w:shd w:val="clear" w:color="000000" w:fill="FFFFFF"/>
            <w:noWrap/>
            <w:vAlign w:val="bottom"/>
            <w:hideMark/>
          </w:tcPr>
          <w:p w14:paraId="03850C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314,7</w:t>
            </w:r>
          </w:p>
        </w:tc>
        <w:tc>
          <w:tcPr>
            <w:tcW w:w="1226" w:type="dxa"/>
            <w:tcBorders>
              <w:top w:val="nil"/>
              <w:left w:val="nil"/>
              <w:bottom w:val="single" w:sz="4" w:space="0" w:color="auto"/>
              <w:right w:val="single" w:sz="4" w:space="0" w:color="auto"/>
            </w:tcBorders>
            <w:shd w:val="clear" w:color="000000" w:fill="FFFFFF"/>
            <w:noWrap/>
            <w:vAlign w:val="bottom"/>
            <w:hideMark/>
          </w:tcPr>
          <w:p w14:paraId="223905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20B7EC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9A6BE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Плевен</w:t>
            </w:r>
          </w:p>
        </w:tc>
        <w:tc>
          <w:tcPr>
            <w:tcW w:w="1911" w:type="dxa"/>
            <w:tcBorders>
              <w:top w:val="nil"/>
              <w:left w:val="nil"/>
              <w:bottom w:val="single" w:sz="4" w:space="0" w:color="auto"/>
              <w:right w:val="single" w:sz="4" w:space="0" w:color="auto"/>
            </w:tcBorders>
            <w:shd w:val="clear" w:color="000000" w:fill="FFFFFF"/>
            <w:noWrap/>
            <w:vAlign w:val="bottom"/>
            <w:hideMark/>
          </w:tcPr>
          <w:p w14:paraId="5CF6C5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69 036,1</w:t>
            </w:r>
          </w:p>
        </w:tc>
        <w:tc>
          <w:tcPr>
            <w:tcW w:w="1118" w:type="dxa"/>
            <w:tcBorders>
              <w:top w:val="nil"/>
              <w:left w:val="nil"/>
              <w:bottom w:val="single" w:sz="4" w:space="0" w:color="auto"/>
              <w:right w:val="single" w:sz="4" w:space="0" w:color="auto"/>
            </w:tcBorders>
            <w:shd w:val="clear" w:color="000000" w:fill="FFFFFF"/>
            <w:noWrap/>
            <w:vAlign w:val="bottom"/>
            <w:hideMark/>
          </w:tcPr>
          <w:p w14:paraId="01FF5D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4 163,0</w:t>
            </w:r>
          </w:p>
        </w:tc>
        <w:tc>
          <w:tcPr>
            <w:tcW w:w="1257" w:type="dxa"/>
            <w:tcBorders>
              <w:top w:val="nil"/>
              <w:left w:val="nil"/>
              <w:bottom w:val="single" w:sz="4" w:space="0" w:color="auto"/>
              <w:right w:val="single" w:sz="4" w:space="0" w:color="auto"/>
            </w:tcBorders>
            <w:shd w:val="clear" w:color="000000" w:fill="FFFFFF"/>
            <w:noWrap/>
            <w:vAlign w:val="bottom"/>
            <w:hideMark/>
          </w:tcPr>
          <w:p w14:paraId="3CA02F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441,4</w:t>
            </w:r>
          </w:p>
        </w:tc>
        <w:tc>
          <w:tcPr>
            <w:tcW w:w="1384" w:type="dxa"/>
            <w:tcBorders>
              <w:top w:val="nil"/>
              <w:left w:val="nil"/>
              <w:bottom w:val="single" w:sz="4" w:space="0" w:color="auto"/>
              <w:right w:val="single" w:sz="4" w:space="0" w:color="auto"/>
            </w:tcBorders>
            <w:shd w:val="clear" w:color="000000" w:fill="FFFFFF"/>
            <w:noWrap/>
            <w:vAlign w:val="bottom"/>
            <w:hideMark/>
          </w:tcPr>
          <w:p w14:paraId="6855D0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3 721,6</w:t>
            </w:r>
          </w:p>
        </w:tc>
        <w:tc>
          <w:tcPr>
            <w:tcW w:w="1134" w:type="dxa"/>
            <w:tcBorders>
              <w:top w:val="nil"/>
              <w:left w:val="nil"/>
              <w:bottom w:val="single" w:sz="4" w:space="0" w:color="auto"/>
              <w:right w:val="single" w:sz="4" w:space="0" w:color="auto"/>
            </w:tcBorders>
            <w:shd w:val="clear" w:color="000000" w:fill="FFFFFF"/>
            <w:noWrap/>
            <w:vAlign w:val="bottom"/>
            <w:hideMark/>
          </w:tcPr>
          <w:p w14:paraId="3F2D46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321,4</w:t>
            </w:r>
          </w:p>
        </w:tc>
        <w:tc>
          <w:tcPr>
            <w:tcW w:w="1277" w:type="dxa"/>
            <w:tcBorders>
              <w:top w:val="nil"/>
              <w:left w:val="nil"/>
              <w:bottom w:val="single" w:sz="4" w:space="0" w:color="auto"/>
              <w:right w:val="single" w:sz="4" w:space="0" w:color="auto"/>
            </w:tcBorders>
            <w:shd w:val="clear" w:color="000000" w:fill="FFFFFF"/>
            <w:noWrap/>
            <w:vAlign w:val="bottom"/>
            <w:hideMark/>
          </w:tcPr>
          <w:p w14:paraId="46E427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48 911,4</w:t>
            </w:r>
          </w:p>
        </w:tc>
        <w:tc>
          <w:tcPr>
            <w:tcW w:w="1040" w:type="dxa"/>
            <w:tcBorders>
              <w:top w:val="nil"/>
              <w:left w:val="nil"/>
              <w:bottom w:val="single" w:sz="4" w:space="0" w:color="auto"/>
              <w:right w:val="single" w:sz="4" w:space="0" w:color="auto"/>
            </w:tcBorders>
            <w:shd w:val="clear" w:color="000000" w:fill="FFFFFF"/>
            <w:noWrap/>
            <w:vAlign w:val="bottom"/>
            <w:hideMark/>
          </w:tcPr>
          <w:p w14:paraId="39CC32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5 896,5</w:t>
            </w:r>
          </w:p>
        </w:tc>
        <w:tc>
          <w:tcPr>
            <w:tcW w:w="1087" w:type="dxa"/>
            <w:tcBorders>
              <w:top w:val="nil"/>
              <w:left w:val="nil"/>
              <w:bottom w:val="single" w:sz="4" w:space="0" w:color="auto"/>
              <w:right w:val="single" w:sz="4" w:space="0" w:color="auto"/>
            </w:tcBorders>
            <w:shd w:val="clear" w:color="000000" w:fill="FFFFFF"/>
            <w:noWrap/>
            <w:vAlign w:val="bottom"/>
            <w:hideMark/>
          </w:tcPr>
          <w:p w14:paraId="69C363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5 813,6</w:t>
            </w:r>
          </w:p>
        </w:tc>
        <w:tc>
          <w:tcPr>
            <w:tcW w:w="1040" w:type="dxa"/>
            <w:tcBorders>
              <w:top w:val="nil"/>
              <w:left w:val="nil"/>
              <w:bottom w:val="single" w:sz="4" w:space="0" w:color="auto"/>
              <w:right w:val="single" w:sz="4" w:space="0" w:color="auto"/>
            </w:tcBorders>
            <w:shd w:val="clear" w:color="000000" w:fill="FFFFFF"/>
            <w:noWrap/>
            <w:vAlign w:val="bottom"/>
            <w:hideMark/>
          </w:tcPr>
          <w:p w14:paraId="07C5C8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3 930,2</w:t>
            </w:r>
          </w:p>
        </w:tc>
        <w:tc>
          <w:tcPr>
            <w:tcW w:w="1226" w:type="dxa"/>
            <w:tcBorders>
              <w:top w:val="nil"/>
              <w:left w:val="nil"/>
              <w:bottom w:val="single" w:sz="4" w:space="0" w:color="auto"/>
              <w:right w:val="single" w:sz="4" w:space="0" w:color="auto"/>
            </w:tcBorders>
            <w:shd w:val="clear" w:color="000000" w:fill="FFFFFF"/>
            <w:noWrap/>
            <w:vAlign w:val="bottom"/>
            <w:hideMark/>
          </w:tcPr>
          <w:p w14:paraId="4998B2A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E00904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E0B494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Пордим</w:t>
            </w:r>
          </w:p>
        </w:tc>
        <w:tc>
          <w:tcPr>
            <w:tcW w:w="1911" w:type="dxa"/>
            <w:tcBorders>
              <w:top w:val="nil"/>
              <w:left w:val="nil"/>
              <w:bottom w:val="single" w:sz="4" w:space="0" w:color="auto"/>
              <w:right w:val="single" w:sz="4" w:space="0" w:color="auto"/>
            </w:tcBorders>
            <w:shd w:val="clear" w:color="000000" w:fill="FFFFFF"/>
            <w:noWrap/>
            <w:vAlign w:val="bottom"/>
            <w:hideMark/>
          </w:tcPr>
          <w:p w14:paraId="6207BA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4 951,4</w:t>
            </w:r>
          </w:p>
        </w:tc>
        <w:tc>
          <w:tcPr>
            <w:tcW w:w="1118" w:type="dxa"/>
            <w:tcBorders>
              <w:top w:val="nil"/>
              <w:left w:val="nil"/>
              <w:bottom w:val="single" w:sz="4" w:space="0" w:color="auto"/>
              <w:right w:val="single" w:sz="4" w:space="0" w:color="auto"/>
            </w:tcBorders>
            <w:shd w:val="clear" w:color="000000" w:fill="FFFFFF"/>
            <w:noWrap/>
            <w:vAlign w:val="bottom"/>
            <w:hideMark/>
          </w:tcPr>
          <w:p w14:paraId="5D8AEC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703,0</w:t>
            </w:r>
          </w:p>
        </w:tc>
        <w:tc>
          <w:tcPr>
            <w:tcW w:w="1257" w:type="dxa"/>
            <w:tcBorders>
              <w:top w:val="nil"/>
              <w:left w:val="nil"/>
              <w:bottom w:val="single" w:sz="4" w:space="0" w:color="auto"/>
              <w:right w:val="single" w:sz="4" w:space="0" w:color="auto"/>
            </w:tcBorders>
            <w:shd w:val="clear" w:color="000000" w:fill="FFFFFF"/>
            <w:noWrap/>
            <w:vAlign w:val="bottom"/>
            <w:hideMark/>
          </w:tcPr>
          <w:p w14:paraId="3592C0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149,8</w:t>
            </w:r>
          </w:p>
        </w:tc>
        <w:tc>
          <w:tcPr>
            <w:tcW w:w="1384" w:type="dxa"/>
            <w:tcBorders>
              <w:top w:val="nil"/>
              <w:left w:val="nil"/>
              <w:bottom w:val="single" w:sz="4" w:space="0" w:color="auto"/>
              <w:right w:val="single" w:sz="4" w:space="0" w:color="auto"/>
            </w:tcBorders>
            <w:shd w:val="clear" w:color="000000" w:fill="FFFFFF"/>
            <w:noWrap/>
            <w:vAlign w:val="bottom"/>
            <w:hideMark/>
          </w:tcPr>
          <w:p w14:paraId="59DEA6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553,2</w:t>
            </w:r>
          </w:p>
        </w:tc>
        <w:tc>
          <w:tcPr>
            <w:tcW w:w="1134" w:type="dxa"/>
            <w:tcBorders>
              <w:top w:val="nil"/>
              <w:left w:val="nil"/>
              <w:bottom w:val="single" w:sz="4" w:space="0" w:color="auto"/>
              <w:right w:val="single" w:sz="4" w:space="0" w:color="auto"/>
            </w:tcBorders>
            <w:shd w:val="clear" w:color="000000" w:fill="FFFFFF"/>
            <w:noWrap/>
            <w:vAlign w:val="bottom"/>
            <w:hideMark/>
          </w:tcPr>
          <w:p w14:paraId="4DB154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104,7</w:t>
            </w:r>
          </w:p>
        </w:tc>
        <w:tc>
          <w:tcPr>
            <w:tcW w:w="1277" w:type="dxa"/>
            <w:tcBorders>
              <w:top w:val="nil"/>
              <w:left w:val="nil"/>
              <w:bottom w:val="single" w:sz="4" w:space="0" w:color="auto"/>
              <w:right w:val="single" w:sz="4" w:space="0" w:color="auto"/>
            </w:tcBorders>
            <w:shd w:val="clear" w:color="000000" w:fill="FFFFFF"/>
            <w:noWrap/>
            <w:vAlign w:val="bottom"/>
            <w:hideMark/>
          </w:tcPr>
          <w:p w14:paraId="270BFF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2 820,2</w:t>
            </w:r>
          </w:p>
        </w:tc>
        <w:tc>
          <w:tcPr>
            <w:tcW w:w="1040" w:type="dxa"/>
            <w:tcBorders>
              <w:top w:val="nil"/>
              <w:left w:val="nil"/>
              <w:bottom w:val="single" w:sz="4" w:space="0" w:color="auto"/>
              <w:right w:val="single" w:sz="4" w:space="0" w:color="auto"/>
            </w:tcBorders>
            <w:shd w:val="clear" w:color="000000" w:fill="FFFFFF"/>
            <w:noWrap/>
            <w:vAlign w:val="bottom"/>
            <w:hideMark/>
          </w:tcPr>
          <w:p w14:paraId="125C21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36,2</w:t>
            </w:r>
          </w:p>
        </w:tc>
        <w:tc>
          <w:tcPr>
            <w:tcW w:w="1087" w:type="dxa"/>
            <w:tcBorders>
              <w:top w:val="nil"/>
              <w:left w:val="nil"/>
              <w:bottom w:val="single" w:sz="4" w:space="0" w:color="auto"/>
              <w:right w:val="single" w:sz="4" w:space="0" w:color="auto"/>
            </w:tcBorders>
            <w:shd w:val="clear" w:color="000000" w:fill="FFFFFF"/>
            <w:noWrap/>
            <w:vAlign w:val="bottom"/>
            <w:hideMark/>
          </w:tcPr>
          <w:p w14:paraId="737973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1 152,5</w:t>
            </w:r>
          </w:p>
        </w:tc>
        <w:tc>
          <w:tcPr>
            <w:tcW w:w="1040" w:type="dxa"/>
            <w:tcBorders>
              <w:top w:val="nil"/>
              <w:left w:val="nil"/>
              <w:bottom w:val="single" w:sz="4" w:space="0" w:color="auto"/>
              <w:right w:val="single" w:sz="4" w:space="0" w:color="auto"/>
            </w:tcBorders>
            <w:shd w:val="clear" w:color="000000" w:fill="FFFFFF"/>
            <w:noWrap/>
            <w:vAlign w:val="bottom"/>
            <w:hideMark/>
          </w:tcPr>
          <w:p w14:paraId="154D4F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134,8</w:t>
            </w:r>
          </w:p>
        </w:tc>
        <w:tc>
          <w:tcPr>
            <w:tcW w:w="1226" w:type="dxa"/>
            <w:tcBorders>
              <w:top w:val="nil"/>
              <w:left w:val="nil"/>
              <w:bottom w:val="single" w:sz="4" w:space="0" w:color="auto"/>
              <w:right w:val="single" w:sz="4" w:space="0" w:color="auto"/>
            </w:tcBorders>
            <w:shd w:val="clear" w:color="000000" w:fill="FFFFFF"/>
            <w:noWrap/>
            <w:vAlign w:val="bottom"/>
            <w:hideMark/>
          </w:tcPr>
          <w:p w14:paraId="51F278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433E45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6ACD8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Червен бряг</w:t>
            </w:r>
          </w:p>
        </w:tc>
        <w:tc>
          <w:tcPr>
            <w:tcW w:w="1911" w:type="dxa"/>
            <w:tcBorders>
              <w:top w:val="nil"/>
              <w:left w:val="nil"/>
              <w:bottom w:val="single" w:sz="4" w:space="0" w:color="auto"/>
              <w:right w:val="single" w:sz="4" w:space="0" w:color="auto"/>
            </w:tcBorders>
            <w:shd w:val="clear" w:color="000000" w:fill="FFFFFF"/>
            <w:noWrap/>
            <w:vAlign w:val="bottom"/>
            <w:hideMark/>
          </w:tcPr>
          <w:p w14:paraId="3FF005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15 383,5</w:t>
            </w:r>
          </w:p>
        </w:tc>
        <w:tc>
          <w:tcPr>
            <w:tcW w:w="1118" w:type="dxa"/>
            <w:tcBorders>
              <w:top w:val="nil"/>
              <w:left w:val="nil"/>
              <w:bottom w:val="single" w:sz="4" w:space="0" w:color="auto"/>
              <w:right w:val="single" w:sz="4" w:space="0" w:color="auto"/>
            </w:tcBorders>
            <w:shd w:val="clear" w:color="000000" w:fill="FFFFFF"/>
            <w:noWrap/>
            <w:vAlign w:val="bottom"/>
            <w:hideMark/>
          </w:tcPr>
          <w:p w14:paraId="760B52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1 463,8</w:t>
            </w:r>
          </w:p>
        </w:tc>
        <w:tc>
          <w:tcPr>
            <w:tcW w:w="1257" w:type="dxa"/>
            <w:tcBorders>
              <w:top w:val="nil"/>
              <w:left w:val="nil"/>
              <w:bottom w:val="single" w:sz="4" w:space="0" w:color="auto"/>
              <w:right w:val="single" w:sz="4" w:space="0" w:color="auto"/>
            </w:tcBorders>
            <w:shd w:val="clear" w:color="000000" w:fill="FFFFFF"/>
            <w:noWrap/>
            <w:vAlign w:val="bottom"/>
            <w:hideMark/>
          </w:tcPr>
          <w:p w14:paraId="2B5781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262,8</w:t>
            </w:r>
          </w:p>
        </w:tc>
        <w:tc>
          <w:tcPr>
            <w:tcW w:w="1384" w:type="dxa"/>
            <w:tcBorders>
              <w:top w:val="nil"/>
              <w:left w:val="nil"/>
              <w:bottom w:val="single" w:sz="4" w:space="0" w:color="auto"/>
              <w:right w:val="single" w:sz="4" w:space="0" w:color="auto"/>
            </w:tcBorders>
            <w:shd w:val="clear" w:color="000000" w:fill="FFFFFF"/>
            <w:noWrap/>
            <w:vAlign w:val="bottom"/>
            <w:hideMark/>
          </w:tcPr>
          <w:p w14:paraId="5704A8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1 201,0</w:t>
            </w:r>
          </w:p>
        </w:tc>
        <w:tc>
          <w:tcPr>
            <w:tcW w:w="1134" w:type="dxa"/>
            <w:tcBorders>
              <w:top w:val="nil"/>
              <w:left w:val="nil"/>
              <w:bottom w:val="single" w:sz="4" w:space="0" w:color="auto"/>
              <w:right w:val="single" w:sz="4" w:space="0" w:color="auto"/>
            </w:tcBorders>
            <w:shd w:val="clear" w:color="000000" w:fill="FFFFFF"/>
            <w:noWrap/>
            <w:vAlign w:val="bottom"/>
            <w:hideMark/>
          </w:tcPr>
          <w:p w14:paraId="68D3F0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192,1</w:t>
            </w:r>
          </w:p>
        </w:tc>
        <w:tc>
          <w:tcPr>
            <w:tcW w:w="1277" w:type="dxa"/>
            <w:tcBorders>
              <w:top w:val="nil"/>
              <w:left w:val="nil"/>
              <w:bottom w:val="single" w:sz="4" w:space="0" w:color="auto"/>
              <w:right w:val="single" w:sz="4" w:space="0" w:color="auto"/>
            </w:tcBorders>
            <w:shd w:val="clear" w:color="000000" w:fill="FFFFFF"/>
            <w:noWrap/>
            <w:vAlign w:val="bottom"/>
            <w:hideMark/>
          </w:tcPr>
          <w:p w14:paraId="25CB36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11 185,9</w:t>
            </w:r>
          </w:p>
        </w:tc>
        <w:tc>
          <w:tcPr>
            <w:tcW w:w="1040" w:type="dxa"/>
            <w:tcBorders>
              <w:top w:val="nil"/>
              <w:left w:val="nil"/>
              <w:bottom w:val="single" w:sz="4" w:space="0" w:color="auto"/>
              <w:right w:val="single" w:sz="4" w:space="0" w:color="auto"/>
            </w:tcBorders>
            <w:shd w:val="clear" w:color="000000" w:fill="FFFFFF"/>
            <w:noWrap/>
            <w:vAlign w:val="bottom"/>
            <w:hideMark/>
          </w:tcPr>
          <w:p w14:paraId="7FF306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858,9</w:t>
            </w:r>
          </w:p>
        </w:tc>
        <w:tc>
          <w:tcPr>
            <w:tcW w:w="1087" w:type="dxa"/>
            <w:tcBorders>
              <w:top w:val="nil"/>
              <w:left w:val="nil"/>
              <w:bottom w:val="single" w:sz="4" w:space="0" w:color="auto"/>
              <w:right w:val="single" w:sz="4" w:space="0" w:color="auto"/>
            </w:tcBorders>
            <w:shd w:val="clear" w:color="000000" w:fill="FFFFFF"/>
            <w:noWrap/>
            <w:vAlign w:val="bottom"/>
            <w:hideMark/>
          </w:tcPr>
          <w:p w14:paraId="294D4A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1 345,6</w:t>
            </w:r>
          </w:p>
        </w:tc>
        <w:tc>
          <w:tcPr>
            <w:tcW w:w="1040" w:type="dxa"/>
            <w:tcBorders>
              <w:top w:val="nil"/>
              <w:left w:val="nil"/>
              <w:bottom w:val="single" w:sz="4" w:space="0" w:color="auto"/>
              <w:right w:val="single" w:sz="4" w:space="0" w:color="auto"/>
            </w:tcBorders>
            <w:shd w:val="clear" w:color="000000" w:fill="FFFFFF"/>
            <w:noWrap/>
            <w:vAlign w:val="bottom"/>
            <w:hideMark/>
          </w:tcPr>
          <w:p w14:paraId="153856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337,2</w:t>
            </w:r>
          </w:p>
        </w:tc>
        <w:tc>
          <w:tcPr>
            <w:tcW w:w="1226" w:type="dxa"/>
            <w:tcBorders>
              <w:top w:val="nil"/>
              <w:left w:val="nil"/>
              <w:bottom w:val="single" w:sz="4" w:space="0" w:color="auto"/>
              <w:right w:val="single" w:sz="4" w:space="0" w:color="auto"/>
            </w:tcBorders>
            <w:shd w:val="clear" w:color="000000" w:fill="FFFFFF"/>
            <w:noWrap/>
            <w:vAlign w:val="bottom"/>
            <w:hideMark/>
          </w:tcPr>
          <w:p w14:paraId="2D4ED4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8F2633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5CBD1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Kнежа</w:t>
            </w:r>
          </w:p>
        </w:tc>
        <w:tc>
          <w:tcPr>
            <w:tcW w:w="1911" w:type="dxa"/>
            <w:tcBorders>
              <w:top w:val="nil"/>
              <w:left w:val="nil"/>
              <w:bottom w:val="single" w:sz="4" w:space="0" w:color="auto"/>
              <w:right w:val="single" w:sz="4" w:space="0" w:color="auto"/>
            </w:tcBorders>
            <w:shd w:val="clear" w:color="000000" w:fill="FFFFFF"/>
            <w:noWrap/>
            <w:vAlign w:val="bottom"/>
            <w:hideMark/>
          </w:tcPr>
          <w:p w14:paraId="472915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8 924,5</w:t>
            </w:r>
          </w:p>
        </w:tc>
        <w:tc>
          <w:tcPr>
            <w:tcW w:w="1118" w:type="dxa"/>
            <w:tcBorders>
              <w:top w:val="nil"/>
              <w:left w:val="nil"/>
              <w:bottom w:val="single" w:sz="4" w:space="0" w:color="auto"/>
              <w:right w:val="single" w:sz="4" w:space="0" w:color="auto"/>
            </w:tcBorders>
            <w:shd w:val="clear" w:color="000000" w:fill="FFFFFF"/>
            <w:noWrap/>
            <w:vAlign w:val="bottom"/>
            <w:hideMark/>
          </w:tcPr>
          <w:p w14:paraId="0E2973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881,2</w:t>
            </w:r>
          </w:p>
        </w:tc>
        <w:tc>
          <w:tcPr>
            <w:tcW w:w="1257" w:type="dxa"/>
            <w:tcBorders>
              <w:top w:val="nil"/>
              <w:left w:val="nil"/>
              <w:bottom w:val="single" w:sz="4" w:space="0" w:color="auto"/>
              <w:right w:val="single" w:sz="4" w:space="0" w:color="auto"/>
            </w:tcBorders>
            <w:shd w:val="clear" w:color="000000" w:fill="FFFFFF"/>
            <w:noWrap/>
            <w:vAlign w:val="bottom"/>
            <w:hideMark/>
          </w:tcPr>
          <w:p w14:paraId="6746F6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92,6</w:t>
            </w:r>
          </w:p>
        </w:tc>
        <w:tc>
          <w:tcPr>
            <w:tcW w:w="1384" w:type="dxa"/>
            <w:tcBorders>
              <w:top w:val="nil"/>
              <w:left w:val="nil"/>
              <w:bottom w:val="single" w:sz="4" w:space="0" w:color="auto"/>
              <w:right w:val="single" w:sz="4" w:space="0" w:color="auto"/>
            </w:tcBorders>
            <w:shd w:val="clear" w:color="000000" w:fill="FFFFFF"/>
            <w:noWrap/>
            <w:vAlign w:val="bottom"/>
            <w:hideMark/>
          </w:tcPr>
          <w:p w14:paraId="28762F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788,6</w:t>
            </w:r>
          </w:p>
        </w:tc>
        <w:tc>
          <w:tcPr>
            <w:tcW w:w="1134" w:type="dxa"/>
            <w:tcBorders>
              <w:top w:val="nil"/>
              <w:left w:val="nil"/>
              <w:bottom w:val="single" w:sz="4" w:space="0" w:color="auto"/>
              <w:right w:val="single" w:sz="4" w:space="0" w:color="auto"/>
            </w:tcBorders>
            <w:shd w:val="clear" w:color="000000" w:fill="FFFFFF"/>
            <w:noWrap/>
            <w:vAlign w:val="bottom"/>
            <w:hideMark/>
          </w:tcPr>
          <w:p w14:paraId="58F8AC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136,3</w:t>
            </w:r>
          </w:p>
        </w:tc>
        <w:tc>
          <w:tcPr>
            <w:tcW w:w="1277" w:type="dxa"/>
            <w:tcBorders>
              <w:top w:val="nil"/>
              <w:left w:val="nil"/>
              <w:bottom w:val="single" w:sz="4" w:space="0" w:color="auto"/>
              <w:right w:val="single" w:sz="4" w:space="0" w:color="auto"/>
            </w:tcBorders>
            <w:shd w:val="clear" w:color="000000" w:fill="FFFFFF"/>
            <w:noWrap/>
            <w:vAlign w:val="bottom"/>
            <w:hideMark/>
          </w:tcPr>
          <w:p w14:paraId="56F587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6 904,8</w:t>
            </w:r>
          </w:p>
        </w:tc>
        <w:tc>
          <w:tcPr>
            <w:tcW w:w="1040" w:type="dxa"/>
            <w:tcBorders>
              <w:top w:val="nil"/>
              <w:left w:val="nil"/>
              <w:bottom w:val="single" w:sz="4" w:space="0" w:color="auto"/>
              <w:right w:val="single" w:sz="4" w:space="0" w:color="auto"/>
            </w:tcBorders>
            <w:shd w:val="clear" w:color="000000" w:fill="FFFFFF"/>
            <w:noWrap/>
            <w:vAlign w:val="bottom"/>
            <w:hideMark/>
          </w:tcPr>
          <w:p w14:paraId="246272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601,4</w:t>
            </w:r>
          </w:p>
        </w:tc>
        <w:tc>
          <w:tcPr>
            <w:tcW w:w="1087" w:type="dxa"/>
            <w:tcBorders>
              <w:top w:val="nil"/>
              <w:left w:val="nil"/>
              <w:bottom w:val="single" w:sz="4" w:space="0" w:color="auto"/>
              <w:right w:val="single" w:sz="4" w:space="0" w:color="auto"/>
            </w:tcBorders>
            <w:shd w:val="clear" w:color="000000" w:fill="FFFFFF"/>
            <w:noWrap/>
            <w:vAlign w:val="bottom"/>
            <w:hideMark/>
          </w:tcPr>
          <w:p w14:paraId="6FC503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209,7</w:t>
            </w:r>
          </w:p>
        </w:tc>
        <w:tc>
          <w:tcPr>
            <w:tcW w:w="1040" w:type="dxa"/>
            <w:tcBorders>
              <w:top w:val="nil"/>
              <w:left w:val="nil"/>
              <w:bottom w:val="single" w:sz="4" w:space="0" w:color="auto"/>
              <w:right w:val="single" w:sz="4" w:space="0" w:color="auto"/>
            </w:tcBorders>
            <w:shd w:val="clear" w:color="000000" w:fill="FFFFFF"/>
            <w:noWrap/>
            <w:vAlign w:val="bottom"/>
            <w:hideMark/>
          </w:tcPr>
          <w:p w14:paraId="741F27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6A35B1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B9DAD8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5D5A7E5"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2096F7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5AAB48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780783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3590E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1A9D27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1A034D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BC2E15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4E4B3BD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74294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10522D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E21AFA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B1651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ПЛОВДИВ</w:t>
            </w:r>
          </w:p>
        </w:tc>
        <w:tc>
          <w:tcPr>
            <w:tcW w:w="1911" w:type="dxa"/>
            <w:tcBorders>
              <w:top w:val="nil"/>
              <w:left w:val="nil"/>
              <w:bottom w:val="single" w:sz="4" w:space="0" w:color="auto"/>
              <w:right w:val="single" w:sz="4" w:space="0" w:color="auto"/>
            </w:tcBorders>
            <w:shd w:val="clear" w:color="000000" w:fill="FFFFFF"/>
            <w:noWrap/>
            <w:vAlign w:val="bottom"/>
            <w:hideMark/>
          </w:tcPr>
          <w:p w14:paraId="123637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44F043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506B59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14351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4E9FA9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5E4460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03100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72F6144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57585F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68A0712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4FC75A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D5C3B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Aсеновград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767333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31 721,2</w:t>
            </w:r>
          </w:p>
        </w:tc>
        <w:tc>
          <w:tcPr>
            <w:tcW w:w="1118" w:type="dxa"/>
            <w:tcBorders>
              <w:top w:val="nil"/>
              <w:left w:val="nil"/>
              <w:bottom w:val="single" w:sz="4" w:space="0" w:color="auto"/>
              <w:right w:val="single" w:sz="4" w:space="0" w:color="auto"/>
            </w:tcBorders>
            <w:shd w:val="clear" w:color="000000" w:fill="FFFFFF"/>
            <w:noWrap/>
            <w:vAlign w:val="bottom"/>
            <w:hideMark/>
          </w:tcPr>
          <w:p w14:paraId="3C9C2C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2 785,1</w:t>
            </w:r>
          </w:p>
        </w:tc>
        <w:tc>
          <w:tcPr>
            <w:tcW w:w="1257" w:type="dxa"/>
            <w:tcBorders>
              <w:top w:val="nil"/>
              <w:left w:val="nil"/>
              <w:bottom w:val="single" w:sz="4" w:space="0" w:color="auto"/>
              <w:right w:val="single" w:sz="4" w:space="0" w:color="auto"/>
            </w:tcBorders>
            <w:shd w:val="clear" w:color="000000" w:fill="FFFFFF"/>
            <w:noWrap/>
            <w:vAlign w:val="bottom"/>
            <w:hideMark/>
          </w:tcPr>
          <w:p w14:paraId="4E7500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377,3</w:t>
            </w:r>
          </w:p>
        </w:tc>
        <w:tc>
          <w:tcPr>
            <w:tcW w:w="1384" w:type="dxa"/>
            <w:tcBorders>
              <w:top w:val="nil"/>
              <w:left w:val="nil"/>
              <w:bottom w:val="single" w:sz="4" w:space="0" w:color="auto"/>
              <w:right w:val="single" w:sz="4" w:space="0" w:color="auto"/>
            </w:tcBorders>
            <w:shd w:val="clear" w:color="000000" w:fill="FFFFFF"/>
            <w:noWrap/>
            <w:vAlign w:val="bottom"/>
            <w:hideMark/>
          </w:tcPr>
          <w:p w14:paraId="79A3FE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2 407,8</w:t>
            </w:r>
          </w:p>
        </w:tc>
        <w:tc>
          <w:tcPr>
            <w:tcW w:w="1134" w:type="dxa"/>
            <w:tcBorders>
              <w:top w:val="nil"/>
              <w:left w:val="nil"/>
              <w:bottom w:val="single" w:sz="4" w:space="0" w:color="auto"/>
              <w:right w:val="single" w:sz="4" w:space="0" w:color="auto"/>
            </w:tcBorders>
            <w:shd w:val="clear" w:color="000000" w:fill="FFFFFF"/>
            <w:noWrap/>
            <w:vAlign w:val="bottom"/>
            <w:hideMark/>
          </w:tcPr>
          <w:p w14:paraId="235D47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221,0</w:t>
            </w:r>
          </w:p>
        </w:tc>
        <w:tc>
          <w:tcPr>
            <w:tcW w:w="1277" w:type="dxa"/>
            <w:tcBorders>
              <w:top w:val="nil"/>
              <w:left w:val="nil"/>
              <w:bottom w:val="single" w:sz="4" w:space="0" w:color="auto"/>
              <w:right w:val="single" w:sz="4" w:space="0" w:color="auto"/>
            </w:tcBorders>
            <w:shd w:val="clear" w:color="000000" w:fill="FFFFFF"/>
            <w:noWrap/>
            <w:vAlign w:val="bottom"/>
            <w:hideMark/>
          </w:tcPr>
          <w:p w14:paraId="4C7F40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22 919,2</w:t>
            </w:r>
          </w:p>
        </w:tc>
        <w:tc>
          <w:tcPr>
            <w:tcW w:w="1040" w:type="dxa"/>
            <w:tcBorders>
              <w:top w:val="nil"/>
              <w:left w:val="nil"/>
              <w:bottom w:val="single" w:sz="4" w:space="0" w:color="auto"/>
              <w:right w:val="single" w:sz="4" w:space="0" w:color="auto"/>
            </w:tcBorders>
            <w:shd w:val="clear" w:color="000000" w:fill="FFFFFF"/>
            <w:noWrap/>
            <w:vAlign w:val="bottom"/>
            <w:hideMark/>
          </w:tcPr>
          <w:p w14:paraId="48D330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1 144,8</w:t>
            </w:r>
          </w:p>
        </w:tc>
        <w:tc>
          <w:tcPr>
            <w:tcW w:w="1087" w:type="dxa"/>
            <w:tcBorders>
              <w:top w:val="nil"/>
              <w:left w:val="nil"/>
              <w:bottom w:val="single" w:sz="4" w:space="0" w:color="auto"/>
              <w:right w:val="single" w:sz="4" w:space="0" w:color="auto"/>
            </w:tcBorders>
            <w:shd w:val="clear" w:color="000000" w:fill="FFFFFF"/>
            <w:noWrap/>
            <w:vAlign w:val="bottom"/>
            <w:hideMark/>
          </w:tcPr>
          <w:p w14:paraId="68EB22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3 920,0</w:t>
            </w:r>
          </w:p>
        </w:tc>
        <w:tc>
          <w:tcPr>
            <w:tcW w:w="1040" w:type="dxa"/>
            <w:tcBorders>
              <w:top w:val="nil"/>
              <w:left w:val="nil"/>
              <w:bottom w:val="single" w:sz="4" w:space="0" w:color="auto"/>
              <w:right w:val="single" w:sz="4" w:space="0" w:color="auto"/>
            </w:tcBorders>
            <w:shd w:val="clear" w:color="000000" w:fill="FFFFFF"/>
            <w:noWrap/>
            <w:vAlign w:val="bottom"/>
            <w:hideMark/>
          </w:tcPr>
          <w:p w14:paraId="1F8478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731,1</w:t>
            </w:r>
          </w:p>
        </w:tc>
        <w:tc>
          <w:tcPr>
            <w:tcW w:w="1226" w:type="dxa"/>
            <w:tcBorders>
              <w:top w:val="nil"/>
              <w:left w:val="nil"/>
              <w:bottom w:val="single" w:sz="4" w:space="0" w:color="auto"/>
              <w:right w:val="single" w:sz="4" w:space="0" w:color="auto"/>
            </w:tcBorders>
            <w:shd w:val="clear" w:color="000000" w:fill="FFFFFF"/>
            <w:noWrap/>
            <w:vAlign w:val="bottom"/>
            <w:hideMark/>
          </w:tcPr>
          <w:p w14:paraId="380BBA7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5F5A98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439E0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Брезово</w:t>
            </w:r>
          </w:p>
        </w:tc>
        <w:tc>
          <w:tcPr>
            <w:tcW w:w="1911" w:type="dxa"/>
            <w:tcBorders>
              <w:top w:val="nil"/>
              <w:left w:val="nil"/>
              <w:bottom w:val="single" w:sz="4" w:space="0" w:color="auto"/>
              <w:right w:val="single" w:sz="4" w:space="0" w:color="auto"/>
            </w:tcBorders>
            <w:shd w:val="clear" w:color="000000" w:fill="FFFFFF"/>
            <w:noWrap/>
            <w:vAlign w:val="bottom"/>
            <w:hideMark/>
          </w:tcPr>
          <w:p w14:paraId="4B5FE8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4 967,3</w:t>
            </w:r>
          </w:p>
        </w:tc>
        <w:tc>
          <w:tcPr>
            <w:tcW w:w="1118" w:type="dxa"/>
            <w:tcBorders>
              <w:top w:val="nil"/>
              <w:left w:val="nil"/>
              <w:bottom w:val="single" w:sz="4" w:space="0" w:color="auto"/>
              <w:right w:val="single" w:sz="4" w:space="0" w:color="auto"/>
            </w:tcBorders>
            <w:shd w:val="clear" w:color="000000" w:fill="FFFFFF"/>
            <w:noWrap/>
            <w:vAlign w:val="bottom"/>
            <w:hideMark/>
          </w:tcPr>
          <w:p w14:paraId="3974FA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825,3</w:t>
            </w:r>
          </w:p>
        </w:tc>
        <w:tc>
          <w:tcPr>
            <w:tcW w:w="1257" w:type="dxa"/>
            <w:tcBorders>
              <w:top w:val="nil"/>
              <w:left w:val="nil"/>
              <w:bottom w:val="single" w:sz="4" w:space="0" w:color="auto"/>
              <w:right w:val="single" w:sz="4" w:space="0" w:color="auto"/>
            </w:tcBorders>
            <w:shd w:val="clear" w:color="000000" w:fill="FFFFFF"/>
            <w:noWrap/>
            <w:vAlign w:val="bottom"/>
            <w:hideMark/>
          </w:tcPr>
          <w:p w14:paraId="57B895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264,5</w:t>
            </w:r>
          </w:p>
        </w:tc>
        <w:tc>
          <w:tcPr>
            <w:tcW w:w="1384" w:type="dxa"/>
            <w:tcBorders>
              <w:top w:val="nil"/>
              <w:left w:val="nil"/>
              <w:bottom w:val="single" w:sz="4" w:space="0" w:color="auto"/>
              <w:right w:val="single" w:sz="4" w:space="0" w:color="auto"/>
            </w:tcBorders>
            <w:shd w:val="clear" w:color="000000" w:fill="FFFFFF"/>
            <w:noWrap/>
            <w:vAlign w:val="bottom"/>
            <w:hideMark/>
          </w:tcPr>
          <w:p w14:paraId="5F4ED7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560,8</w:t>
            </w:r>
          </w:p>
        </w:tc>
        <w:tc>
          <w:tcPr>
            <w:tcW w:w="1134" w:type="dxa"/>
            <w:tcBorders>
              <w:top w:val="nil"/>
              <w:left w:val="nil"/>
              <w:bottom w:val="single" w:sz="4" w:space="0" w:color="auto"/>
              <w:right w:val="single" w:sz="4" w:space="0" w:color="auto"/>
            </w:tcBorders>
            <w:shd w:val="clear" w:color="000000" w:fill="FFFFFF"/>
            <w:noWrap/>
            <w:vAlign w:val="bottom"/>
            <w:hideMark/>
          </w:tcPr>
          <w:p w14:paraId="6EB51F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141,0</w:t>
            </w:r>
          </w:p>
        </w:tc>
        <w:tc>
          <w:tcPr>
            <w:tcW w:w="1277" w:type="dxa"/>
            <w:tcBorders>
              <w:top w:val="nil"/>
              <w:left w:val="nil"/>
              <w:bottom w:val="single" w:sz="4" w:space="0" w:color="auto"/>
              <w:right w:val="single" w:sz="4" w:space="0" w:color="auto"/>
            </w:tcBorders>
            <w:shd w:val="clear" w:color="000000" w:fill="FFFFFF"/>
            <w:noWrap/>
            <w:vAlign w:val="bottom"/>
            <w:hideMark/>
          </w:tcPr>
          <w:p w14:paraId="358C23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3 051,0</w:t>
            </w:r>
          </w:p>
        </w:tc>
        <w:tc>
          <w:tcPr>
            <w:tcW w:w="1040" w:type="dxa"/>
            <w:tcBorders>
              <w:top w:val="nil"/>
              <w:left w:val="nil"/>
              <w:bottom w:val="single" w:sz="4" w:space="0" w:color="auto"/>
              <w:right w:val="single" w:sz="4" w:space="0" w:color="auto"/>
            </w:tcBorders>
            <w:shd w:val="clear" w:color="000000" w:fill="FFFFFF"/>
            <w:noWrap/>
            <w:vAlign w:val="bottom"/>
            <w:hideMark/>
          </w:tcPr>
          <w:p w14:paraId="5C40C3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58,7</w:t>
            </w:r>
          </w:p>
        </w:tc>
        <w:tc>
          <w:tcPr>
            <w:tcW w:w="1087" w:type="dxa"/>
            <w:tcBorders>
              <w:top w:val="nil"/>
              <w:left w:val="nil"/>
              <w:bottom w:val="single" w:sz="4" w:space="0" w:color="auto"/>
              <w:right w:val="single" w:sz="4" w:space="0" w:color="auto"/>
            </w:tcBorders>
            <w:shd w:val="clear" w:color="000000" w:fill="FFFFFF"/>
            <w:noWrap/>
            <w:vAlign w:val="bottom"/>
            <w:hideMark/>
          </w:tcPr>
          <w:p w14:paraId="3BA11B9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722,7</w:t>
            </w:r>
          </w:p>
        </w:tc>
        <w:tc>
          <w:tcPr>
            <w:tcW w:w="1040" w:type="dxa"/>
            <w:tcBorders>
              <w:top w:val="nil"/>
              <w:left w:val="nil"/>
              <w:bottom w:val="single" w:sz="4" w:space="0" w:color="auto"/>
              <w:right w:val="single" w:sz="4" w:space="0" w:color="auto"/>
            </w:tcBorders>
            <w:shd w:val="clear" w:color="000000" w:fill="FFFFFF"/>
            <w:noWrap/>
            <w:vAlign w:val="bottom"/>
            <w:hideMark/>
          </w:tcPr>
          <w:p w14:paraId="2EAC87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2BD498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1BF8AF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C75E32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Kалояново</w:t>
            </w:r>
          </w:p>
        </w:tc>
        <w:tc>
          <w:tcPr>
            <w:tcW w:w="1911" w:type="dxa"/>
            <w:tcBorders>
              <w:top w:val="nil"/>
              <w:left w:val="nil"/>
              <w:bottom w:val="single" w:sz="4" w:space="0" w:color="auto"/>
              <w:right w:val="single" w:sz="4" w:space="0" w:color="auto"/>
            </w:tcBorders>
            <w:shd w:val="clear" w:color="000000" w:fill="FFFFFF"/>
            <w:noWrap/>
            <w:vAlign w:val="bottom"/>
            <w:hideMark/>
          </w:tcPr>
          <w:p w14:paraId="21984F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6 729,3</w:t>
            </w:r>
          </w:p>
        </w:tc>
        <w:tc>
          <w:tcPr>
            <w:tcW w:w="1118" w:type="dxa"/>
            <w:tcBorders>
              <w:top w:val="nil"/>
              <w:left w:val="nil"/>
              <w:bottom w:val="single" w:sz="4" w:space="0" w:color="auto"/>
              <w:right w:val="single" w:sz="4" w:space="0" w:color="auto"/>
            </w:tcBorders>
            <w:shd w:val="clear" w:color="000000" w:fill="FFFFFF"/>
            <w:noWrap/>
            <w:vAlign w:val="bottom"/>
            <w:hideMark/>
          </w:tcPr>
          <w:p w14:paraId="6B1E41B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970,6</w:t>
            </w:r>
          </w:p>
        </w:tc>
        <w:tc>
          <w:tcPr>
            <w:tcW w:w="1257" w:type="dxa"/>
            <w:tcBorders>
              <w:top w:val="nil"/>
              <w:left w:val="nil"/>
              <w:bottom w:val="single" w:sz="4" w:space="0" w:color="auto"/>
              <w:right w:val="single" w:sz="4" w:space="0" w:color="auto"/>
            </w:tcBorders>
            <w:shd w:val="clear" w:color="000000" w:fill="FFFFFF"/>
            <w:noWrap/>
            <w:vAlign w:val="bottom"/>
            <w:hideMark/>
          </w:tcPr>
          <w:p w14:paraId="02CB59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264,5</w:t>
            </w:r>
          </w:p>
        </w:tc>
        <w:tc>
          <w:tcPr>
            <w:tcW w:w="1384" w:type="dxa"/>
            <w:tcBorders>
              <w:top w:val="nil"/>
              <w:left w:val="nil"/>
              <w:bottom w:val="single" w:sz="4" w:space="0" w:color="auto"/>
              <w:right w:val="single" w:sz="4" w:space="0" w:color="auto"/>
            </w:tcBorders>
            <w:shd w:val="clear" w:color="000000" w:fill="FFFFFF"/>
            <w:noWrap/>
            <w:vAlign w:val="bottom"/>
            <w:hideMark/>
          </w:tcPr>
          <w:p w14:paraId="4E44BF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706,1</w:t>
            </w:r>
          </w:p>
        </w:tc>
        <w:tc>
          <w:tcPr>
            <w:tcW w:w="1134" w:type="dxa"/>
            <w:tcBorders>
              <w:top w:val="nil"/>
              <w:left w:val="nil"/>
              <w:bottom w:val="single" w:sz="4" w:space="0" w:color="auto"/>
              <w:right w:val="single" w:sz="4" w:space="0" w:color="auto"/>
            </w:tcBorders>
            <w:shd w:val="clear" w:color="000000" w:fill="FFFFFF"/>
            <w:noWrap/>
            <w:vAlign w:val="bottom"/>
            <w:hideMark/>
          </w:tcPr>
          <w:p w14:paraId="3E7BD6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131,8</w:t>
            </w:r>
          </w:p>
        </w:tc>
        <w:tc>
          <w:tcPr>
            <w:tcW w:w="1277" w:type="dxa"/>
            <w:tcBorders>
              <w:top w:val="nil"/>
              <w:left w:val="nil"/>
              <w:bottom w:val="single" w:sz="4" w:space="0" w:color="auto"/>
              <w:right w:val="single" w:sz="4" w:space="0" w:color="auto"/>
            </w:tcBorders>
            <w:shd w:val="clear" w:color="000000" w:fill="FFFFFF"/>
            <w:noWrap/>
            <w:vAlign w:val="bottom"/>
            <w:hideMark/>
          </w:tcPr>
          <w:p w14:paraId="2FE6A9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4 100,5</w:t>
            </w:r>
          </w:p>
        </w:tc>
        <w:tc>
          <w:tcPr>
            <w:tcW w:w="1040" w:type="dxa"/>
            <w:tcBorders>
              <w:top w:val="nil"/>
              <w:left w:val="nil"/>
              <w:bottom w:val="single" w:sz="4" w:space="0" w:color="auto"/>
              <w:right w:val="single" w:sz="4" w:space="0" w:color="auto"/>
            </w:tcBorders>
            <w:shd w:val="clear" w:color="000000" w:fill="FFFFFF"/>
            <w:noWrap/>
            <w:vAlign w:val="bottom"/>
            <w:hideMark/>
          </w:tcPr>
          <w:p w14:paraId="3EF6C0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153,7</w:t>
            </w:r>
          </w:p>
        </w:tc>
        <w:tc>
          <w:tcPr>
            <w:tcW w:w="1087" w:type="dxa"/>
            <w:tcBorders>
              <w:top w:val="nil"/>
              <w:left w:val="nil"/>
              <w:bottom w:val="single" w:sz="4" w:space="0" w:color="auto"/>
              <w:right w:val="single" w:sz="4" w:space="0" w:color="auto"/>
            </w:tcBorders>
            <w:shd w:val="clear" w:color="000000" w:fill="FFFFFF"/>
            <w:noWrap/>
            <w:vAlign w:val="bottom"/>
            <w:hideMark/>
          </w:tcPr>
          <w:p w14:paraId="1B4021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1 237,8</w:t>
            </w:r>
          </w:p>
        </w:tc>
        <w:tc>
          <w:tcPr>
            <w:tcW w:w="1040" w:type="dxa"/>
            <w:tcBorders>
              <w:top w:val="nil"/>
              <w:left w:val="nil"/>
              <w:bottom w:val="single" w:sz="4" w:space="0" w:color="auto"/>
              <w:right w:val="single" w:sz="4" w:space="0" w:color="auto"/>
            </w:tcBorders>
            <w:shd w:val="clear" w:color="000000" w:fill="FFFFFF"/>
            <w:noWrap/>
            <w:vAlign w:val="bottom"/>
            <w:hideMark/>
          </w:tcPr>
          <w:p w14:paraId="064AB1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134,9</w:t>
            </w:r>
          </w:p>
        </w:tc>
        <w:tc>
          <w:tcPr>
            <w:tcW w:w="1226" w:type="dxa"/>
            <w:tcBorders>
              <w:top w:val="nil"/>
              <w:left w:val="nil"/>
              <w:bottom w:val="single" w:sz="4" w:space="0" w:color="auto"/>
              <w:right w:val="single" w:sz="4" w:space="0" w:color="auto"/>
            </w:tcBorders>
            <w:shd w:val="clear" w:color="000000" w:fill="FFFFFF"/>
            <w:noWrap/>
            <w:vAlign w:val="bottom"/>
            <w:hideMark/>
          </w:tcPr>
          <w:p w14:paraId="7A7A52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9E017D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C43791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Kарлово</w:t>
            </w:r>
          </w:p>
        </w:tc>
        <w:tc>
          <w:tcPr>
            <w:tcW w:w="1911" w:type="dxa"/>
            <w:tcBorders>
              <w:top w:val="nil"/>
              <w:left w:val="nil"/>
              <w:bottom w:val="single" w:sz="4" w:space="0" w:color="auto"/>
              <w:right w:val="single" w:sz="4" w:space="0" w:color="auto"/>
            </w:tcBorders>
            <w:shd w:val="clear" w:color="000000" w:fill="FFFFFF"/>
            <w:noWrap/>
            <w:vAlign w:val="bottom"/>
            <w:hideMark/>
          </w:tcPr>
          <w:p w14:paraId="7389C3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29 701,9</w:t>
            </w:r>
          </w:p>
        </w:tc>
        <w:tc>
          <w:tcPr>
            <w:tcW w:w="1118" w:type="dxa"/>
            <w:tcBorders>
              <w:top w:val="nil"/>
              <w:left w:val="nil"/>
              <w:bottom w:val="single" w:sz="4" w:space="0" w:color="auto"/>
              <w:right w:val="single" w:sz="4" w:space="0" w:color="auto"/>
            </w:tcBorders>
            <w:shd w:val="clear" w:color="000000" w:fill="FFFFFF"/>
            <w:noWrap/>
            <w:vAlign w:val="bottom"/>
            <w:hideMark/>
          </w:tcPr>
          <w:p w14:paraId="072EEB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2 285,0</w:t>
            </w:r>
          </w:p>
        </w:tc>
        <w:tc>
          <w:tcPr>
            <w:tcW w:w="1257" w:type="dxa"/>
            <w:tcBorders>
              <w:top w:val="nil"/>
              <w:left w:val="nil"/>
              <w:bottom w:val="single" w:sz="4" w:space="0" w:color="auto"/>
              <w:right w:val="single" w:sz="4" w:space="0" w:color="auto"/>
            </w:tcBorders>
            <w:shd w:val="clear" w:color="000000" w:fill="FFFFFF"/>
            <w:noWrap/>
            <w:vAlign w:val="bottom"/>
            <w:hideMark/>
          </w:tcPr>
          <w:p w14:paraId="2E0072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463,3</w:t>
            </w:r>
          </w:p>
        </w:tc>
        <w:tc>
          <w:tcPr>
            <w:tcW w:w="1384" w:type="dxa"/>
            <w:tcBorders>
              <w:top w:val="nil"/>
              <w:left w:val="nil"/>
              <w:bottom w:val="single" w:sz="4" w:space="0" w:color="auto"/>
              <w:right w:val="single" w:sz="4" w:space="0" w:color="auto"/>
            </w:tcBorders>
            <w:shd w:val="clear" w:color="000000" w:fill="FFFFFF"/>
            <w:noWrap/>
            <w:vAlign w:val="bottom"/>
            <w:hideMark/>
          </w:tcPr>
          <w:p w14:paraId="623223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1 821,7</w:t>
            </w:r>
          </w:p>
        </w:tc>
        <w:tc>
          <w:tcPr>
            <w:tcW w:w="1134" w:type="dxa"/>
            <w:tcBorders>
              <w:top w:val="nil"/>
              <w:left w:val="nil"/>
              <w:bottom w:val="single" w:sz="4" w:space="0" w:color="auto"/>
              <w:right w:val="single" w:sz="4" w:space="0" w:color="auto"/>
            </w:tcBorders>
            <w:shd w:val="clear" w:color="000000" w:fill="FFFFFF"/>
            <w:noWrap/>
            <w:vAlign w:val="bottom"/>
            <w:hideMark/>
          </w:tcPr>
          <w:p w14:paraId="38801B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235,4</w:t>
            </w:r>
          </w:p>
        </w:tc>
        <w:tc>
          <w:tcPr>
            <w:tcW w:w="1277" w:type="dxa"/>
            <w:tcBorders>
              <w:top w:val="nil"/>
              <w:left w:val="nil"/>
              <w:bottom w:val="single" w:sz="4" w:space="0" w:color="auto"/>
              <w:right w:val="single" w:sz="4" w:space="0" w:color="auto"/>
            </w:tcBorders>
            <w:shd w:val="clear" w:color="000000" w:fill="FFFFFF"/>
            <w:noWrap/>
            <w:vAlign w:val="bottom"/>
            <w:hideMark/>
          </w:tcPr>
          <w:p w14:paraId="25A468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19 048,2</w:t>
            </w:r>
          </w:p>
        </w:tc>
        <w:tc>
          <w:tcPr>
            <w:tcW w:w="1040" w:type="dxa"/>
            <w:tcBorders>
              <w:top w:val="nil"/>
              <w:left w:val="nil"/>
              <w:bottom w:val="single" w:sz="4" w:space="0" w:color="auto"/>
              <w:right w:val="single" w:sz="4" w:space="0" w:color="auto"/>
            </w:tcBorders>
            <w:shd w:val="clear" w:color="000000" w:fill="FFFFFF"/>
            <w:noWrap/>
            <w:vAlign w:val="bottom"/>
            <w:hideMark/>
          </w:tcPr>
          <w:p w14:paraId="2F3FAB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1 149,5</w:t>
            </w:r>
          </w:p>
        </w:tc>
        <w:tc>
          <w:tcPr>
            <w:tcW w:w="1087" w:type="dxa"/>
            <w:tcBorders>
              <w:top w:val="nil"/>
              <w:left w:val="nil"/>
              <w:bottom w:val="single" w:sz="4" w:space="0" w:color="auto"/>
              <w:right w:val="single" w:sz="4" w:space="0" w:color="auto"/>
            </w:tcBorders>
            <w:shd w:val="clear" w:color="000000" w:fill="FFFFFF"/>
            <w:noWrap/>
            <w:vAlign w:val="bottom"/>
            <w:hideMark/>
          </w:tcPr>
          <w:p w14:paraId="3890EE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6 079,9</w:t>
            </w:r>
          </w:p>
        </w:tc>
        <w:tc>
          <w:tcPr>
            <w:tcW w:w="1040" w:type="dxa"/>
            <w:tcBorders>
              <w:top w:val="nil"/>
              <w:left w:val="nil"/>
              <w:bottom w:val="single" w:sz="4" w:space="0" w:color="auto"/>
              <w:right w:val="single" w:sz="4" w:space="0" w:color="auto"/>
            </w:tcBorders>
            <w:shd w:val="clear" w:color="000000" w:fill="FFFFFF"/>
            <w:noWrap/>
            <w:vAlign w:val="bottom"/>
            <w:hideMark/>
          </w:tcPr>
          <w:p w14:paraId="2B101A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903,9</w:t>
            </w:r>
          </w:p>
        </w:tc>
        <w:tc>
          <w:tcPr>
            <w:tcW w:w="1226" w:type="dxa"/>
            <w:tcBorders>
              <w:top w:val="nil"/>
              <w:left w:val="nil"/>
              <w:bottom w:val="single" w:sz="4" w:space="0" w:color="auto"/>
              <w:right w:val="single" w:sz="4" w:space="0" w:color="auto"/>
            </w:tcBorders>
            <w:shd w:val="clear" w:color="000000" w:fill="FFFFFF"/>
            <w:noWrap/>
            <w:vAlign w:val="bottom"/>
            <w:hideMark/>
          </w:tcPr>
          <w:p w14:paraId="23CB50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DC2E32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5002C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Кричим</w:t>
            </w:r>
          </w:p>
        </w:tc>
        <w:tc>
          <w:tcPr>
            <w:tcW w:w="1911" w:type="dxa"/>
            <w:tcBorders>
              <w:top w:val="nil"/>
              <w:left w:val="nil"/>
              <w:bottom w:val="single" w:sz="4" w:space="0" w:color="auto"/>
              <w:right w:val="single" w:sz="4" w:space="0" w:color="auto"/>
            </w:tcBorders>
            <w:shd w:val="clear" w:color="000000" w:fill="FFFFFF"/>
            <w:noWrap/>
            <w:vAlign w:val="bottom"/>
            <w:hideMark/>
          </w:tcPr>
          <w:p w14:paraId="62BF26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4 145,5</w:t>
            </w:r>
          </w:p>
        </w:tc>
        <w:tc>
          <w:tcPr>
            <w:tcW w:w="1118" w:type="dxa"/>
            <w:tcBorders>
              <w:top w:val="nil"/>
              <w:left w:val="nil"/>
              <w:bottom w:val="single" w:sz="4" w:space="0" w:color="auto"/>
              <w:right w:val="single" w:sz="4" w:space="0" w:color="auto"/>
            </w:tcBorders>
            <w:shd w:val="clear" w:color="000000" w:fill="FFFFFF"/>
            <w:noWrap/>
            <w:vAlign w:val="bottom"/>
            <w:hideMark/>
          </w:tcPr>
          <w:p w14:paraId="5A3A3F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707,0</w:t>
            </w:r>
          </w:p>
        </w:tc>
        <w:tc>
          <w:tcPr>
            <w:tcW w:w="1257" w:type="dxa"/>
            <w:tcBorders>
              <w:top w:val="nil"/>
              <w:left w:val="nil"/>
              <w:bottom w:val="single" w:sz="4" w:space="0" w:color="auto"/>
              <w:right w:val="single" w:sz="4" w:space="0" w:color="auto"/>
            </w:tcBorders>
            <w:shd w:val="clear" w:color="000000" w:fill="FFFFFF"/>
            <w:noWrap/>
            <w:vAlign w:val="bottom"/>
            <w:hideMark/>
          </w:tcPr>
          <w:p w14:paraId="079323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40,4</w:t>
            </w:r>
          </w:p>
        </w:tc>
        <w:tc>
          <w:tcPr>
            <w:tcW w:w="1384" w:type="dxa"/>
            <w:tcBorders>
              <w:top w:val="nil"/>
              <w:left w:val="nil"/>
              <w:bottom w:val="single" w:sz="4" w:space="0" w:color="auto"/>
              <w:right w:val="single" w:sz="4" w:space="0" w:color="auto"/>
            </w:tcBorders>
            <w:shd w:val="clear" w:color="000000" w:fill="FFFFFF"/>
            <w:noWrap/>
            <w:vAlign w:val="bottom"/>
            <w:hideMark/>
          </w:tcPr>
          <w:p w14:paraId="32BA77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666,6</w:t>
            </w:r>
          </w:p>
        </w:tc>
        <w:tc>
          <w:tcPr>
            <w:tcW w:w="1134" w:type="dxa"/>
            <w:tcBorders>
              <w:top w:val="nil"/>
              <w:left w:val="nil"/>
              <w:bottom w:val="single" w:sz="4" w:space="0" w:color="auto"/>
              <w:right w:val="single" w:sz="4" w:space="0" w:color="auto"/>
            </w:tcBorders>
            <w:shd w:val="clear" w:color="000000" w:fill="FFFFFF"/>
            <w:noWrap/>
            <w:vAlign w:val="bottom"/>
            <w:hideMark/>
          </w:tcPr>
          <w:p w14:paraId="368856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137,3</w:t>
            </w:r>
          </w:p>
        </w:tc>
        <w:tc>
          <w:tcPr>
            <w:tcW w:w="1277" w:type="dxa"/>
            <w:tcBorders>
              <w:top w:val="nil"/>
              <w:left w:val="nil"/>
              <w:bottom w:val="single" w:sz="4" w:space="0" w:color="auto"/>
              <w:right w:val="single" w:sz="4" w:space="0" w:color="auto"/>
            </w:tcBorders>
            <w:shd w:val="clear" w:color="000000" w:fill="FFFFFF"/>
            <w:noWrap/>
            <w:vAlign w:val="bottom"/>
            <w:hideMark/>
          </w:tcPr>
          <w:p w14:paraId="277017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2 799,1</w:t>
            </w:r>
          </w:p>
        </w:tc>
        <w:tc>
          <w:tcPr>
            <w:tcW w:w="1040" w:type="dxa"/>
            <w:tcBorders>
              <w:top w:val="nil"/>
              <w:left w:val="nil"/>
              <w:bottom w:val="single" w:sz="4" w:space="0" w:color="auto"/>
              <w:right w:val="single" w:sz="4" w:space="0" w:color="auto"/>
            </w:tcBorders>
            <w:shd w:val="clear" w:color="000000" w:fill="FFFFFF"/>
            <w:noWrap/>
            <w:vAlign w:val="bottom"/>
            <w:hideMark/>
          </w:tcPr>
          <w:p w14:paraId="123459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143,8</w:t>
            </w:r>
          </w:p>
        </w:tc>
        <w:tc>
          <w:tcPr>
            <w:tcW w:w="1087" w:type="dxa"/>
            <w:tcBorders>
              <w:top w:val="nil"/>
              <w:left w:val="nil"/>
              <w:bottom w:val="single" w:sz="4" w:space="0" w:color="auto"/>
              <w:right w:val="single" w:sz="4" w:space="0" w:color="auto"/>
            </w:tcBorders>
            <w:shd w:val="clear" w:color="000000" w:fill="FFFFFF"/>
            <w:noWrap/>
            <w:vAlign w:val="bottom"/>
            <w:hideMark/>
          </w:tcPr>
          <w:p w14:paraId="7D598D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313,3</w:t>
            </w:r>
          </w:p>
        </w:tc>
        <w:tc>
          <w:tcPr>
            <w:tcW w:w="1040" w:type="dxa"/>
            <w:tcBorders>
              <w:top w:val="nil"/>
              <w:left w:val="nil"/>
              <w:bottom w:val="single" w:sz="4" w:space="0" w:color="auto"/>
              <w:right w:val="single" w:sz="4" w:space="0" w:color="auto"/>
            </w:tcBorders>
            <w:shd w:val="clear" w:color="000000" w:fill="FFFFFF"/>
            <w:noWrap/>
            <w:vAlign w:val="bottom"/>
            <w:hideMark/>
          </w:tcPr>
          <w:p w14:paraId="6F8D2B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45,0</w:t>
            </w:r>
          </w:p>
        </w:tc>
        <w:tc>
          <w:tcPr>
            <w:tcW w:w="1226" w:type="dxa"/>
            <w:tcBorders>
              <w:top w:val="nil"/>
              <w:left w:val="nil"/>
              <w:bottom w:val="single" w:sz="4" w:space="0" w:color="auto"/>
              <w:right w:val="single" w:sz="4" w:space="0" w:color="auto"/>
            </w:tcBorders>
            <w:shd w:val="clear" w:color="000000" w:fill="FFFFFF"/>
            <w:noWrap/>
            <w:vAlign w:val="bottom"/>
            <w:hideMark/>
          </w:tcPr>
          <w:p w14:paraId="15C766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FD3855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8918DC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Лъки</w:t>
            </w:r>
          </w:p>
        </w:tc>
        <w:tc>
          <w:tcPr>
            <w:tcW w:w="1911" w:type="dxa"/>
            <w:tcBorders>
              <w:top w:val="nil"/>
              <w:left w:val="nil"/>
              <w:bottom w:val="single" w:sz="4" w:space="0" w:color="auto"/>
              <w:right w:val="single" w:sz="4" w:space="0" w:color="auto"/>
            </w:tcBorders>
            <w:shd w:val="clear" w:color="000000" w:fill="FFFFFF"/>
            <w:noWrap/>
            <w:vAlign w:val="bottom"/>
            <w:hideMark/>
          </w:tcPr>
          <w:p w14:paraId="62F935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2 261,0</w:t>
            </w:r>
          </w:p>
        </w:tc>
        <w:tc>
          <w:tcPr>
            <w:tcW w:w="1118" w:type="dxa"/>
            <w:tcBorders>
              <w:top w:val="nil"/>
              <w:left w:val="nil"/>
              <w:bottom w:val="single" w:sz="4" w:space="0" w:color="auto"/>
              <w:right w:val="single" w:sz="4" w:space="0" w:color="auto"/>
            </w:tcBorders>
            <w:shd w:val="clear" w:color="000000" w:fill="FFFFFF"/>
            <w:noWrap/>
            <w:vAlign w:val="bottom"/>
            <w:hideMark/>
          </w:tcPr>
          <w:p w14:paraId="0D8490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601,0</w:t>
            </w:r>
          </w:p>
        </w:tc>
        <w:tc>
          <w:tcPr>
            <w:tcW w:w="1257" w:type="dxa"/>
            <w:tcBorders>
              <w:top w:val="nil"/>
              <w:left w:val="nil"/>
              <w:bottom w:val="single" w:sz="4" w:space="0" w:color="auto"/>
              <w:right w:val="single" w:sz="4" w:space="0" w:color="auto"/>
            </w:tcBorders>
            <w:shd w:val="clear" w:color="000000" w:fill="FFFFFF"/>
            <w:noWrap/>
            <w:vAlign w:val="bottom"/>
            <w:hideMark/>
          </w:tcPr>
          <w:p w14:paraId="31A3F9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144,8</w:t>
            </w:r>
          </w:p>
        </w:tc>
        <w:tc>
          <w:tcPr>
            <w:tcW w:w="1384" w:type="dxa"/>
            <w:tcBorders>
              <w:top w:val="nil"/>
              <w:left w:val="nil"/>
              <w:bottom w:val="single" w:sz="4" w:space="0" w:color="auto"/>
              <w:right w:val="single" w:sz="4" w:space="0" w:color="auto"/>
            </w:tcBorders>
            <w:shd w:val="clear" w:color="000000" w:fill="FFFFFF"/>
            <w:noWrap/>
            <w:vAlign w:val="bottom"/>
            <w:hideMark/>
          </w:tcPr>
          <w:p w14:paraId="7AA21E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456,2</w:t>
            </w:r>
          </w:p>
        </w:tc>
        <w:tc>
          <w:tcPr>
            <w:tcW w:w="1134" w:type="dxa"/>
            <w:tcBorders>
              <w:top w:val="nil"/>
              <w:left w:val="nil"/>
              <w:bottom w:val="single" w:sz="4" w:space="0" w:color="auto"/>
              <w:right w:val="single" w:sz="4" w:space="0" w:color="auto"/>
            </w:tcBorders>
            <w:shd w:val="clear" w:color="000000" w:fill="FFFFFF"/>
            <w:noWrap/>
            <w:vAlign w:val="bottom"/>
            <w:hideMark/>
          </w:tcPr>
          <w:p w14:paraId="387DE9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131,9</w:t>
            </w:r>
          </w:p>
        </w:tc>
        <w:tc>
          <w:tcPr>
            <w:tcW w:w="1277" w:type="dxa"/>
            <w:tcBorders>
              <w:top w:val="nil"/>
              <w:left w:val="nil"/>
              <w:bottom w:val="single" w:sz="4" w:space="0" w:color="auto"/>
              <w:right w:val="single" w:sz="4" w:space="0" w:color="auto"/>
            </w:tcBorders>
            <w:shd w:val="clear" w:color="000000" w:fill="FFFFFF"/>
            <w:noWrap/>
            <w:vAlign w:val="bottom"/>
            <w:hideMark/>
          </w:tcPr>
          <w:p w14:paraId="516139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685,6</w:t>
            </w:r>
          </w:p>
        </w:tc>
        <w:tc>
          <w:tcPr>
            <w:tcW w:w="1040" w:type="dxa"/>
            <w:tcBorders>
              <w:top w:val="nil"/>
              <w:left w:val="nil"/>
              <w:bottom w:val="single" w:sz="4" w:space="0" w:color="auto"/>
              <w:right w:val="single" w:sz="4" w:space="0" w:color="auto"/>
            </w:tcBorders>
            <w:shd w:val="clear" w:color="000000" w:fill="FFFFFF"/>
            <w:noWrap/>
            <w:vAlign w:val="bottom"/>
            <w:hideMark/>
          </w:tcPr>
          <w:p w14:paraId="19DE8E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20,6</w:t>
            </w:r>
          </w:p>
        </w:tc>
        <w:tc>
          <w:tcPr>
            <w:tcW w:w="1087" w:type="dxa"/>
            <w:tcBorders>
              <w:top w:val="nil"/>
              <w:left w:val="nil"/>
              <w:bottom w:val="single" w:sz="4" w:space="0" w:color="auto"/>
              <w:right w:val="single" w:sz="4" w:space="0" w:color="auto"/>
            </w:tcBorders>
            <w:shd w:val="clear" w:color="000000" w:fill="FFFFFF"/>
            <w:noWrap/>
            <w:vAlign w:val="bottom"/>
            <w:hideMark/>
          </w:tcPr>
          <w:p w14:paraId="09FAFE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732,0</w:t>
            </w:r>
          </w:p>
        </w:tc>
        <w:tc>
          <w:tcPr>
            <w:tcW w:w="1040" w:type="dxa"/>
            <w:tcBorders>
              <w:top w:val="nil"/>
              <w:left w:val="nil"/>
              <w:bottom w:val="single" w:sz="4" w:space="0" w:color="auto"/>
              <w:right w:val="single" w:sz="4" w:space="0" w:color="auto"/>
            </w:tcBorders>
            <w:shd w:val="clear" w:color="000000" w:fill="FFFFFF"/>
            <w:noWrap/>
            <w:vAlign w:val="bottom"/>
            <w:hideMark/>
          </w:tcPr>
          <w:p w14:paraId="7D0826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89,9</w:t>
            </w:r>
          </w:p>
        </w:tc>
        <w:tc>
          <w:tcPr>
            <w:tcW w:w="1226" w:type="dxa"/>
            <w:tcBorders>
              <w:top w:val="nil"/>
              <w:left w:val="nil"/>
              <w:bottom w:val="single" w:sz="4" w:space="0" w:color="auto"/>
              <w:right w:val="single" w:sz="4" w:space="0" w:color="auto"/>
            </w:tcBorders>
            <w:shd w:val="clear" w:color="000000" w:fill="FFFFFF"/>
            <w:noWrap/>
            <w:vAlign w:val="bottom"/>
            <w:hideMark/>
          </w:tcPr>
          <w:p w14:paraId="3CB17B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9B1259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0AF7B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„Mарица”</w:t>
            </w:r>
          </w:p>
        </w:tc>
        <w:tc>
          <w:tcPr>
            <w:tcW w:w="1911" w:type="dxa"/>
            <w:tcBorders>
              <w:top w:val="nil"/>
              <w:left w:val="nil"/>
              <w:bottom w:val="single" w:sz="4" w:space="0" w:color="auto"/>
              <w:right w:val="single" w:sz="4" w:space="0" w:color="auto"/>
            </w:tcBorders>
            <w:shd w:val="clear" w:color="000000" w:fill="FFFFFF"/>
            <w:noWrap/>
            <w:vAlign w:val="bottom"/>
            <w:hideMark/>
          </w:tcPr>
          <w:p w14:paraId="171DF0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16 950,3</w:t>
            </w:r>
          </w:p>
        </w:tc>
        <w:tc>
          <w:tcPr>
            <w:tcW w:w="1118" w:type="dxa"/>
            <w:tcBorders>
              <w:top w:val="nil"/>
              <w:left w:val="nil"/>
              <w:bottom w:val="single" w:sz="4" w:space="0" w:color="auto"/>
              <w:right w:val="single" w:sz="4" w:space="0" w:color="auto"/>
            </w:tcBorders>
            <w:shd w:val="clear" w:color="000000" w:fill="FFFFFF"/>
            <w:noWrap/>
            <w:vAlign w:val="bottom"/>
            <w:hideMark/>
          </w:tcPr>
          <w:p w14:paraId="72AA5A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1 657,5</w:t>
            </w:r>
          </w:p>
        </w:tc>
        <w:tc>
          <w:tcPr>
            <w:tcW w:w="1257" w:type="dxa"/>
            <w:tcBorders>
              <w:top w:val="nil"/>
              <w:left w:val="nil"/>
              <w:bottom w:val="single" w:sz="4" w:space="0" w:color="auto"/>
              <w:right w:val="single" w:sz="4" w:space="0" w:color="auto"/>
            </w:tcBorders>
            <w:shd w:val="clear" w:color="000000" w:fill="FFFFFF"/>
            <w:noWrap/>
            <w:vAlign w:val="bottom"/>
            <w:hideMark/>
          </w:tcPr>
          <w:p w14:paraId="0C64B5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379,0</w:t>
            </w:r>
          </w:p>
        </w:tc>
        <w:tc>
          <w:tcPr>
            <w:tcW w:w="1384" w:type="dxa"/>
            <w:tcBorders>
              <w:top w:val="nil"/>
              <w:left w:val="nil"/>
              <w:bottom w:val="single" w:sz="4" w:space="0" w:color="auto"/>
              <w:right w:val="single" w:sz="4" w:space="0" w:color="auto"/>
            </w:tcBorders>
            <w:shd w:val="clear" w:color="000000" w:fill="FFFFFF"/>
            <w:noWrap/>
            <w:vAlign w:val="bottom"/>
            <w:hideMark/>
          </w:tcPr>
          <w:p w14:paraId="0E93BA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1 278,5</w:t>
            </w:r>
          </w:p>
        </w:tc>
        <w:tc>
          <w:tcPr>
            <w:tcW w:w="1134" w:type="dxa"/>
            <w:tcBorders>
              <w:top w:val="nil"/>
              <w:left w:val="nil"/>
              <w:bottom w:val="single" w:sz="4" w:space="0" w:color="auto"/>
              <w:right w:val="single" w:sz="4" w:space="0" w:color="auto"/>
            </w:tcBorders>
            <w:shd w:val="clear" w:color="000000" w:fill="FFFFFF"/>
            <w:noWrap/>
            <w:vAlign w:val="bottom"/>
            <w:hideMark/>
          </w:tcPr>
          <w:p w14:paraId="546C79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202,3</w:t>
            </w:r>
          </w:p>
        </w:tc>
        <w:tc>
          <w:tcPr>
            <w:tcW w:w="1277" w:type="dxa"/>
            <w:tcBorders>
              <w:top w:val="nil"/>
              <w:left w:val="nil"/>
              <w:bottom w:val="single" w:sz="4" w:space="0" w:color="auto"/>
              <w:right w:val="single" w:sz="4" w:space="0" w:color="auto"/>
            </w:tcBorders>
            <w:shd w:val="clear" w:color="000000" w:fill="FFFFFF"/>
            <w:noWrap/>
            <w:vAlign w:val="bottom"/>
            <w:hideMark/>
          </w:tcPr>
          <w:p w14:paraId="6082CA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13 371,5</w:t>
            </w:r>
          </w:p>
        </w:tc>
        <w:tc>
          <w:tcPr>
            <w:tcW w:w="1040" w:type="dxa"/>
            <w:tcBorders>
              <w:top w:val="nil"/>
              <w:left w:val="nil"/>
              <w:bottom w:val="single" w:sz="4" w:space="0" w:color="auto"/>
              <w:right w:val="single" w:sz="4" w:space="0" w:color="auto"/>
            </w:tcBorders>
            <w:shd w:val="clear" w:color="000000" w:fill="FFFFFF"/>
            <w:noWrap/>
            <w:vAlign w:val="bottom"/>
            <w:hideMark/>
          </w:tcPr>
          <w:p w14:paraId="14A3BA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566,7</w:t>
            </w:r>
          </w:p>
        </w:tc>
        <w:tc>
          <w:tcPr>
            <w:tcW w:w="1087" w:type="dxa"/>
            <w:tcBorders>
              <w:top w:val="nil"/>
              <w:left w:val="nil"/>
              <w:bottom w:val="single" w:sz="4" w:space="0" w:color="auto"/>
              <w:right w:val="single" w:sz="4" w:space="0" w:color="auto"/>
            </w:tcBorders>
            <w:shd w:val="clear" w:color="000000" w:fill="FFFFFF"/>
            <w:noWrap/>
            <w:vAlign w:val="bottom"/>
            <w:hideMark/>
          </w:tcPr>
          <w:p w14:paraId="6838CB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545,3</w:t>
            </w:r>
          </w:p>
        </w:tc>
        <w:tc>
          <w:tcPr>
            <w:tcW w:w="1040" w:type="dxa"/>
            <w:tcBorders>
              <w:top w:val="nil"/>
              <w:left w:val="nil"/>
              <w:bottom w:val="single" w:sz="4" w:space="0" w:color="auto"/>
              <w:right w:val="single" w:sz="4" w:space="0" w:color="auto"/>
            </w:tcBorders>
            <w:shd w:val="clear" w:color="000000" w:fill="FFFFFF"/>
            <w:noWrap/>
            <w:vAlign w:val="bottom"/>
            <w:hideMark/>
          </w:tcPr>
          <w:p w14:paraId="65E004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607,0</w:t>
            </w:r>
          </w:p>
        </w:tc>
        <w:tc>
          <w:tcPr>
            <w:tcW w:w="1226" w:type="dxa"/>
            <w:tcBorders>
              <w:top w:val="nil"/>
              <w:left w:val="nil"/>
              <w:bottom w:val="single" w:sz="4" w:space="0" w:color="auto"/>
              <w:right w:val="single" w:sz="4" w:space="0" w:color="auto"/>
            </w:tcBorders>
            <w:shd w:val="clear" w:color="000000" w:fill="FFFFFF"/>
            <w:noWrap/>
            <w:vAlign w:val="bottom"/>
            <w:hideMark/>
          </w:tcPr>
          <w:p w14:paraId="5E2843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FC0207F"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BFCDB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Перущица</w:t>
            </w:r>
          </w:p>
        </w:tc>
        <w:tc>
          <w:tcPr>
            <w:tcW w:w="1911" w:type="dxa"/>
            <w:tcBorders>
              <w:top w:val="nil"/>
              <w:left w:val="nil"/>
              <w:bottom w:val="single" w:sz="4" w:space="0" w:color="auto"/>
              <w:right w:val="single" w:sz="4" w:space="0" w:color="auto"/>
            </w:tcBorders>
            <w:shd w:val="clear" w:color="000000" w:fill="FFFFFF"/>
            <w:noWrap/>
            <w:vAlign w:val="bottom"/>
            <w:hideMark/>
          </w:tcPr>
          <w:p w14:paraId="1E87BE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3 560,4</w:t>
            </w:r>
          </w:p>
        </w:tc>
        <w:tc>
          <w:tcPr>
            <w:tcW w:w="1118" w:type="dxa"/>
            <w:tcBorders>
              <w:top w:val="nil"/>
              <w:left w:val="nil"/>
              <w:bottom w:val="single" w:sz="4" w:space="0" w:color="auto"/>
              <w:right w:val="single" w:sz="4" w:space="0" w:color="auto"/>
            </w:tcBorders>
            <w:shd w:val="clear" w:color="000000" w:fill="FFFFFF"/>
            <w:noWrap/>
            <w:vAlign w:val="bottom"/>
            <w:hideMark/>
          </w:tcPr>
          <w:p w14:paraId="58B64F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587,0</w:t>
            </w:r>
          </w:p>
        </w:tc>
        <w:tc>
          <w:tcPr>
            <w:tcW w:w="1257" w:type="dxa"/>
            <w:tcBorders>
              <w:top w:val="nil"/>
              <w:left w:val="nil"/>
              <w:bottom w:val="single" w:sz="4" w:space="0" w:color="auto"/>
              <w:right w:val="single" w:sz="4" w:space="0" w:color="auto"/>
            </w:tcBorders>
            <w:shd w:val="clear" w:color="000000" w:fill="FFFFFF"/>
            <w:noWrap/>
            <w:vAlign w:val="bottom"/>
            <w:hideMark/>
          </w:tcPr>
          <w:p w14:paraId="650DAF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40,4</w:t>
            </w:r>
          </w:p>
        </w:tc>
        <w:tc>
          <w:tcPr>
            <w:tcW w:w="1384" w:type="dxa"/>
            <w:tcBorders>
              <w:top w:val="nil"/>
              <w:left w:val="nil"/>
              <w:bottom w:val="single" w:sz="4" w:space="0" w:color="auto"/>
              <w:right w:val="single" w:sz="4" w:space="0" w:color="auto"/>
            </w:tcBorders>
            <w:shd w:val="clear" w:color="000000" w:fill="FFFFFF"/>
            <w:noWrap/>
            <w:vAlign w:val="bottom"/>
            <w:hideMark/>
          </w:tcPr>
          <w:p w14:paraId="591BD3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546,6</w:t>
            </w:r>
          </w:p>
        </w:tc>
        <w:tc>
          <w:tcPr>
            <w:tcW w:w="1134" w:type="dxa"/>
            <w:tcBorders>
              <w:top w:val="nil"/>
              <w:left w:val="nil"/>
              <w:bottom w:val="single" w:sz="4" w:space="0" w:color="auto"/>
              <w:right w:val="single" w:sz="4" w:space="0" w:color="auto"/>
            </w:tcBorders>
            <w:shd w:val="clear" w:color="000000" w:fill="FFFFFF"/>
            <w:noWrap/>
            <w:vAlign w:val="bottom"/>
            <w:hideMark/>
          </w:tcPr>
          <w:p w14:paraId="1B8541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118,0</w:t>
            </w:r>
          </w:p>
        </w:tc>
        <w:tc>
          <w:tcPr>
            <w:tcW w:w="1277" w:type="dxa"/>
            <w:tcBorders>
              <w:top w:val="nil"/>
              <w:left w:val="nil"/>
              <w:bottom w:val="single" w:sz="4" w:space="0" w:color="auto"/>
              <w:right w:val="single" w:sz="4" w:space="0" w:color="auto"/>
            </w:tcBorders>
            <w:shd w:val="clear" w:color="000000" w:fill="FFFFFF"/>
            <w:noWrap/>
            <w:vAlign w:val="bottom"/>
            <w:hideMark/>
          </w:tcPr>
          <w:p w14:paraId="621C9B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2 409,4</w:t>
            </w:r>
          </w:p>
        </w:tc>
        <w:tc>
          <w:tcPr>
            <w:tcW w:w="1040" w:type="dxa"/>
            <w:tcBorders>
              <w:top w:val="nil"/>
              <w:left w:val="nil"/>
              <w:bottom w:val="single" w:sz="4" w:space="0" w:color="auto"/>
              <w:right w:val="single" w:sz="4" w:space="0" w:color="auto"/>
            </w:tcBorders>
            <w:shd w:val="clear" w:color="000000" w:fill="FFFFFF"/>
            <w:noWrap/>
            <w:vAlign w:val="bottom"/>
            <w:hideMark/>
          </w:tcPr>
          <w:p w14:paraId="7E86AE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118,6</w:t>
            </w:r>
          </w:p>
        </w:tc>
        <w:tc>
          <w:tcPr>
            <w:tcW w:w="1087" w:type="dxa"/>
            <w:tcBorders>
              <w:top w:val="nil"/>
              <w:left w:val="nil"/>
              <w:bottom w:val="single" w:sz="4" w:space="0" w:color="auto"/>
              <w:right w:val="single" w:sz="4" w:space="0" w:color="auto"/>
            </w:tcBorders>
            <w:shd w:val="clear" w:color="000000" w:fill="FFFFFF"/>
            <w:noWrap/>
            <w:vAlign w:val="bottom"/>
            <w:hideMark/>
          </w:tcPr>
          <w:p w14:paraId="0FE63F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65,3</w:t>
            </w:r>
          </w:p>
        </w:tc>
        <w:tc>
          <w:tcPr>
            <w:tcW w:w="1040" w:type="dxa"/>
            <w:tcBorders>
              <w:top w:val="nil"/>
              <w:left w:val="nil"/>
              <w:bottom w:val="single" w:sz="4" w:space="0" w:color="auto"/>
              <w:right w:val="single" w:sz="4" w:space="0" w:color="auto"/>
            </w:tcBorders>
            <w:shd w:val="clear" w:color="000000" w:fill="FFFFFF"/>
            <w:noWrap/>
            <w:vAlign w:val="bottom"/>
            <w:hideMark/>
          </w:tcPr>
          <w:p w14:paraId="0F233D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262,1</w:t>
            </w:r>
          </w:p>
        </w:tc>
        <w:tc>
          <w:tcPr>
            <w:tcW w:w="1226" w:type="dxa"/>
            <w:tcBorders>
              <w:top w:val="nil"/>
              <w:left w:val="nil"/>
              <w:bottom w:val="single" w:sz="4" w:space="0" w:color="auto"/>
              <w:right w:val="single" w:sz="4" w:space="0" w:color="auto"/>
            </w:tcBorders>
            <w:shd w:val="clear" w:color="000000" w:fill="FFFFFF"/>
            <w:noWrap/>
            <w:vAlign w:val="bottom"/>
            <w:hideMark/>
          </w:tcPr>
          <w:p w14:paraId="5609C4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D7C6B1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8AB7E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Пловдив</w:t>
            </w:r>
          </w:p>
        </w:tc>
        <w:tc>
          <w:tcPr>
            <w:tcW w:w="1911" w:type="dxa"/>
            <w:tcBorders>
              <w:top w:val="nil"/>
              <w:left w:val="nil"/>
              <w:bottom w:val="single" w:sz="4" w:space="0" w:color="auto"/>
              <w:right w:val="single" w:sz="4" w:space="0" w:color="auto"/>
            </w:tcBorders>
            <w:shd w:val="clear" w:color="000000" w:fill="FFFFFF"/>
            <w:noWrap/>
            <w:vAlign w:val="bottom"/>
            <w:hideMark/>
          </w:tcPr>
          <w:p w14:paraId="062A8B0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216 840,9</w:t>
            </w:r>
          </w:p>
        </w:tc>
        <w:tc>
          <w:tcPr>
            <w:tcW w:w="1118" w:type="dxa"/>
            <w:tcBorders>
              <w:top w:val="nil"/>
              <w:left w:val="nil"/>
              <w:bottom w:val="single" w:sz="4" w:space="0" w:color="auto"/>
              <w:right w:val="single" w:sz="4" w:space="0" w:color="auto"/>
            </w:tcBorders>
            <w:shd w:val="clear" w:color="000000" w:fill="FFFFFF"/>
            <w:noWrap/>
            <w:vAlign w:val="bottom"/>
            <w:hideMark/>
          </w:tcPr>
          <w:p w14:paraId="292562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14 124,8</w:t>
            </w:r>
          </w:p>
        </w:tc>
        <w:tc>
          <w:tcPr>
            <w:tcW w:w="1257" w:type="dxa"/>
            <w:tcBorders>
              <w:top w:val="nil"/>
              <w:left w:val="nil"/>
              <w:bottom w:val="single" w:sz="4" w:space="0" w:color="auto"/>
              <w:right w:val="single" w:sz="4" w:space="0" w:color="auto"/>
            </w:tcBorders>
            <w:shd w:val="clear" w:color="000000" w:fill="FFFFFF"/>
            <w:noWrap/>
            <w:vAlign w:val="bottom"/>
            <w:hideMark/>
          </w:tcPr>
          <w:p w14:paraId="1A4E9C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289,7</w:t>
            </w:r>
          </w:p>
        </w:tc>
        <w:tc>
          <w:tcPr>
            <w:tcW w:w="1384" w:type="dxa"/>
            <w:tcBorders>
              <w:top w:val="nil"/>
              <w:left w:val="nil"/>
              <w:bottom w:val="single" w:sz="4" w:space="0" w:color="auto"/>
              <w:right w:val="single" w:sz="4" w:space="0" w:color="auto"/>
            </w:tcBorders>
            <w:shd w:val="clear" w:color="000000" w:fill="FFFFFF"/>
            <w:noWrap/>
            <w:vAlign w:val="bottom"/>
            <w:hideMark/>
          </w:tcPr>
          <w:p w14:paraId="54E0D4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13 835,1</w:t>
            </w:r>
          </w:p>
        </w:tc>
        <w:tc>
          <w:tcPr>
            <w:tcW w:w="1134" w:type="dxa"/>
            <w:tcBorders>
              <w:top w:val="nil"/>
              <w:left w:val="nil"/>
              <w:bottom w:val="single" w:sz="4" w:space="0" w:color="auto"/>
              <w:right w:val="single" w:sz="4" w:space="0" w:color="auto"/>
            </w:tcBorders>
            <w:shd w:val="clear" w:color="000000" w:fill="FFFFFF"/>
            <w:noWrap/>
            <w:vAlign w:val="bottom"/>
            <w:hideMark/>
          </w:tcPr>
          <w:p w14:paraId="5055A4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1 286,8</w:t>
            </w:r>
          </w:p>
        </w:tc>
        <w:tc>
          <w:tcPr>
            <w:tcW w:w="1277" w:type="dxa"/>
            <w:tcBorders>
              <w:top w:val="nil"/>
              <w:left w:val="nil"/>
              <w:bottom w:val="single" w:sz="4" w:space="0" w:color="auto"/>
              <w:right w:val="single" w:sz="4" w:space="0" w:color="auto"/>
            </w:tcBorders>
            <w:shd w:val="clear" w:color="000000" w:fill="FFFFFF"/>
            <w:noWrap/>
            <w:vAlign w:val="bottom"/>
            <w:hideMark/>
          </w:tcPr>
          <w:p w14:paraId="009393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151 748,6</w:t>
            </w:r>
          </w:p>
        </w:tc>
        <w:tc>
          <w:tcPr>
            <w:tcW w:w="1040" w:type="dxa"/>
            <w:tcBorders>
              <w:top w:val="nil"/>
              <w:left w:val="nil"/>
              <w:bottom w:val="single" w:sz="4" w:space="0" w:color="auto"/>
              <w:right w:val="single" w:sz="4" w:space="0" w:color="auto"/>
            </w:tcBorders>
            <w:shd w:val="clear" w:color="000000" w:fill="FFFFFF"/>
            <w:noWrap/>
            <w:vAlign w:val="bottom"/>
            <w:hideMark/>
          </w:tcPr>
          <w:p w14:paraId="387BF1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15 297,0</w:t>
            </w:r>
          </w:p>
        </w:tc>
        <w:tc>
          <w:tcPr>
            <w:tcW w:w="1087" w:type="dxa"/>
            <w:tcBorders>
              <w:top w:val="nil"/>
              <w:left w:val="nil"/>
              <w:bottom w:val="single" w:sz="4" w:space="0" w:color="auto"/>
              <w:right w:val="single" w:sz="4" w:space="0" w:color="auto"/>
            </w:tcBorders>
            <w:shd w:val="clear" w:color="000000" w:fill="FFFFFF"/>
            <w:noWrap/>
            <w:vAlign w:val="bottom"/>
            <w:hideMark/>
          </w:tcPr>
          <w:p w14:paraId="05E1D9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27 909,5</w:t>
            </w:r>
          </w:p>
        </w:tc>
        <w:tc>
          <w:tcPr>
            <w:tcW w:w="1040" w:type="dxa"/>
            <w:tcBorders>
              <w:top w:val="nil"/>
              <w:left w:val="nil"/>
              <w:bottom w:val="single" w:sz="4" w:space="0" w:color="auto"/>
              <w:right w:val="single" w:sz="4" w:space="0" w:color="auto"/>
            </w:tcBorders>
            <w:shd w:val="clear" w:color="000000" w:fill="FFFFFF"/>
            <w:noWrap/>
            <w:vAlign w:val="bottom"/>
            <w:hideMark/>
          </w:tcPr>
          <w:p w14:paraId="445BEE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6 474,2</w:t>
            </w:r>
          </w:p>
        </w:tc>
        <w:tc>
          <w:tcPr>
            <w:tcW w:w="1226" w:type="dxa"/>
            <w:tcBorders>
              <w:top w:val="nil"/>
              <w:left w:val="nil"/>
              <w:bottom w:val="single" w:sz="4" w:space="0" w:color="auto"/>
              <w:right w:val="single" w:sz="4" w:space="0" w:color="auto"/>
            </w:tcBorders>
            <w:shd w:val="clear" w:color="000000" w:fill="FFFFFF"/>
            <w:noWrap/>
            <w:vAlign w:val="bottom"/>
            <w:hideMark/>
          </w:tcPr>
          <w:p w14:paraId="15E3C1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C8B29F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92608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Първомай</w:t>
            </w:r>
          </w:p>
        </w:tc>
        <w:tc>
          <w:tcPr>
            <w:tcW w:w="1911" w:type="dxa"/>
            <w:tcBorders>
              <w:top w:val="nil"/>
              <w:left w:val="nil"/>
              <w:bottom w:val="single" w:sz="4" w:space="0" w:color="auto"/>
              <w:right w:val="single" w:sz="4" w:space="0" w:color="auto"/>
            </w:tcBorders>
            <w:shd w:val="clear" w:color="000000" w:fill="FFFFFF"/>
            <w:noWrap/>
            <w:vAlign w:val="bottom"/>
            <w:hideMark/>
          </w:tcPr>
          <w:p w14:paraId="132DB0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15 265,5</w:t>
            </w:r>
          </w:p>
        </w:tc>
        <w:tc>
          <w:tcPr>
            <w:tcW w:w="1118" w:type="dxa"/>
            <w:tcBorders>
              <w:top w:val="nil"/>
              <w:left w:val="nil"/>
              <w:bottom w:val="single" w:sz="4" w:space="0" w:color="auto"/>
              <w:right w:val="single" w:sz="4" w:space="0" w:color="auto"/>
            </w:tcBorders>
            <w:shd w:val="clear" w:color="000000" w:fill="FFFFFF"/>
            <w:noWrap/>
            <w:vAlign w:val="bottom"/>
            <w:hideMark/>
          </w:tcPr>
          <w:p w14:paraId="5AD0E9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1 435,0</w:t>
            </w:r>
          </w:p>
        </w:tc>
        <w:tc>
          <w:tcPr>
            <w:tcW w:w="1257" w:type="dxa"/>
            <w:tcBorders>
              <w:top w:val="nil"/>
              <w:left w:val="nil"/>
              <w:bottom w:val="single" w:sz="4" w:space="0" w:color="auto"/>
              <w:right w:val="single" w:sz="4" w:space="0" w:color="auto"/>
            </w:tcBorders>
            <w:shd w:val="clear" w:color="000000" w:fill="FFFFFF"/>
            <w:noWrap/>
            <w:vAlign w:val="bottom"/>
            <w:hideMark/>
          </w:tcPr>
          <w:p w14:paraId="1BA2DB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299,9</w:t>
            </w:r>
          </w:p>
        </w:tc>
        <w:tc>
          <w:tcPr>
            <w:tcW w:w="1384" w:type="dxa"/>
            <w:tcBorders>
              <w:top w:val="nil"/>
              <w:left w:val="nil"/>
              <w:bottom w:val="single" w:sz="4" w:space="0" w:color="auto"/>
              <w:right w:val="single" w:sz="4" w:space="0" w:color="auto"/>
            </w:tcBorders>
            <w:shd w:val="clear" w:color="000000" w:fill="FFFFFF"/>
            <w:noWrap/>
            <w:vAlign w:val="bottom"/>
            <w:hideMark/>
          </w:tcPr>
          <w:p w14:paraId="51C636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1 135,1</w:t>
            </w:r>
          </w:p>
        </w:tc>
        <w:tc>
          <w:tcPr>
            <w:tcW w:w="1134" w:type="dxa"/>
            <w:tcBorders>
              <w:top w:val="nil"/>
              <w:left w:val="nil"/>
              <w:bottom w:val="single" w:sz="4" w:space="0" w:color="auto"/>
              <w:right w:val="single" w:sz="4" w:space="0" w:color="auto"/>
            </w:tcBorders>
            <w:shd w:val="clear" w:color="000000" w:fill="FFFFFF"/>
            <w:noWrap/>
            <w:vAlign w:val="bottom"/>
            <w:hideMark/>
          </w:tcPr>
          <w:p w14:paraId="3C12BF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171,4</w:t>
            </w:r>
          </w:p>
        </w:tc>
        <w:tc>
          <w:tcPr>
            <w:tcW w:w="1277" w:type="dxa"/>
            <w:tcBorders>
              <w:top w:val="nil"/>
              <w:left w:val="nil"/>
              <w:bottom w:val="single" w:sz="4" w:space="0" w:color="auto"/>
              <w:right w:val="single" w:sz="4" w:space="0" w:color="auto"/>
            </w:tcBorders>
            <w:shd w:val="clear" w:color="000000" w:fill="FFFFFF"/>
            <w:noWrap/>
            <w:vAlign w:val="bottom"/>
            <w:hideMark/>
          </w:tcPr>
          <w:p w14:paraId="364B290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10 688,9</w:t>
            </w:r>
          </w:p>
        </w:tc>
        <w:tc>
          <w:tcPr>
            <w:tcW w:w="1040" w:type="dxa"/>
            <w:tcBorders>
              <w:top w:val="nil"/>
              <w:left w:val="nil"/>
              <w:bottom w:val="single" w:sz="4" w:space="0" w:color="auto"/>
              <w:right w:val="single" w:sz="4" w:space="0" w:color="auto"/>
            </w:tcBorders>
            <w:shd w:val="clear" w:color="000000" w:fill="FFFFFF"/>
            <w:noWrap/>
            <w:vAlign w:val="bottom"/>
            <w:hideMark/>
          </w:tcPr>
          <w:p w14:paraId="7C7139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352,6</w:t>
            </w:r>
          </w:p>
        </w:tc>
        <w:tc>
          <w:tcPr>
            <w:tcW w:w="1087" w:type="dxa"/>
            <w:tcBorders>
              <w:top w:val="nil"/>
              <w:left w:val="nil"/>
              <w:bottom w:val="single" w:sz="4" w:space="0" w:color="auto"/>
              <w:right w:val="single" w:sz="4" w:space="0" w:color="auto"/>
            </w:tcBorders>
            <w:shd w:val="clear" w:color="000000" w:fill="FFFFFF"/>
            <w:noWrap/>
            <w:vAlign w:val="bottom"/>
            <w:hideMark/>
          </w:tcPr>
          <w:p w14:paraId="1EA65C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2 224,2</w:t>
            </w:r>
          </w:p>
        </w:tc>
        <w:tc>
          <w:tcPr>
            <w:tcW w:w="1040" w:type="dxa"/>
            <w:tcBorders>
              <w:top w:val="nil"/>
              <w:left w:val="nil"/>
              <w:bottom w:val="single" w:sz="4" w:space="0" w:color="auto"/>
              <w:right w:val="single" w:sz="4" w:space="0" w:color="auto"/>
            </w:tcBorders>
            <w:shd w:val="clear" w:color="000000" w:fill="FFFFFF"/>
            <w:noWrap/>
            <w:vAlign w:val="bottom"/>
            <w:hideMark/>
          </w:tcPr>
          <w:p w14:paraId="6F44C2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393,4</w:t>
            </w:r>
          </w:p>
        </w:tc>
        <w:tc>
          <w:tcPr>
            <w:tcW w:w="1226" w:type="dxa"/>
            <w:tcBorders>
              <w:top w:val="nil"/>
              <w:left w:val="nil"/>
              <w:bottom w:val="single" w:sz="4" w:space="0" w:color="auto"/>
              <w:right w:val="single" w:sz="4" w:space="0" w:color="auto"/>
            </w:tcBorders>
            <w:shd w:val="clear" w:color="000000" w:fill="FFFFFF"/>
            <w:noWrap/>
            <w:vAlign w:val="bottom"/>
            <w:hideMark/>
          </w:tcPr>
          <w:p w14:paraId="3BE3C86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E725CE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1D51A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Pаковски</w:t>
            </w:r>
          </w:p>
        </w:tc>
        <w:tc>
          <w:tcPr>
            <w:tcW w:w="1911" w:type="dxa"/>
            <w:tcBorders>
              <w:top w:val="nil"/>
              <w:left w:val="nil"/>
              <w:bottom w:val="single" w:sz="4" w:space="0" w:color="auto"/>
              <w:right w:val="single" w:sz="4" w:space="0" w:color="auto"/>
            </w:tcBorders>
            <w:shd w:val="clear" w:color="000000" w:fill="FFFFFF"/>
            <w:noWrap/>
            <w:vAlign w:val="bottom"/>
            <w:hideMark/>
          </w:tcPr>
          <w:p w14:paraId="176C6E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16 937,5</w:t>
            </w:r>
          </w:p>
        </w:tc>
        <w:tc>
          <w:tcPr>
            <w:tcW w:w="1118" w:type="dxa"/>
            <w:tcBorders>
              <w:top w:val="nil"/>
              <w:left w:val="nil"/>
              <w:bottom w:val="single" w:sz="4" w:space="0" w:color="auto"/>
              <w:right w:val="single" w:sz="4" w:space="0" w:color="auto"/>
            </w:tcBorders>
            <w:shd w:val="clear" w:color="000000" w:fill="FFFFFF"/>
            <w:noWrap/>
            <w:vAlign w:val="bottom"/>
            <w:hideMark/>
          </w:tcPr>
          <w:p w14:paraId="35D926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1 323,0</w:t>
            </w:r>
          </w:p>
        </w:tc>
        <w:tc>
          <w:tcPr>
            <w:tcW w:w="1257" w:type="dxa"/>
            <w:tcBorders>
              <w:top w:val="nil"/>
              <w:left w:val="nil"/>
              <w:bottom w:val="single" w:sz="4" w:space="0" w:color="auto"/>
              <w:right w:val="single" w:sz="4" w:space="0" w:color="auto"/>
            </w:tcBorders>
            <w:shd w:val="clear" w:color="000000" w:fill="FFFFFF"/>
            <w:noWrap/>
            <w:vAlign w:val="bottom"/>
            <w:hideMark/>
          </w:tcPr>
          <w:p w14:paraId="66AAE1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149,8</w:t>
            </w:r>
          </w:p>
        </w:tc>
        <w:tc>
          <w:tcPr>
            <w:tcW w:w="1384" w:type="dxa"/>
            <w:tcBorders>
              <w:top w:val="nil"/>
              <w:left w:val="nil"/>
              <w:bottom w:val="single" w:sz="4" w:space="0" w:color="auto"/>
              <w:right w:val="single" w:sz="4" w:space="0" w:color="auto"/>
            </w:tcBorders>
            <w:shd w:val="clear" w:color="000000" w:fill="FFFFFF"/>
            <w:noWrap/>
            <w:vAlign w:val="bottom"/>
            <w:hideMark/>
          </w:tcPr>
          <w:p w14:paraId="44A9FD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1 173,2</w:t>
            </w:r>
          </w:p>
        </w:tc>
        <w:tc>
          <w:tcPr>
            <w:tcW w:w="1134" w:type="dxa"/>
            <w:tcBorders>
              <w:top w:val="nil"/>
              <w:left w:val="nil"/>
              <w:bottom w:val="single" w:sz="4" w:space="0" w:color="auto"/>
              <w:right w:val="single" w:sz="4" w:space="0" w:color="auto"/>
            </w:tcBorders>
            <w:shd w:val="clear" w:color="000000" w:fill="FFFFFF"/>
            <w:noWrap/>
            <w:vAlign w:val="bottom"/>
            <w:hideMark/>
          </w:tcPr>
          <w:p w14:paraId="487CED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122,1</w:t>
            </w:r>
          </w:p>
        </w:tc>
        <w:tc>
          <w:tcPr>
            <w:tcW w:w="1277" w:type="dxa"/>
            <w:tcBorders>
              <w:top w:val="nil"/>
              <w:left w:val="nil"/>
              <w:bottom w:val="single" w:sz="4" w:space="0" w:color="auto"/>
              <w:right w:val="single" w:sz="4" w:space="0" w:color="auto"/>
            </w:tcBorders>
            <w:shd w:val="clear" w:color="000000" w:fill="FFFFFF"/>
            <w:noWrap/>
            <w:vAlign w:val="bottom"/>
            <w:hideMark/>
          </w:tcPr>
          <w:p w14:paraId="7B9E65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13 559,9</w:t>
            </w:r>
          </w:p>
        </w:tc>
        <w:tc>
          <w:tcPr>
            <w:tcW w:w="1040" w:type="dxa"/>
            <w:tcBorders>
              <w:top w:val="nil"/>
              <w:left w:val="nil"/>
              <w:bottom w:val="single" w:sz="4" w:space="0" w:color="auto"/>
              <w:right w:val="single" w:sz="4" w:space="0" w:color="auto"/>
            </w:tcBorders>
            <w:shd w:val="clear" w:color="000000" w:fill="FFFFFF"/>
            <w:noWrap/>
            <w:vAlign w:val="bottom"/>
            <w:hideMark/>
          </w:tcPr>
          <w:p w14:paraId="06B1B3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669,8</w:t>
            </w:r>
          </w:p>
        </w:tc>
        <w:tc>
          <w:tcPr>
            <w:tcW w:w="1087" w:type="dxa"/>
            <w:tcBorders>
              <w:top w:val="nil"/>
              <w:left w:val="nil"/>
              <w:bottom w:val="single" w:sz="4" w:space="0" w:color="auto"/>
              <w:right w:val="single" w:sz="4" w:space="0" w:color="auto"/>
            </w:tcBorders>
            <w:shd w:val="clear" w:color="000000" w:fill="FFFFFF"/>
            <w:noWrap/>
            <w:vAlign w:val="bottom"/>
            <w:hideMark/>
          </w:tcPr>
          <w:p w14:paraId="6A4471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1 071,6</w:t>
            </w:r>
          </w:p>
        </w:tc>
        <w:tc>
          <w:tcPr>
            <w:tcW w:w="1040" w:type="dxa"/>
            <w:tcBorders>
              <w:top w:val="nil"/>
              <w:left w:val="nil"/>
              <w:bottom w:val="single" w:sz="4" w:space="0" w:color="auto"/>
              <w:right w:val="single" w:sz="4" w:space="0" w:color="auto"/>
            </w:tcBorders>
            <w:shd w:val="clear" w:color="000000" w:fill="FFFFFF"/>
            <w:noWrap/>
            <w:vAlign w:val="bottom"/>
            <w:hideMark/>
          </w:tcPr>
          <w:p w14:paraId="5EC1BD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498F6D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D59667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463EB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„Pодопи”</w:t>
            </w:r>
          </w:p>
        </w:tc>
        <w:tc>
          <w:tcPr>
            <w:tcW w:w="1911" w:type="dxa"/>
            <w:tcBorders>
              <w:top w:val="nil"/>
              <w:left w:val="nil"/>
              <w:bottom w:val="single" w:sz="4" w:space="0" w:color="auto"/>
              <w:right w:val="single" w:sz="4" w:space="0" w:color="auto"/>
            </w:tcBorders>
            <w:shd w:val="clear" w:color="000000" w:fill="FFFFFF"/>
            <w:noWrap/>
            <w:vAlign w:val="bottom"/>
            <w:hideMark/>
          </w:tcPr>
          <w:p w14:paraId="285A13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15 012,2</w:t>
            </w:r>
          </w:p>
        </w:tc>
        <w:tc>
          <w:tcPr>
            <w:tcW w:w="1118" w:type="dxa"/>
            <w:tcBorders>
              <w:top w:val="nil"/>
              <w:left w:val="nil"/>
              <w:bottom w:val="single" w:sz="4" w:space="0" w:color="auto"/>
              <w:right w:val="single" w:sz="4" w:space="0" w:color="auto"/>
            </w:tcBorders>
            <w:shd w:val="clear" w:color="000000" w:fill="FFFFFF"/>
            <w:noWrap/>
            <w:vAlign w:val="bottom"/>
            <w:hideMark/>
          </w:tcPr>
          <w:p w14:paraId="22A740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1 720,1</w:t>
            </w:r>
          </w:p>
        </w:tc>
        <w:tc>
          <w:tcPr>
            <w:tcW w:w="1257" w:type="dxa"/>
            <w:tcBorders>
              <w:top w:val="nil"/>
              <w:left w:val="nil"/>
              <w:bottom w:val="single" w:sz="4" w:space="0" w:color="auto"/>
              <w:right w:val="single" w:sz="4" w:space="0" w:color="auto"/>
            </w:tcBorders>
            <w:shd w:val="clear" w:color="000000" w:fill="FFFFFF"/>
            <w:noWrap/>
            <w:vAlign w:val="bottom"/>
            <w:hideMark/>
          </w:tcPr>
          <w:p w14:paraId="057148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385,6</w:t>
            </w:r>
          </w:p>
        </w:tc>
        <w:tc>
          <w:tcPr>
            <w:tcW w:w="1384" w:type="dxa"/>
            <w:tcBorders>
              <w:top w:val="nil"/>
              <w:left w:val="nil"/>
              <w:bottom w:val="single" w:sz="4" w:space="0" w:color="auto"/>
              <w:right w:val="single" w:sz="4" w:space="0" w:color="auto"/>
            </w:tcBorders>
            <w:shd w:val="clear" w:color="000000" w:fill="FFFFFF"/>
            <w:noWrap/>
            <w:vAlign w:val="bottom"/>
            <w:hideMark/>
          </w:tcPr>
          <w:p w14:paraId="6607FE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1 334,5</w:t>
            </w:r>
          </w:p>
        </w:tc>
        <w:tc>
          <w:tcPr>
            <w:tcW w:w="1134" w:type="dxa"/>
            <w:tcBorders>
              <w:top w:val="nil"/>
              <w:left w:val="nil"/>
              <w:bottom w:val="single" w:sz="4" w:space="0" w:color="auto"/>
              <w:right w:val="single" w:sz="4" w:space="0" w:color="auto"/>
            </w:tcBorders>
            <w:shd w:val="clear" w:color="000000" w:fill="FFFFFF"/>
            <w:noWrap/>
            <w:vAlign w:val="bottom"/>
            <w:hideMark/>
          </w:tcPr>
          <w:p w14:paraId="5BB849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130,8</w:t>
            </w:r>
          </w:p>
        </w:tc>
        <w:tc>
          <w:tcPr>
            <w:tcW w:w="1277" w:type="dxa"/>
            <w:tcBorders>
              <w:top w:val="nil"/>
              <w:left w:val="nil"/>
              <w:bottom w:val="single" w:sz="4" w:space="0" w:color="auto"/>
              <w:right w:val="single" w:sz="4" w:space="0" w:color="auto"/>
            </w:tcBorders>
            <w:shd w:val="clear" w:color="000000" w:fill="FFFFFF"/>
            <w:noWrap/>
            <w:vAlign w:val="bottom"/>
            <w:hideMark/>
          </w:tcPr>
          <w:p w14:paraId="47F8067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11 687,8</w:t>
            </w:r>
          </w:p>
        </w:tc>
        <w:tc>
          <w:tcPr>
            <w:tcW w:w="1040" w:type="dxa"/>
            <w:tcBorders>
              <w:top w:val="nil"/>
              <w:left w:val="nil"/>
              <w:bottom w:val="single" w:sz="4" w:space="0" w:color="auto"/>
              <w:right w:val="single" w:sz="4" w:space="0" w:color="auto"/>
            </w:tcBorders>
            <w:shd w:val="clear" w:color="000000" w:fill="FFFFFF"/>
            <w:noWrap/>
            <w:vAlign w:val="bottom"/>
            <w:hideMark/>
          </w:tcPr>
          <w:p w14:paraId="111E1F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578,3</w:t>
            </w:r>
          </w:p>
        </w:tc>
        <w:tc>
          <w:tcPr>
            <w:tcW w:w="1087" w:type="dxa"/>
            <w:tcBorders>
              <w:top w:val="nil"/>
              <w:left w:val="nil"/>
              <w:bottom w:val="single" w:sz="4" w:space="0" w:color="auto"/>
              <w:right w:val="single" w:sz="4" w:space="0" w:color="auto"/>
            </w:tcBorders>
            <w:shd w:val="clear" w:color="000000" w:fill="FFFFFF"/>
            <w:noWrap/>
            <w:vAlign w:val="bottom"/>
            <w:hideMark/>
          </w:tcPr>
          <w:p w14:paraId="4BA500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569,2</w:t>
            </w:r>
          </w:p>
        </w:tc>
        <w:tc>
          <w:tcPr>
            <w:tcW w:w="1040" w:type="dxa"/>
            <w:tcBorders>
              <w:top w:val="nil"/>
              <w:left w:val="nil"/>
              <w:bottom w:val="single" w:sz="4" w:space="0" w:color="auto"/>
              <w:right w:val="single" w:sz="4" w:space="0" w:color="auto"/>
            </w:tcBorders>
            <w:shd w:val="clear" w:color="000000" w:fill="FFFFFF"/>
            <w:noWrap/>
            <w:vAlign w:val="bottom"/>
            <w:hideMark/>
          </w:tcPr>
          <w:p w14:paraId="142375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326,0</w:t>
            </w:r>
          </w:p>
        </w:tc>
        <w:tc>
          <w:tcPr>
            <w:tcW w:w="1226" w:type="dxa"/>
            <w:tcBorders>
              <w:top w:val="nil"/>
              <w:left w:val="nil"/>
              <w:bottom w:val="single" w:sz="4" w:space="0" w:color="auto"/>
              <w:right w:val="single" w:sz="4" w:space="0" w:color="auto"/>
            </w:tcBorders>
            <w:shd w:val="clear" w:color="000000" w:fill="FFFFFF"/>
            <w:noWrap/>
            <w:vAlign w:val="bottom"/>
            <w:hideMark/>
          </w:tcPr>
          <w:p w14:paraId="2F69150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8B1908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9BBEB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Cадово</w:t>
            </w:r>
          </w:p>
        </w:tc>
        <w:tc>
          <w:tcPr>
            <w:tcW w:w="1911" w:type="dxa"/>
            <w:tcBorders>
              <w:top w:val="nil"/>
              <w:left w:val="nil"/>
              <w:bottom w:val="single" w:sz="4" w:space="0" w:color="auto"/>
              <w:right w:val="single" w:sz="4" w:space="0" w:color="auto"/>
            </w:tcBorders>
            <w:shd w:val="clear" w:color="000000" w:fill="FFFFFF"/>
            <w:noWrap/>
            <w:vAlign w:val="bottom"/>
            <w:hideMark/>
          </w:tcPr>
          <w:p w14:paraId="593D97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8 935,6</w:t>
            </w:r>
          </w:p>
        </w:tc>
        <w:tc>
          <w:tcPr>
            <w:tcW w:w="1118" w:type="dxa"/>
            <w:tcBorders>
              <w:top w:val="nil"/>
              <w:left w:val="nil"/>
              <w:bottom w:val="single" w:sz="4" w:space="0" w:color="auto"/>
              <w:right w:val="single" w:sz="4" w:space="0" w:color="auto"/>
            </w:tcBorders>
            <w:shd w:val="clear" w:color="000000" w:fill="FFFFFF"/>
            <w:noWrap/>
            <w:vAlign w:val="bottom"/>
            <w:hideMark/>
          </w:tcPr>
          <w:p w14:paraId="2AE5FC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1 060,5</w:t>
            </w:r>
          </w:p>
        </w:tc>
        <w:tc>
          <w:tcPr>
            <w:tcW w:w="1257" w:type="dxa"/>
            <w:tcBorders>
              <w:top w:val="nil"/>
              <w:left w:val="nil"/>
              <w:bottom w:val="single" w:sz="4" w:space="0" w:color="auto"/>
              <w:right w:val="single" w:sz="4" w:space="0" w:color="auto"/>
            </w:tcBorders>
            <w:shd w:val="clear" w:color="000000" w:fill="FFFFFF"/>
            <w:noWrap/>
            <w:vAlign w:val="bottom"/>
            <w:hideMark/>
          </w:tcPr>
          <w:p w14:paraId="54022F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227,4</w:t>
            </w:r>
          </w:p>
        </w:tc>
        <w:tc>
          <w:tcPr>
            <w:tcW w:w="1384" w:type="dxa"/>
            <w:tcBorders>
              <w:top w:val="nil"/>
              <w:left w:val="nil"/>
              <w:bottom w:val="single" w:sz="4" w:space="0" w:color="auto"/>
              <w:right w:val="single" w:sz="4" w:space="0" w:color="auto"/>
            </w:tcBorders>
            <w:shd w:val="clear" w:color="000000" w:fill="FFFFFF"/>
            <w:noWrap/>
            <w:vAlign w:val="bottom"/>
            <w:hideMark/>
          </w:tcPr>
          <w:p w14:paraId="72D59F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833,1</w:t>
            </w:r>
          </w:p>
        </w:tc>
        <w:tc>
          <w:tcPr>
            <w:tcW w:w="1134" w:type="dxa"/>
            <w:tcBorders>
              <w:top w:val="nil"/>
              <w:left w:val="nil"/>
              <w:bottom w:val="single" w:sz="4" w:space="0" w:color="auto"/>
              <w:right w:val="single" w:sz="4" w:space="0" w:color="auto"/>
            </w:tcBorders>
            <w:shd w:val="clear" w:color="000000" w:fill="FFFFFF"/>
            <w:noWrap/>
            <w:vAlign w:val="bottom"/>
            <w:hideMark/>
          </w:tcPr>
          <w:p w14:paraId="085144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103,0</w:t>
            </w:r>
          </w:p>
        </w:tc>
        <w:tc>
          <w:tcPr>
            <w:tcW w:w="1277" w:type="dxa"/>
            <w:tcBorders>
              <w:top w:val="nil"/>
              <w:left w:val="nil"/>
              <w:bottom w:val="single" w:sz="4" w:space="0" w:color="auto"/>
              <w:right w:val="single" w:sz="4" w:space="0" w:color="auto"/>
            </w:tcBorders>
            <w:shd w:val="clear" w:color="000000" w:fill="FFFFFF"/>
            <w:noWrap/>
            <w:vAlign w:val="bottom"/>
            <w:hideMark/>
          </w:tcPr>
          <w:p w14:paraId="30AAB18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6 696,1</w:t>
            </w:r>
          </w:p>
        </w:tc>
        <w:tc>
          <w:tcPr>
            <w:tcW w:w="1040" w:type="dxa"/>
            <w:tcBorders>
              <w:top w:val="nil"/>
              <w:left w:val="nil"/>
              <w:bottom w:val="single" w:sz="4" w:space="0" w:color="auto"/>
              <w:right w:val="single" w:sz="4" w:space="0" w:color="auto"/>
            </w:tcBorders>
            <w:shd w:val="clear" w:color="000000" w:fill="FFFFFF"/>
            <w:noWrap/>
            <w:vAlign w:val="bottom"/>
            <w:hideMark/>
          </w:tcPr>
          <w:p w14:paraId="1F6885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198,3</w:t>
            </w:r>
          </w:p>
        </w:tc>
        <w:tc>
          <w:tcPr>
            <w:tcW w:w="1087" w:type="dxa"/>
            <w:tcBorders>
              <w:top w:val="nil"/>
              <w:left w:val="nil"/>
              <w:bottom w:val="single" w:sz="4" w:space="0" w:color="auto"/>
              <w:right w:val="single" w:sz="4" w:space="0" w:color="auto"/>
            </w:tcBorders>
            <w:shd w:val="clear" w:color="000000" w:fill="FFFFFF"/>
            <w:noWrap/>
            <w:vAlign w:val="bottom"/>
            <w:hideMark/>
          </w:tcPr>
          <w:p w14:paraId="07CB89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731,6</w:t>
            </w:r>
          </w:p>
        </w:tc>
        <w:tc>
          <w:tcPr>
            <w:tcW w:w="1040" w:type="dxa"/>
            <w:tcBorders>
              <w:top w:val="nil"/>
              <w:left w:val="nil"/>
              <w:bottom w:val="single" w:sz="4" w:space="0" w:color="auto"/>
              <w:right w:val="single" w:sz="4" w:space="0" w:color="auto"/>
            </w:tcBorders>
            <w:shd w:val="clear" w:color="000000" w:fill="FFFFFF"/>
            <w:noWrap/>
            <w:vAlign w:val="bottom"/>
            <w:hideMark/>
          </w:tcPr>
          <w:p w14:paraId="266C19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146,1</w:t>
            </w:r>
          </w:p>
        </w:tc>
        <w:tc>
          <w:tcPr>
            <w:tcW w:w="1226" w:type="dxa"/>
            <w:tcBorders>
              <w:top w:val="nil"/>
              <w:left w:val="nil"/>
              <w:bottom w:val="single" w:sz="4" w:space="0" w:color="auto"/>
              <w:right w:val="single" w:sz="4" w:space="0" w:color="auto"/>
            </w:tcBorders>
            <w:shd w:val="clear" w:color="000000" w:fill="FFFFFF"/>
            <w:noWrap/>
            <w:vAlign w:val="bottom"/>
            <w:hideMark/>
          </w:tcPr>
          <w:p w14:paraId="1C140F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E79CE6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F01DB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Стамболийски</w:t>
            </w:r>
          </w:p>
        </w:tc>
        <w:tc>
          <w:tcPr>
            <w:tcW w:w="1911" w:type="dxa"/>
            <w:tcBorders>
              <w:top w:val="nil"/>
              <w:left w:val="nil"/>
              <w:bottom w:val="single" w:sz="4" w:space="0" w:color="auto"/>
              <w:right w:val="single" w:sz="4" w:space="0" w:color="auto"/>
            </w:tcBorders>
            <w:shd w:val="clear" w:color="000000" w:fill="FFFFFF"/>
            <w:noWrap/>
            <w:vAlign w:val="bottom"/>
            <w:hideMark/>
          </w:tcPr>
          <w:p w14:paraId="6558B0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10 479,1</w:t>
            </w:r>
          </w:p>
        </w:tc>
        <w:tc>
          <w:tcPr>
            <w:tcW w:w="1118" w:type="dxa"/>
            <w:tcBorders>
              <w:top w:val="nil"/>
              <w:left w:val="nil"/>
              <w:bottom w:val="single" w:sz="4" w:space="0" w:color="auto"/>
              <w:right w:val="single" w:sz="4" w:space="0" w:color="auto"/>
            </w:tcBorders>
            <w:shd w:val="clear" w:color="000000" w:fill="FFFFFF"/>
            <w:noWrap/>
            <w:vAlign w:val="bottom"/>
            <w:hideMark/>
          </w:tcPr>
          <w:p w14:paraId="1675A8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1 147,8</w:t>
            </w:r>
          </w:p>
        </w:tc>
        <w:tc>
          <w:tcPr>
            <w:tcW w:w="1257" w:type="dxa"/>
            <w:tcBorders>
              <w:top w:val="nil"/>
              <w:left w:val="nil"/>
              <w:bottom w:val="single" w:sz="4" w:space="0" w:color="auto"/>
              <w:right w:val="single" w:sz="4" w:space="0" w:color="auto"/>
            </w:tcBorders>
            <w:shd w:val="clear" w:color="000000" w:fill="FFFFFF"/>
            <w:noWrap/>
            <w:vAlign w:val="bottom"/>
            <w:hideMark/>
          </w:tcPr>
          <w:p w14:paraId="3ACA70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121,3</w:t>
            </w:r>
          </w:p>
        </w:tc>
        <w:tc>
          <w:tcPr>
            <w:tcW w:w="1384" w:type="dxa"/>
            <w:tcBorders>
              <w:top w:val="nil"/>
              <w:left w:val="nil"/>
              <w:bottom w:val="single" w:sz="4" w:space="0" w:color="auto"/>
              <w:right w:val="single" w:sz="4" w:space="0" w:color="auto"/>
            </w:tcBorders>
            <w:shd w:val="clear" w:color="000000" w:fill="FFFFFF"/>
            <w:noWrap/>
            <w:vAlign w:val="bottom"/>
            <w:hideMark/>
          </w:tcPr>
          <w:p w14:paraId="035C0B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1 026,5</w:t>
            </w:r>
          </w:p>
        </w:tc>
        <w:tc>
          <w:tcPr>
            <w:tcW w:w="1134" w:type="dxa"/>
            <w:tcBorders>
              <w:top w:val="nil"/>
              <w:left w:val="nil"/>
              <w:bottom w:val="single" w:sz="4" w:space="0" w:color="auto"/>
              <w:right w:val="single" w:sz="4" w:space="0" w:color="auto"/>
            </w:tcBorders>
            <w:shd w:val="clear" w:color="000000" w:fill="FFFFFF"/>
            <w:noWrap/>
            <w:vAlign w:val="bottom"/>
            <w:hideMark/>
          </w:tcPr>
          <w:p w14:paraId="7D430B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135,2</w:t>
            </w:r>
          </w:p>
        </w:tc>
        <w:tc>
          <w:tcPr>
            <w:tcW w:w="1277" w:type="dxa"/>
            <w:tcBorders>
              <w:top w:val="nil"/>
              <w:left w:val="nil"/>
              <w:bottom w:val="single" w:sz="4" w:space="0" w:color="auto"/>
              <w:right w:val="single" w:sz="4" w:space="0" w:color="auto"/>
            </w:tcBorders>
            <w:shd w:val="clear" w:color="000000" w:fill="FFFFFF"/>
            <w:noWrap/>
            <w:vAlign w:val="bottom"/>
            <w:hideMark/>
          </w:tcPr>
          <w:p w14:paraId="101AE7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7 658,2</w:t>
            </w:r>
          </w:p>
        </w:tc>
        <w:tc>
          <w:tcPr>
            <w:tcW w:w="1040" w:type="dxa"/>
            <w:tcBorders>
              <w:top w:val="nil"/>
              <w:left w:val="nil"/>
              <w:bottom w:val="single" w:sz="4" w:space="0" w:color="auto"/>
              <w:right w:val="single" w:sz="4" w:space="0" w:color="auto"/>
            </w:tcBorders>
            <w:shd w:val="clear" w:color="000000" w:fill="FFFFFF"/>
            <w:noWrap/>
            <w:vAlign w:val="bottom"/>
            <w:hideMark/>
          </w:tcPr>
          <w:p w14:paraId="733610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672,0</w:t>
            </w:r>
          </w:p>
        </w:tc>
        <w:tc>
          <w:tcPr>
            <w:tcW w:w="1087" w:type="dxa"/>
            <w:tcBorders>
              <w:top w:val="nil"/>
              <w:left w:val="nil"/>
              <w:bottom w:val="single" w:sz="4" w:space="0" w:color="auto"/>
              <w:right w:val="single" w:sz="4" w:space="0" w:color="auto"/>
            </w:tcBorders>
            <w:shd w:val="clear" w:color="000000" w:fill="FFFFFF"/>
            <w:noWrap/>
            <w:vAlign w:val="bottom"/>
            <w:hideMark/>
          </w:tcPr>
          <w:p w14:paraId="7C2D14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686,1</w:t>
            </w:r>
          </w:p>
        </w:tc>
        <w:tc>
          <w:tcPr>
            <w:tcW w:w="1040" w:type="dxa"/>
            <w:tcBorders>
              <w:top w:val="nil"/>
              <w:left w:val="nil"/>
              <w:bottom w:val="single" w:sz="4" w:space="0" w:color="auto"/>
              <w:right w:val="single" w:sz="4" w:space="0" w:color="auto"/>
            </w:tcBorders>
            <w:shd w:val="clear" w:color="000000" w:fill="FFFFFF"/>
            <w:noWrap/>
            <w:vAlign w:val="bottom"/>
            <w:hideMark/>
          </w:tcPr>
          <w:p w14:paraId="687483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179,8</w:t>
            </w:r>
          </w:p>
        </w:tc>
        <w:tc>
          <w:tcPr>
            <w:tcW w:w="1226" w:type="dxa"/>
            <w:tcBorders>
              <w:top w:val="nil"/>
              <w:left w:val="nil"/>
              <w:bottom w:val="single" w:sz="4" w:space="0" w:color="auto"/>
              <w:right w:val="single" w:sz="4" w:space="0" w:color="auto"/>
            </w:tcBorders>
            <w:shd w:val="clear" w:color="000000" w:fill="FFFFFF"/>
            <w:noWrap/>
            <w:vAlign w:val="bottom"/>
            <w:hideMark/>
          </w:tcPr>
          <w:p w14:paraId="58D5004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D641F3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1F15C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Cъединение</w:t>
            </w:r>
          </w:p>
        </w:tc>
        <w:tc>
          <w:tcPr>
            <w:tcW w:w="1911" w:type="dxa"/>
            <w:tcBorders>
              <w:top w:val="nil"/>
              <w:left w:val="nil"/>
              <w:bottom w:val="single" w:sz="4" w:space="0" w:color="auto"/>
              <w:right w:val="single" w:sz="4" w:space="0" w:color="auto"/>
            </w:tcBorders>
            <w:shd w:val="clear" w:color="000000" w:fill="FFFFFF"/>
            <w:noWrap/>
            <w:vAlign w:val="bottom"/>
            <w:hideMark/>
          </w:tcPr>
          <w:p w14:paraId="436B15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4 900,5</w:t>
            </w:r>
          </w:p>
        </w:tc>
        <w:tc>
          <w:tcPr>
            <w:tcW w:w="1118" w:type="dxa"/>
            <w:tcBorders>
              <w:top w:val="nil"/>
              <w:left w:val="nil"/>
              <w:bottom w:val="single" w:sz="4" w:space="0" w:color="auto"/>
              <w:right w:val="single" w:sz="4" w:space="0" w:color="auto"/>
            </w:tcBorders>
            <w:shd w:val="clear" w:color="000000" w:fill="FFFFFF"/>
            <w:noWrap/>
            <w:vAlign w:val="bottom"/>
            <w:hideMark/>
          </w:tcPr>
          <w:p w14:paraId="7E2B5F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849,3</w:t>
            </w:r>
          </w:p>
        </w:tc>
        <w:tc>
          <w:tcPr>
            <w:tcW w:w="1257" w:type="dxa"/>
            <w:tcBorders>
              <w:top w:val="nil"/>
              <w:left w:val="nil"/>
              <w:bottom w:val="single" w:sz="4" w:space="0" w:color="auto"/>
              <w:right w:val="single" w:sz="4" w:space="0" w:color="auto"/>
            </w:tcBorders>
            <w:shd w:val="clear" w:color="000000" w:fill="FFFFFF"/>
            <w:noWrap/>
            <w:vAlign w:val="bottom"/>
            <w:hideMark/>
          </w:tcPr>
          <w:p w14:paraId="60EB0B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180,3</w:t>
            </w:r>
          </w:p>
        </w:tc>
        <w:tc>
          <w:tcPr>
            <w:tcW w:w="1384" w:type="dxa"/>
            <w:tcBorders>
              <w:top w:val="nil"/>
              <w:left w:val="nil"/>
              <w:bottom w:val="single" w:sz="4" w:space="0" w:color="auto"/>
              <w:right w:val="single" w:sz="4" w:space="0" w:color="auto"/>
            </w:tcBorders>
            <w:shd w:val="clear" w:color="000000" w:fill="FFFFFF"/>
            <w:noWrap/>
            <w:vAlign w:val="bottom"/>
            <w:hideMark/>
          </w:tcPr>
          <w:p w14:paraId="342454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669,0</w:t>
            </w:r>
          </w:p>
        </w:tc>
        <w:tc>
          <w:tcPr>
            <w:tcW w:w="1134" w:type="dxa"/>
            <w:tcBorders>
              <w:top w:val="nil"/>
              <w:left w:val="nil"/>
              <w:bottom w:val="single" w:sz="4" w:space="0" w:color="auto"/>
              <w:right w:val="single" w:sz="4" w:space="0" w:color="auto"/>
            </w:tcBorders>
            <w:shd w:val="clear" w:color="000000" w:fill="FFFFFF"/>
            <w:noWrap/>
            <w:vAlign w:val="bottom"/>
            <w:hideMark/>
          </w:tcPr>
          <w:p w14:paraId="70D29A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162,8</w:t>
            </w:r>
          </w:p>
        </w:tc>
        <w:tc>
          <w:tcPr>
            <w:tcW w:w="1277" w:type="dxa"/>
            <w:tcBorders>
              <w:top w:val="nil"/>
              <w:left w:val="nil"/>
              <w:bottom w:val="single" w:sz="4" w:space="0" w:color="auto"/>
              <w:right w:val="single" w:sz="4" w:space="0" w:color="auto"/>
            </w:tcBorders>
            <w:shd w:val="clear" w:color="000000" w:fill="FFFFFF"/>
            <w:noWrap/>
            <w:vAlign w:val="bottom"/>
            <w:hideMark/>
          </w:tcPr>
          <w:p w14:paraId="5A816F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3 260,5</w:t>
            </w:r>
          </w:p>
        </w:tc>
        <w:tc>
          <w:tcPr>
            <w:tcW w:w="1040" w:type="dxa"/>
            <w:tcBorders>
              <w:top w:val="nil"/>
              <w:left w:val="nil"/>
              <w:bottom w:val="single" w:sz="4" w:space="0" w:color="auto"/>
              <w:right w:val="single" w:sz="4" w:space="0" w:color="auto"/>
            </w:tcBorders>
            <w:shd w:val="clear" w:color="000000" w:fill="FFFFFF"/>
            <w:noWrap/>
            <w:vAlign w:val="bottom"/>
            <w:hideMark/>
          </w:tcPr>
          <w:p w14:paraId="32AC74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174,7</w:t>
            </w:r>
          </w:p>
        </w:tc>
        <w:tc>
          <w:tcPr>
            <w:tcW w:w="1087" w:type="dxa"/>
            <w:tcBorders>
              <w:top w:val="nil"/>
              <w:left w:val="nil"/>
              <w:bottom w:val="single" w:sz="4" w:space="0" w:color="auto"/>
              <w:right w:val="single" w:sz="4" w:space="0" w:color="auto"/>
            </w:tcBorders>
            <w:shd w:val="clear" w:color="000000" w:fill="FFFFFF"/>
            <w:noWrap/>
            <w:vAlign w:val="bottom"/>
            <w:hideMark/>
          </w:tcPr>
          <w:p w14:paraId="1D108D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262,1</w:t>
            </w:r>
          </w:p>
        </w:tc>
        <w:tc>
          <w:tcPr>
            <w:tcW w:w="1040" w:type="dxa"/>
            <w:tcBorders>
              <w:top w:val="nil"/>
              <w:left w:val="nil"/>
              <w:bottom w:val="single" w:sz="4" w:space="0" w:color="auto"/>
              <w:right w:val="single" w:sz="4" w:space="0" w:color="auto"/>
            </w:tcBorders>
            <w:shd w:val="clear" w:color="000000" w:fill="FFFFFF"/>
            <w:noWrap/>
            <w:vAlign w:val="bottom"/>
            <w:hideMark/>
          </w:tcPr>
          <w:p w14:paraId="1F20FD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4FA94F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FA53D9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50F0F0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Xисаря</w:t>
            </w:r>
          </w:p>
        </w:tc>
        <w:tc>
          <w:tcPr>
            <w:tcW w:w="1911" w:type="dxa"/>
            <w:tcBorders>
              <w:top w:val="nil"/>
              <w:left w:val="nil"/>
              <w:bottom w:val="single" w:sz="4" w:space="0" w:color="auto"/>
              <w:right w:val="single" w:sz="4" w:space="0" w:color="auto"/>
            </w:tcBorders>
            <w:shd w:val="clear" w:color="000000" w:fill="FFFFFF"/>
            <w:noWrap/>
            <w:vAlign w:val="bottom"/>
            <w:hideMark/>
          </w:tcPr>
          <w:p w14:paraId="5DC024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6 967,9</w:t>
            </w:r>
          </w:p>
        </w:tc>
        <w:tc>
          <w:tcPr>
            <w:tcW w:w="1118" w:type="dxa"/>
            <w:tcBorders>
              <w:top w:val="nil"/>
              <w:left w:val="nil"/>
              <w:bottom w:val="single" w:sz="4" w:space="0" w:color="auto"/>
              <w:right w:val="single" w:sz="4" w:space="0" w:color="auto"/>
            </w:tcBorders>
            <w:shd w:val="clear" w:color="000000" w:fill="FFFFFF"/>
            <w:noWrap/>
            <w:vAlign w:val="bottom"/>
            <w:hideMark/>
          </w:tcPr>
          <w:p w14:paraId="2F55B0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935,5</w:t>
            </w:r>
          </w:p>
        </w:tc>
        <w:tc>
          <w:tcPr>
            <w:tcW w:w="1257" w:type="dxa"/>
            <w:tcBorders>
              <w:top w:val="nil"/>
              <w:left w:val="nil"/>
              <w:bottom w:val="single" w:sz="4" w:space="0" w:color="auto"/>
              <w:right w:val="single" w:sz="4" w:space="0" w:color="auto"/>
            </w:tcBorders>
            <w:shd w:val="clear" w:color="000000" w:fill="FFFFFF"/>
            <w:noWrap/>
            <w:vAlign w:val="bottom"/>
            <w:hideMark/>
          </w:tcPr>
          <w:p w14:paraId="056F69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212,3</w:t>
            </w:r>
          </w:p>
        </w:tc>
        <w:tc>
          <w:tcPr>
            <w:tcW w:w="1384" w:type="dxa"/>
            <w:tcBorders>
              <w:top w:val="nil"/>
              <w:left w:val="nil"/>
              <w:bottom w:val="single" w:sz="4" w:space="0" w:color="auto"/>
              <w:right w:val="single" w:sz="4" w:space="0" w:color="auto"/>
            </w:tcBorders>
            <w:shd w:val="clear" w:color="000000" w:fill="FFFFFF"/>
            <w:noWrap/>
            <w:vAlign w:val="bottom"/>
            <w:hideMark/>
          </w:tcPr>
          <w:p w14:paraId="1E24A6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723,2</w:t>
            </w:r>
          </w:p>
        </w:tc>
        <w:tc>
          <w:tcPr>
            <w:tcW w:w="1134" w:type="dxa"/>
            <w:tcBorders>
              <w:top w:val="nil"/>
              <w:left w:val="nil"/>
              <w:bottom w:val="single" w:sz="4" w:space="0" w:color="auto"/>
              <w:right w:val="single" w:sz="4" w:space="0" w:color="auto"/>
            </w:tcBorders>
            <w:shd w:val="clear" w:color="000000" w:fill="FFFFFF"/>
            <w:noWrap/>
            <w:vAlign w:val="bottom"/>
            <w:hideMark/>
          </w:tcPr>
          <w:p w14:paraId="7F131F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140,0</w:t>
            </w:r>
          </w:p>
        </w:tc>
        <w:tc>
          <w:tcPr>
            <w:tcW w:w="1277" w:type="dxa"/>
            <w:tcBorders>
              <w:top w:val="nil"/>
              <w:left w:val="nil"/>
              <w:bottom w:val="single" w:sz="4" w:space="0" w:color="auto"/>
              <w:right w:val="single" w:sz="4" w:space="0" w:color="auto"/>
            </w:tcBorders>
            <w:shd w:val="clear" w:color="000000" w:fill="FFFFFF"/>
            <w:noWrap/>
            <w:vAlign w:val="bottom"/>
            <w:hideMark/>
          </w:tcPr>
          <w:p w14:paraId="1BB091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4 326,6</w:t>
            </w:r>
          </w:p>
        </w:tc>
        <w:tc>
          <w:tcPr>
            <w:tcW w:w="1040" w:type="dxa"/>
            <w:tcBorders>
              <w:top w:val="nil"/>
              <w:left w:val="nil"/>
              <w:bottom w:val="single" w:sz="4" w:space="0" w:color="auto"/>
              <w:right w:val="single" w:sz="4" w:space="0" w:color="auto"/>
            </w:tcBorders>
            <w:shd w:val="clear" w:color="000000" w:fill="FFFFFF"/>
            <w:noWrap/>
            <w:vAlign w:val="bottom"/>
            <w:hideMark/>
          </w:tcPr>
          <w:p w14:paraId="5FCE39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116,0</w:t>
            </w:r>
          </w:p>
        </w:tc>
        <w:tc>
          <w:tcPr>
            <w:tcW w:w="1087" w:type="dxa"/>
            <w:tcBorders>
              <w:top w:val="nil"/>
              <w:left w:val="nil"/>
              <w:bottom w:val="single" w:sz="4" w:space="0" w:color="auto"/>
              <w:right w:val="single" w:sz="4" w:space="0" w:color="auto"/>
            </w:tcBorders>
            <w:shd w:val="clear" w:color="000000" w:fill="FFFFFF"/>
            <w:noWrap/>
            <w:vAlign w:val="bottom"/>
            <w:hideMark/>
          </w:tcPr>
          <w:p w14:paraId="05878A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881,7</w:t>
            </w:r>
          </w:p>
        </w:tc>
        <w:tc>
          <w:tcPr>
            <w:tcW w:w="1040" w:type="dxa"/>
            <w:tcBorders>
              <w:top w:val="nil"/>
              <w:left w:val="nil"/>
              <w:bottom w:val="single" w:sz="4" w:space="0" w:color="auto"/>
              <w:right w:val="single" w:sz="4" w:space="0" w:color="auto"/>
            </w:tcBorders>
            <w:shd w:val="clear" w:color="000000" w:fill="FFFFFF"/>
            <w:noWrap/>
            <w:vAlign w:val="bottom"/>
            <w:hideMark/>
          </w:tcPr>
          <w:p w14:paraId="3BD167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568,1</w:t>
            </w:r>
          </w:p>
        </w:tc>
        <w:tc>
          <w:tcPr>
            <w:tcW w:w="1226" w:type="dxa"/>
            <w:tcBorders>
              <w:top w:val="nil"/>
              <w:left w:val="nil"/>
              <w:bottom w:val="single" w:sz="4" w:space="0" w:color="auto"/>
              <w:right w:val="single" w:sz="4" w:space="0" w:color="auto"/>
            </w:tcBorders>
            <w:shd w:val="clear" w:color="000000" w:fill="FFFFFF"/>
            <w:noWrap/>
            <w:vAlign w:val="bottom"/>
            <w:hideMark/>
          </w:tcPr>
          <w:p w14:paraId="6B7842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D89D9B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138266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Куклен</w:t>
            </w:r>
          </w:p>
        </w:tc>
        <w:tc>
          <w:tcPr>
            <w:tcW w:w="1911" w:type="dxa"/>
            <w:tcBorders>
              <w:top w:val="nil"/>
              <w:left w:val="nil"/>
              <w:bottom w:val="single" w:sz="4" w:space="0" w:color="auto"/>
              <w:right w:val="single" w:sz="4" w:space="0" w:color="auto"/>
            </w:tcBorders>
            <w:shd w:val="clear" w:color="000000" w:fill="FFFFFF"/>
            <w:noWrap/>
            <w:vAlign w:val="bottom"/>
            <w:hideMark/>
          </w:tcPr>
          <w:p w14:paraId="62268D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4 008,6</w:t>
            </w:r>
          </w:p>
        </w:tc>
        <w:tc>
          <w:tcPr>
            <w:tcW w:w="1118" w:type="dxa"/>
            <w:tcBorders>
              <w:top w:val="nil"/>
              <w:left w:val="nil"/>
              <w:bottom w:val="single" w:sz="4" w:space="0" w:color="auto"/>
              <w:right w:val="single" w:sz="4" w:space="0" w:color="auto"/>
            </w:tcBorders>
            <w:shd w:val="clear" w:color="000000" w:fill="FFFFFF"/>
            <w:noWrap/>
            <w:vAlign w:val="bottom"/>
            <w:hideMark/>
          </w:tcPr>
          <w:p w14:paraId="7C14C4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735,6</w:t>
            </w:r>
          </w:p>
        </w:tc>
        <w:tc>
          <w:tcPr>
            <w:tcW w:w="1257" w:type="dxa"/>
            <w:tcBorders>
              <w:top w:val="nil"/>
              <w:left w:val="nil"/>
              <w:bottom w:val="single" w:sz="4" w:space="0" w:color="auto"/>
              <w:right w:val="single" w:sz="4" w:space="0" w:color="auto"/>
            </w:tcBorders>
            <w:shd w:val="clear" w:color="000000" w:fill="FFFFFF"/>
            <w:noWrap/>
            <w:vAlign w:val="bottom"/>
            <w:hideMark/>
          </w:tcPr>
          <w:p w14:paraId="43BC20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111,1</w:t>
            </w:r>
          </w:p>
        </w:tc>
        <w:tc>
          <w:tcPr>
            <w:tcW w:w="1384" w:type="dxa"/>
            <w:tcBorders>
              <w:top w:val="nil"/>
              <w:left w:val="nil"/>
              <w:bottom w:val="single" w:sz="4" w:space="0" w:color="auto"/>
              <w:right w:val="single" w:sz="4" w:space="0" w:color="auto"/>
            </w:tcBorders>
            <w:shd w:val="clear" w:color="000000" w:fill="FFFFFF"/>
            <w:noWrap/>
            <w:vAlign w:val="bottom"/>
            <w:hideMark/>
          </w:tcPr>
          <w:p w14:paraId="23340C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624,5</w:t>
            </w:r>
          </w:p>
        </w:tc>
        <w:tc>
          <w:tcPr>
            <w:tcW w:w="1134" w:type="dxa"/>
            <w:tcBorders>
              <w:top w:val="nil"/>
              <w:left w:val="nil"/>
              <w:bottom w:val="single" w:sz="4" w:space="0" w:color="auto"/>
              <w:right w:val="single" w:sz="4" w:space="0" w:color="auto"/>
            </w:tcBorders>
            <w:shd w:val="clear" w:color="000000" w:fill="FFFFFF"/>
            <w:noWrap/>
            <w:vAlign w:val="bottom"/>
            <w:hideMark/>
          </w:tcPr>
          <w:p w14:paraId="1ED51D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106,5</w:t>
            </w:r>
          </w:p>
        </w:tc>
        <w:tc>
          <w:tcPr>
            <w:tcW w:w="1277" w:type="dxa"/>
            <w:tcBorders>
              <w:top w:val="nil"/>
              <w:left w:val="nil"/>
              <w:bottom w:val="single" w:sz="4" w:space="0" w:color="auto"/>
              <w:right w:val="single" w:sz="4" w:space="0" w:color="auto"/>
            </w:tcBorders>
            <w:shd w:val="clear" w:color="000000" w:fill="FFFFFF"/>
            <w:noWrap/>
            <w:vAlign w:val="bottom"/>
            <w:hideMark/>
          </w:tcPr>
          <w:p w14:paraId="70DDA8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2 754,7</w:t>
            </w:r>
          </w:p>
        </w:tc>
        <w:tc>
          <w:tcPr>
            <w:tcW w:w="1040" w:type="dxa"/>
            <w:tcBorders>
              <w:top w:val="nil"/>
              <w:left w:val="nil"/>
              <w:bottom w:val="single" w:sz="4" w:space="0" w:color="auto"/>
              <w:right w:val="single" w:sz="4" w:space="0" w:color="auto"/>
            </w:tcBorders>
            <w:shd w:val="clear" w:color="000000" w:fill="FFFFFF"/>
            <w:noWrap/>
            <w:vAlign w:val="bottom"/>
            <w:hideMark/>
          </w:tcPr>
          <w:p w14:paraId="0286399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144,2</w:t>
            </w:r>
          </w:p>
        </w:tc>
        <w:tc>
          <w:tcPr>
            <w:tcW w:w="1087" w:type="dxa"/>
            <w:tcBorders>
              <w:top w:val="nil"/>
              <w:left w:val="nil"/>
              <w:bottom w:val="single" w:sz="4" w:space="0" w:color="auto"/>
              <w:right w:val="single" w:sz="4" w:space="0" w:color="auto"/>
            </w:tcBorders>
            <w:shd w:val="clear" w:color="000000" w:fill="FFFFFF"/>
            <w:noWrap/>
            <w:vAlign w:val="bottom"/>
            <w:hideMark/>
          </w:tcPr>
          <w:p w14:paraId="725C61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177,7</w:t>
            </w:r>
          </w:p>
        </w:tc>
        <w:tc>
          <w:tcPr>
            <w:tcW w:w="1040" w:type="dxa"/>
            <w:tcBorders>
              <w:top w:val="nil"/>
              <w:left w:val="nil"/>
              <w:bottom w:val="single" w:sz="4" w:space="0" w:color="auto"/>
              <w:right w:val="single" w:sz="4" w:space="0" w:color="auto"/>
            </w:tcBorders>
            <w:shd w:val="clear" w:color="000000" w:fill="FFFFFF"/>
            <w:noWrap/>
            <w:vAlign w:val="bottom"/>
            <w:hideMark/>
          </w:tcPr>
          <w:p w14:paraId="5D1EBA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89,9</w:t>
            </w:r>
          </w:p>
        </w:tc>
        <w:tc>
          <w:tcPr>
            <w:tcW w:w="1226" w:type="dxa"/>
            <w:tcBorders>
              <w:top w:val="nil"/>
              <w:left w:val="nil"/>
              <w:bottom w:val="single" w:sz="4" w:space="0" w:color="auto"/>
              <w:right w:val="single" w:sz="4" w:space="0" w:color="auto"/>
            </w:tcBorders>
            <w:shd w:val="clear" w:color="000000" w:fill="FFFFFF"/>
            <w:noWrap/>
            <w:vAlign w:val="bottom"/>
            <w:hideMark/>
          </w:tcPr>
          <w:p w14:paraId="7EF6CFA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C5C697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C713D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Сопот</w:t>
            </w:r>
          </w:p>
        </w:tc>
        <w:tc>
          <w:tcPr>
            <w:tcW w:w="1911" w:type="dxa"/>
            <w:tcBorders>
              <w:top w:val="nil"/>
              <w:left w:val="nil"/>
              <w:bottom w:val="single" w:sz="4" w:space="0" w:color="auto"/>
              <w:right w:val="single" w:sz="4" w:space="0" w:color="auto"/>
            </w:tcBorders>
            <w:shd w:val="clear" w:color="000000" w:fill="FFFFFF"/>
            <w:noWrap/>
            <w:vAlign w:val="bottom"/>
            <w:hideMark/>
          </w:tcPr>
          <w:p w14:paraId="6F5DE8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6 080,7</w:t>
            </w:r>
          </w:p>
        </w:tc>
        <w:tc>
          <w:tcPr>
            <w:tcW w:w="1118" w:type="dxa"/>
            <w:tcBorders>
              <w:top w:val="nil"/>
              <w:left w:val="nil"/>
              <w:bottom w:val="single" w:sz="4" w:space="0" w:color="auto"/>
              <w:right w:val="single" w:sz="4" w:space="0" w:color="auto"/>
            </w:tcBorders>
            <w:shd w:val="clear" w:color="000000" w:fill="FFFFFF"/>
            <w:noWrap/>
            <w:vAlign w:val="bottom"/>
            <w:hideMark/>
          </w:tcPr>
          <w:p w14:paraId="00B6D5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762,6</w:t>
            </w:r>
          </w:p>
        </w:tc>
        <w:tc>
          <w:tcPr>
            <w:tcW w:w="1257" w:type="dxa"/>
            <w:tcBorders>
              <w:top w:val="nil"/>
              <w:left w:val="nil"/>
              <w:bottom w:val="single" w:sz="4" w:space="0" w:color="auto"/>
              <w:right w:val="single" w:sz="4" w:space="0" w:color="auto"/>
            </w:tcBorders>
            <w:shd w:val="clear" w:color="000000" w:fill="FFFFFF"/>
            <w:noWrap/>
            <w:vAlign w:val="bottom"/>
            <w:hideMark/>
          </w:tcPr>
          <w:p w14:paraId="0127BC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60,5</w:t>
            </w:r>
          </w:p>
        </w:tc>
        <w:tc>
          <w:tcPr>
            <w:tcW w:w="1384" w:type="dxa"/>
            <w:tcBorders>
              <w:top w:val="nil"/>
              <w:left w:val="nil"/>
              <w:bottom w:val="single" w:sz="4" w:space="0" w:color="auto"/>
              <w:right w:val="single" w:sz="4" w:space="0" w:color="auto"/>
            </w:tcBorders>
            <w:shd w:val="clear" w:color="000000" w:fill="FFFFFF"/>
            <w:noWrap/>
            <w:vAlign w:val="bottom"/>
            <w:hideMark/>
          </w:tcPr>
          <w:p w14:paraId="6C86A3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702,1</w:t>
            </w:r>
          </w:p>
        </w:tc>
        <w:tc>
          <w:tcPr>
            <w:tcW w:w="1134" w:type="dxa"/>
            <w:tcBorders>
              <w:top w:val="nil"/>
              <w:left w:val="nil"/>
              <w:bottom w:val="single" w:sz="4" w:space="0" w:color="auto"/>
              <w:right w:val="single" w:sz="4" w:space="0" w:color="auto"/>
            </w:tcBorders>
            <w:shd w:val="clear" w:color="000000" w:fill="FFFFFF"/>
            <w:noWrap/>
            <w:vAlign w:val="bottom"/>
            <w:hideMark/>
          </w:tcPr>
          <w:p w14:paraId="04455D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140,3</w:t>
            </w:r>
          </w:p>
        </w:tc>
        <w:tc>
          <w:tcPr>
            <w:tcW w:w="1277" w:type="dxa"/>
            <w:tcBorders>
              <w:top w:val="nil"/>
              <w:left w:val="nil"/>
              <w:bottom w:val="single" w:sz="4" w:space="0" w:color="auto"/>
              <w:right w:val="single" w:sz="4" w:space="0" w:color="auto"/>
            </w:tcBorders>
            <w:shd w:val="clear" w:color="000000" w:fill="FFFFFF"/>
            <w:noWrap/>
            <w:vAlign w:val="bottom"/>
            <w:hideMark/>
          </w:tcPr>
          <w:p w14:paraId="742F00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3 695,1</w:t>
            </w:r>
          </w:p>
        </w:tc>
        <w:tc>
          <w:tcPr>
            <w:tcW w:w="1040" w:type="dxa"/>
            <w:tcBorders>
              <w:top w:val="nil"/>
              <w:left w:val="nil"/>
              <w:bottom w:val="single" w:sz="4" w:space="0" w:color="auto"/>
              <w:right w:val="single" w:sz="4" w:space="0" w:color="auto"/>
            </w:tcBorders>
            <w:shd w:val="clear" w:color="000000" w:fill="FFFFFF"/>
            <w:noWrap/>
            <w:vAlign w:val="bottom"/>
            <w:hideMark/>
          </w:tcPr>
          <w:p w14:paraId="4A224D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396,8</w:t>
            </w:r>
          </w:p>
        </w:tc>
        <w:tc>
          <w:tcPr>
            <w:tcW w:w="1087" w:type="dxa"/>
            <w:tcBorders>
              <w:top w:val="nil"/>
              <w:left w:val="nil"/>
              <w:bottom w:val="single" w:sz="4" w:space="0" w:color="auto"/>
              <w:right w:val="single" w:sz="4" w:space="0" w:color="auto"/>
            </w:tcBorders>
            <w:shd w:val="clear" w:color="000000" w:fill="FFFFFF"/>
            <w:noWrap/>
            <w:vAlign w:val="bottom"/>
            <w:hideMark/>
          </w:tcPr>
          <w:p w14:paraId="210A43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872,2</w:t>
            </w:r>
          </w:p>
        </w:tc>
        <w:tc>
          <w:tcPr>
            <w:tcW w:w="1040" w:type="dxa"/>
            <w:tcBorders>
              <w:top w:val="nil"/>
              <w:left w:val="nil"/>
              <w:bottom w:val="single" w:sz="4" w:space="0" w:color="auto"/>
              <w:right w:val="single" w:sz="4" w:space="0" w:color="auto"/>
            </w:tcBorders>
            <w:shd w:val="clear" w:color="000000" w:fill="FFFFFF"/>
            <w:noWrap/>
            <w:vAlign w:val="bottom"/>
            <w:hideMark/>
          </w:tcPr>
          <w:p w14:paraId="21C4EB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213,7</w:t>
            </w:r>
          </w:p>
        </w:tc>
        <w:tc>
          <w:tcPr>
            <w:tcW w:w="1226" w:type="dxa"/>
            <w:tcBorders>
              <w:top w:val="nil"/>
              <w:left w:val="nil"/>
              <w:bottom w:val="single" w:sz="4" w:space="0" w:color="auto"/>
              <w:right w:val="single" w:sz="4" w:space="0" w:color="auto"/>
            </w:tcBorders>
            <w:shd w:val="clear" w:color="000000" w:fill="FFFFFF"/>
            <w:noWrap/>
            <w:vAlign w:val="bottom"/>
            <w:hideMark/>
          </w:tcPr>
          <w:p w14:paraId="1A835B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DF70E4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04614DA"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5B9AD24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5D80C0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2F53EA7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157B9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5D7C88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0D8AD3D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1ED4D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27B487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3C6343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75CE14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86906F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9EBCE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РАЗГРАД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366499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4C68E2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6ED0F7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61B142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686163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7B37CF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7274F4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2A1852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234C71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3DC5CD7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A8620CF"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03DC27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Завет</w:t>
            </w:r>
          </w:p>
        </w:tc>
        <w:tc>
          <w:tcPr>
            <w:tcW w:w="1911" w:type="dxa"/>
            <w:tcBorders>
              <w:top w:val="nil"/>
              <w:left w:val="nil"/>
              <w:bottom w:val="single" w:sz="4" w:space="0" w:color="auto"/>
              <w:right w:val="single" w:sz="4" w:space="0" w:color="auto"/>
            </w:tcBorders>
            <w:shd w:val="clear" w:color="000000" w:fill="FFFFFF"/>
            <w:noWrap/>
            <w:vAlign w:val="bottom"/>
            <w:hideMark/>
          </w:tcPr>
          <w:p w14:paraId="7C5A56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4 918,5</w:t>
            </w:r>
          </w:p>
        </w:tc>
        <w:tc>
          <w:tcPr>
            <w:tcW w:w="1118" w:type="dxa"/>
            <w:tcBorders>
              <w:top w:val="nil"/>
              <w:left w:val="nil"/>
              <w:bottom w:val="single" w:sz="4" w:space="0" w:color="auto"/>
              <w:right w:val="single" w:sz="4" w:space="0" w:color="auto"/>
            </w:tcBorders>
            <w:shd w:val="clear" w:color="000000" w:fill="FFFFFF"/>
            <w:noWrap/>
            <w:vAlign w:val="bottom"/>
            <w:hideMark/>
          </w:tcPr>
          <w:p w14:paraId="30A31B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957,7</w:t>
            </w:r>
          </w:p>
        </w:tc>
        <w:tc>
          <w:tcPr>
            <w:tcW w:w="1257" w:type="dxa"/>
            <w:tcBorders>
              <w:top w:val="nil"/>
              <w:left w:val="nil"/>
              <w:bottom w:val="single" w:sz="4" w:space="0" w:color="auto"/>
              <w:right w:val="single" w:sz="4" w:space="0" w:color="auto"/>
            </w:tcBorders>
            <w:shd w:val="clear" w:color="000000" w:fill="FFFFFF"/>
            <w:noWrap/>
            <w:vAlign w:val="bottom"/>
            <w:hideMark/>
          </w:tcPr>
          <w:p w14:paraId="7C6744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151,5</w:t>
            </w:r>
          </w:p>
        </w:tc>
        <w:tc>
          <w:tcPr>
            <w:tcW w:w="1384" w:type="dxa"/>
            <w:tcBorders>
              <w:top w:val="nil"/>
              <w:left w:val="nil"/>
              <w:bottom w:val="single" w:sz="4" w:space="0" w:color="auto"/>
              <w:right w:val="single" w:sz="4" w:space="0" w:color="auto"/>
            </w:tcBorders>
            <w:shd w:val="clear" w:color="000000" w:fill="FFFFFF"/>
            <w:noWrap/>
            <w:vAlign w:val="bottom"/>
            <w:hideMark/>
          </w:tcPr>
          <w:p w14:paraId="20BDD2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806,2</w:t>
            </w:r>
          </w:p>
        </w:tc>
        <w:tc>
          <w:tcPr>
            <w:tcW w:w="1134" w:type="dxa"/>
            <w:tcBorders>
              <w:top w:val="nil"/>
              <w:left w:val="nil"/>
              <w:bottom w:val="single" w:sz="4" w:space="0" w:color="auto"/>
              <w:right w:val="single" w:sz="4" w:space="0" w:color="auto"/>
            </w:tcBorders>
            <w:shd w:val="clear" w:color="000000" w:fill="FFFFFF"/>
            <w:noWrap/>
            <w:vAlign w:val="bottom"/>
            <w:hideMark/>
          </w:tcPr>
          <w:p w14:paraId="2D3BAD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132,0</w:t>
            </w:r>
          </w:p>
        </w:tc>
        <w:tc>
          <w:tcPr>
            <w:tcW w:w="1277" w:type="dxa"/>
            <w:tcBorders>
              <w:top w:val="nil"/>
              <w:left w:val="nil"/>
              <w:bottom w:val="single" w:sz="4" w:space="0" w:color="auto"/>
              <w:right w:val="single" w:sz="4" w:space="0" w:color="auto"/>
            </w:tcBorders>
            <w:shd w:val="clear" w:color="000000" w:fill="FFFFFF"/>
            <w:noWrap/>
            <w:vAlign w:val="bottom"/>
            <w:hideMark/>
          </w:tcPr>
          <w:p w14:paraId="658462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3 353,6</w:t>
            </w:r>
          </w:p>
        </w:tc>
        <w:tc>
          <w:tcPr>
            <w:tcW w:w="1040" w:type="dxa"/>
            <w:tcBorders>
              <w:top w:val="nil"/>
              <w:left w:val="nil"/>
              <w:bottom w:val="single" w:sz="4" w:space="0" w:color="auto"/>
              <w:right w:val="single" w:sz="4" w:space="0" w:color="auto"/>
            </w:tcBorders>
            <w:shd w:val="clear" w:color="000000" w:fill="FFFFFF"/>
            <w:noWrap/>
            <w:vAlign w:val="bottom"/>
            <w:hideMark/>
          </w:tcPr>
          <w:p w14:paraId="22CA8A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95,5</w:t>
            </w:r>
          </w:p>
        </w:tc>
        <w:tc>
          <w:tcPr>
            <w:tcW w:w="1087" w:type="dxa"/>
            <w:tcBorders>
              <w:top w:val="nil"/>
              <w:left w:val="nil"/>
              <w:bottom w:val="single" w:sz="4" w:space="0" w:color="auto"/>
              <w:right w:val="single" w:sz="4" w:space="0" w:color="auto"/>
            </w:tcBorders>
            <w:shd w:val="clear" w:color="000000" w:fill="FFFFFF"/>
            <w:noWrap/>
            <w:vAlign w:val="bottom"/>
            <w:hideMark/>
          </w:tcPr>
          <w:p w14:paraId="4F2489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121,2</w:t>
            </w:r>
          </w:p>
        </w:tc>
        <w:tc>
          <w:tcPr>
            <w:tcW w:w="1040" w:type="dxa"/>
            <w:tcBorders>
              <w:top w:val="nil"/>
              <w:left w:val="nil"/>
              <w:bottom w:val="single" w:sz="4" w:space="0" w:color="auto"/>
              <w:right w:val="single" w:sz="4" w:space="0" w:color="auto"/>
            </w:tcBorders>
            <w:shd w:val="clear" w:color="000000" w:fill="FFFFFF"/>
            <w:noWrap/>
            <w:vAlign w:val="bottom"/>
            <w:hideMark/>
          </w:tcPr>
          <w:p w14:paraId="47CD8E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258,5</w:t>
            </w:r>
          </w:p>
        </w:tc>
        <w:tc>
          <w:tcPr>
            <w:tcW w:w="1226" w:type="dxa"/>
            <w:tcBorders>
              <w:top w:val="nil"/>
              <w:left w:val="nil"/>
              <w:bottom w:val="single" w:sz="4" w:space="0" w:color="auto"/>
              <w:right w:val="single" w:sz="4" w:space="0" w:color="auto"/>
            </w:tcBorders>
            <w:shd w:val="clear" w:color="000000" w:fill="FFFFFF"/>
            <w:noWrap/>
            <w:vAlign w:val="bottom"/>
            <w:hideMark/>
          </w:tcPr>
          <w:p w14:paraId="33E02F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65393C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6A582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Исперих</w:t>
            </w:r>
          </w:p>
        </w:tc>
        <w:tc>
          <w:tcPr>
            <w:tcW w:w="1911" w:type="dxa"/>
            <w:tcBorders>
              <w:top w:val="nil"/>
              <w:left w:val="nil"/>
              <w:bottom w:val="single" w:sz="4" w:space="0" w:color="auto"/>
              <w:right w:val="single" w:sz="4" w:space="0" w:color="auto"/>
            </w:tcBorders>
            <w:shd w:val="clear" w:color="000000" w:fill="FFFFFF"/>
            <w:noWrap/>
            <w:vAlign w:val="bottom"/>
            <w:hideMark/>
          </w:tcPr>
          <w:p w14:paraId="567D4F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16 303,6</w:t>
            </w:r>
          </w:p>
        </w:tc>
        <w:tc>
          <w:tcPr>
            <w:tcW w:w="1118" w:type="dxa"/>
            <w:tcBorders>
              <w:top w:val="nil"/>
              <w:left w:val="nil"/>
              <w:bottom w:val="single" w:sz="4" w:space="0" w:color="auto"/>
              <w:right w:val="single" w:sz="4" w:space="0" w:color="auto"/>
            </w:tcBorders>
            <w:shd w:val="clear" w:color="000000" w:fill="FFFFFF"/>
            <w:noWrap/>
            <w:vAlign w:val="bottom"/>
            <w:hideMark/>
          </w:tcPr>
          <w:p w14:paraId="204CA3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1 744,0</w:t>
            </w:r>
          </w:p>
        </w:tc>
        <w:tc>
          <w:tcPr>
            <w:tcW w:w="1257" w:type="dxa"/>
            <w:tcBorders>
              <w:top w:val="nil"/>
              <w:left w:val="nil"/>
              <w:bottom w:val="single" w:sz="4" w:space="0" w:color="auto"/>
              <w:right w:val="single" w:sz="4" w:space="0" w:color="auto"/>
            </w:tcBorders>
            <w:shd w:val="clear" w:color="000000" w:fill="FFFFFF"/>
            <w:noWrap/>
            <w:vAlign w:val="bottom"/>
            <w:hideMark/>
          </w:tcPr>
          <w:p w14:paraId="371F5F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421,1</w:t>
            </w:r>
          </w:p>
        </w:tc>
        <w:tc>
          <w:tcPr>
            <w:tcW w:w="1384" w:type="dxa"/>
            <w:tcBorders>
              <w:top w:val="nil"/>
              <w:left w:val="nil"/>
              <w:bottom w:val="single" w:sz="4" w:space="0" w:color="auto"/>
              <w:right w:val="single" w:sz="4" w:space="0" w:color="auto"/>
            </w:tcBorders>
            <w:shd w:val="clear" w:color="000000" w:fill="FFFFFF"/>
            <w:noWrap/>
            <w:vAlign w:val="bottom"/>
            <w:hideMark/>
          </w:tcPr>
          <w:p w14:paraId="499089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1 322,9</w:t>
            </w:r>
          </w:p>
        </w:tc>
        <w:tc>
          <w:tcPr>
            <w:tcW w:w="1134" w:type="dxa"/>
            <w:tcBorders>
              <w:top w:val="nil"/>
              <w:left w:val="nil"/>
              <w:bottom w:val="single" w:sz="4" w:space="0" w:color="auto"/>
              <w:right w:val="single" w:sz="4" w:space="0" w:color="auto"/>
            </w:tcBorders>
            <w:shd w:val="clear" w:color="000000" w:fill="FFFFFF"/>
            <w:noWrap/>
            <w:vAlign w:val="bottom"/>
            <w:hideMark/>
          </w:tcPr>
          <w:p w14:paraId="490AA0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170,3</w:t>
            </w:r>
          </w:p>
        </w:tc>
        <w:tc>
          <w:tcPr>
            <w:tcW w:w="1277" w:type="dxa"/>
            <w:tcBorders>
              <w:top w:val="nil"/>
              <w:left w:val="nil"/>
              <w:bottom w:val="single" w:sz="4" w:space="0" w:color="auto"/>
              <w:right w:val="single" w:sz="4" w:space="0" w:color="auto"/>
            </w:tcBorders>
            <w:shd w:val="clear" w:color="000000" w:fill="FFFFFF"/>
            <w:noWrap/>
            <w:vAlign w:val="bottom"/>
            <w:hideMark/>
          </w:tcPr>
          <w:p w14:paraId="37B956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9 979,7</w:t>
            </w:r>
          </w:p>
        </w:tc>
        <w:tc>
          <w:tcPr>
            <w:tcW w:w="1040" w:type="dxa"/>
            <w:tcBorders>
              <w:top w:val="nil"/>
              <w:left w:val="nil"/>
              <w:bottom w:val="single" w:sz="4" w:space="0" w:color="auto"/>
              <w:right w:val="single" w:sz="4" w:space="0" w:color="auto"/>
            </w:tcBorders>
            <w:shd w:val="clear" w:color="000000" w:fill="FFFFFF"/>
            <w:noWrap/>
            <w:vAlign w:val="bottom"/>
            <w:hideMark/>
          </w:tcPr>
          <w:p w14:paraId="5C3A611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736,3</w:t>
            </w:r>
          </w:p>
        </w:tc>
        <w:tc>
          <w:tcPr>
            <w:tcW w:w="1087" w:type="dxa"/>
            <w:tcBorders>
              <w:top w:val="nil"/>
              <w:left w:val="nil"/>
              <w:bottom w:val="single" w:sz="4" w:space="0" w:color="auto"/>
              <w:right w:val="single" w:sz="4" w:space="0" w:color="auto"/>
            </w:tcBorders>
            <w:shd w:val="clear" w:color="000000" w:fill="FFFFFF"/>
            <w:noWrap/>
            <w:vAlign w:val="bottom"/>
            <w:hideMark/>
          </w:tcPr>
          <w:p w14:paraId="46AAE7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2 648,4</w:t>
            </w:r>
          </w:p>
        </w:tc>
        <w:tc>
          <w:tcPr>
            <w:tcW w:w="1040" w:type="dxa"/>
            <w:tcBorders>
              <w:top w:val="nil"/>
              <w:left w:val="nil"/>
              <w:bottom w:val="single" w:sz="4" w:space="0" w:color="auto"/>
              <w:right w:val="single" w:sz="4" w:space="0" w:color="auto"/>
            </w:tcBorders>
            <w:shd w:val="clear" w:color="000000" w:fill="FFFFFF"/>
            <w:noWrap/>
            <w:vAlign w:val="bottom"/>
            <w:hideMark/>
          </w:tcPr>
          <w:p w14:paraId="257D0C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1 024,9</w:t>
            </w:r>
          </w:p>
        </w:tc>
        <w:tc>
          <w:tcPr>
            <w:tcW w:w="1226" w:type="dxa"/>
            <w:tcBorders>
              <w:top w:val="nil"/>
              <w:left w:val="nil"/>
              <w:bottom w:val="single" w:sz="4" w:space="0" w:color="auto"/>
              <w:right w:val="single" w:sz="4" w:space="0" w:color="auto"/>
            </w:tcBorders>
            <w:shd w:val="clear" w:color="000000" w:fill="FFFFFF"/>
            <w:noWrap/>
            <w:vAlign w:val="bottom"/>
            <w:hideMark/>
          </w:tcPr>
          <w:p w14:paraId="4944253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767C67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F5A18D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Kубрат</w:t>
            </w:r>
          </w:p>
        </w:tc>
        <w:tc>
          <w:tcPr>
            <w:tcW w:w="1911" w:type="dxa"/>
            <w:tcBorders>
              <w:top w:val="nil"/>
              <w:left w:val="nil"/>
              <w:bottom w:val="single" w:sz="4" w:space="0" w:color="auto"/>
              <w:right w:val="single" w:sz="4" w:space="0" w:color="auto"/>
            </w:tcBorders>
            <w:shd w:val="clear" w:color="000000" w:fill="FFFFFF"/>
            <w:noWrap/>
            <w:vAlign w:val="bottom"/>
            <w:hideMark/>
          </w:tcPr>
          <w:p w14:paraId="1E786D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10 360,8</w:t>
            </w:r>
          </w:p>
        </w:tc>
        <w:tc>
          <w:tcPr>
            <w:tcW w:w="1118" w:type="dxa"/>
            <w:tcBorders>
              <w:top w:val="nil"/>
              <w:left w:val="nil"/>
              <w:bottom w:val="single" w:sz="4" w:space="0" w:color="auto"/>
              <w:right w:val="single" w:sz="4" w:space="0" w:color="auto"/>
            </w:tcBorders>
            <w:shd w:val="clear" w:color="000000" w:fill="FFFFFF"/>
            <w:noWrap/>
            <w:vAlign w:val="bottom"/>
            <w:hideMark/>
          </w:tcPr>
          <w:p w14:paraId="0D0580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1 352,3</w:t>
            </w:r>
          </w:p>
        </w:tc>
        <w:tc>
          <w:tcPr>
            <w:tcW w:w="1257" w:type="dxa"/>
            <w:tcBorders>
              <w:top w:val="nil"/>
              <w:left w:val="nil"/>
              <w:bottom w:val="single" w:sz="4" w:space="0" w:color="auto"/>
              <w:right w:val="single" w:sz="4" w:space="0" w:color="auto"/>
            </w:tcBorders>
            <w:shd w:val="clear" w:color="000000" w:fill="FFFFFF"/>
            <w:noWrap/>
            <w:vAlign w:val="bottom"/>
            <w:hideMark/>
          </w:tcPr>
          <w:p w14:paraId="27257F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301,6</w:t>
            </w:r>
          </w:p>
        </w:tc>
        <w:tc>
          <w:tcPr>
            <w:tcW w:w="1384" w:type="dxa"/>
            <w:tcBorders>
              <w:top w:val="nil"/>
              <w:left w:val="nil"/>
              <w:bottom w:val="single" w:sz="4" w:space="0" w:color="auto"/>
              <w:right w:val="single" w:sz="4" w:space="0" w:color="auto"/>
            </w:tcBorders>
            <w:shd w:val="clear" w:color="000000" w:fill="FFFFFF"/>
            <w:noWrap/>
            <w:vAlign w:val="bottom"/>
            <w:hideMark/>
          </w:tcPr>
          <w:p w14:paraId="649A37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1 050,7</w:t>
            </w:r>
          </w:p>
        </w:tc>
        <w:tc>
          <w:tcPr>
            <w:tcW w:w="1134" w:type="dxa"/>
            <w:tcBorders>
              <w:top w:val="nil"/>
              <w:left w:val="nil"/>
              <w:bottom w:val="single" w:sz="4" w:space="0" w:color="auto"/>
              <w:right w:val="single" w:sz="4" w:space="0" w:color="auto"/>
            </w:tcBorders>
            <w:shd w:val="clear" w:color="000000" w:fill="FFFFFF"/>
            <w:noWrap/>
            <w:vAlign w:val="bottom"/>
            <w:hideMark/>
          </w:tcPr>
          <w:p w14:paraId="0B4A8B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106,0</w:t>
            </w:r>
          </w:p>
        </w:tc>
        <w:tc>
          <w:tcPr>
            <w:tcW w:w="1277" w:type="dxa"/>
            <w:tcBorders>
              <w:top w:val="nil"/>
              <w:left w:val="nil"/>
              <w:bottom w:val="single" w:sz="4" w:space="0" w:color="auto"/>
              <w:right w:val="single" w:sz="4" w:space="0" w:color="auto"/>
            </w:tcBorders>
            <w:shd w:val="clear" w:color="000000" w:fill="FFFFFF"/>
            <w:noWrap/>
            <w:vAlign w:val="bottom"/>
            <w:hideMark/>
          </w:tcPr>
          <w:p w14:paraId="45DD62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6 011,7</w:t>
            </w:r>
          </w:p>
        </w:tc>
        <w:tc>
          <w:tcPr>
            <w:tcW w:w="1040" w:type="dxa"/>
            <w:tcBorders>
              <w:top w:val="nil"/>
              <w:left w:val="nil"/>
              <w:bottom w:val="single" w:sz="4" w:space="0" w:color="auto"/>
              <w:right w:val="single" w:sz="4" w:space="0" w:color="auto"/>
            </w:tcBorders>
            <w:shd w:val="clear" w:color="000000" w:fill="FFFFFF"/>
            <w:noWrap/>
            <w:vAlign w:val="bottom"/>
            <w:hideMark/>
          </w:tcPr>
          <w:p w14:paraId="5908B1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617,3</w:t>
            </w:r>
          </w:p>
        </w:tc>
        <w:tc>
          <w:tcPr>
            <w:tcW w:w="1087" w:type="dxa"/>
            <w:tcBorders>
              <w:top w:val="nil"/>
              <w:left w:val="nil"/>
              <w:bottom w:val="single" w:sz="4" w:space="0" w:color="auto"/>
              <w:right w:val="single" w:sz="4" w:space="0" w:color="auto"/>
            </w:tcBorders>
            <w:shd w:val="clear" w:color="000000" w:fill="FFFFFF"/>
            <w:noWrap/>
            <w:vAlign w:val="bottom"/>
            <w:hideMark/>
          </w:tcPr>
          <w:p w14:paraId="3D91F8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1 801,4</w:t>
            </w:r>
          </w:p>
        </w:tc>
        <w:tc>
          <w:tcPr>
            <w:tcW w:w="1040" w:type="dxa"/>
            <w:tcBorders>
              <w:top w:val="nil"/>
              <w:left w:val="nil"/>
              <w:bottom w:val="single" w:sz="4" w:space="0" w:color="auto"/>
              <w:right w:val="single" w:sz="4" w:space="0" w:color="auto"/>
            </w:tcBorders>
            <w:shd w:val="clear" w:color="000000" w:fill="FFFFFF"/>
            <w:noWrap/>
            <w:vAlign w:val="bottom"/>
            <w:hideMark/>
          </w:tcPr>
          <w:p w14:paraId="23FBD4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472,1</w:t>
            </w:r>
          </w:p>
        </w:tc>
        <w:tc>
          <w:tcPr>
            <w:tcW w:w="1226" w:type="dxa"/>
            <w:tcBorders>
              <w:top w:val="nil"/>
              <w:left w:val="nil"/>
              <w:bottom w:val="single" w:sz="4" w:space="0" w:color="auto"/>
              <w:right w:val="single" w:sz="4" w:space="0" w:color="auto"/>
            </w:tcBorders>
            <w:shd w:val="clear" w:color="000000" w:fill="FFFFFF"/>
            <w:noWrap/>
            <w:vAlign w:val="bottom"/>
            <w:hideMark/>
          </w:tcPr>
          <w:p w14:paraId="0F22DC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781744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33650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Лозница</w:t>
            </w:r>
          </w:p>
        </w:tc>
        <w:tc>
          <w:tcPr>
            <w:tcW w:w="1911" w:type="dxa"/>
            <w:tcBorders>
              <w:top w:val="nil"/>
              <w:left w:val="nil"/>
              <w:bottom w:val="single" w:sz="4" w:space="0" w:color="auto"/>
              <w:right w:val="single" w:sz="4" w:space="0" w:color="auto"/>
            </w:tcBorders>
            <w:shd w:val="clear" w:color="000000" w:fill="FFFFFF"/>
            <w:noWrap/>
            <w:vAlign w:val="bottom"/>
            <w:hideMark/>
          </w:tcPr>
          <w:p w14:paraId="05CD36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5 499,1</w:t>
            </w:r>
          </w:p>
        </w:tc>
        <w:tc>
          <w:tcPr>
            <w:tcW w:w="1118" w:type="dxa"/>
            <w:tcBorders>
              <w:top w:val="nil"/>
              <w:left w:val="nil"/>
              <w:bottom w:val="single" w:sz="4" w:space="0" w:color="auto"/>
              <w:right w:val="single" w:sz="4" w:space="0" w:color="auto"/>
            </w:tcBorders>
            <w:shd w:val="clear" w:color="000000" w:fill="FFFFFF"/>
            <w:noWrap/>
            <w:vAlign w:val="bottom"/>
            <w:hideMark/>
          </w:tcPr>
          <w:p w14:paraId="2CB84D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1 061,3</w:t>
            </w:r>
          </w:p>
        </w:tc>
        <w:tc>
          <w:tcPr>
            <w:tcW w:w="1257" w:type="dxa"/>
            <w:tcBorders>
              <w:top w:val="nil"/>
              <w:left w:val="nil"/>
              <w:bottom w:val="single" w:sz="4" w:space="0" w:color="auto"/>
              <w:right w:val="single" w:sz="4" w:space="0" w:color="auto"/>
            </w:tcBorders>
            <w:shd w:val="clear" w:color="000000" w:fill="FFFFFF"/>
            <w:noWrap/>
            <w:vAlign w:val="bottom"/>
            <w:hideMark/>
          </w:tcPr>
          <w:p w14:paraId="358473A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288,0</w:t>
            </w:r>
          </w:p>
        </w:tc>
        <w:tc>
          <w:tcPr>
            <w:tcW w:w="1384" w:type="dxa"/>
            <w:tcBorders>
              <w:top w:val="nil"/>
              <w:left w:val="nil"/>
              <w:bottom w:val="single" w:sz="4" w:space="0" w:color="auto"/>
              <w:right w:val="single" w:sz="4" w:space="0" w:color="auto"/>
            </w:tcBorders>
            <w:shd w:val="clear" w:color="000000" w:fill="FFFFFF"/>
            <w:noWrap/>
            <w:vAlign w:val="bottom"/>
            <w:hideMark/>
          </w:tcPr>
          <w:p w14:paraId="35561F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773,3</w:t>
            </w:r>
          </w:p>
        </w:tc>
        <w:tc>
          <w:tcPr>
            <w:tcW w:w="1134" w:type="dxa"/>
            <w:tcBorders>
              <w:top w:val="nil"/>
              <w:left w:val="nil"/>
              <w:bottom w:val="single" w:sz="4" w:space="0" w:color="auto"/>
              <w:right w:val="single" w:sz="4" w:space="0" w:color="auto"/>
            </w:tcBorders>
            <w:shd w:val="clear" w:color="000000" w:fill="FFFFFF"/>
            <w:noWrap/>
            <w:vAlign w:val="bottom"/>
            <w:hideMark/>
          </w:tcPr>
          <w:p w14:paraId="43F969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118,9</w:t>
            </w:r>
          </w:p>
        </w:tc>
        <w:tc>
          <w:tcPr>
            <w:tcW w:w="1277" w:type="dxa"/>
            <w:tcBorders>
              <w:top w:val="nil"/>
              <w:left w:val="nil"/>
              <w:bottom w:val="single" w:sz="4" w:space="0" w:color="auto"/>
              <w:right w:val="single" w:sz="4" w:space="0" w:color="auto"/>
            </w:tcBorders>
            <w:shd w:val="clear" w:color="000000" w:fill="FFFFFF"/>
            <w:noWrap/>
            <w:vAlign w:val="bottom"/>
            <w:hideMark/>
          </w:tcPr>
          <w:p w14:paraId="5247093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3 063,1</w:t>
            </w:r>
          </w:p>
        </w:tc>
        <w:tc>
          <w:tcPr>
            <w:tcW w:w="1040" w:type="dxa"/>
            <w:tcBorders>
              <w:top w:val="nil"/>
              <w:left w:val="nil"/>
              <w:bottom w:val="single" w:sz="4" w:space="0" w:color="auto"/>
              <w:right w:val="single" w:sz="4" w:space="0" w:color="auto"/>
            </w:tcBorders>
            <w:shd w:val="clear" w:color="000000" w:fill="FFFFFF"/>
            <w:noWrap/>
            <w:vAlign w:val="bottom"/>
            <w:hideMark/>
          </w:tcPr>
          <w:p w14:paraId="0A39B5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44,8</w:t>
            </w:r>
          </w:p>
        </w:tc>
        <w:tc>
          <w:tcPr>
            <w:tcW w:w="1087" w:type="dxa"/>
            <w:tcBorders>
              <w:top w:val="nil"/>
              <w:left w:val="nil"/>
              <w:bottom w:val="single" w:sz="4" w:space="0" w:color="auto"/>
              <w:right w:val="single" w:sz="4" w:space="0" w:color="auto"/>
            </w:tcBorders>
            <w:shd w:val="clear" w:color="000000" w:fill="FFFFFF"/>
            <w:noWrap/>
            <w:vAlign w:val="bottom"/>
            <w:hideMark/>
          </w:tcPr>
          <w:p w14:paraId="62E7BD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975,0</w:t>
            </w:r>
          </w:p>
        </w:tc>
        <w:tc>
          <w:tcPr>
            <w:tcW w:w="1040" w:type="dxa"/>
            <w:tcBorders>
              <w:top w:val="nil"/>
              <w:left w:val="nil"/>
              <w:bottom w:val="single" w:sz="4" w:space="0" w:color="auto"/>
              <w:right w:val="single" w:sz="4" w:space="0" w:color="auto"/>
            </w:tcBorders>
            <w:shd w:val="clear" w:color="000000" w:fill="FFFFFF"/>
            <w:noWrap/>
            <w:vAlign w:val="bottom"/>
            <w:hideMark/>
          </w:tcPr>
          <w:p w14:paraId="6F5D24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236,0</w:t>
            </w:r>
          </w:p>
        </w:tc>
        <w:tc>
          <w:tcPr>
            <w:tcW w:w="1226" w:type="dxa"/>
            <w:tcBorders>
              <w:top w:val="nil"/>
              <w:left w:val="nil"/>
              <w:bottom w:val="single" w:sz="4" w:space="0" w:color="auto"/>
              <w:right w:val="single" w:sz="4" w:space="0" w:color="auto"/>
            </w:tcBorders>
            <w:shd w:val="clear" w:color="000000" w:fill="FFFFFF"/>
            <w:noWrap/>
            <w:vAlign w:val="bottom"/>
            <w:hideMark/>
          </w:tcPr>
          <w:p w14:paraId="635B7A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A678F1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C561D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Pазград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1EC918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35 500,2</w:t>
            </w:r>
          </w:p>
        </w:tc>
        <w:tc>
          <w:tcPr>
            <w:tcW w:w="1118" w:type="dxa"/>
            <w:tcBorders>
              <w:top w:val="nil"/>
              <w:left w:val="nil"/>
              <w:bottom w:val="single" w:sz="4" w:space="0" w:color="auto"/>
              <w:right w:val="single" w:sz="4" w:space="0" w:color="auto"/>
            </w:tcBorders>
            <w:shd w:val="clear" w:color="000000" w:fill="FFFFFF"/>
            <w:noWrap/>
            <w:vAlign w:val="bottom"/>
            <w:hideMark/>
          </w:tcPr>
          <w:p w14:paraId="23C74D2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2 568,3</w:t>
            </w:r>
          </w:p>
        </w:tc>
        <w:tc>
          <w:tcPr>
            <w:tcW w:w="1257" w:type="dxa"/>
            <w:tcBorders>
              <w:top w:val="nil"/>
              <w:left w:val="nil"/>
              <w:bottom w:val="single" w:sz="4" w:space="0" w:color="auto"/>
              <w:right w:val="single" w:sz="4" w:space="0" w:color="auto"/>
            </w:tcBorders>
            <w:shd w:val="clear" w:color="000000" w:fill="FFFFFF"/>
            <w:noWrap/>
            <w:vAlign w:val="bottom"/>
            <w:hideMark/>
          </w:tcPr>
          <w:p w14:paraId="2FE87F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397,6</w:t>
            </w:r>
          </w:p>
        </w:tc>
        <w:tc>
          <w:tcPr>
            <w:tcW w:w="1384" w:type="dxa"/>
            <w:tcBorders>
              <w:top w:val="nil"/>
              <w:left w:val="nil"/>
              <w:bottom w:val="single" w:sz="4" w:space="0" w:color="auto"/>
              <w:right w:val="single" w:sz="4" w:space="0" w:color="auto"/>
            </w:tcBorders>
            <w:shd w:val="clear" w:color="000000" w:fill="FFFFFF"/>
            <w:noWrap/>
            <w:vAlign w:val="bottom"/>
            <w:hideMark/>
          </w:tcPr>
          <w:p w14:paraId="05704E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2 170,7</w:t>
            </w:r>
          </w:p>
        </w:tc>
        <w:tc>
          <w:tcPr>
            <w:tcW w:w="1134" w:type="dxa"/>
            <w:tcBorders>
              <w:top w:val="nil"/>
              <w:left w:val="nil"/>
              <w:bottom w:val="single" w:sz="4" w:space="0" w:color="auto"/>
              <w:right w:val="single" w:sz="4" w:space="0" w:color="auto"/>
            </w:tcBorders>
            <w:shd w:val="clear" w:color="000000" w:fill="FFFFFF"/>
            <w:noWrap/>
            <w:vAlign w:val="bottom"/>
            <w:hideMark/>
          </w:tcPr>
          <w:p w14:paraId="40855D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233,0</w:t>
            </w:r>
          </w:p>
        </w:tc>
        <w:tc>
          <w:tcPr>
            <w:tcW w:w="1277" w:type="dxa"/>
            <w:tcBorders>
              <w:top w:val="nil"/>
              <w:left w:val="nil"/>
              <w:bottom w:val="single" w:sz="4" w:space="0" w:color="auto"/>
              <w:right w:val="single" w:sz="4" w:space="0" w:color="auto"/>
            </w:tcBorders>
            <w:shd w:val="clear" w:color="000000" w:fill="FFFFFF"/>
            <w:noWrap/>
            <w:vAlign w:val="bottom"/>
            <w:hideMark/>
          </w:tcPr>
          <w:p w14:paraId="575BA1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21 842,2</w:t>
            </w:r>
          </w:p>
        </w:tc>
        <w:tc>
          <w:tcPr>
            <w:tcW w:w="1040" w:type="dxa"/>
            <w:tcBorders>
              <w:top w:val="nil"/>
              <w:left w:val="nil"/>
              <w:bottom w:val="single" w:sz="4" w:space="0" w:color="auto"/>
              <w:right w:val="single" w:sz="4" w:space="0" w:color="auto"/>
            </w:tcBorders>
            <w:shd w:val="clear" w:color="000000" w:fill="FFFFFF"/>
            <w:noWrap/>
            <w:vAlign w:val="bottom"/>
            <w:hideMark/>
          </w:tcPr>
          <w:p w14:paraId="71569B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1 963,1</w:t>
            </w:r>
          </w:p>
        </w:tc>
        <w:tc>
          <w:tcPr>
            <w:tcW w:w="1087" w:type="dxa"/>
            <w:tcBorders>
              <w:top w:val="nil"/>
              <w:left w:val="nil"/>
              <w:bottom w:val="single" w:sz="4" w:space="0" w:color="auto"/>
              <w:right w:val="single" w:sz="4" w:space="0" w:color="auto"/>
            </w:tcBorders>
            <w:shd w:val="clear" w:color="000000" w:fill="FFFFFF"/>
            <w:noWrap/>
            <w:vAlign w:val="bottom"/>
            <w:hideMark/>
          </w:tcPr>
          <w:p w14:paraId="22A3F0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6 724,1</w:t>
            </w:r>
          </w:p>
        </w:tc>
        <w:tc>
          <w:tcPr>
            <w:tcW w:w="1040" w:type="dxa"/>
            <w:tcBorders>
              <w:top w:val="nil"/>
              <w:left w:val="nil"/>
              <w:bottom w:val="single" w:sz="4" w:space="0" w:color="auto"/>
              <w:right w:val="single" w:sz="4" w:space="0" w:color="auto"/>
            </w:tcBorders>
            <w:shd w:val="clear" w:color="000000" w:fill="FFFFFF"/>
            <w:noWrap/>
            <w:vAlign w:val="bottom"/>
            <w:hideMark/>
          </w:tcPr>
          <w:p w14:paraId="064F11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2 169,5</w:t>
            </w:r>
          </w:p>
        </w:tc>
        <w:tc>
          <w:tcPr>
            <w:tcW w:w="1226" w:type="dxa"/>
            <w:tcBorders>
              <w:top w:val="nil"/>
              <w:left w:val="nil"/>
              <w:bottom w:val="single" w:sz="4" w:space="0" w:color="auto"/>
              <w:right w:val="single" w:sz="4" w:space="0" w:color="auto"/>
            </w:tcBorders>
            <w:shd w:val="clear" w:color="000000" w:fill="FFFFFF"/>
            <w:noWrap/>
            <w:vAlign w:val="bottom"/>
            <w:hideMark/>
          </w:tcPr>
          <w:p w14:paraId="22643C3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97B9E2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1E9D9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Cамуил</w:t>
            </w:r>
          </w:p>
        </w:tc>
        <w:tc>
          <w:tcPr>
            <w:tcW w:w="1911" w:type="dxa"/>
            <w:tcBorders>
              <w:top w:val="nil"/>
              <w:left w:val="nil"/>
              <w:bottom w:val="single" w:sz="4" w:space="0" w:color="auto"/>
              <w:right w:val="single" w:sz="4" w:space="0" w:color="auto"/>
            </w:tcBorders>
            <w:shd w:val="clear" w:color="000000" w:fill="FFFFFF"/>
            <w:noWrap/>
            <w:vAlign w:val="bottom"/>
            <w:hideMark/>
          </w:tcPr>
          <w:p w14:paraId="334308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7 803,0</w:t>
            </w:r>
          </w:p>
        </w:tc>
        <w:tc>
          <w:tcPr>
            <w:tcW w:w="1118" w:type="dxa"/>
            <w:tcBorders>
              <w:top w:val="nil"/>
              <w:left w:val="nil"/>
              <w:bottom w:val="single" w:sz="4" w:space="0" w:color="auto"/>
              <w:right w:val="single" w:sz="4" w:space="0" w:color="auto"/>
            </w:tcBorders>
            <w:shd w:val="clear" w:color="000000" w:fill="FFFFFF"/>
            <w:noWrap/>
            <w:vAlign w:val="bottom"/>
            <w:hideMark/>
          </w:tcPr>
          <w:p w14:paraId="2DB5EE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997,7</w:t>
            </w:r>
          </w:p>
        </w:tc>
        <w:tc>
          <w:tcPr>
            <w:tcW w:w="1257" w:type="dxa"/>
            <w:tcBorders>
              <w:top w:val="nil"/>
              <w:left w:val="nil"/>
              <w:bottom w:val="single" w:sz="4" w:space="0" w:color="auto"/>
              <w:right w:val="single" w:sz="4" w:space="0" w:color="auto"/>
            </w:tcBorders>
            <w:shd w:val="clear" w:color="000000" w:fill="FFFFFF"/>
            <w:noWrap/>
            <w:vAlign w:val="bottom"/>
            <w:hideMark/>
          </w:tcPr>
          <w:p w14:paraId="3783D8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256,0</w:t>
            </w:r>
          </w:p>
        </w:tc>
        <w:tc>
          <w:tcPr>
            <w:tcW w:w="1384" w:type="dxa"/>
            <w:tcBorders>
              <w:top w:val="nil"/>
              <w:left w:val="nil"/>
              <w:bottom w:val="single" w:sz="4" w:space="0" w:color="auto"/>
              <w:right w:val="single" w:sz="4" w:space="0" w:color="auto"/>
            </w:tcBorders>
            <w:shd w:val="clear" w:color="000000" w:fill="FFFFFF"/>
            <w:noWrap/>
            <w:vAlign w:val="bottom"/>
            <w:hideMark/>
          </w:tcPr>
          <w:p w14:paraId="5816F4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741,7</w:t>
            </w:r>
          </w:p>
        </w:tc>
        <w:tc>
          <w:tcPr>
            <w:tcW w:w="1134" w:type="dxa"/>
            <w:tcBorders>
              <w:top w:val="nil"/>
              <w:left w:val="nil"/>
              <w:bottom w:val="single" w:sz="4" w:space="0" w:color="auto"/>
              <w:right w:val="single" w:sz="4" w:space="0" w:color="auto"/>
            </w:tcBorders>
            <w:shd w:val="clear" w:color="000000" w:fill="FFFFFF"/>
            <w:noWrap/>
            <w:vAlign w:val="bottom"/>
            <w:hideMark/>
          </w:tcPr>
          <w:p w14:paraId="03AC190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137,0</w:t>
            </w:r>
          </w:p>
        </w:tc>
        <w:tc>
          <w:tcPr>
            <w:tcW w:w="1277" w:type="dxa"/>
            <w:tcBorders>
              <w:top w:val="nil"/>
              <w:left w:val="nil"/>
              <w:bottom w:val="single" w:sz="4" w:space="0" w:color="auto"/>
              <w:right w:val="single" w:sz="4" w:space="0" w:color="auto"/>
            </w:tcBorders>
            <w:shd w:val="clear" w:color="000000" w:fill="FFFFFF"/>
            <w:noWrap/>
            <w:vAlign w:val="bottom"/>
            <w:hideMark/>
          </w:tcPr>
          <w:p w14:paraId="7C49A9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2 437,3</w:t>
            </w:r>
          </w:p>
        </w:tc>
        <w:tc>
          <w:tcPr>
            <w:tcW w:w="1040" w:type="dxa"/>
            <w:tcBorders>
              <w:top w:val="nil"/>
              <w:left w:val="nil"/>
              <w:bottom w:val="single" w:sz="4" w:space="0" w:color="auto"/>
              <w:right w:val="single" w:sz="4" w:space="0" w:color="auto"/>
            </w:tcBorders>
            <w:shd w:val="clear" w:color="000000" w:fill="FFFFFF"/>
            <w:noWrap/>
            <w:vAlign w:val="bottom"/>
            <w:hideMark/>
          </w:tcPr>
          <w:p w14:paraId="30ED84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58,7</w:t>
            </w:r>
          </w:p>
        </w:tc>
        <w:tc>
          <w:tcPr>
            <w:tcW w:w="1087" w:type="dxa"/>
            <w:tcBorders>
              <w:top w:val="nil"/>
              <w:left w:val="nil"/>
              <w:bottom w:val="single" w:sz="4" w:space="0" w:color="auto"/>
              <w:right w:val="single" w:sz="4" w:space="0" w:color="auto"/>
            </w:tcBorders>
            <w:shd w:val="clear" w:color="000000" w:fill="FFFFFF"/>
            <w:noWrap/>
            <w:vAlign w:val="bottom"/>
            <w:hideMark/>
          </w:tcPr>
          <w:p w14:paraId="22F6E94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3 992,5</w:t>
            </w:r>
          </w:p>
        </w:tc>
        <w:tc>
          <w:tcPr>
            <w:tcW w:w="1040" w:type="dxa"/>
            <w:tcBorders>
              <w:top w:val="nil"/>
              <w:left w:val="nil"/>
              <w:bottom w:val="single" w:sz="4" w:space="0" w:color="auto"/>
              <w:right w:val="single" w:sz="4" w:space="0" w:color="auto"/>
            </w:tcBorders>
            <w:shd w:val="clear" w:color="000000" w:fill="FFFFFF"/>
            <w:noWrap/>
            <w:vAlign w:val="bottom"/>
            <w:hideMark/>
          </w:tcPr>
          <w:p w14:paraId="75614A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179,8</w:t>
            </w:r>
          </w:p>
        </w:tc>
        <w:tc>
          <w:tcPr>
            <w:tcW w:w="1226" w:type="dxa"/>
            <w:tcBorders>
              <w:top w:val="nil"/>
              <w:left w:val="nil"/>
              <w:bottom w:val="single" w:sz="4" w:space="0" w:color="auto"/>
              <w:right w:val="single" w:sz="4" w:space="0" w:color="auto"/>
            </w:tcBorders>
            <w:shd w:val="clear" w:color="000000" w:fill="FFFFFF"/>
            <w:noWrap/>
            <w:vAlign w:val="bottom"/>
            <w:hideMark/>
          </w:tcPr>
          <w:p w14:paraId="307A93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5D9081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66F29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Цар Калоян</w:t>
            </w:r>
          </w:p>
        </w:tc>
        <w:tc>
          <w:tcPr>
            <w:tcW w:w="1911" w:type="dxa"/>
            <w:tcBorders>
              <w:top w:val="nil"/>
              <w:left w:val="nil"/>
              <w:bottom w:val="single" w:sz="4" w:space="0" w:color="auto"/>
              <w:right w:val="single" w:sz="4" w:space="0" w:color="auto"/>
            </w:tcBorders>
            <w:shd w:val="clear" w:color="000000" w:fill="FFFFFF"/>
            <w:noWrap/>
            <w:vAlign w:val="bottom"/>
            <w:hideMark/>
          </w:tcPr>
          <w:p w14:paraId="31A217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2 975,4</w:t>
            </w:r>
          </w:p>
        </w:tc>
        <w:tc>
          <w:tcPr>
            <w:tcW w:w="1118" w:type="dxa"/>
            <w:tcBorders>
              <w:top w:val="nil"/>
              <w:left w:val="nil"/>
              <w:bottom w:val="single" w:sz="4" w:space="0" w:color="auto"/>
              <w:right w:val="single" w:sz="4" w:space="0" w:color="auto"/>
            </w:tcBorders>
            <w:shd w:val="clear" w:color="000000" w:fill="FFFFFF"/>
            <w:noWrap/>
            <w:vAlign w:val="bottom"/>
            <w:hideMark/>
          </w:tcPr>
          <w:p w14:paraId="3275E8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699,4</w:t>
            </w:r>
          </w:p>
        </w:tc>
        <w:tc>
          <w:tcPr>
            <w:tcW w:w="1257" w:type="dxa"/>
            <w:tcBorders>
              <w:top w:val="nil"/>
              <w:left w:val="nil"/>
              <w:bottom w:val="single" w:sz="4" w:space="0" w:color="auto"/>
              <w:right w:val="single" w:sz="4" w:space="0" w:color="auto"/>
            </w:tcBorders>
            <w:shd w:val="clear" w:color="000000" w:fill="FFFFFF"/>
            <w:noWrap/>
            <w:vAlign w:val="bottom"/>
            <w:hideMark/>
          </w:tcPr>
          <w:p w14:paraId="706683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75,9</w:t>
            </w:r>
          </w:p>
        </w:tc>
        <w:tc>
          <w:tcPr>
            <w:tcW w:w="1384" w:type="dxa"/>
            <w:tcBorders>
              <w:top w:val="nil"/>
              <w:left w:val="nil"/>
              <w:bottom w:val="single" w:sz="4" w:space="0" w:color="auto"/>
              <w:right w:val="single" w:sz="4" w:space="0" w:color="auto"/>
            </w:tcBorders>
            <w:shd w:val="clear" w:color="000000" w:fill="FFFFFF"/>
            <w:noWrap/>
            <w:vAlign w:val="bottom"/>
            <w:hideMark/>
          </w:tcPr>
          <w:p w14:paraId="27D718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623,5</w:t>
            </w:r>
          </w:p>
        </w:tc>
        <w:tc>
          <w:tcPr>
            <w:tcW w:w="1134" w:type="dxa"/>
            <w:tcBorders>
              <w:top w:val="nil"/>
              <w:left w:val="nil"/>
              <w:bottom w:val="single" w:sz="4" w:space="0" w:color="auto"/>
              <w:right w:val="single" w:sz="4" w:space="0" w:color="auto"/>
            </w:tcBorders>
            <w:shd w:val="clear" w:color="000000" w:fill="FFFFFF"/>
            <w:noWrap/>
            <w:vAlign w:val="bottom"/>
            <w:hideMark/>
          </w:tcPr>
          <w:p w14:paraId="01DE97B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98,4</w:t>
            </w:r>
          </w:p>
        </w:tc>
        <w:tc>
          <w:tcPr>
            <w:tcW w:w="1277" w:type="dxa"/>
            <w:tcBorders>
              <w:top w:val="nil"/>
              <w:left w:val="nil"/>
              <w:bottom w:val="single" w:sz="4" w:space="0" w:color="auto"/>
              <w:right w:val="single" w:sz="4" w:space="0" w:color="auto"/>
            </w:tcBorders>
            <w:shd w:val="clear" w:color="000000" w:fill="FFFFFF"/>
            <w:noWrap/>
            <w:vAlign w:val="bottom"/>
            <w:hideMark/>
          </w:tcPr>
          <w:p w14:paraId="536DE5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1 431,2</w:t>
            </w:r>
          </w:p>
        </w:tc>
        <w:tc>
          <w:tcPr>
            <w:tcW w:w="1040" w:type="dxa"/>
            <w:tcBorders>
              <w:top w:val="nil"/>
              <w:left w:val="nil"/>
              <w:bottom w:val="single" w:sz="4" w:space="0" w:color="auto"/>
              <w:right w:val="single" w:sz="4" w:space="0" w:color="auto"/>
            </w:tcBorders>
            <w:shd w:val="clear" w:color="000000" w:fill="FFFFFF"/>
            <w:noWrap/>
            <w:vAlign w:val="bottom"/>
            <w:hideMark/>
          </w:tcPr>
          <w:p w14:paraId="39F8DA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45,6</w:t>
            </w:r>
          </w:p>
        </w:tc>
        <w:tc>
          <w:tcPr>
            <w:tcW w:w="1087" w:type="dxa"/>
            <w:tcBorders>
              <w:top w:val="nil"/>
              <w:left w:val="nil"/>
              <w:bottom w:val="single" w:sz="4" w:space="0" w:color="auto"/>
              <w:right w:val="single" w:sz="4" w:space="0" w:color="auto"/>
            </w:tcBorders>
            <w:shd w:val="clear" w:color="000000" w:fill="FFFFFF"/>
            <w:noWrap/>
            <w:vAlign w:val="bottom"/>
            <w:hideMark/>
          </w:tcPr>
          <w:p w14:paraId="1ADD62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577,2</w:t>
            </w:r>
          </w:p>
        </w:tc>
        <w:tc>
          <w:tcPr>
            <w:tcW w:w="1040" w:type="dxa"/>
            <w:tcBorders>
              <w:top w:val="nil"/>
              <w:left w:val="nil"/>
              <w:bottom w:val="single" w:sz="4" w:space="0" w:color="auto"/>
              <w:right w:val="single" w:sz="4" w:space="0" w:color="auto"/>
            </w:tcBorders>
            <w:shd w:val="clear" w:color="000000" w:fill="FFFFFF"/>
            <w:noWrap/>
            <w:vAlign w:val="bottom"/>
            <w:hideMark/>
          </w:tcPr>
          <w:p w14:paraId="3A2302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123,6</w:t>
            </w:r>
          </w:p>
        </w:tc>
        <w:tc>
          <w:tcPr>
            <w:tcW w:w="1226" w:type="dxa"/>
            <w:tcBorders>
              <w:top w:val="nil"/>
              <w:left w:val="nil"/>
              <w:bottom w:val="single" w:sz="4" w:space="0" w:color="auto"/>
              <w:right w:val="single" w:sz="4" w:space="0" w:color="auto"/>
            </w:tcBorders>
            <w:shd w:val="clear" w:color="000000" w:fill="FFFFFF"/>
            <w:noWrap/>
            <w:vAlign w:val="bottom"/>
            <w:hideMark/>
          </w:tcPr>
          <w:p w14:paraId="6C286C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DEB3DE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217E392"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79823EF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4B75FC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59E2367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650B0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708A31D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00A76B2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1C5E9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10A5EC0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85DB0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D5B98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CE17CF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4B2FB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РУСЕ</w:t>
            </w:r>
          </w:p>
        </w:tc>
        <w:tc>
          <w:tcPr>
            <w:tcW w:w="1911" w:type="dxa"/>
            <w:tcBorders>
              <w:top w:val="nil"/>
              <w:left w:val="nil"/>
              <w:bottom w:val="single" w:sz="4" w:space="0" w:color="auto"/>
              <w:right w:val="single" w:sz="4" w:space="0" w:color="auto"/>
            </w:tcBorders>
            <w:shd w:val="clear" w:color="000000" w:fill="FFFFFF"/>
            <w:noWrap/>
            <w:vAlign w:val="bottom"/>
            <w:hideMark/>
          </w:tcPr>
          <w:p w14:paraId="717566E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3FF8FA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4DA4E60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A197B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4EA978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5689673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04975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4D215B7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3C005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8A5D4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3803D5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184B8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Борово</w:t>
            </w:r>
          </w:p>
        </w:tc>
        <w:tc>
          <w:tcPr>
            <w:tcW w:w="1911" w:type="dxa"/>
            <w:tcBorders>
              <w:top w:val="nil"/>
              <w:left w:val="nil"/>
              <w:bottom w:val="single" w:sz="4" w:space="0" w:color="auto"/>
              <w:right w:val="single" w:sz="4" w:space="0" w:color="auto"/>
            </w:tcBorders>
            <w:shd w:val="clear" w:color="000000" w:fill="FFFFFF"/>
            <w:noWrap/>
            <w:vAlign w:val="bottom"/>
            <w:hideMark/>
          </w:tcPr>
          <w:p w14:paraId="2BA4D2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3 997,1</w:t>
            </w:r>
          </w:p>
        </w:tc>
        <w:tc>
          <w:tcPr>
            <w:tcW w:w="1118" w:type="dxa"/>
            <w:tcBorders>
              <w:top w:val="nil"/>
              <w:left w:val="nil"/>
              <w:bottom w:val="single" w:sz="4" w:space="0" w:color="auto"/>
              <w:right w:val="single" w:sz="4" w:space="0" w:color="auto"/>
            </w:tcBorders>
            <w:shd w:val="clear" w:color="000000" w:fill="FFFFFF"/>
            <w:noWrap/>
            <w:vAlign w:val="bottom"/>
            <w:hideMark/>
          </w:tcPr>
          <w:p w14:paraId="6D31C6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698,7</w:t>
            </w:r>
          </w:p>
        </w:tc>
        <w:tc>
          <w:tcPr>
            <w:tcW w:w="1257" w:type="dxa"/>
            <w:tcBorders>
              <w:top w:val="nil"/>
              <w:left w:val="nil"/>
              <w:bottom w:val="single" w:sz="4" w:space="0" w:color="auto"/>
              <w:right w:val="single" w:sz="4" w:space="0" w:color="auto"/>
            </w:tcBorders>
            <w:shd w:val="clear" w:color="000000" w:fill="FFFFFF"/>
            <w:noWrap/>
            <w:vAlign w:val="bottom"/>
            <w:hideMark/>
          </w:tcPr>
          <w:p w14:paraId="299DDB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136,4</w:t>
            </w:r>
          </w:p>
        </w:tc>
        <w:tc>
          <w:tcPr>
            <w:tcW w:w="1384" w:type="dxa"/>
            <w:tcBorders>
              <w:top w:val="nil"/>
              <w:left w:val="nil"/>
              <w:bottom w:val="single" w:sz="4" w:space="0" w:color="auto"/>
              <w:right w:val="single" w:sz="4" w:space="0" w:color="auto"/>
            </w:tcBorders>
            <w:shd w:val="clear" w:color="000000" w:fill="FFFFFF"/>
            <w:noWrap/>
            <w:vAlign w:val="bottom"/>
            <w:hideMark/>
          </w:tcPr>
          <w:p w14:paraId="27F286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562,3</w:t>
            </w:r>
          </w:p>
        </w:tc>
        <w:tc>
          <w:tcPr>
            <w:tcW w:w="1134" w:type="dxa"/>
            <w:tcBorders>
              <w:top w:val="nil"/>
              <w:left w:val="nil"/>
              <w:bottom w:val="single" w:sz="4" w:space="0" w:color="auto"/>
              <w:right w:val="single" w:sz="4" w:space="0" w:color="auto"/>
            </w:tcBorders>
            <w:shd w:val="clear" w:color="000000" w:fill="FFFFFF"/>
            <w:noWrap/>
            <w:vAlign w:val="bottom"/>
            <w:hideMark/>
          </w:tcPr>
          <w:p w14:paraId="1E28E1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115,5</w:t>
            </w:r>
          </w:p>
        </w:tc>
        <w:tc>
          <w:tcPr>
            <w:tcW w:w="1277" w:type="dxa"/>
            <w:tcBorders>
              <w:top w:val="nil"/>
              <w:left w:val="nil"/>
              <w:bottom w:val="single" w:sz="4" w:space="0" w:color="auto"/>
              <w:right w:val="single" w:sz="4" w:space="0" w:color="auto"/>
            </w:tcBorders>
            <w:shd w:val="clear" w:color="000000" w:fill="FFFFFF"/>
            <w:noWrap/>
            <w:vAlign w:val="bottom"/>
            <w:hideMark/>
          </w:tcPr>
          <w:p w14:paraId="21684BD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1 194,9</w:t>
            </w:r>
          </w:p>
        </w:tc>
        <w:tc>
          <w:tcPr>
            <w:tcW w:w="1040" w:type="dxa"/>
            <w:tcBorders>
              <w:top w:val="nil"/>
              <w:left w:val="nil"/>
              <w:bottom w:val="single" w:sz="4" w:space="0" w:color="auto"/>
              <w:right w:val="single" w:sz="4" w:space="0" w:color="auto"/>
            </w:tcBorders>
            <w:shd w:val="clear" w:color="000000" w:fill="FFFFFF"/>
            <w:noWrap/>
            <w:vAlign w:val="bottom"/>
            <w:hideMark/>
          </w:tcPr>
          <w:p w14:paraId="3932B5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60,2</w:t>
            </w:r>
          </w:p>
        </w:tc>
        <w:tc>
          <w:tcPr>
            <w:tcW w:w="1087" w:type="dxa"/>
            <w:tcBorders>
              <w:top w:val="nil"/>
              <w:left w:val="nil"/>
              <w:bottom w:val="single" w:sz="4" w:space="0" w:color="auto"/>
              <w:right w:val="single" w:sz="4" w:space="0" w:color="auto"/>
            </w:tcBorders>
            <w:shd w:val="clear" w:color="000000" w:fill="FFFFFF"/>
            <w:noWrap/>
            <w:vAlign w:val="bottom"/>
            <w:hideMark/>
          </w:tcPr>
          <w:p w14:paraId="696118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1 747,9</w:t>
            </w:r>
          </w:p>
        </w:tc>
        <w:tc>
          <w:tcPr>
            <w:tcW w:w="1040" w:type="dxa"/>
            <w:tcBorders>
              <w:top w:val="nil"/>
              <w:left w:val="nil"/>
              <w:bottom w:val="single" w:sz="4" w:space="0" w:color="auto"/>
              <w:right w:val="single" w:sz="4" w:space="0" w:color="auto"/>
            </w:tcBorders>
            <w:shd w:val="clear" w:color="000000" w:fill="FFFFFF"/>
            <w:noWrap/>
            <w:vAlign w:val="bottom"/>
            <w:hideMark/>
          </w:tcPr>
          <w:p w14:paraId="4CF2A0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179,9</w:t>
            </w:r>
          </w:p>
        </w:tc>
        <w:tc>
          <w:tcPr>
            <w:tcW w:w="1226" w:type="dxa"/>
            <w:tcBorders>
              <w:top w:val="nil"/>
              <w:left w:val="nil"/>
              <w:bottom w:val="single" w:sz="4" w:space="0" w:color="auto"/>
              <w:right w:val="single" w:sz="4" w:space="0" w:color="auto"/>
            </w:tcBorders>
            <w:shd w:val="clear" w:color="000000" w:fill="FFFFFF"/>
            <w:noWrap/>
            <w:vAlign w:val="bottom"/>
            <w:hideMark/>
          </w:tcPr>
          <w:p w14:paraId="13035F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41DB5E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9BE90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Бяла</w:t>
            </w:r>
          </w:p>
        </w:tc>
        <w:tc>
          <w:tcPr>
            <w:tcW w:w="1911" w:type="dxa"/>
            <w:tcBorders>
              <w:top w:val="nil"/>
              <w:left w:val="nil"/>
              <w:bottom w:val="single" w:sz="4" w:space="0" w:color="auto"/>
              <w:right w:val="single" w:sz="4" w:space="0" w:color="auto"/>
            </w:tcBorders>
            <w:shd w:val="clear" w:color="000000" w:fill="FFFFFF"/>
            <w:noWrap/>
            <w:vAlign w:val="bottom"/>
            <w:hideMark/>
          </w:tcPr>
          <w:p w14:paraId="4EC49E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6 534,1</w:t>
            </w:r>
          </w:p>
        </w:tc>
        <w:tc>
          <w:tcPr>
            <w:tcW w:w="1118" w:type="dxa"/>
            <w:tcBorders>
              <w:top w:val="nil"/>
              <w:left w:val="nil"/>
              <w:bottom w:val="single" w:sz="4" w:space="0" w:color="auto"/>
              <w:right w:val="single" w:sz="4" w:space="0" w:color="auto"/>
            </w:tcBorders>
            <w:shd w:val="clear" w:color="000000" w:fill="FFFFFF"/>
            <w:noWrap/>
            <w:vAlign w:val="bottom"/>
            <w:hideMark/>
          </w:tcPr>
          <w:p w14:paraId="6808F7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984,7</w:t>
            </w:r>
          </w:p>
        </w:tc>
        <w:tc>
          <w:tcPr>
            <w:tcW w:w="1257" w:type="dxa"/>
            <w:tcBorders>
              <w:top w:val="nil"/>
              <w:left w:val="nil"/>
              <w:bottom w:val="single" w:sz="4" w:space="0" w:color="auto"/>
              <w:right w:val="single" w:sz="4" w:space="0" w:color="auto"/>
            </w:tcBorders>
            <w:shd w:val="clear" w:color="000000" w:fill="FFFFFF"/>
            <w:noWrap/>
            <w:vAlign w:val="bottom"/>
            <w:hideMark/>
          </w:tcPr>
          <w:p w14:paraId="3B03CF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200,4</w:t>
            </w:r>
          </w:p>
        </w:tc>
        <w:tc>
          <w:tcPr>
            <w:tcW w:w="1384" w:type="dxa"/>
            <w:tcBorders>
              <w:top w:val="nil"/>
              <w:left w:val="nil"/>
              <w:bottom w:val="single" w:sz="4" w:space="0" w:color="auto"/>
              <w:right w:val="single" w:sz="4" w:space="0" w:color="auto"/>
            </w:tcBorders>
            <w:shd w:val="clear" w:color="000000" w:fill="FFFFFF"/>
            <w:noWrap/>
            <w:vAlign w:val="bottom"/>
            <w:hideMark/>
          </w:tcPr>
          <w:p w14:paraId="1C4C0B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784,3</w:t>
            </w:r>
          </w:p>
        </w:tc>
        <w:tc>
          <w:tcPr>
            <w:tcW w:w="1134" w:type="dxa"/>
            <w:tcBorders>
              <w:top w:val="nil"/>
              <w:left w:val="nil"/>
              <w:bottom w:val="single" w:sz="4" w:space="0" w:color="auto"/>
              <w:right w:val="single" w:sz="4" w:space="0" w:color="auto"/>
            </w:tcBorders>
            <w:shd w:val="clear" w:color="000000" w:fill="FFFFFF"/>
            <w:noWrap/>
            <w:vAlign w:val="bottom"/>
            <w:hideMark/>
          </w:tcPr>
          <w:p w14:paraId="2C5EBF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149,5</w:t>
            </w:r>
          </w:p>
        </w:tc>
        <w:tc>
          <w:tcPr>
            <w:tcW w:w="1277" w:type="dxa"/>
            <w:tcBorders>
              <w:top w:val="nil"/>
              <w:left w:val="nil"/>
              <w:bottom w:val="single" w:sz="4" w:space="0" w:color="auto"/>
              <w:right w:val="single" w:sz="4" w:space="0" w:color="auto"/>
            </w:tcBorders>
            <w:shd w:val="clear" w:color="000000" w:fill="FFFFFF"/>
            <w:noWrap/>
            <w:vAlign w:val="bottom"/>
            <w:hideMark/>
          </w:tcPr>
          <w:p w14:paraId="49DE70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4 009,1</w:t>
            </w:r>
          </w:p>
        </w:tc>
        <w:tc>
          <w:tcPr>
            <w:tcW w:w="1040" w:type="dxa"/>
            <w:tcBorders>
              <w:top w:val="nil"/>
              <w:left w:val="nil"/>
              <w:bottom w:val="single" w:sz="4" w:space="0" w:color="auto"/>
              <w:right w:val="single" w:sz="4" w:space="0" w:color="auto"/>
            </w:tcBorders>
            <w:shd w:val="clear" w:color="000000" w:fill="FFFFFF"/>
            <w:noWrap/>
            <w:vAlign w:val="bottom"/>
            <w:hideMark/>
          </w:tcPr>
          <w:p w14:paraId="758146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115,8</w:t>
            </w:r>
          </w:p>
        </w:tc>
        <w:tc>
          <w:tcPr>
            <w:tcW w:w="1087" w:type="dxa"/>
            <w:tcBorders>
              <w:top w:val="nil"/>
              <w:left w:val="nil"/>
              <w:bottom w:val="single" w:sz="4" w:space="0" w:color="auto"/>
              <w:right w:val="single" w:sz="4" w:space="0" w:color="auto"/>
            </w:tcBorders>
            <w:shd w:val="clear" w:color="000000" w:fill="FFFFFF"/>
            <w:noWrap/>
            <w:vAlign w:val="bottom"/>
            <w:hideMark/>
          </w:tcPr>
          <w:p w14:paraId="7B8C07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1 046,2</w:t>
            </w:r>
          </w:p>
        </w:tc>
        <w:tc>
          <w:tcPr>
            <w:tcW w:w="1040" w:type="dxa"/>
            <w:tcBorders>
              <w:top w:val="nil"/>
              <w:left w:val="nil"/>
              <w:bottom w:val="single" w:sz="4" w:space="0" w:color="auto"/>
              <w:right w:val="single" w:sz="4" w:space="0" w:color="auto"/>
            </w:tcBorders>
            <w:shd w:val="clear" w:color="000000" w:fill="FFFFFF"/>
            <w:noWrap/>
            <w:vAlign w:val="bottom"/>
            <w:hideMark/>
          </w:tcPr>
          <w:p w14:paraId="45F8A7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228,8</w:t>
            </w:r>
          </w:p>
        </w:tc>
        <w:tc>
          <w:tcPr>
            <w:tcW w:w="1226" w:type="dxa"/>
            <w:tcBorders>
              <w:top w:val="nil"/>
              <w:left w:val="nil"/>
              <w:bottom w:val="single" w:sz="4" w:space="0" w:color="auto"/>
              <w:right w:val="single" w:sz="4" w:space="0" w:color="auto"/>
            </w:tcBorders>
            <w:shd w:val="clear" w:color="000000" w:fill="FFFFFF"/>
            <w:noWrap/>
            <w:vAlign w:val="bottom"/>
            <w:hideMark/>
          </w:tcPr>
          <w:p w14:paraId="6F517C6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CC1B22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2D789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Bетово</w:t>
            </w:r>
          </w:p>
        </w:tc>
        <w:tc>
          <w:tcPr>
            <w:tcW w:w="1911" w:type="dxa"/>
            <w:tcBorders>
              <w:top w:val="nil"/>
              <w:left w:val="nil"/>
              <w:bottom w:val="single" w:sz="4" w:space="0" w:color="auto"/>
              <w:right w:val="single" w:sz="4" w:space="0" w:color="auto"/>
            </w:tcBorders>
            <w:shd w:val="clear" w:color="000000" w:fill="FFFFFF"/>
            <w:noWrap/>
            <w:vAlign w:val="bottom"/>
            <w:hideMark/>
          </w:tcPr>
          <w:p w14:paraId="41CB6A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5 861,6</w:t>
            </w:r>
          </w:p>
        </w:tc>
        <w:tc>
          <w:tcPr>
            <w:tcW w:w="1118" w:type="dxa"/>
            <w:tcBorders>
              <w:top w:val="nil"/>
              <w:left w:val="nil"/>
              <w:bottom w:val="single" w:sz="4" w:space="0" w:color="auto"/>
              <w:right w:val="single" w:sz="4" w:space="0" w:color="auto"/>
            </w:tcBorders>
            <w:shd w:val="clear" w:color="000000" w:fill="FFFFFF"/>
            <w:noWrap/>
            <w:vAlign w:val="bottom"/>
            <w:hideMark/>
          </w:tcPr>
          <w:p w14:paraId="33B8169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968,1</w:t>
            </w:r>
          </w:p>
        </w:tc>
        <w:tc>
          <w:tcPr>
            <w:tcW w:w="1257" w:type="dxa"/>
            <w:tcBorders>
              <w:top w:val="nil"/>
              <w:left w:val="nil"/>
              <w:bottom w:val="single" w:sz="4" w:space="0" w:color="auto"/>
              <w:right w:val="single" w:sz="4" w:space="0" w:color="auto"/>
            </w:tcBorders>
            <w:shd w:val="clear" w:color="000000" w:fill="FFFFFF"/>
            <w:noWrap/>
            <w:vAlign w:val="bottom"/>
            <w:hideMark/>
          </w:tcPr>
          <w:p w14:paraId="38480D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131,4</w:t>
            </w:r>
          </w:p>
        </w:tc>
        <w:tc>
          <w:tcPr>
            <w:tcW w:w="1384" w:type="dxa"/>
            <w:tcBorders>
              <w:top w:val="nil"/>
              <w:left w:val="nil"/>
              <w:bottom w:val="single" w:sz="4" w:space="0" w:color="auto"/>
              <w:right w:val="single" w:sz="4" w:space="0" w:color="auto"/>
            </w:tcBorders>
            <w:shd w:val="clear" w:color="000000" w:fill="FFFFFF"/>
            <w:noWrap/>
            <w:vAlign w:val="bottom"/>
            <w:hideMark/>
          </w:tcPr>
          <w:p w14:paraId="3F4375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836,7</w:t>
            </w:r>
          </w:p>
        </w:tc>
        <w:tc>
          <w:tcPr>
            <w:tcW w:w="1134" w:type="dxa"/>
            <w:tcBorders>
              <w:top w:val="nil"/>
              <w:left w:val="nil"/>
              <w:bottom w:val="single" w:sz="4" w:space="0" w:color="auto"/>
              <w:right w:val="single" w:sz="4" w:space="0" w:color="auto"/>
            </w:tcBorders>
            <w:shd w:val="clear" w:color="000000" w:fill="FFFFFF"/>
            <w:noWrap/>
            <w:vAlign w:val="bottom"/>
            <w:hideMark/>
          </w:tcPr>
          <w:p w14:paraId="19F073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127,3</w:t>
            </w:r>
          </w:p>
        </w:tc>
        <w:tc>
          <w:tcPr>
            <w:tcW w:w="1277" w:type="dxa"/>
            <w:tcBorders>
              <w:top w:val="nil"/>
              <w:left w:val="nil"/>
              <w:bottom w:val="single" w:sz="4" w:space="0" w:color="auto"/>
              <w:right w:val="single" w:sz="4" w:space="0" w:color="auto"/>
            </w:tcBorders>
            <w:shd w:val="clear" w:color="000000" w:fill="FFFFFF"/>
            <w:noWrap/>
            <w:vAlign w:val="bottom"/>
            <w:hideMark/>
          </w:tcPr>
          <w:p w14:paraId="387ECA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4 120,3</w:t>
            </w:r>
          </w:p>
        </w:tc>
        <w:tc>
          <w:tcPr>
            <w:tcW w:w="1040" w:type="dxa"/>
            <w:tcBorders>
              <w:top w:val="nil"/>
              <w:left w:val="nil"/>
              <w:bottom w:val="single" w:sz="4" w:space="0" w:color="auto"/>
              <w:right w:val="single" w:sz="4" w:space="0" w:color="auto"/>
            </w:tcBorders>
            <w:shd w:val="clear" w:color="000000" w:fill="FFFFFF"/>
            <w:noWrap/>
            <w:vAlign w:val="bottom"/>
            <w:hideMark/>
          </w:tcPr>
          <w:p w14:paraId="7326C6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168,3</w:t>
            </w:r>
          </w:p>
        </w:tc>
        <w:tc>
          <w:tcPr>
            <w:tcW w:w="1087" w:type="dxa"/>
            <w:tcBorders>
              <w:top w:val="nil"/>
              <w:left w:val="nil"/>
              <w:bottom w:val="single" w:sz="4" w:space="0" w:color="auto"/>
              <w:right w:val="single" w:sz="4" w:space="0" w:color="auto"/>
            </w:tcBorders>
            <w:shd w:val="clear" w:color="000000" w:fill="FFFFFF"/>
            <w:noWrap/>
            <w:vAlign w:val="bottom"/>
            <w:hideMark/>
          </w:tcPr>
          <w:p w14:paraId="31AB3E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252,8</w:t>
            </w:r>
          </w:p>
        </w:tc>
        <w:tc>
          <w:tcPr>
            <w:tcW w:w="1040" w:type="dxa"/>
            <w:tcBorders>
              <w:top w:val="nil"/>
              <w:left w:val="nil"/>
              <w:bottom w:val="single" w:sz="4" w:space="0" w:color="auto"/>
              <w:right w:val="single" w:sz="4" w:space="0" w:color="auto"/>
            </w:tcBorders>
            <w:shd w:val="clear" w:color="000000" w:fill="FFFFFF"/>
            <w:noWrap/>
            <w:vAlign w:val="bottom"/>
            <w:hideMark/>
          </w:tcPr>
          <w:p w14:paraId="119164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224,8</w:t>
            </w:r>
          </w:p>
        </w:tc>
        <w:tc>
          <w:tcPr>
            <w:tcW w:w="1226" w:type="dxa"/>
            <w:tcBorders>
              <w:top w:val="nil"/>
              <w:left w:val="nil"/>
              <w:bottom w:val="single" w:sz="4" w:space="0" w:color="auto"/>
              <w:right w:val="single" w:sz="4" w:space="0" w:color="auto"/>
            </w:tcBorders>
            <w:shd w:val="clear" w:color="000000" w:fill="FFFFFF"/>
            <w:noWrap/>
            <w:vAlign w:val="bottom"/>
            <w:hideMark/>
          </w:tcPr>
          <w:p w14:paraId="11D969E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F97A61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DDBF16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Две могили</w:t>
            </w:r>
          </w:p>
        </w:tc>
        <w:tc>
          <w:tcPr>
            <w:tcW w:w="1911" w:type="dxa"/>
            <w:tcBorders>
              <w:top w:val="nil"/>
              <w:left w:val="nil"/>
              <w:bottom w:val="single" w:sz="4" w:space="0" w:color="auto"/>
              <w:right w:val="single" w:sz="4" w:space="0" w:color="auto"/>
            </w:tcBorders>
            <w:shd w:val="clear" w:color="000000" w:fill="FFFFFF"/>
            <w:noWrap/>
            <w:vAlign w:val="bottom"/>
            <w:hideMark/>
          </w:tcPr>
          <w:p w14:paraId="49C822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5 060,8</w:t>
            </w:r>
          </w:p>
        </w:tc>
        <w:tc>
          <w:tcPr>
            <w:tcW w:w="1118" w:type="dxa"/>
            <w:tcBorders>
              <w:top w:val="nil"/>
              <w:left w:val="nil"/>
              <w:bottom w:val="single" w:sz="4" w:space="0" w:color="auto"/>
              <w:right w:val="single" w:sz="4" w:space="0" w:color="auto"/>
            </w:tcBorders>
            <w:shd w:val="clear" w:color="000000" w:fill="FFFFFF"/>
            <w:noWrap/>
            <w:vAlign w:val="bottom"/>
            <w:hideMark/>
          </w:tcPr>
          <w:p w14:paraId="1DDDAA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870,0</w:t>
            </w:r>
          </w:p>
        </w:tc>
        <w:tc>
          <w:tcPr>
            <w:tcW w:w="1257" w:type="dxa"/>
            <w:tcBorders>
              <w:top w:val="nil"/>
              <w:left w:val="nil"/>
              <w:bottom w:val="single" w:sz="4" w:space="0" w:color="auto"/>
              <w:right w:val="single" w:sz="4" w:space="0" w:color="auto"/>
            </w:tcBorders>
            <w:shd w:val="clear" w:color="000000" w:fill="FFFFFF"/>
            <w:noWrap/>
            <w:vAlign w:val="bottom"/>
            <w:hideMark/>
          </w:tcPr>
          <w:p w14:paraId="5BD0C7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210,6</w:t>
            </w:r>
          </w:p>
        </w:tc>
        <w:tc>
          <w:tcPr>
            <w:tcW w:w="1384" w:type="dxa"/>
            <w:tcBorders>
              <w:top w:val="nil"/>
              <w:left w:val="nil"/>
              <w:bottom w:val="single" w:sz="4" w:space="0" w:color="auto"/>
              <w:right w:val="single" w:sz="4" w:space="0" w:color="auto"/>
            </w:tcBorders>
            <w:shd w:val="clear" w:color="000000" w:fill="FFFFFF"/>
            <w:noWrap/>
            <w:vAlign w:val="bottom"/>
            <w:hideMark/>
          </w:tcPr>
          <w:p w14:paraId="737314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659,4</w:t>
            </w:r>
          </w:p>
        </w:tc>
        <w:tc>
          <w:tcPr>
            <w:tcW w:w="1134" w:type="dxa"/>
            <w:tcBorders>
              <w:top w:val="nil"/>
              <w:left w:val="nil"/>
              <w:bottom w:val="single" w:sz="4" w:space="0" w:color="auto"/>
              <w:right w:val="single" w:sz="4" w:space="0" w:color="auto"/>
            </w:tcBorders>
            <w:shd w:val="clear" w:color="000000" w:fill="FFFFFF"/>
            <w:noWrap/>
            <w:vAlign w:val="bottom"/>
            <w:hideMark/>
          </w:tcPr>
          <w:p w14:paraId="20DCB2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132,2</w:t>
            </w:r>
          </w:p>
        </w:tc>
        <w:tc>
          <w:tcPr>
            <w:tcW w:w="1277" w:type="dxa"/>
            <w:tcBorders>
              <w:top w:val="nil"/>
              <w:left w:val="nil"/>
              <w:bottom w:val="single" w:sz="4" w:space="0" w:color="auto"/>
              <w:right w:val="single" w:sz="4" w:space="0" w:color="auto"/>
            </w:tcBorders>
            <w:shd w:val="clear" w:color="000000" w:fill="FFFFFF"/>
            <w:noWrap/>
            <w:vAlign w:val="bottom"/>
            <w:hideMark/>
          </w:tcPr>
          <w:p w14:paraId="4DCB88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2 979,7</w:t>
            </w:r>
          </w:p>
        </w:tc>
        <w:tc>
          <w:tcPr>
            <w:tcW w:w="1040" w:type="dxa"/>
            <w:tcBorders>
              <w:top w:val="nil"/>
              <w:left w:val="nil"/>
              <w:bottom w:val="single" w:sz="4" w:space="0" w:color="auto"/>
              <w:right w:val="single" w:sz="4" w:space="0" w:color="auto"/>
            </w:tcBorders>
            <w:shd w:val="clear" w:color="000000" w:fill="FFFFFF"/>
            <w:noWrap/>
            <w:vAlign w:val="bottom"/>
            <w:hideMark/>
          </w:tcPr>
          <w:p w14:paraId="144901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85,4</w:t>
            </w:r>
          </w:p>
        </w:tc>
        <w:tc>
          <w:tcPr>
            <w:tcW w:w="1087" w:type="dxa"/>
            <w:tcBorders>
              <w:top w:val="nil"/>
              <w:left w:val="nil"/>
              <w:bottom w:val="single" w:sz="4" w:space="0" w:color="auto"/>
              <w:right w:val="single" w:sz="4" w:space="0" w:color="auto"/>
            </w:tcBorders>
            <w:shd w:val="clear" w:color="000000" w:fill="FFFFFF"/>
            <w:noWrap/>
            <w:vAlign w:val="bottom"/>
            <w:hideMark/>
          </w:tcPr>
          <w:p w14:paraId="4FD961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802,4</w:t>
            </w:r>
          </w:p>
        </w:tc>
        <w:tc>
          <w:tcPr>
            <w:tcW w:w="1040" w:type="dxa"/>
            <w:tcBorders>
              <w:top w:val="nil"/>
              <w:left w:val="nil"/>
              <w:bottom w:val="single" w:sz="4" w:space="0" w:color="auto"/>
              <w:right w:val="single" w:sz="4" w:space="0" w:color="auto"/>
            </w:tcBorders>
            <w:shd w:val="clear" w:color="000000" w:fill="FFFFFF"/>
            <w:noWrap/>
            <w:vAlign w:val="bottom"/>
            <w:hideMark/>
          </w:tcPr>
          <w:p w14:paraId="617529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66C005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6F2840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7CAF79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Иваново</w:t>
            </w:r>
          </w:p>
        </w:tc>
        <w:tc>
          <w:tcPr>
            <w:tcW w:w="1911" w:type="dxa"/>
            <w:tcBorders>
              <w:top w:val="nil"/>
              <w:left w:val="nil"/>
              <w:bottom w:val="single" w:sz="4" w:space="0" w:color="auto"/>
              <w:right w:val="single" w:sz="4" w:space="0" w:color="auto"/>
            </w:tcBorders>
            <w:shd w:val="clear" w:color="000000" w:fill="FFFFFF"/>
            <w:noWrap/>
            <w:vAlign w:val="bottom"/>
            <w:hideMark/>
          </w:tcPr>
          <w:p w14:paraId="30899A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2 996,7</w:t>
            </w:r>
          </w:p>
        </w:tc>
        <w:tc>
          <w:tcPr>
            <w:tcW w:w="1118" w:type="dxa"/>
            <w:tcBorders>
              <w:top w:val="nil"/>
              <w:left w:val="nil"/>
              <w:bottom w:val="single" w:sz="4" w:space="0" w:color="auto"/>
              <w:right w:val="single" w:sz="4" w:space="0" w:color="auto"/>
            </w:tcBorders>
            <w:shd w:val="clear" w:color="000000" w:fill="FFFFFF"/>
            <w:noWrap/>
            <w:vAlign w:val="bottom"/>
            <w:hideMark/>
          </w:tcPr>
          <w:p w14:paraId="29FAD1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851,7</w:t>
            </w:r>
          </w:p>
        </w:tc>
        <w:tc>
          <w:tcPr>
            <w:tcW w:w="1257" w:type="dxa"/>
            <w:tcBorders>
              <w:top w:val="nil"/>
              <w:left w:val="nil"/>
              <w:bottom w:val="single" w:sz="4" w:space="0" w:color="auto"/>
              <w:right w:val="single" w:sz="4" w:space="0" w:color="auto"/>
            </w:tcBorders>
            <w:shd w:val="clear" w:color="000000" w:fill="FFFFFF"/>
            <w:noWrap/>
            <w:vAlign w:val="bottom"/>
            <w:hideMark/>
          </w:tcPr>
          <w:p w14:paraId="163AE0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224,0</w:t>
            </w:r>
          </w:p>
        </w:tc>
        <w:tc>
          <w:tcPr>
            <w:tcW w:w="1384" w:type="dxa"/>
            <w:tcBorders>
              <w:top w:val="nil"/>
              <w:left w:val="nil"/>
              <w:bottom w:val="single" w:sz="4" w:space="0" w:color="auto"/>
              <w:right w:val="single" w:sz="4" w:space="0" w:color="auto"/>
            </w:tcBorders>
            <w:shd w:val="clear" w:color="000000" w:fill="FFFFFF"/>
            <w:noWrap/>
            <w:vAlign w:val="bottom"/>
            <w:hideMark/>
          </w:tcPr>
          <w:p w14:paraId="6BC208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627,7</w:t>
            </w:r>
          </w:p>
        </w:tc>
        <w:tc>
          <w:tcPr>
            <w:tcW w:w="1134" w:type="dxa"/>
            <w:tcBorders>
              <w:top w:val="nil"/>
              <w:left w:val="nil"/>
              <w:bottom w:val="single" w:sz="4" w:space="0" w:color="auto"/>
              <w:right w:val="single" w:sz="4" w:space="0" w:color="auto"/>
            </w:tcBorders>
            <w:shd w:val="clear" w:color="000000" w:fill="FFFFFF"/>
            <w:noWrap/>
            <w:vAlign w:val="bottom"/>
            <w:hideMark/>
          </w:tcPr>
          <w:p w14:paraId="0DE021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107,8</w:t>
            </w:r>
          </w:p>
        </w:tc>
        <w:tc>
          <w:tcPr>
            <w:tcW w:w="1277" w:type="dxa"/>
            <w:tcBorders>
              <w:top w:val="nil"/>
              <w:left w:val="nil"/>
              <w:bottom w:val="single" w:sz="4" w:space="0" w:color="auto"/>
              <w:right w:val="single" w:sz="4" w:space="0" w:color="auto"/>
            </w:tcBorders>
            <w:shd w:val="clear" w:color="000000" w:fill="FFFFFF"/>
            <w:noWrap/>
            <w:vAlign w:val="bottom"/>
            <w:hideMark/>
          </w:tcPr>
          <w:p w14:paraId="6A792A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1 400,9</w:t>
            </w:r>
          </w:p>
        </w:tc>
        <w:tc>
          <w:tcPr>
            <w:tcW w:w="1040" w:type="dxa"/>
            <w:tcBorders>
              <w:top w:val="nil"/>
              <w:left w:val="nil"/>
              <w:bottom w:val="single" w:sz="4" w:space="0" w:color="auto"/>
              <w:right w:val="single" w:sz="4" w:space="0" w:color="auto"/>
            </w:tcBorders>
            <w:shd w:val="clear" w:color="000000" w:fill="FFFFFF"/>
            <w:noWrap/>
            <w:vAlign w:val="bottom"/>
            <w:hideMark/>
          </w:tcPr>
          <w:p w14:paraId="457116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31,9</w:t>
            </w:r>
          </w:p>
        </w:tc>
        <w:tc>
          <w:tcPr>
            <w:tcW w:w="1087" w:type="dxa"/>
            <w:tcBorders>
              <w:top w:val="nil"/>
              <w:left w:val="nil"/>
              <w:bottom w:val="single" w:sz="4" w:space="0" w:color="auto"/>
              <w:right w:val="single" w:sz="4" w:space="0" w:color="auto"/>
            </w:tcBorders>
            <w:shd w:val="clear" w:color="000000" w:fill="FFFFFF"/>
            <w:noWrap/>
            <w:vAlign w:val="bottom"/>
            <w:hideMark/>
          </w:tcPr>
          <w:p w14:paraId="1E751F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334,6</w:t>
            </w:r>
          </w:p>
        </w:tc>
        <w:tc>
          <w:tcPr>
            <w:tcW w:w="1040" w:type="dxa"/>
            <w:tcBorders>
              <w:top w:val="nil"/>
              <w:left w:val="nil"/>
              <w:bottom w:val="single" w:sz="4" w:space="0" w:color="auto"/>
              <w:right w:val="single" w:sz="4" w:space="0" w:color="auto"/>
            </w:tcBorders>
            <w:shd w:val="clear" w:color="000000" w:fill="FFFFFF"/>
            <w:noWrap/>
            <w:vAlign w:val="bottom"/>
            <w:hideMark/>
          </w:tcPr>
          <w:p w14:paraId="0E4245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269,8</w:t>
            </w:r>
          </w:p>
        </w:tc>
        <w:tc>
          <w:tcPr>
            <w:tcW w:w="1226" w:type="dxa"/>
            <w:tcBorders>
              <w:top w:val="nil"/>
              <w:left w:val="nil"/>
              <w:bottom w:val="single" w:sz="4" w:space="0" w:color="auto"/>
              <w:right w:val="single" w:sz="4" w:space="0" w:color="auto"/>
            </w:tcBorders>
            <w:shd w:val="clear" w:color="000000" w:fill="FFFFFF"/>
            <w:noWrap/>
            <w:vAlign w:val="bottom"/>
            <w:hideMark/>
          </w:tcPr>
          <w:p w14:paraId="1F6F2B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595C42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0BF794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Pусе</w:t>
            </w:r>
          </w:p>
        </w:tc>
        <w:tc>
          <w:tcPr>
            <w:tcW w:w="1911" w:type="dxa"/>
            <w:tcBorders>
              <w:top w:val="nil"/>
              <w:left w:val="nil"/>
              <w:bottom w:val="single" w:sz="4" w:space="0" w:color="auto"/>
              <w:right w:val="single" w:sz="4" w:space="0" w:color="auto"/>
            </w:tcBorders>
            <w:shd w:val="clear" w:color="000000" w:fill="FFFFFF"/>
            <w:noWrap/>
            <w:vAlign w:val="bottom"/>
            <w:hideMark/>
          </w:tcPr>
          <w:p w14:paraId="6C9C5A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84 563,5</w:t>
            </w:r>
          </w:p>
        </w:tc>
        <w:tc>
          <w:tcPr>
            <w:tcW w:w="1118" w:type="dxa"/>
            <w:tcBorders>
              <w:top w:val="nil"/>
              <w:left w:val="nil"/>
              <w:bottom w:val="single" w:sz="4" w:space="0" w:color="auto"/>
              <w:right w:val="single" w:sz="4" w:space="0" w:color="auto"/>
            </w:tcBorders>
            <w:shd w:val="clear" w:color="000000" w:fill="FFFFFF"/>
            <w:noWrap/>
            <w:vAlign w:val="bottom"/>
            <w:hideMark/>
          </w:tcPr>
          <w:p w14:paraId="45574B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4 989,8</w:t>
            </w:r>
          </w:p>
        </w:tc>
        <w:tc>
          <w:tcPr>
            <w:tcW w:w="1257" w:type="dxa"/>
            <w:tcBorders>
              <w:top w:val="nil"/>
              <w:left w:val="nil"/>
              <w:bottom w:val="single" w:sz="4" w:space="0" w:color="auto"/>
              <w:right w:val="single" w:sz="4" w:space="0" w:color="auto"/>
            </w:tcBorders>
            <w:shd w:val="clear" w:color="000000" w:fill="FFFFFF"/>
            <w:noWrap/>
            <w:vAlign w:val="bottom"/>
            <w:hideMark/>
          </w:tcPr>
          <w:p w14:paraId="40F908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272,9</w:t>
            </w:r>
          </w:p>
        </w:tc>
        <w:tc>
          <w:tcPr>
            <w:tcW w:w="1384" w:type="dxa"/>
            <w:tcBorders>
              <w:top w:val="nil"/>
              <w:left w:val="nil"/>
              <w:bottom w:val="single" w:sz="4" w:space="0" w:color="auto"/>
              <w:right w:val="single" w:sz="4" w:space="0" w:color="auto"/>
            </w:tcBorders>
            <w:shd w:val="clear" w:color="000000" w:fill="FFFFFF"/>
            <w:noWrap/>
            <w:vAlign w:val="bottom"/>
            <w:hideMark/>
          </w:tcPr>
          <w:p w14:paraId="2CD398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4 716,9</w:t>
            </w:r>
          </w:p>
        </w:tc>
        <w:tc>
          <w:tcPr>
            <w:tcW w:w="1134" w:type="dxa"/>
            <w:tcBorders>
              <w:top w:val="nil"/>
              <w:left w:val="nil"/>
              <w:bottom w:val="single" w:sz="4" w:space="0" w:color="auto"/>
              <w:right w:val="single" w:sz="4" w:space="0" w:color="auto"/>
            </w:tcBorders>
            <w:shd w:val="clear" w:color="000000" w:fill="FFFFFF"/>
            <w:noWrap/>
            <w:vAlign w:val="bottom"/>
            <w:hideMark/>
          </w:tcPr>
          <w:p w14:paraId="4C88CC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360,8</w:t>
            </w:r>
          </w:p>
        </w:tc>
        <w:tc>
          <w:tcPr>
            <w:tcW w:w="1277" w:type="dxa"/>
            <w:tcBorders>
              <w:top w:val="nil"/>
              <w:left w:val="nil"/>
              <w:bottom w:val="single" w:sz="4" w:space="0" w:color="auto"/>
              <w:right w:val="single" w:sz="4" w:space="0" w:color="auto"/>
            </w:tcBorders>
            <w:shd w:val="clear" w:color="000000" w:fill="FFFFFF"/>
            <w:noWrap/>
            <w:vAlign w:val="bottom"/>
            <w:hideMark/>
          </w:tcPr>
          <w:p w14:paraId="372883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52 274,0</w:t>
            </w:r>
          </w:p>
        </w:tc>
        <w:tc>
          <w:tcPr>
            <w:tcW w:w="1040" w:type="dxa"/>
            <w:tcBorders>
              <w:top w:val="nil"/>
              <w:left w:val="nil"/>
              <w:bottom w:val="single" w:sz="4" w:space="0" w:color="auto"/>
              <w:right w:val="single" w:sz="4" w:space="0" w:color="auto"/>
            </w:tcBorders>
            <w:shd w:val="clear" w:color="000000" w:fill="FFFFFF"/>
            <w:noWrap/>
            <w:vAlign w:val="bottom"/>
            <w:hideMark/>
          </w:tcPr>
          <w:p w14:paraId="2856C0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6 303,9</w:t>
            </w:r>
          </w:p>
        </w:tc>
        <w:tc>
          <w:tcPr>
            <w:tcW w:w="1087" w:type="dxa"/>
            <w:tcBorders>
              <w:top w:val="nil"/>
              <w:left w:val="nil"/>
              <w:bottom w:val="single" w:sz="4" w:space="0" w:color="auto"/>
              <w:right w:val="single" w:sz="4" w:space="0" w:color="auto"/>
            </w:tcBorders>
            <w:shd w:val="clear" w:color="000000" w:fill="FFFFFF"/>
            <w:noWrap/>
            <w:vAlign w:val="bottom"/>
            <w:hideMark/>
          </w:tcPr>
          <w:p w14:paraId="2322B4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17 567,3</w:t>
            </w:r>
          </w:p>
        </w:tc>
        <w:tc>
          <w:tcPr>
            <w:tcW w:w="1040" w:type="dxa"/>
            <w:tcBorders>
              <w:top w:val="nil"/>
              <w:left w:val="nil"/>
              <w:bottom w:val="single" w:sz="4" w:space="0" w:color="auto"/>
              <w:right w:val="single" w:sz="4" w:space="0" w:color="auto"/>
            </w:tcBorders>
            <w:shd w:val="clear" w:color="000000" w:fill="FFFFFF"/>
            <w:noWrap/>
            <w:vAlign w:val="bottom"/>
            <w:hideMark/>
          </w:tcPr>
          <w:p w14:paraId="0585BE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3 067,7</w:t>
            </w:r>
          </w:p>
        </w:tc>
        <w:tc>
          <w:tcPr>
            <w:tcW w:w="1226" w:type="dxa"/>
            <w:tcBorders>
              <w:top w:val="nil"/>
              <w:left w:val="nil"/>
              <w:bottom w:val="single" w:sz="4" w:space="0" w:color="auto"/>
              <w:right w:val="single" w:sz="4" w:space="0" w:color="auto"/>
            </w:tcBorders>
            <w:shd w:val="clear" w:color="000000" w:fill="FFFFFF"/>
            <w:noWrap/>
            <w:vAlign w:val="bottom"/>
            <w:hideMark/>
          </w:tcPr>
          <w:p w14:paraId="76EBF7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2ED838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D9225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Cливо поле</w:t>
            </w:r>
          </w:p>
        </w:tc>
        <w:tc>
          <w:tcPr>
            <w:tcW w:w="1911" w:type="dxa"/>
            <w:tcBorders>
              <w:top w:val="nil"/>
              <w:left w:val="nil"/>
              <w:bottom w:val="single" w:sz="4" w:space="0" w:color="auto"/>
              <w:right w:val="single" w:sz="4" w:space="0" w:color="auto"/>
            </w:tcBorders>
            <w:shd w:val="clear" w:color="000000" w:fill="FFFFFF"/>
            <w:noWrap/>
            <w:vAlign w:val="bottom"/>
            <w:hideMark/>
          </w:tcPr>
          <w:p w14:paraId="1ABEB84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5 180,9</w:t>
            </w:r>
          </w:p>
        </w:tc>
        <w:tc>
          <w:tcPr>
            <w:tcW w:w="1118" w:type="dxa"/>
            <w:tcBorders>
              <w:top w:val="nil"/>
              <w:left w:val="nil"/>
              <w:bottom w:val="single" w:sz="4" w:space="0" w:color="auto"/>
              <w:right w:val="single" w:sz="4" w:space="0" w:color="auto"/>
            </w:tcBorders>
            <w:shd w:val="clear" w:color="000000" w:fill="FFFFFF"/>
            <w:noWrap/>
            <w:vAlign w:val="bottom"/>
            <w:hideMark/>
          </w:tcPr>
          <w:p w14:paraId="21AF3B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957,5</w:t>
            </w:r>
          </w:p>
        </w:tc>
        <w:tc>
          <w:tcPr>
            <w:tcW w:w="1257" w:type="dxa"/>
            <w:tcBorders>
              <w:top w:val="nil"/>
              <w:left w:val="nil"/>
              <w:bottom w:val="single" w:sz="4" w:space="0" w:color="auto"/>
              <w:right w:val="single" w:sz="4" w:space="0" w:color="auto"/>
            </w:tcBorders>
            <w:shd w:val="clear" w:color="000000" w:fill="FFFFFF"/>
            <w:noWrap/>
            <w:vAlign w:val="bottom"/>
            <w:hideMark/>
          </w:tcPr>
          <w:p w14:paraId="5A7761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205,4</w:t>
            </w:r>
          </w:p>
        </w:tc>
        <w:tc>
          <w:tcPr>
            <w:tcW w:w="1384" w:type="dxa"/>
            <w:tcBorders>
              <w:top w:val="nil"/>
              <w:left w:val="nil"/>
              <w:bottom w:val="single" w:sz="4" w:space="0" w:color="auto"/>
              <w:right w:val="single" w:sz="4" w:space="0" w:color="auto"/>
            </w:tcBorders>
            <w:shd w:val="clear" w:color="000000" w:fill="FFFFFF"/>
            <w:noWrap/>
            <w:vAlign w:val="bottom"/>
            <w:hideMark/>
          </w:tcPr>
          <w:p w14:paraId="30DE27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752,1</w:t>
            </w:r>
          </w:p>
        </w:tc>
        <w:tc>
          <w:tcPr>
            <w:tcW w:w="1134" w:type="dxa"/>
            <w:tcBorders>
              <w:top w:val="nil"/>
              <w:left w:val="nil"/>
              <w:bottom w:val="single" w:sz="4" w:space="0" w:color="auto"/>
              <w:right w:val="single" w:sz="4" w:space="0" w:color="auto"/>
            </w:tcBorders>
            <w:shd w:val="clear" w:color="000000" w:fill="FFFFFF"/>
            <w:noWrap/>
            <w:vAlign w:val="bottom"/>
            <w:hideMark/>
          </w:tcPr>
          <w:p w14:paraId="559DBA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121,2</w:t>
            </w:r>
          </w:p>
        </w:tc>
        <w:tc>
          <w:tcPr>
            <w:tcW w:w="1277" w:type="dxa"/>
            <w:tcBorders>
              <w:top w:val="nil"/>
              <w:left w:val="nil"/>
              <w:bottom w:val="single" w:sz="4" w:space="0" w:color="auto"/>
              <w:right w:val="single" w:sz="4" w:space="0" w:color="auto"/>
            </w:tcBorders>
            <w:shd w:val="clear" w:color="000000" w:fill="FFFFFF"/>
            <w:noWrap/>
            <w:vAlign w:val="bottom"/>
            <w:hideMark/>
          </w:tcPr>
          <w:p w14:paraId="1F1912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2 991,6</w:t>
            </w:r>
          </w:p>
        </w:tc>
        <w:tc>
          <w:tcPr>
            <w:tcW w:w="1040" w:type="dxa"/>
            <w:tcBorders>
              <w:top w:val="nil"/>
              <w:left w:val="nil"/>
              <w:bottom w:val="single" w:sz="4" w:space="0" w:color="auto"/>
              <w:right w:val="single" w:sz="4" w:space="0" w:color="auto"/>
            </w:tcBorders>
            <w:shd w:val="clear" w:color="000000" w:fill="FFFFFF"/>
            <w:noWrap/>
            <w:vAlign w:val="bottom"/>
            <w:hideMark/>
          </w:tcPr>
          <w:p w14:paraId="1FD860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81,0</w:t>
            </w:r>
          </w:p>
        </w:tc>
        <w:tc>
          <w:tcPr>
            <w:tcW w:w="1087" w:type="dxa"/>
            <w:tcBorders>
              <w:top w:val="nil"/>
              <w:left w:val="nil"/>
              <w:bottom w:val="single" w:sz="4" w:space="0" w:color="auto"/>
              <w:right w:val="single" w:sz="4" w:space="0" w:color="auto"/>
            </w:tcBorders>
            <w:shd w:val="clear" w:color="000000" w:fill="FFFFFF"/>
            <w:noWrap/>
            <w:vAlign w:val="bottom"/>
            <w:hideMark/>
          </w:tcPr>
          <w:p w14:paraId="4B09BE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804,8</w:t>
            </w:r>
          </w:p>
        </w:tc>
        <w:tc>
          <w:tcPr>
            <w:tcW w:w="1040" w:type="dxa"/>
            <w:tcBorders>
              <w:top w:val="nil"/>
              <w:left w:val="nil"/>
              <w:bottom w:val="single" w:sz="4" w:space="0" w:color="auto"/>
              <w:right w:val="single" w:sz="4" w:space="0" w:color="auto"/>
            </w:tcBorders>
            <w:shd w:val="clear" w:color="000000" w:fill="FFFFFF"/>
            <w:noWrap/>
            <w:vAlign w:val="bottom"/>
            <w:hideMark/>
          </w:tcPr>
          <w:p w14:paraId="4FDC47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224,8</w:t>
            </w:r>
          </w:p>
        </w:tc>
        <w:tc>
          <w:tcPr>
            <w:tcW w:w="1226" w:type="dxa"/>
            <w:tcBorders>
              <w:top w:val="nil"/>
              <w:left w:val="nil"/>
              <w:bottom w:val="single" w:sz="4" w:space="0" w:color="auto"/>
              <w:right w:val="single" w:sz="4" w:space="0" w:color="auto"/>
            </w:tcBorders>
            <w:shd w:val="clear" w:color="000000" w:fill="FFFFFF"/>
            <w:noWrap/>
            <w:vAlign w:val="bottom"/>
            <w:hideMark/>
          </w:tcPr>
          <w:p w14:paraId="50B961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3A638F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CDBBD1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Ценово</w:t>
            </w:r>
          </w:p>
        </w:tc>
        <w:tc>
          <w:tcPr>
            <w:tcW w:w="1911" w:type="dxa"/>
            <w:tcBorders>
              <w:top w:val="nil"/>
              <w:left w:val="nil"/>
              <w:bottom w:val="single" w:sz="4" w:space="0" w:color="auto"/>
              <w:right w:val="single" w:sz="4" w:space="0" w:color="auto"/>
            </w:tcBorders>
            <w:shd w:val="clear" w:color="000000" w:fill="FFFFFF"/>
            <w:noWrap/>
            <w:vAlign w:val="bottom"/>
            <w:hideMark/>
          </w:tcPr>
          <w:p w14:paraId="34F2F1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2 545,7</w:t>
            </w:r>
          </w:p>
        </w:tc>
        <w:tc>
          <w:tcPr>
            <w:tcW w:w="1118" w:type="dxa"/>
            <w:tcBorders>
              <w:top w:val="nil"/>
              <w:left w:val="nil"/>
              <w:bottom w:val="single" w:sz="4" w:space="0" w:color="auto"/>
              <w:right w:val="single" w:sz="4" w:space="0" w:color="auto"/>
            </w:tcBorders>
            <w:shd w:val="clear" w:color="000000" w:fill="FFFFFF"/>
            <w:noWrap/>
            <w:vAlign w:val="bottom"/>
            <w:hideMark/>
          </w:tcPr>
          <w:p w14:paraId="67185E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702,5</w:t>
            </w:r>
          </w:p>
        </w:tc>
        <w:tc>
          <w:tcPr>
            <w:tcW w:w="1257" w:type="dxa"/>
            <w:tcBorders>
              <w:top w:val="nil"/>
              <w:left w:val="nil"/>
              <w:bottom w:val="single" w:sz="4" w:space="0" w:color="auto"/>
              <w:right w:val="single" w:sz="4" w:space="0" w:color="auto"/>
            </w:tcBorders>
            <w:shd w:val="clear" w:color="000000" w:fill="FFFFFF"/>
            <w:noWrap/>
            <w:vAlign w:val="bottom"/>
            <w:hideMark/>
          </w:tcPr>
          <w:p w14:paraId="2CDC9F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165,2</w:t>
            </w:r>
          </w:p>
        </w:tc>
        <w:tc>
          <w:tcPr>
            <w:tcW w:w="1384" w:type="dxa"/>
            <w:tcBorders>
              <w:top w:val="nil"/>
              <w:left w:val="nil"/>
              <w:bottom w:val="single" w:sz="4" w:space="0" w:color="auto"/>
              <w:right w:val="single" w:sz="4" w:space="0" w:color="auto"/>
            </w:tcBorders>
            <w:shd w:val="clear" w:color="000000" w:fill="FFFFFF"/>
            <w:noWrap/>
            <w:vAlign w:val="bottom"/>
            <w:hideMark/>
          </w:tcPr>
          <w:p w14:paraId="26E15F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537,3</w:t>
            </w:r>
          </w:p>
        </w:tc>
        <w:tc>
          <w:tcPr>
            <w:tcW w:w="1134" w:type="dxa"/>
            <w:tcBorders>
              <w:top w:val="nil"/>
              <w:left w:val="nil"/>
              <w:bottom w:val="single" w:sz="4" w:space="0" w:color="auto"/>
              <w:right w:val="single" w:sz="4" w:space="0" w:color="auto"/>
            </w:tcBorders>
            <w:shd w:val="clear" w:color="000000" w:fill="FFFFFF"/>
            <w:noWrap/>
            <w:vAlign w:val="bottom"/>
            <w:hideMark/>
          </w:tcPr>
          <w:p w14:paraId="2F1101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103,7</w:t>
            </w:r>
          </w:p>
        </w:tc>
        <w:tc>
          <w:tcPr>
            <w:tcW w:w="1277" w:type="dxa"/>
            <w:tcBorders>
              <w:top w:val="nil"/>
              <w:left w:val="nil"/>
              <w:bottom w:val="single" w:sz="4" w:space="0" w:color="auto"/>
              <w:right w:val="single" w:sz="4" w:space="0" w:color="auto"/>
            </w:tcBorders>
            <w:shd w:val="clear" w:color="000000" w:fill="FFFFFF"/>
            <w:noWrap/>
            <w:vAlign w:val="bottom"/>
            <w:hideMark/>
          </w:tcPr>
          <w:p w14:paraId="3A6357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1 181,1</w:t>
            </w:r>
          </w:p>
        </w:tc>
        <w:tc>
          <w:tcPr>
            <w:tcW w:w="1040" w:type="dxa"/>
            <w:tcBorders>
              <w:top w:val="nil"/>
              <w:left w:val="nil"/>
              <w:bottom w:val="single" w:sz="4" w:space="0" w:color="auto"/>
              <w:right w:val="single" w:sz="4" w:space="0" w:color="auto"/>
            </w:tcBorders>
            <w:shd w:val="clear" w:color="000000" w:fill="FFFFFF"/>
            <w:noWrap/>
            <w:vAlign w:val="bottom"/>
            <w:hideMark/>
          </w:tcPr>
          <w:p w14:paraId="102A21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33,4</w:t>
            </w:r>
          </w:p>
        </w:tc>
        <w:tc>
          <w:tcPr>
            <w:tcW w:w="1087" w:type="dxa"/>
            <w:tcBorders>
              <w:top w:val="nil"/>
              <w:left w:val="nil"/>
              <w:bottom w:val="single" w:sz="4" w:space="0" w:color="auto"/>
              <w:right w:val="single" w:sz="4" w:space="0" w:color="auto"/>
            </w:tcBorders>
            <w:shd w:val="clear" w:color="000000" w:fill="FFFFFF"/>
            <w:noWrap/>
            <w:vAlign w:val="bottom"/>
            <w:hideMark/>
          </w:tcPr>
          <w:p w14:paraId="3B50AF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311,4</w:t>
            </w:r>
          </w:p>
        </w:tc>
        <w:tc>
          <w:tcPr>
            <w:tcW w:w="1040" w:type="dxa"/>
            <w:tcBorders>
              <w:top w:val="nil"/>
              <w:left w:val="nil"/>
              <w:bottom w:val="single" w:sz="4" w:space="0" w:color="auto"/>
              <w:right w:val="single" w:sz="4" w:space="0" w:color="auto"/>
            </w:tcBorders>
            <w:shd w:val="clear" w:color="000000" w:fill="FFFFFF"/>
            <w:noWrap/>
            <w:vAlign w:val="bottom"/>
            <w:hideMark/>
          </w:tcPr>
          <w:p w14:paraId="217C0D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213,6</w:t>
            </w:r>
          </w:p>
        </w:tc>
        <w:tc>
          <w:tcPr>
            <w:tcW w:w="1226" w:type="dxa"/>
            <w:tcBorders>
              <w:top w:val="nil"/>
              <w:left w:val="nil"/>
              <w:bottom w:val="single" w:sz="4" w:space="0" w:color="auto"/>
              <w:right w:val="single" w:sz="4" w:space="0" w:color="auto"/>
            </w:tcBorders>
            <w:shd w:val="clear" w:color="000000" w:fill="FFFFFF"/>
            <w:noWrap/>
            <w:vAlign w:val="bottom"/>
            <w:hideMark/>
          </w:tcPr>
          <w:p w14:paraId="2F12146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003BD7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AE5463B"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48C43D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2B689E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679D49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180DA2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5E2225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5F152CF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A69F6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5E20EF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0986FE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6309F4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68B5D9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A886FB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ОБЛАСТ СИЛИСТРА</w:t>
            </w:r>
          </w:p>
        </w:tc>
        <w:tc>
          <w:tcPr>
            <w:tcW w:w="1911" w:type="dxa"/>
            <w:tcBorders>
              <w:top w:val="nil"/>
              <w:left w:val="nil"/>
              <w:bottom w:val="single" w:sz="4" w:space="0" w:color="auto"/>
              <w:right w:val="single" w:sz="4" w:space="0" w:color="auto"/>
            </w:tcBorders>
            <w:shd w:val="clear" w:color="000000" w:fill="FFFFFF"/>
            <w:noWrap/>
            <w:vAlign w:val="bottom"/>
            <w:hideMark/>
          </w:tcPr>
          <w:p w14:paraId="5F33D3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623FB2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40B3C3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B6A1FC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4151EC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7EEB21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D72EE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5D3080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8B785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2380FD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98005F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B9153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Aлфатар</w:t>
            </w:r>
          </w:p>
        </w:tc>
        <w:tc>
          <w:tcPr>
            <w:tcW w:w="1911" w:type="dxa"/>
            <w:tcBorders>
              <w:top w:val="nil"/>
              <w:left w:val="nil"/>
              <w:bottom w:val="single" w:sz="4" w:space="0" w:color="auto"/>
              <w:right w:val="single" w:sz="4" w:space="0" w:color="auto"/>
            </w:tcBorders>
            <w:shd w:val="clear" w:color="000000" w:fill="FFFFFF"/>
            <w:noWrap/>
            <w:vAlign w:val="bottom"/>
            <w:hideMark/>
          </w:tcPr>
          <w:p w14:paraId="2141F3B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3 739,4</w:t>
            </w:r>
          </w:p>
        </w:tc>
        <w:tc>
          <w:tcPr>
            <w:tcW w:w="1118" w:type="dxa"/>
            <w:tcBorders>
              <w:top w:val="nil"/>
              <w:left w:val="nil"/>
              <w:bottom w:val="single" w:sz="4" w:space="0" w:color="auto"/>
              <w:right w:val="single" w:sz="4" w:space="0" w:color="auto"/>
            </w:tcBorders>
            <w:shd w:val="clear" w:color="000000" w:fill="FFFFFF"/>
            <w:noWrap/>
            <w:vAlign w:val="bottom"/>
            <w:hideMark/>
          </w:tcPr>
          <w:p w14:paraId="7A2ED3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603,2</w:t>
            </w:r>
          </w:p>
        </w:tc>
        <w:tc>
          <w:tcPr>
            <w:tcW w:w="1257" w:type="dxa"/>
            <w:tcBorders>
              <w:top w:val="nil"/>
              <w:left w:val="nil"/>
              <w:bottom w:val="single" w:sz="4" w:space="0" w:color="auto"/>
              <w:right w:val="single" w:sz="4" w:space="0" w:color="auto"/>
            </w:tcBorders>
            <w:shd w:val="clear" w:color="000000" w:fill="FFFFFF"/>
            <w:noWrap/>
            <w:vAlign w:val="bottom"/>
            <w:hideMark/>
          </w:tcPr>
          <w:p w14:paraId="7185D4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128,1</w:t>
            </w:r>
          </w:p>
        </w:tc>
        <w:tc>
          <w:tcPr>
            <w:tcW w:w="1384" w:type="dxa"/>
            <w:tcBorders>
              <w:top w:val="nil"/>
              <w:left w:val="nil"/>
              <w:bottom w:val="single" w:sz="4" w:space="0" w:color="auto"/>
              <w:right w:val="single" w:sz="4" w:space="0" w:color="auto"/>
            </w:tcBorders>
            <w:shd w:val="clear" w:color="000000" w:fill="FFFFFF"/>
            <w:noWrap/>
            <w:vAlign w:val="bottom"/>
            <w:hideMark/>
          </w:tcPr>
          <w:p w14:paraId="3632B6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475,1</w:t>
            </w:r>
          </w:p>
        </w:tc>
        <w:tc>
          <w:tcPr>
            <w:tcW w:w="1134" w:type="dxa"/>
            <w:tcBorders>
              <w:top w:val="nil"/>
              <w:left w:val="nil"/>
              <w:bottom w:val="single" w:sz="4" w:space="0" w:color="auto"/>
              <w:right w:val="single" w:sz="4" w:space="0" w:color="auto"/>
            </w:tcBorders>
            <w:shd w:val="clear" w:color="000000" w:fill="FFFFFF"/>
            <w:noWrap/>
            <w:vAlign w:val="bottom"/>
            <w:hideMark/>
          </w:tcPr>
          <w:p w14:paraId="5299F8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131,8</w:t>
            </w:r>
          </w:p>
        </w:tc>
        <w:tc>
          <w:tcPr>
            <w:tcW w:w="1277" w:type="dxa"/>
            <w:tcBorders>
              <w:top w:val="nil"/>
              <w:left w:val="nil"/>
              <w:bottom w:val="single" w:sz="4" w:space="0" w:color="auto"/>
              <w:right w:val="single" w:sz="4" w:space="0" w:color="auto"/>
            </w:tcBorders>
            <w:shd w:val="clear" w:color="000000" w:fill="FFFFFF"/>
            <w:noWrap/>
            <w:vAlign w:val="bottom"/>
            <w:hideMark/>
          </w:tcPr>
          <w:p w14:paraId="77E435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753,3</w:t>
            </w:r>
          </w:p>
        </w:tc>
        <w:tc>
          <w:tcPr>
            <w:tcW w:w="1040" w:type="dxa"/>
            <w:tcBorders>
              <w:top w:val="nil"/>
              <w:left w:val="nil"/>
              <w:bottom w:val="single" w:sz="4" w:space="0" w:color="auto"/>
              <w:right w:val="single" w:sz="4" w:space="0" w:color="auto"/>
            </w:tcBorders>
            <w:shd w:val="clear" w:color="000000" w:fill="FFFFFF"/>
            <w:noWrap/>
            <w:vAlign w:val="bottom"/>
            <w:hideMark/>
          </w:tcPr>
          <w:p w14:paraId="08E9D5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w:t>
            </w:r>
          </w:p>
        </w:tc>
        <w:tc>
          <w:tcPr>
            <w:tcW w:w="1087" w:type="dxa"/>
            <w:tcBorders>
              <w:top w:val="nil"/>
              <w:left w:val="nil"/>
              <w:bottom w:val="single" w:sz="4" w:space="0" w:color="auto"/>
              <w:right w:val="single" w:sz="4" w:space="0" w:color="auto"/>
            </w:tcBorders>
            <w:shd w:val="clear" w:color="000000" w:fill="FFFFFF"/>
            <w:noWrap/>
            <w:vAlign w:val="bottom"/>
            <w:hideMark/>
          </w:tcPr>
          <w:p w14:paraId="0DA7C7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2 068,7</w:t>
            </w:r>
          </w:p>
        </w:tc>
        <w:tc>
          <w:tcPr>
            <w:tcW w:w="1040" w:type="dxa"/>
            <w:tcBorders>
              <w:top w:val="nil"/>
              <w:left w:val="nil"/>
              <w:bottom w:val="single" w:sz="4" w:space="0" w:color="auto"/>
              <w:right w:val="single" w:sz="4" w:space="0" w:color="auto"/>
            </w:tcBorders>
            <w:shd w:val="clear" w:color="000000" w:fill="FFFFFF"/>
            <w:noWrap/>
            <w:vAlign w:val="bottom"/>
            <w:hideMark/>
          </w:tcPr>
          <w:p w14:paraId="7899A69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3999B9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CFDE21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F72527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Главиница</w:t>
            </w:r>
          </w:p>
        </w:tc>
        <w:tc>
          <w:tcPr>
            <w:tcW w:w="1911" w:type="dxa"/>
            <w:tcBorders>
              <w:top w:val="nil"/>
              <w:left w:val="nil"/>
              <w:bottom w:val="single" w:sz="4" w:space="0" w:color="auto"/>
              <w:right w:val="single" w:sz="4" w:space="0" w:color="auto"/>
            </w:tcBorders>
            <w:shd w:val="clear" w:color="000000" w:fill="FFFFFF"/>
            <w:noWrap/>
            <w:vAlign w:val="bottom"/>
            <w:hideMark/>
          </w:tcPr>
          <w:p w14:paraId="7FD16DD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7 080,1</w:t>
            </w:r>
          </w:p>
        </w:tc>
        <w:tc>
          <w:tcPr>
            <w:tcW w:w="1118" w:type="dxa"/>
            <w:tcBorders>
              <w:top w:val="nil"/>
              <w:left w:val="nil"/>
              <w:bottom w:val="single" w:sz="4" w:space="0" w:color="auto"/>
              <w:right w:val="single" w:sz="4" w:space="0" w:color="auto"/>
            </w:tcBorders>
            <w:shd w:val="clear" w:color="000000" w:fill="FFFFFF"/>
            <w:noWrap/>
            <w:vAlign w:val="bottom"/>
            <w:hideMark/>
          </w:tcPr>
          <w:p w14:paraId="207106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1 192,4</w:t>
            </w:r>
          </w:p>
        </w:tc>
        <w:tc>
          <w:tcPr>
            <w:tcW w:w="1257" w:type="dxa"/>
            <w:tcBorders>
              <w:top w:val="nil"/>
              <w:left w:val="nil"/>
              <w:bottom w:val="single" w:sz="4" w:space="0" w:color="auto"/>
              <w:right w:val="single" w:sz="4" w:space="0" w:color="auto"/>
            </w:tcBorders>
            <w:shd w:val="clear" w:color="000000" w:fill="FFFFFF"/>
            <w:noWrap/>
            <w:vAlign w:val="bottom"/>
            <w:hideMark/>
          </w:tcPr>
          <w:p w14:paraId="2B0EDF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392,5</w:t>
            </w:r>
          </w:p>
        </w:tc>
        <w:tc>
          <w:tcPr>
            <w:tcW w:w="1384" w:type="dxa"/>
            <w:tcBorders>
              <w:top w:val="nil"/>
              <w:left w:val="nil"/>
              <w:bottom w:val="single" w:sz="4" w:space="0" w:color="auto"/>
              <w:right w:val="single" w:sz="4" w:space="0" w:color="auto"/>
            </w:tcBorders>
            <w:shd w:val="clear" w:color="000000" w:fill="FFFFFF"/>
            <w:noWrap/>
            <w:vAlign w:val="bottom"/>
            <w:hideMark/>
          </w:tcPr>
          <w:p w14:paraId="74B075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799,9</w:t>
            </w:r>
          </w:p>
        </w:tc>
        <w:tc>
          <w:tcPr>
            <w:tcW w:w="1134" w:type="dxa"/>
            <w:tcBorders>
              <w:top w:val="nil"/>
              <w:left w:val="nil"/>
              <w:bottom w:val="single" w:sz="4" w:space="0" w:color="auto"/>
              <w:right w:val="single" w:sz="4" w:space="0" w:color="auto"/>
            </w:tcBorders>
            <w:shd w:val="clear" w:color="000000" w:fill="FFFFFF"/>
            <w:noWrap/>
            <w:vAlign w:val="bottom"/>
            <w:hideMark/>
          </w:tcPr>
          <w:p w14:paraId="30A75E8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127,7</w:t>
            </w:r>
          </w:p>
        </w:tc>
        <w:tc>
          <w:tcPr>
            <w:tcW w:w="1277" w:type="dxa"/>
            <w:tcBorders>
              <w:top w:val="nil"/>
              <w:left w:val="nil"/>
              <w:bottom w:val="single" w:sz="4" w:space="0" w:color="auto"/>
              <w:right w:val="single" w:sz="4" w:space="0" w:color="auto"/>
            </w:tcBorders>
            <w:shd w:val="clear" w:color="000000" w:fill="FFFFFF"/>
            <w:noWrap/>
            <w:vAlign w:val="bottom"/>
            <w:hideMark/>
          </w:tcPr>
          <w:p w14:paraId="1FE346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3 360,5</w:t>
            </w:r>
          </w:p>
        </w:tc>
        <w:tc>
          <w:tcPr>
            <w:tcW w:w="1040" w:type="dxa"/>
            <w:tcBorders>
              <w:top w:val="nil"/>
              <w:left w:val="nil"/>
              <w:bottom w:val="single" w:sz="4" w:space="0" w:color="auto"/>
              <w:right w:val="single" w:sz="4" w:space="0" w:color="auto"/>
            </w:tcBorders>
            <w:shd w:val="clear" w:color="000000" w:fill="FFFFFF"/>
            <w:noWrap/>
            <w:vAlign w:val="bottom"/>
            <w:hideMark/>
          </w:tcPr>
          <w:p w14:paraId="6D0FB4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71,8</w:t>
            </w:r>
          </w:p>
        </w:tc>
        <w:tc>
          <w:tcPr>
            <w:tcW w:w="1087" w:type="dxa"/>
            <w:tcBorders>
              <w:top w:val="nil"/>
              <w:left w:val="nil"/>
              <w:bottom w:val="single" w:sz="4" w:space="0" w:color="auto"/>
              <w:right w:val="single" w:sz="4" w:space="0" w:color="auto"/>
            </w:tcBorders>
            <w:shd w:val="clear" w:color="000000" w:fill="FFFFFF"/>
            <w:noWrap/>
            <w:vAlign w:val="bottom"/>
            <w:hideMark/>
          </w:tcPr>
          <w:p w14:paraId="0E7C4F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1 889,3</w:t>
            </w:r>
          </w:p>
        </w:tc>
        <w:tc>
          <w:tcPr>
            <w:tcW w:w="1040" w:type="dxa"/>
            <w:tcBorders>
              <w:top w:val="nil"/>
              <w:left w:val="nil"/>
              <w:bottom w:val="single" w:sz="4" w:space="0" w:color="auto"/>
              <w:right w:val="single" w:sz="4" w:space="0" w:color="auto"/>
            </w:tcBorders>
            <w:shd w:val="clear" w:color="000000" w:fill="FFFFFF"/>
            <w:noWrap/>
            <w:vAlign w:val="bottom"/>
            <w:hideMark/>
          </w:tcPr>
          <w:p w14:paraId="521565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438,4</w:t>
            </w:r>
          </w:p>
        </w:tc>
        <w:tc>
          <w:tcPr>
            <w:tcW w:w="1226" w:type="dxa"/>
            <w:tcBorders>
              <w:top w:val="nil"/>
              <w:left w:val="nil"/>
              <w:bottom w:val="single" w:sz="4" w:space="0" w:color="auto"/>
              <w:right w:val="single" w:sz="4" w:space="0" w:color="auto"/>
            </w:tcBorders>
            <w:shd w:val="clear" w:color="000000" w:fill="FFFFFF"/>
            <w:noWrap/>
            <w:vAlign w:val="bottom"/>
            <w:hideMark/>
          </w:tcPr>
          <w:p w14:paraId="19F592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A4B04F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2D85FE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Дулово</w:t>
            </w:r>
          </w:p>
        </w:tc>
        <w:tc>
          <w:tcPr>
            <w:tcW w:w="1911" w:type="dxa"/>
            <w:tcBorders>
              <w:top w:val="nil"/>
              <w:left w:val="nil"/>
              <w:bottom w:val="single" w:sz="4" w:space="0" w:color="auto"/>
              <w:right w:val="single" w:sz="4" w:space="0" w:color="auto"/>
            </w:tcBorders>
            <w:shd w:val="clear" w:color="000000" w:fill="FFFFFF"/>
            <w:noWrap/>
            <w:vAlign w:val="bottom"/>
            <w:hideMark/>
          </w:tcPr>
          <w:p w14:paraId="31E50E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17 118,8</w:t>
            </w:r>
          </w:p>
        </w:tc>
        <w:tc>
          <w:tcPr>
            <w:tcW w:w="1118" w:type="dxa"/>
            <w:tcBorders>
              <w:top w:val="nil"/>
              <w:left w:val="nil"/>
              <w:bottom w:val="single" w:sz="4" w:space="0" w:color="auto"/>
              <w:right w:val="single" w:sz="4" w:space="0" w:color="auto"/>
            </w:tcBorders>
            <w:shd w:val="clear" w:color="000000" w:fill="FFFFFF"/>
            <w:noWrap/>
            <w:vAlign w:val="bottom"/>
            <w:hideMark/>
          </w:tcPr>
          <w:p w14:paraId="3B7559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1 893,2</w:t>
            </w:r>
          </w:p>
        </w:tc>
        <w:tc>
          <w:tcPr>
            <w:tcW w:w="1257" w:type="dxa"/>
            <w:tcBorders>
              <w:top w:val="nil"/>
              <w:left w:val="nil"/>
              <w:bottom w:val="single" w:sz="4" w:space="0" w:color="auto"/>
              <w:right w:val="single" w:sz="4" w:space="0" w:color="auto"/>
            </w:tcBorders>
            <w:shd w:val="clear" w:color="000000" w:fill="FFFFFF"/>
            <w:noWrap/>
            <w:vAlign w:val="bottom"/>
            <w:hideMark/>
          </w:tcPr>
          <w:p w14:paraId="1FFF7E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473,3</w:t>
            </w:r>
          </w:p>
        </w:tc>
        <w:tc>
          <w:tcPr>
            <w:tcW w:w="1384" w:type="dxa"/>
            <w:tcBorders>
              <w:top w:val="nil"/>
              <w:left w:val="nil"/>
              <w:bottom w:val="single" w:sz="4" w:space="0" w:color="auto"/>
              <w:right w:val="single" w:sz="4" w:space="0" w:color="auto"/>
            </w:tcBorders>
            <w:shd w:val="clear" w:color="000000" w:fill="FFFFFF"/>
            <w:noWrap/>
            <w:vAlign w:val="bottom"/>
            <w:hideMark/>
          </w:tcPr>
          <w:p w14:paraId="27A0DC6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1 419,9</w:t>
            </w:r>
          </w:p>
        </w:tc>
        <w:tc>
          <w:tcPr>
            <w:tcW w:w="1134" w:type="dxa"/>
            <w:tcBorders>
              <w:top w:val="nil"/>
              <w:left w:val="nil"/>
              <w:bottom w:val="single" w:sz="4" w:space="0" w:color="auto"/>
              <w:right w:val="single" w:sz="4" w:space="0" w:color="auto"/>
            </w:tcBorders>
            <w:shd w:val="clear" w:color="000000" w:fill="FFFFFF"/>
            <w:noWrap/>
            <w:vAlign w:val="bottom"/>
            <w:hideMark/>
          </w:tcPr>
          <w:p w14:paraId="6133607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134,6</w:t>
            </w:r>
          </w:p>
        </w:tc>
        <w:tc>
          <w:tcPr>
            <w:tcW w:w="1277" w:type="dxa"/>
            <w:tcBorders>
              <w:top w:val="nil"/>
              <w:left w:val="nil"/>
              <w:bottom w:val="single" w:sz="4" w:space="0" w:color="auto"/>
              <w:right w:val="single" w:sz="4" w:space="0" w:color="auto"/>
            </w:tcBorders>
            <w:shd w:val="clear" w:color="000000" w:fill="FFFFFF"/>
            <w:noWrap/>
            <w:vAlign w:val="bottom"/>
            <w:hideMark/>
          </w:tcPr>
          <w:p w14:paraId="0B0865F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11 956,6</w:t>
            </w:r>
          </w:p>
        </w:tc>
        <w:tc>
          <w:tcPr>
            <w:tcW w:w="1040" w:type="dxa"/>
            <w:tcBorders>
              <w:top w:val="nil"/>
              <w:left w:val="nil"/>
              <w:bottom w:val="single" w:sz="4" w:space="0" w:color="auto"/>
              <w:right w:val="single" w:sz="4" w:space="0" w:color="auto"/>
            </w:tcBorders>
            <w:shd w:val="clear" w:color="000000" w:fill="FFFFFF"/>
            <w:noWrap/>
            <w:vAlign w:val="bottom"/>
            <w:hideMark/>
          </w:tcPr>
          <w:p w14:paraId="5C3B5E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325,2</w:t>
            </w:r>
          </w:p>
        </w:tc>
        <w:tc>
          <w:tcPr>
            <w:tcW w:w="1087" w:type="dxa"/>
            <w:tcBorders>
              <w:top w:val="nil"/>
              <w:left w:val="nil"/>
              <w:bottom w:val="single" w:sz="4" w:space="0" w:color="auto"/>
              <w:right w:val="single" w:sz="4" w:space="0" w:color="auto"/>
            </w:tcBorders>
            <w:shd w:val="clear" w:color="000000" w:fill="FFFFFF"/>
            <w:noWrap/>
            <w:vAlign w:val="bottom"/>
            <w:hideMark/>
          </w:tcPr>
          <w:p w14:paraId="6C9A16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2 212,4</w:t>
            </w:r>
          </w:p>
        </w:tc>
        <w:tc>
          <w:tcPr>
            <w:tcW w:w="1040" w:type="dxa"/>
            <w:tcBorders>
              <w:top w:val="nil"/>
              <w:left w:val="nil"/>
              <w:bottom w:val="single" w:sz="4" w:space="0" w:color="auto"/>
              <w:right w:val="single" w:sz="4" w:space="0" w:color="auto"/>
            </w:tcBorders>
            <w:shd w:val="clear" w:color="000000" w:fill="FFFFFF"/>
            <w:noWrap/>
            <w:vAlign w:val="bottom"/>
            <w:hideMark/>
          </w:tcPr>
          <w:p w14:paraId="6E4C17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596,8</w:t>
            </w:r>
          </w:p>
        </w:tc>
        <w:tc>
          <w:tcPr>
            <w:tcW w:w="1226" w:type="dxa"/>
            <w:tcBorders>
              <w:top w:val="nil"/>
              <w:left w:val="nil"/>
              <w:bottom w:val="single" w:sz="4" w:space="0" w:color="auto"/>
              <w:right w:val="single" w:sz="4" w:space="0" w:color="auto"/>
            </w:tcBorders>
            <w:shd w:val="clear" w:color="000000" w:fill="FFFFFF"/>
            <w:noWrap/>
            <w:vAlign w:val="bottom"/>
            <w:hideMark/>
          </w:tcPr>
          <w:p w14:paraId="78337CE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4A4EC6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B0AD6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Kайнарджа</w:t>
            </w:r>
          </w:p>
        </w:tc>
        <w:tc>
          <w:tcPr>
            <w:tcW w:w="1911" w:type="dxa"/>
            <w:tcBorders>
              <w:top w:val="nil"/>
              <w:left w:val="nil"/>
              <w:bottom w:val="single" w:sz="4" w:space="0" w:color="auto"/>
              <w:right w:val="single" w:sz="4" w:space="0" w:color="auto"/>
            </w:tcBorders>
            <w:shd w:val="clear" w:color="000000" w:fill="FFFFFF"/>
            <w:noWrap/>
            <w:vAlign w:val="bottom"/>
            <w:hideMark/>
          </w:tcPr>
          <w:p w14:paraId="49C23B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5 410,4</w:t>
            </w:r>
          </w:p>
        </w:tc>
        <w:tc>
          <w:tcPr>
            <w:tcW w:w="1118" w:type="dxa"/>
            <w:tcBorders>
              <w:top w:val="nil"/>
              <w:left w:val="nil"/>
              <w:bottom w:val="single" w:sz="4" w:space="0" w:color="auto"/>
              <w:right w:val="single" w:sz="4" w:space="0" w:color="auto"/>
            </w:tcBorders>
            <w:shd w:val="clear" w:color="000000" w:fill="FFFFFF"/>
            <w:noWrap/>
            <w:vAlign w:val="bottom"/>
            <w:hideMark/>
          </w:tcPr>
          <w:p w14:paraId="3B60B1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766,8</w:t>
            </w:r>
          </w:p>
        </w:tc>
        <w:tc>
          <w:tcPr>
            <w:tcW w:w="1257" w:type="dxa"/>
            <w:tcBorders>
              <w:top w:val="nil"/>
              <w:left w:val="nil"/>
              <w:bottom w:val="single" w:sz="4" w:space="0" w:color="auto"/>
              <w:right w:val="single" w:sz="4" w:space="0" w:color="auto"/>
            </w:tcBorders>
            <w:shd w:val="clear" w:color="000000" w:fill="FFFFFF"/>
            <w:noWrap/>
            <w:vAlign w:val="bottom"/>
            <w:hideMark/>
          </w:tcPr>
          <w:p w14:paraId="077AC9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192,0</w:t>
            </w:r>
          </w:p>
        </w:tc>
        <w:tc>
          <w:tcPr>
            <w:tcW w:w="1384" w:type="dxa"/>
            <w:tcBorders>
              <w:top w:val="nil"/>
              <w:left w:val="nil"/>
              <w:bottom w:val="single" w:sz="4" w:space="0" w:color="auto"/>
              <w:right w:val="single" w:sz="4" w:space="0" w:color="auto"/>
            </w:tcBorders>
            <w:shd w:val="clear" w:color="000000" w:fill="FFFFFF"/>
            <w:noWrap/>
            <w:vAlign w:val="bottom"/>
            <w:hideMark/>
          </w:tcPr>
          <w:p w14:paraId="0CA209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574,8</w:t>
            </w:r>
          </w:p>
        </w:tc>
        <w:tc>
          <w:tcPr>
            <w:tcW w:w="1134" w:type="dxa"/>
            <w:tcBorders>
              <w:top w:val="nil"/>
              <w:left w:val="nil"/>
              <w:bottom w:val="single" w:sz="4" w:space="0" w:color="auto"/>
              <w:right w:val="single" w:sz="4" w:space="0" w:color="auto"/>
            </w:tcBorders>
            <w:shd w:val="clear" w:color="000000" w:fill="FFFFFF"/>
            <w:noWrap/>
            <w:vAlign w:val="bottom"/>
            <w:hideMark/>
          </w:tcPr>
          <w:p w14:paraId="3F4AC3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128,7</w:t>
            </w:r>
          </w:p>
        </w:tc>
        <w:tc>
          <w:tcPr>
            <w:tcW w:w="1277" w:type="dxa"/>
            <w:tcBorders>
              <w:top w:val="nil"/>
              <w:left w:val="nil"/>
              <w:bottom w:val="single" w:sz="4" w:space="0" w:color="auto"/>
              <w:right w:val="single" w:sz="4" w:space="0" w:color="auto"/>
            </w:tcBorders>
            <w:shd w:val="clear" w:color="000000" w:fill="FFFFFF"/>
            <w:noWrap/>
            <w:vAlign w:val="bottom"/>
            <w:hideMark/>
          </w:tcPr>
          <w:p w14:paraId="3244B0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3 441,3</w:t>
            </w:r>
          </w:p>
        </w:tc>
        <w:tc>
          <w:tcPr>
            <w:tcW w:w="1040" w:type="dxa"/>
            <w:tcBorders>
              <w:top w:val="nil"/>
              <w:left w:val="nil"/>
              <w:bottom w:val="single" w:sz="4" w:space="0" w:color="auto"/>
              <w:right w:val="single" w:sz="4" w:space="0" w:color="auto"/>
            </w:tcBorders>
            <w:shd w:val="clear" w:color="000000" w:fill="FFFFFF"/>
            <w:noWrap/>
            <w:vAlign w:val="bottom"/>
            <w:hideMark/>
          </w:tcPr>
          <w:p w14:paraId="10372C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45,1</w:t>
            </w:r>
          </w:p>
        </w:tc>
        <w:tc>
          <w:tcPr>
            <w:tcW w:w="1087" w:type="dxa"/>
            <w:tcBorders>
              <w:top w:val="nil"/>
              <w:left w:val="nil"/>
              <w:bottom w:val="single" w:sz="4" w:space="0" w:color="auto"/>
              <w:right w:val="single" w:sz="4" w:space="0" w:color="auto"/>
            </w:tcBorders>
            <w:shd w:val="clear" w:color="000000" w:fill="FFFFFF"/>
            <w:noWrap/>
            <w:vAlign w:val="bottom"/>
            <w:hideMark/>
          </w:tcPr>
          <w:p w14:paraId="2FB04B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882,4</w:t>
            </w:r>
          </w:p>
        </w:tc>
        <w:tc>
          <w:tcPr>
            <w:tcW w:w="1040" w:type="dxa"/>
            <w:tcBorders>
              <w:top w:val="nil"/>
              <w:left w:val="nil"/>
              <w:bottom w:val="single" w:sz="4" w:space="0" w:color="auto"/>
              <w:right w:val="single" w:sz="4" w:space="0" w:color="auto"/>
            </w:tcBorders>
            <w:shd w:val="clear" w:color="000000" w:fill="FFFFFF"/>
            <w:noWrap/>
            <w:vAlign w:val="bottom"/>
            <w:hideMark/>
          </w:tcPr>
          <w:p w14:paraId="195901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146,1</w:t>
            </w:r>
          </w:p>
        </w:tc>
        <w:tc>
          <w:tcPr>
            <w:tcW w:w="1226" w:type="dxa"/>
            <w:tcBorders>
              <w:top w:val="nil"/>
              <w:left w:val="nil"/>
              <w:bottom w:val="single" w:sz="4" w:space="0" w:color="auto"/>
              <w:right w:val="single" w:sz="4" w:space="0" w:color="auto"/>
            </w:tcBorders>
            <w:shd w:val="clear" w:color="000000" w:fill="FFFFFF"/>
            <w:noWrap/>
            <w:vAlign w:val="bottom"/>
            <w:hideMark/>
          </w:tcPr>
          <w:p w14:paraId="069B08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048A28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60D44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Cилистра</w:t>
            </w:r>
          </w:p>
        </w:tc>
        <w:tc>
          <w:tcPr>
            <w:tcW w:w="1911" w:type="dxa"/>
            <w:tcBorders>
              <w:top w:val="nil"/>
              <w:left w:val="nil"/>
              <w:bottom w:val="single" w:sz="4" w:space="0" w:color="auto"/>
              <w:right w:val="single" w:sz="4" w:space="0" w:color="auto"/>
            </w:tcBorders>
            <w:shd w:val="clear" w:color="000000" w:fill="FFFFFF"/>
            <w:noWrap/>
            <w:vAlign w:val="bottom"/>
            <w:hideMark/>
          </w:tcPr>
          <w:p w14:paraId="060B53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32 240,6</w:t>
            </w:r>
          </w:p>
        </w:tc>
        <w:tc>
          <w:tcPr>
            <w:tcW w:w="1118" w:type="dxa"/>
            <w:tcBorders>
              <w:top w:val="nil"/>
              <w:left w:val="nil"/>
              <w:bottom w:val="single" w:sz="4" w:space="0" w:color="auto"/>
              <w:right w:val="single" w:sz="4" w:space="0" w:color="auto"/>
            </w:tcBorders>
            <w:shd w:val="clear" w:color="000000" w:fill="FFFFFF"/>
            <w:noWrap/>
            <w:vAlign w:val="bottom"/>
            <w:hideMark/>
          </w:tcPr>
          <w:p w14:paraId="7B8688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2 213,6</w:t>
            </w:r>
          </w:p>
        </w:tc>
        <w:tc>
          <w:tcPr>
            <w:tcW w:w="1257" w:type="dxa"/>
            <w:tcBorders>
              <w:top w:val="nil"/>
              <w:left w:val="nil"/>
              <w:bottom w:val="single" w:sz="4" w:space="0" w:color="auto"/>
              <w:right w:val="single" w:sz="4" w:space="0" w:color="auto"/>
            </w:tcBorders>
            <w:shd w:val="clear" w:color="000000" w:fill="FFFFFF"/>
            <w:noWrap/>
            <w:vAlign w:val="bottom"/>
            <w:hideMark/>
          </w:tcPr>
          <w:p w14:paraId="733F1C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321,8</w:t>
            </w:r>
          </w:p>
        </w:tc>
        <w:tc>
          <w:tcPr>
            <w:tcW w:w="1384" w:type="dxa"/>
            <w:tcBorders>
              <w:top w:val="nil"/>
              <w:left w:val="nil"/>
              <w:bottom w:val="single" w:sz="4" w:space="0" w:color="auto"/>
              <w:right w:val="single" w:sz="4" w:space="0" w:color="auto"/>
            </w:tcBorders>
            <w:shd w:val="clear" w:color="000000" w:fill="FFFFFF"/>
            <w:noWrap/>
            <w:vAlign w:val="bottom"/>
            <w:hideMark/>
          </w:tcPr>
          <w:p w14:paraId="57305E8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1 891,8</w:t>
            </w:r>
          </w:p>
        </w:tc>
        <w:tc>
          <w:tcPr>
            <w:tcW w:w="1134" w:type="dxa"/>
            <w:tcBorders>
              <w:top w:val="nil"/>
              <w:left w:val="nil"/>
              <w:bottom w:val="single" w:sz="4" w:space="0" w:color="auto"/>
              <w:right w:val="single" w:sz="4" w:space="0" w:color="auto"/>
            </w:tcBorders>
            <w:shd w:val="clear" w:color="000000" w:fill="FFFFFF"/>
            <w:noWrap/>
            <w:vAlign w:val="bottom"/>
            <w:hideMark/>
          </w:tcPr>
          <w:p w14:paraId="75A717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267,5</w:t>
            </w:r>
          </w:p>
        </w:tc>
        <w:tc>
          <w:tcPr>
            <w:tcW w:w="1277" w:type="dxa"/>
            <w:tcBorders>
              <w:top w:val="nil"/>
              <w:left w:val="nil"/>
              <w:bottom w:val="single" w:sz="4" w:space="0" w:color="auto"/>
              <w:right w:val="single" w:sz="4" w:space="0" w:color="auto"/>
            </w:tcBorders>
            <w:shd w:val="clear" w:color="000000" w:fill="FFFFFF"/>
            <w:noWrap/>
            <w:vAlign w:val="bottom"/>
            <w:hideMark/>
          </w:tcPr>
          <w:p w14:paraId="26497E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16 463,0</w:t>
            </w:r>
          </w:p>
        </w:tc>
        <w:tc>
          <w:tcPr>
            <w:tcW w:w="1040" w:type="dxa"/>
            <w:tcBorders>
              <w:top w:val="nil"/>
              <w:left w:val="nil"/>
              <w:bottom w:val="single" w:sz="4" w:space="0" w:color="auto"/>
              <w:right w:val="single" w:sz="4" w:space="0" w:color="auto"/>
            </w:tcBorders>
            <w:shd w:val="clear" w:color="000000" w:fill="FFFFFF"/>
            <w:noWrap/>
            <w:vAlign w:val="bottom"/>
            <w:hideMark/>
          </w:tcPr>
          <w:p w14:paraId="6C7F0D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2 280,2</w:t>
            </w:r>
          </w:p>
        </w:tc>
        <w:tc>
          <w:tcPr>
            <w:tcW w:w="1087" w:type="dxa"/>
            <w:tcBorders>
              <w:top w:val="nil"/>
              <w:left w:val="nil"/>
              <w:bottom w:val="single" w:sz="4" w:space="0" w:color="auto"/>
              <w:right w:val="single" w:sz="4" w:space="0" w:color="auto"/>
            </w:tcBorders>
            <w:shd w:val="clear" w:color="000000" w:fill="FFFFFF"/>
            <w:noWrap/>
            <w:vAlign w:val="bottom"/>
            <w:hideMark/>
          </w:tcPr>
          <w:p w14:paraId="613B12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9 111,2</w:t>
            </w:r>
          </w:p>
        </w:tc>
        <w:tc>
          <w:tcPr>
            <w:tcW w:w="1040" w:type="dxa"/>
            <w:tcBorders>
              <w:top w:val="nil"/>
              <w:left w:val="nil"/>
              <w:bottom w:val="single" w:sz="4" w:space="0" w:color="auto"/>
              <w:right w:val="single" w:sz="4" w:space="0" w:color="auto"/>
            </w:tcBorders>
            <w:shd w:val="clear" w:color="000000" w:fill="FFFFFF"/>
            <w:noWrap/>
            <w:vAlign w:val="bottom"/>
            <w:hideMark/>
          </w:tcPr>
          <w:p w14:paraId="324F6A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1 905,1</w:t>
            </w:r>
          </w:p>
        </w:tc>
        <w:tc>
          <w:tcPr>
            <w:tcW w:w="1226" w:type="dxa"/>
            <w:tcBorders>
              <w:top w:val="nil"/>
              <w:left w:val="nil"/>
              <w:bottom w:val="single" w:sz="4" w:space="0" w:color="auto"/>
              <w:right w:val="single" w:sz="4" w:space="0" w:color="auto"/>
            </w:tcBorders>
            <w:shd w:val="clear" w:color="000000" w:fill="FFFFFF"/>
            <w:noWrap/>
            <w:vAlign w:val="bottom"/>
            <w:hideMark/>
          </w:tcPr>
          <w:p w14:paraId="2BB380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19C438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D90C6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Cитово</w:t>
            </w:r>
          </w:p>
        </w:tc>
        <w:tc>
          <w:tcPr>
            <w:tcW w:w="1911" w:type="dxa"/>
            <w:tcBorders>
              <w:top w:val="nil"/>
              <w:left w:val="nil"/>
              <w:bottom w:val="single" w:sz="4" w:space="0" w:color="auto"/>
              <w:right w:val="single" w:sz="4" w:space="0" w:color="auto"/>
            </w:tcBorders>
            <w:shd w:val="clear" w:color="000000" w:fill="FFFFFF"/>
            <w:noWrap/>
            <w:vAlign w:val="bottom"/>
            <w:hideMark/>
          </w:tcPr>
          <w:p w14:paraId="560E92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3 904,3</w:t>
            </w:r>
          </w:p>
        </w:tc>
        <w:tc>
          <w:tcPr>
            <w:tcW w:w="1118" w:type="dxa"/>
            <w:tcBorders>
              <w:top w:val="nil"/>
              <w:left w:val="nil"/>
              <w:bottom w:val="single" w:sz="4" w:space="0" w:color="auto"/>
              <w:right w:val="single" w:sz="4" w:space="0" w:color="auto"/>
            </w:tcBorders>
            <w:shd w:val="clear" w:color="000000" w:fill="FFFFFF"/>
            <w:noWrap/>
            <w:vAlign w:val="bottom"/>
            <w:hideMark/>
          </w:tcPr>
          <w:p w14:paraId="080C563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776,8</w:t>
            </w:r>
          </w:p>
        </w:tc>
        <w:tc>
          <w:tcPr>
            <w:tcW w:w="1257" w:type="dxa"/>
            <w:tcBorders>
              <w:top w:val="nil"/>
              <w:left w:val="nil"/>
              <w:bottom w:val="single" w:sz="4" w:space="0" w:color="auto"/>
              <w:right w:val="single" w:sz="4" w:space="0" w:color="auto"/>
            </w:tcBorders>
            <w:shd w:val="clear" w:color="000000" w:fill="FFFFFF"/>
            <w:noWrap/>
            <w:vAlign w:val="bottom"/>
            <w:hideMark/>
          </w:tcPr>
          <w:p w14:paraId="5C538C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200,5</w:t>
            </w:r>
          </w:p>
        </w:tc>
        <w:tc>
          <w:tcPr>
            <w:tcW w:w="1384" w:type="dxa"/>
            <w:tcBorders>
              <w:top w:val="nil"/>
              <w:left w:val="nil"/>
              <w:bottom w:val="single" w:sz="4" w:space="0" w:color="auto"/>
              <w:right w:val="single" w:sz="4" w:space="0" w:color="auto"/>
            </w:tcBorders>
            <w:shd w:val="clear" w:color="000000" w:fill="FFFFFF"/>
            <w:noWrap/>
            <w:vAlign w:val="bottom"/>
            <w:hideMark/>
          </w:tcPr>
          <w:p w14:paraId="0C4446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576,3</w:t>
            </w:r>
          </w:p>
        </w:tc>
        <w:tc>
          <w:tcPr>
            <w:tcW w:w="1134" w:type="dxa"/>
            <w:tcBorders>
              <w:top w:val="nil"/>
              <w:left w:val="nil"/>
              <w:bottom w:val="single" w:sz="4" w:space="0" w:color="auto"/>
              <w:right w:val="single" w:sz="4" w:space="0" w:color="auto"/>
            </w:tcBorders>
            <w:shd w:val="clear" w:color="000000" w:fill="FFFFFF"/>
            <w:noWrap/>
            <w:vAlign w:val="bottom"/>
            <w:hideMark/>
          </w:tcPr>
          <w:p w14:paraId="324AF2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110,1</w:t>
            </w:r>
          </w:p>
        </w:tc>
        <w:tc>
          <w:tcPr>
            <w:tcW w:w="1277" w:type="dxa"/>
            <w:tcBorders>
              <w:top w:val="nil"/>
              <w:left w:val="nil"/>
              <w:bottom w:val="single" w:sz="4" w:space="0" w:color="auto"/>
              <w:right w:val="single" w:sz="4" w:space="0" w:color="auto"/>
            </w:tcBorders>
            <w:shd w:val="clear" w:color="000000" w:fill="FFFFFF"/>
            <w:noWrap/>
            <w:vAlign w:val="bottom"/>
            <w:hideMark/>
          </w:tcPr>
          <w:p w14:paraId="004378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2 553,7</w:t>
            </w:r>
          </w:p>
        </w:tc>
        <w:tc>
          <w:tcPr>
            <w:tcW w:w="1040" w:type="dxa"/>
            <w:tcBorders>
              <w:top w:val="nil"/>
              <w:left w:val="nil"/>
              <w:bottom w:val="single" w:sz="4" w:space="0" w:color="auto"/>
              <w:right w:val="single" w:sz="4" w:space="0" w:color="auto"/>
            </w:tcBorders>
            <w:shd w:val="clear" w:color="000000" w:fill="FFFFFF"/>
            <w:noWrap/>
            <w:vAlign w:val="bottom"/>
            <w:hideMark/>
          </w:tcPr>
          <w:p w14:paraId="37622C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35,5</w:t>
            </w:r>
          </w:p>
        </w:tc>
        <w:tc>
          <w:tcPr>
            <w:tcW w:w="1087" w:type="dxa"/>
            <w:tcBorders>
              <w:top w:val="nil"/>
              <w:left w:val="nil"/>
              <w:bottom w:val="single" w:sz="4" w:space="0" w:color="auto"/>
              <w:right w:val="single" w:sz="4" w:space="0" w:color="auto"/>
            </w:tcBorders>
            <w:shd w:val="clear" w:color="000000" w:fill="FFFFFF"/>
            <w:noWrap/>
            <w:vAlign w:val="bottom"/>
            <w:hideMark/>
          </w:tcPr>
          <w:p w14:paraId="4C3FA1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270,9</w:t>
            </w:r>
          </w:p>
        </w:tc>
        <w:tc>
          <w:tcPr>
            <w:tcW w:w="1040" w:type="dxa"/>
            <w:tcBorders>
              <w:top w:val="nil"/>
              <w:left w:val="nil"/>
              <w:bottom w:val="single" w:sz="4" w:space="0" w:color="auto"/>
              <w:right w:val="single" w:sz="4" w:space="0" w:color="auto"/>
            </w:tcBorders>
            <w:shd w:val="clear" w:color="000000" w:fill="FFFFFF"/>
            <w:noWrap/>
            <w:vAlign w:val="bottom"/>
            <w:hideMark/>
          </w:tcPr>
          <w:p w14:paraId="402BF9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157,3</w:t>
            </w:r>
          </w:p>
        </w:tc>
        <w:tc>
          <w:tcPr>
            <w:tcW w:w="1226" w:type="dxa"/>
            <w:tcBorders>
              <w:top w:val="nil"/>
              <w:left w:val="nil"/>
              <w:bottom w:val="single" w:sz="4" w:space="0" w:color="auto"/>
              <w:right w:val="single" w:sz="4" w:space="0" w:color="auto"/>
            </w:tcBorders>
            <w:shd w:val="clear" w:color="000000" w:fill="FFFFFF"/>
            <w:noWrap/>
            <w:vAlign w:val="bottom"/>
            <w:hideMark/>
          </w:tcPr>
          <w:p w14:paraId="720695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6A6025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2D7AE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Tутракан</w:t>
            </w:r>
          </w:p>
        </w:tc>
        <w:tc>
          <w:tcPr>
            <w:tcW w:w="1911" w:type="dxa"/>
            <w:tcBorders>
              <w:top w:val="nil"/>
              <w:left w:val="nil"/>
              <w:bottom w:val="single" w:sz="4" w:space="0" w:color="auto"/>
              <w:right w:val="single" w:sz="4" w:space="0" w:color="auto"/>
            </w:tcBorders>
            <w:shd w:val="clear" w:color="000000" w:fill="FFFFFF"/>
            <w:noWrap/>
            <w:vAlign w:val="bottom"/>
            <w:hideMark/>
          </w:tcPr>
          <w:p w14:paraId="07455C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10 495,2</w:t>
            </w:r>
          </w:p>
        </w:tc>
        <w:tc>
          <w:tcPr>
            <w:tcW w:w="1118" w:type="dxa"/>
            <w:tcBorders>
              <w:top w:val="nil"/>
              <w:left w:val="nil"/>
              <w:bottom w:val="single" w:sz="4" w:space="0" w:color="auto"/>
              <w:right w:val="single" w:sz="4" w:space="0" w:color="auto"/>
            </w:tcBorders>
            <w:shd w:val="clear" w:color="000000" w:fill="FFFFFF"/>
            <w:noWrap/>
            <w:vAlign w:val="bottom"/>
            <w:hideMark/>
          </w:tcPr>
          <w:p w14:paraId="0AEEA1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1 102,2</w:t>
            </w:r>
          </w:p>
        </w:tc>
        <w:tc>
          <w:tcPr>
            <w:tcW w:w="1257" w:type="dxa"/>
            <w:tcBorders>
              <w:top w:val="nil"/>
              <w:left w:val="nil"/>
              <w:bottom w:val="single" w:sz="4" w:space="0" w:color="auto"/>
              <w:right w:val="single" w:sz="4" w:space="0" w:color="auto"/>
            </w:tcBorders>
            <w:shd w:val="clear" w:color="000000" w:fill="FFFFFF"/>
            <w:noWrap/>
            <w:vAlign w:val="bottom"/>
            <w:hideMark/>
          </w:tcPr>
          <w:p w14:paraId="7FC646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227,4</w:t>
            </w:r>
          </w:p>
        </w:tc>
        <w:tc>
          <w:tcPr>
            <w:tcW w:w="1384" w:type="dxa"/>
            <w:tcBorders>
              <w:top w:val="nil"/>
              <w:left w:val="nil"/>
              <w:bottom w:val="single" w:sz="4" w:space="0" w:color="auto"/>
              <w:right w:val="single" w:sz="4" w:space="0" w:color="auto"/>
            </w:tcBorders>
            <w:shd w:val="clear" w:color="000000" w:fill="FFFFFF"/>
            <w:noWrap/>
            <w:vAlign w:val="bottom"/>
            <w:hideMark/>
          </w:tcPr>
          <w:p w14:paraId="7499FA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874,8</w:t>
            </w:r>
          </w:p>
        </w:tc>
        <w:tc>
          <w:tcPr>
            <w:tcW w:w="1134" w:type="dxa"/>
            <w:tcBorders>
              <w:top w:val="nil"/>
              <w:left w:val="nil"/>
              <w:bottom w:val="single" w:sz="4" w:space="0" w:color="auto"/>
              <w:right w:val="single" w:sz="4" w:space="0" w:color="auto"/>
            </w:tcBorders>
            <w:shd w:val="clear" w:color="000000" w:fill="FFFFFF"/>
            <w:noWrap/>
            <w:vAlign w:val="bottom"/>
            <w:hideMark/>
          </w:tcPr>
          <w:p w14:paraId="52284B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177,2</w:t>
            </w:r>
          </w:p>
        </w:tc>
        <w:tc>
          <w:tcPr>
            <w:tcW w:w="1277" w:type="dxa"/>
            <w:tcBorders>
              <w:top w:val="nil"/>
              <w:left w:val="nil"/>
              <w:bottom w:val="single" w:sz="4" w:space="0" w:color="auto"/>
              <w:right w:val="single" w:sz="4" w:space="0" w:color="auto"/>
            </w:tcBorders>
            <w:shd w:val="clear" w:color="000000" w:fill="FFFFFF"/>
            <w:noWrap/>
            <w:vAlign w:val="bottom"/>
            <w:hideMark/>
          </w:tcPr>
          <w:p w14:paraId="6EE5B1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5 561,3</w:t>
            </w:r>
          </w:p>
        </w:tc>
        <w:tc>
          <w:tcPr>
            <w:tcW w:w="1040" w:type="dxa"/>
            <w:tcBorders>
              <w:top w:val="nil"/>
              <w:left w:val="nil"/>
              <w:bottom w:val="single" w:sz="4" w:space="0" w:color="auto"/>
              <w:right w:val="single" w:sz="4" w:space="0" w:color="auto"/>
            </w:tcBorders>
            <w:shd w:val="clear" w:color="000000" w:fill="FFFFFF"/>
            <w:noWrap/>
            <w:vAlign w:val="bottom"/>
            <w:hideMark/>
          </w:tcPr>
          <w:p w14:paraId="7CD4EF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151,7</w:t>
            </w:r>
          </w:p>
        </w:tc>
        <w:tc>
          <w:tcPr>
            <w:tcW w:w="1087" w:type="dxa"/>
            <w:tcBorders>
              <w:top w:val="nil"/>
              <w:left w:val="nil"/>
              <w:bottom w:val="single" w:sz="4" w:space="0" w:color="auto"/>
              <w:right w:val="single" w:sz="4" w:space="0" w:color="auto"/>
            </w:tcBorders>
            <w:shd w:val="clear" w:color="000000" w:fill="FFFFFF"/>
            <w:noWrap/>
            <w:vAlign w:val="bottom"/>
            <w:hideMark/>
          </w:tcPr>
          <w:p w14:paraId="0FE780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2 701,5</w:t>
            </w:r>
          </w:p>
        </w:tc>
        <w:tc>
          <w:tcPr>
            <w:tcW w:w="1040" w:type="dxa"/>
            <w:tcBorders>
              <w:top w:val="nil"/>
              <w:left w:val="nil"/>
              <w:bottom w:val="single" w:sz="4" w:space="0" w:color="auto"/>
              <w:right w:val="single" w:sz="4" w:space="0" w:color="auto"/>
            </w:tcBorders>
            <w:shd w:val="clear" w:color="000000" w:fill="FFFFFF"/>
            <w:noWrap/>
            <w:vAlign w:val="bottom"/>
            <w:hideMark/>
          </w:tcPr>
          <w:p w14:paraId="3F39F7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801,3</w:t>
            </w:r>
          </w:p>
        </w:tc>
        <w:tc>
          <w:tcPr>
            <w:tcW w:w="1226" w:type="dxa"/>
            <w:tcBorders>
              <w:top w:val="nil"/>
              <w:left w:val="nil"/>
              <w:bottom w:val="single" w:sz="4" w:space="0" w:color="auto"/>
              <w:right w:val="single" w:sz="4" w:space="0" w:color="auto"/>
            </w:tcBorders>
            <w:shd w:val="clear" w:color="000000" w:fill="FFFFFF"/>
            <w:noWrap/>
            <w:vAlign w:val="bottom"/>
            <w:hideMark/>
          </w:tcPr>
          <w:p w14:paraId="2DCE83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CCEBC3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9B58966"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1464B8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7713DF1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5061ED5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7DAEB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04954FC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6F2318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075AC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2D73820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34F1D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D1A80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96EF75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2181FB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СЛИВЕН</w:t>
            </w:r>
          </w:p>
        </w:tc>
        <w:tc>
          <w:tcPr>
            <w:tcW w:w="1911" w:type="dxa"/>
            <w:tcBorders>
              <w:top w:val="nil"/>
              <w:left w:val="nil"/>
              <w:bottom w:val="single" w:sz="4" w:space="0" w:color="auto"/>
              <w:right w:val="single" w:sz="4" w:space="0" w:color="auto"/>
            </w:tcBorders>
            <w:shd w:val="clear" w:color="000000" w:fill="FFFFFF"/>
            <w:noWrap/>
            <w:vAlign w:val="bottom"/>
            <w:hideMark/>
          </w:tcPr>
          <w:p w14:paraId="22867C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C675CB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445BBAF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0E2110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257DB0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61DC99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707CC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314088C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3CB54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7A7158F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C27DB8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11479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Kотел</w:t>
            </w:r>
          </w:p>
        </w:tc>
        <w:tc>
          <w:tcPr>
            <w:tcW w:w="1911" w:type="dxa"/>
            <w:tcBorders>
              <w:top w:val="nil"/>
              <w:left w:val="nil"/>
              <w:bottom w:val="single" w:sz="4" w:space="0" w:color="auto"/>
              <w:right w:val="single" w:sz="4" w:space="0" w:color="auto"/>
            </w:tcBorders>
            <w:shd w:val="clear" w:color="000000" w:fill="FFFFFF"/>
            <w:noWrap/>
            <w:vAlign w:val="bottom"/>
            <w:hideMark/>
          </w:tcPr>
          <w:p w14:paraId="698752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10 684,6</w:t>
            </w:r>
          </w:p>
        </w:tc>
        <w:tc>
          <w:tcPr>
            <w:tcW w:w="1118" w:type="dxa"/>
            <w:tcBorders>
              <w:top w:val="nil"/>
              <w:left w:val="nil"/>
              <w:bottom w:val="single" w:sz="4" w:space="0" w:color="auto"/>
              <w:right w:val="single" w:sz="4" w:space="0" w:color="auto"/>
            </w:tcBorders>
            <w:shd w:val="clear" w:color="000000" w:fill="FFFFFF"/>
            <w:noWrap/>
            <w:vAlign w:val="bottom"/>
            <w:hideMark/>
          </w:tcPr>
          <w:p w14:paraId="078596A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1 465,4</w:t>
            </w:r>
          </w:p>
        </w:tc>
        <w:tc>
          <w:tcPr>
            <w:tcW w:w="1257" w:type="dxa"/>
            <w:tcBorders>
              <w:top w:val="nil"/>
              <w:left w:val="nil"/>
              <w:bottom w:val="single" w:sz="4" w:space="0" w:color="auto"/>
              <w:right w:val="single" w:sz="4" w:space="0" w:color="auto"/>
            </w:tcBorders>
            <w:shd w:val="clear" w:color="000000" w:fill="FFFFFF"/>
            <w:noWrap/>
            <w:vAlign w:val="bottom"/>
            <w:hideMark/>
          </w:tcPr>
          <w:p w14:paraId="2AF274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375,5</w:t>
            </w:r>
          </w:p>
        </w:tc>
        <w:tc>
          <w:tcPr>
            <w:tcW w:w="1384" w:type="dxa"/>
            <w:tcBorders>
              <w:top w:val="nil"/>
              <w:left w:val="nil"/>
              <w:bottom w:val="single" w:sz="4" w:space="0" w:color="auto"/>
              <w:right w:val="single" w:sz="4" w:space="0" w:color="auto"/>
            </w:tcBorders>
            <w:shd w:val="clear" w:color="000000" w:fill="FFFFFF"/>
            <w:noWrap/>
            <w:vAlign w:val="bottom"/>
            <w:hideMark/>
          </w:tcPr>
          <w:p w14:paraId="327472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1 089,9</w:t>
            </w:r>
          </w:p>
        </w:tc>
        <w:tc>
          <w:tcPr>
            <w:tcW w:w="1134" w:type="dxa"/>
            <w:tcBorders>
              <w:top w:val="nil"/>
              <w:left w:val="nil"/>
              <w:bottom w:val="single" w:sz="4" w:space="0" w:color="auto"/>
              <w:right w:val="single" w:sz="4" w:space="0" w:color="auto"/>
            </w:tcBorders>
            <w:shd w:val="clear" w:color="000000" w:fill="FFFFFF"/>
            <w:noWrap/>
            <w:vAlign w:val="bottom"/>
            <w:hideMark/>
          </w:tcPr>
          <w:p w14:paraId="38618E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133,6</w:t>
            </w:r>
          </w:p>
        </w:tc>
        <w:tc>
          <w:tcPr>
            <w:tcW w:w="1277" w:type="dxa"/>
            <w:tcBorders>
              <w:top w:val="nil"/>
              <w:left w:val="nil"/>
              <w:bottom w:val="single" w:sz="4" w:space="0" w:color="auto"/>
              <w:right w:val="single" w:sz="4" w:space="0" w:color="auto"/>
            </w:tcBorders>
            <w:shd w:val="clear" w:color="000000" w:fill="FFFFFF"/>
            <w:noWrap/>
            <w:vAlign w:val="bottom"/>
            <w:hideMark/>
          </w:tcPr>
          <w:p w14:paraId="11B6E5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7 142,7</w:t>
            </w:r>
          </w:p>
        </w:tc>
        <w:tc>
          <w:tcPr>
            <w:tcW w:w="1040" w:type="dxa"/>
            <w:tcBorders>
              <w:top w:val="nil"/>
              <w:left w:val="nil"/>
              <w:bottom w:val="single" w:sz="4" w:space="0" w:color="auto"/>
              <w:right w:val="single" w:sz="4" w:space="0" w:color="auto"/>
            </w:tcBorders>
            <w:shd w:val="clear" w:color="000000" w:fill="FFFFFF"/>
            <w:noWrap/>
            <w:vAlign w:val="bottom"/>
            <w:hideMark/>
          </w:tcPr>
          <w:p w14:paraId="307C75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183,0</w:t>
            </w:r>
          </w:p>
        </w:tc>
        <w:tc>
          <w:tcPr>
            <w:tcW w:w="1087" w:type="dxa"/>
            <w:tcBorders>
              <w:top w:val="nil"/>
              <w:left w:val="nil"/>
              <w:bottom w:val="single" w:sz="4" w:space="0" w:color="auto"/>
              <w:right w:val="single" w:sz="4" w:space="0" w:color="auto"/>
            </w:tcBorders>
            <w:shd w:val="clear" w:color="000000" w:fill="FFFFFF"/>
            <w:noWrap/>
            <w:vAlign w:val="bottom"/>
            <w:hideMark/>
          </w:tcPr>
          <w:p w14:paraId="31C452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1 049,5</w:t>
            </w:r>
          </w:p>
        </w:tc>
        <w:tc>
          <w:tcPr>
            <w:tcW w:w="1040" w:type="dxa"/>
            <w:tcBorders>
              <w:top w:val="nil"/>
              <w:left w:val="nil"/>
              <w:bottom w:val="single" w:sz="4" w:space="0" w:color="auto"/>
              <w:right w:val="single" w:sz="4" w:space="0" w:color="auto"/>
            </w:tcBorders>
            <w:shd w:val="clear" w:color="000000" w:fill="FFFFFF"/>
            <w:noWrap/>
            <w:vAlign w:val="bottom"/>
            <w:hideMark/>
          </w:tcPr>
          <w:p w14:paraId="53AFE0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710,4</w:t>
            </w:r>
          </w:p>
        </w:tc>
        <w:tc>
          <w:tcPr>
            <w:tcW w:w="1226" w:type="dxa"/>
            <w:tcBorders>
              <w:top w:val="nil"/>
              <w:left w:val="nil"/>
              <w:bottom w:val="single" w:sz="4" w:space="0" w:color="auto"/>
              <w:right w:val="single" w:sz="4" w:space="0" w:color="auto"/>
            </w:tcBorders>
            <w:shd w:val="clear" w:color="000000" w:fill="FFFFFF"/>
            <w:noWrap/>
            <w:vAlign w:val="bottom"/>
            <w:hideMark/>
          </w:tcPr>
          <w:p w14:paraId="1D421B8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E964E1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01D5B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Hова Загора</w:t>
            </w:r>
          </w:p>
        </w:tc>
        <w:tc>
          <w:tcPr>
            <w:tcW w:w="1911" w:type="dxa"/>
            <w:tcBorders>
              <w:top w:val="nil"/>
              <w:left w:val="nil"/>
              <w:bottom w:val="single" w:sz="4" w:space="0" w:color="auto"/>
              <w:right w:val="single" w:sz="4" w:space="0" w:color="auto"/>
            </w:tcBorders>
            <w:shd w:val="clear" w:color="000000" w:fill="FFFFFF"/>
            <w:noWrap/>
            <w:vAlign w:val="bottom"/>
            <w:hideMark/>
          </w:tcPr>
          <w:p w14:paraId="314663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19 233,6</w:t>
            </w:r>
          </w:p>
        </w:tc>
        <w:tc>
          <w:tcPr>
            <w:tcW w:w="1118" w:type="dxa"/>
            <w:tcBorders>
              <w:top w:val="nil"/>
              <w:left w:val="nil"/>
              <w:bottom w:val="single" w:sz="4" w:space="0" w:color="auto"/>
              <w:right w:val="single" w:sz="4" w:space="0" w:color="auto"/>
            </w:tcBorders>
            <w:shd w:val="clear" w:color="000000" w:fill="FFFFFF"/>
            <w:noWrap/>
            <w:vAlign w:val="bottom"/>
            <w:hideMark/>
          </w:tcPr>
          <w:p w14:paraId="7475AD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2 043,1</w:t>
            </w:r>
          </w:p>
        </w:tc>
        <w:tc>
          <w:tcPr>
            <w:tcW w:w="1257" w:type="dxa"/>
            <w:tcBorders>
              <w:top w:val="nil"/>
              <w:left w:val="nil"/>
              <w:bottom w:val="single" w:sz="4" w:space="0" w:color="auto"/>
              <w:right w:val="single" w:sz="4" w:space="0" w:color="auto"/>
            </w:tcBorders>
            <w:shd w:val="clear" w:color="000000" w:fill="FFFFFF"/>
            <w:noWrap/>
            <w:vAlign w:val="bottom"/>
            <w:hideMark/>
          </w:tcPr>
          <w:p w14:paraId="61867A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527,1</w:t>
            </w:r>
          </w:p>
        </w:tc>
        <w:tc>
          <w:tcPr>
            <w:tcW w:w="1384" w:type="dxa"/>
            <w:tcBorders>
              <w:top w:val="nil"/>
              <w:left w:val="nil"/>
              <w:bottom w:val="single" w:sz="4" w:space="0" w:color="auto"/>
              <w:right w:val="single" w:sz="4" w:space="0" w:color="auto"/>
            </w:tcBorders>
            <w:shd w:val="clear" w:color="000000" w:fill="FFFFFF"/>
            <w:noWrap/>
            <w:vAlign w:val="bottom"/>
            <w:hideMark/>
          </w:tcPr>
          <w:p w14:paraId="7F157E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1 516,0</w:t>
            </w:r>
          </w:p>
        </w:tc>
        <w:tc>
          <w:tcPr>
            <w:tcW w:w="1134" w:type="dxa"/>
            <w:tcBorders>
              <w:top w:val="nil"/>
              <w:left w:val="nil"/>
              <w:bottom w:val="single" w:sz="4" w:space="0" w:color="auto"/>
              <w:right w:val="single" w:sz="4" w:space="0" w:color="auto"/>
            </w:tcBorders>
            <w:shd w:val="clear" w:color="000000" w:fill="FFFFFF"/>
            <w:noWrap/>
            <w:vAlign w:val="bottom"/>
            <w:hideMark/>
          </w:tcPr>
          <w:p w14:paraId="76B407F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183,2</w:t>
            </w:r>
          </w:p>
        </w:tc>
        <w:tc>
          <w:tcPr>
            <w:tcW w:w="1277" w:type="dxa"/>
            <w:tcBorders>
              <w:top w:val="nil"/>
              <w:left w:val="nil"/>
              <w:bottom w:val="single" w:sz="4" w:space="0" w:color="auto"/>
              <w:right w:val="single" w:sz="4" w:space="0" w:color="auto"/>
            </w:tcBorders>
            <w:shd w:val="clear" w:color="000000" w:fill="FFFFFF"/>
            <w:noWrap/>
            <w:vAlign w:val="bottom"/>
            <w:hideMark/>
          </w:tcPr>
          <w:p w14:paraId="73A196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13 514,8</w:t>
            </w:r>
          </w:p>
        </w:tc>
        <w:tc>
          <w:tcPr>
            <w:tcW w:w="1040" w:type="dxa"/>
            <w:tcBorders>
              <w:top w:val="nil"/>
              <w:left w:val="nil"/>
              <w:bottom w:val="single" w:sz="4" w:space="0" w:color="auto"/>
              <w:right w:val="single" w:sz="4" w:space="0" w:color="auto"/>
            </w:tcBorders>
            <w:shd w:val="clear" w:color="000000" w:fill="FFFFFF"/>
            <w:noWrap/>
            <w:vAlign w:val="bottom"/>
            <w:hideMark/>
          </w:tcPr>
          <w:p w14:paraId="191665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788,1</w:t>
            </w:r>
          </w:p>
        </w:tc>
        <w:tc>
          <w:tcPr>
            <w:tcW w:w="1087" w:type="dxa"/>
            <w:tcBorders>
              <w:top w:val="nil"/>
              <w:left w:val="nil"/>
              <w:bottom w:val="single" w:sz="4" w:space="0" w:color="auto"/>
              <w:right w:val="single" w:sz="4" w:space="0" w:color="auto"/>
            </w:tcBorders>
            <w:shd w:val="clear" w:color="000000" w:fill="FFFFFF"/>
            <w:noWrap/>
            <w:vAlign w:val="bottom"/>
            <w:hideMark/>
          </w:tcPr>
          <w:p w14:paraId="0B3D7C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1 629,0</w:t>
            </w:r>
          </w:p>
        </w:tc>
        <w:tc>
          <w:tcPr>
            <w:tcW w:w="1040" w:type="dxa"/>
            <w:tcBorders>
              <w:top w:val="nil"/>
              <w:left w:val="nil"/>
              <w:bottom w:val="single" w:sz="4" w:space="0" w:color="auto"/>
              <w:right w:val="single" w:sz="4" w:space="0" w:color="auto"/>
            </w:tcBorders>
            <w:shd w:val="clear" w:color="000000" w:fill="FFFFFF"/>
            <w:noWrap/>
            <w:vAlign w:val="bottom"/>
            <w:hideMark/>
          </w:tcPr>
          <w:p w14:paraId="50CC27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1 075,4</w:t>
            </w:r>
          </w:p>
        </w:tc>
        <w:tc>
          <w:tcPr>
            <w:tcW w:w="1226" w:type="dxa"/>
            <w:tcBorders>
              <w:top w:val="nil"/>
              <w:left w:val="nil"/>
              <w:bottom w:val="single" w:sz="4" w:space="0" w:color="auto"/>
              <w:right w:val="single" w:sz="4" w:space="0" w:color="auto"/>
            </w:tcBorders>
            <w:shd w:val="clear" w:color="000000" w:fill="FFFFFF"/>
            <w:noWrap/>
            <w:vAlign w:val="bottom"/>
            <w:hideMark/>
          </w:tcPr>
          <w:p w14:paraId="431A2F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2F38D3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73E47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Cливен</w:t>
            </w:r>
          </w:p>
        </w:tc>
        <w:tc>
          <w:tcPr>
            <w:tcW w:w="1911" w:type="dxa"/>
            <w:tcBorders>
              <w:top w:val="nil"/>
              <w:left w:val="nil"/>
              <w:bottom w:val="single" w:sz="4" w:space="0" w:color="auto"/>
              <w:right w:val="single" w:sz="4" w:space="0" w:color="auto"/>
            </w:tcBorders>
            <w:shd w:val="clear" w:color="000000" w:fill="FFFFFF"/>
            <w:noWrap/>
            <w:vAlign w:val="bottom"/>
            <w:hideMark/>
          </w:tcPr>
          <w:p w14:paraId="3B50C6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74 562,3</w:t>
            </w:r>
          </w:p>
        </w:tc>
        <w:tc>
          <w:tcPr>
            <w:tcW w:w="1118" w:type="dxa"/>
            <w:tcBorders>
              <w:top w:val="nil"/>
              <w:left w:val="nil"/>
              <w:bottom w:val="single" w:sz="4" w:space="0" w:color="auto"/>
              <w:right w:val="single" w:sz="4" w:space="0" w:color="auto"/>
            </w:tcBorders>
            <w:shd w:val="clear" w:color="000000" w:fill="FFFFFF"/>
            <w:noWrap/>
            <w:vAlign w:val="bottom"/>
            <w:hideMark/>
          </w:tcPr>
          <w:p w14:paraId="24CB24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4 455,9</w:t>
            </w:r>
          </w:p>
        </w:tc>
        <w:tc>
          <w:tcPr>
            <w:tcW w:w="1257" w:type="dxa"/>
            <w:tcBorders>
              <w:top w:val="nil"/>
              <w:left w:val="nil"/>
              <w:bottom w:val="single" w:sz="4" w:space="0" w:color="auto"/>
              <w:right w:val="single" w:sz="4" w:space="0" w:color="auto"/>
            </w:tcBorders>
            <w:shd w:val="clear" w:color="000000" w:fill="FFFFFF"/>
            <w:noWrap/>
            <w:vAlign w:val="bottom"/>
            <w:hideMark/>
          </w:tcPr>
          <w:p w14:paraId="203901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751,3</w:t>
            </w:r>
          </w:p>
        </w:tc>
        <w:tc>
          <w:tcPr>
            <w:tcW w:w="1384" w:type="dxa"/>
            <w:tcBorders>
              <w:top w:val="nil"/>
              <w:left w:val="nil"/>
              <w:bottom w:val="single" w:sz="4" w:space="0" w:color="auto"/>
              <w:right w:val="single" w:sz="4" w:space="0" w:color="auto"/>
            </w:tcBorders>
            <w:shd w:val="clear" w:color="000000" w:fill="FFFFFF"/>
            <w:noWrap/>
            <w:vAlign w:val="bottom"/>
            <w:hideMark/>
          </w:tcPr>
          <w:p w14:paraId="460091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3 704,6</w:t>
            </w:r>
          </w:p>
        </w:tc>
        <w:tc>
          <w:tcPr>
            <w:tcW w:w="1134" w:type="dxa"/>
            <w:tcBorders>
              <w:top w:val="nil"/>
              <w:left w:val="nil"/>
              <w:bottom w:val="single" w:sz="4" w:space="0" w:color="auto"/>
              <w:right w:val="single" w:sz="4" w:space="0" w:color="auto"/>
            </w:tcBorders>
            <w:shd w:val="clear" w:color="000000" w:fill="FFFFFF"/>
            <w:noWrap/>
            <w:vAlign w:val="bottom"/>
            <w:hideMark/>
          </w:tcPr>
          <w:p w14:paraId="1EE51E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352,6</w:t>
            </w:r>
          </w:p>
        </w:tc>
        <w:tc>
          <w:tcPr>
            <w:tcW w:w="1277" w:type="dxa"/>
            <w:tcBorders>
              <w:top w:val="nil"/>
              <w:left w:val="nil"/>
              <w:bottom w:val="single" w:sz="4" w:space="0" w:color="auto"/>
              <w:right w:val="single" w:sz="4" w:space="0" w:color="auto"/>
            </w:tcBorders>
            <w:shd w:val="clear" w:color="000000" w:fill="FFFFFF"/>
            <w:noWrap/>
            <w:vAlign w:val="bottom"/>
            <w:hideMark/>
          </w:tcPr>
          <w:p w14:paraId="56C8C4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51 246,9</w:t>
            </w:r>
          </w:p>
        </w:tc>
        <w:tc>
          <w:tcPr>
            <w:tcW w:w="1040" w:type="dxa"/>
            <w:tcBorders>
              <w:top w:val="nil"/>
              <w:left w:val="nil"/>
              <w:bottom w:val="single" w:sz="4" w:space="0" w:color="auto"/>
              <w:right w:val="single" w:sz="4" w:space="0" w:color="auto"/>
            </w:tcBorders>
            <w:shd w:val="clear" w:color="000000" w:fill="FFFFFF"/>
            <w:noWrap/>
            <w:vAlign w:val="bottom"/>
            <w:hideMark/>
          </w:tcPr>
          <w:p w14:paraId="6F28EE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4 862,4</w:t>
            </w:r>
          </w:p>
        </w:tc>
        <w:tc>
          <w:tcPr>
            <w:tcW w:w="1087" w:type="dxa"/>
            <w:tcBorders>
              <w:top w:val="nil"/>
              <w:left w:val="nil"/>
              <w:bottom w:val="single" w:sz="4" w:space="0" w:color="auto"/>
              <w:right w:val="single" w:sz="4" w:space="0" w:color="auto"/>
            </w:tcBorders>
            <w:shd w:val="clear" w:color="000000" w:fill="FFFFFF"/>
            <w:noWrap/>
            <w:vAlign w:val="bottom"/>
            <w:hideMark/>
          </w:tcPr>
          <w:p w14:paraId="104E9A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10 606,3</w:t>
            </w:r>
          </w:p>
        </w:tc>
        <w:tc>
          <w:tcPr>
            <w:tcW w:w="1040" w:type="dxa"/>
            <w:tcBorders>
              <w:top w:val="nil"/>
              <w:left w:val="nil"/>
              <w:bottom w:val="single" w:sz="4" w:space="0" w:color="auto"/>
              <w:right w:val="single" w:sz="4" w:space="0" w:color="auto"/>
            </w:tcBorders>
            <w:shd w:val="clear" w:color="000000" w:fill="FFFFFF"/>
            <w:noWrap/>
            <w:vAlign w:val="bottom"/>
            <w:hideMark/>
          </w:tcPr>
          <w:p w14:paraId="327A58D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3 038,2</w:t>
            </w:r>
          </w:p>
        </w:tc>
        <w:tc>
          <w:tcPr>
            <w:tcW w:w="1226" w:type="dxa"/>
            <w:tcBorders>
              <w:top w:val="nil"/>
              <w:left w:val="nil"/>
              <w:bottom w:val="single" w:sz="4" w:space="0" w:color="auto"/>
              <w:right w:val="single" w:sz="4" w:space="0" w:color="auto"/>
            </w:tcBorders>
            <w:shd w:val="clear" w:color="000000" w:fill="FFFFFF"/>
            <w:noWrap/>
            <w:vAlign w:val="bottom"/>
            <w:hideMark/>
          </w:tcPr>
          <w:p w14:paraId="1AB027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E50380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47D0A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Tвърдица</w:t>
            </w:r>
          </w:p>
        </w:tc>
        <w:tc>
          <w:tcPr>
            <w:tcW w:w="1911" w:type="dxa"/>
            <w:tcBorders>
              <w:top w:val="nil"/>
              <w:left w:val="nil"/>
              <w:bottom w:val="single" w:sz="4" w:space="0" w:color="auto"/>
              <w:right w:val="single" w:sz="4" w:space="0" w:color="auto"/>
            </w:tcBorders>
            <w:shd w:val="clear" w:color="000000" w:fill="FFFFFF"/>
            <w:noWrap/>
            <w:vAlign w:val="bottom"/>
            <w:hideMark/>
          </w:tcPr>
          <w:p w14:paraId="4C12B2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13 567,3</w:t>
            </w:r>
          </w:p>
        </w:tc>
        <w:tc>
          <w:tcPr>
            <w:tcW w:w="1118" w:type="dxa"/>
            <w:tcBorders>
              <w:top w:val="nil"/>
              <w:left w:val="nil"/>
              <w:bottom w:val="single" w:sz="4" w:space="0" w:color="auto"/>
              <w:right w:val="single" w:sz="4" w:space="0" w:color="auto"/>
            </w:tcBorders>
            <w:shd w:val="clear" w:color="000000" w:fill="FFFFFF"/>
            <w:noWrap/>
            <w:vAlign w:val="bottom"/>
            <w:hideMark/>
          </w:tcPr>
          <w:p w14:paraId="04654B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1 059,6</w:t>
            </w:r>
          </w:p>
        </w:tc>
        <w:tc>
          <w:tcPr>
            <w:tcW w:w="1257" w:type="dxa"/>
            <w:tcBorders>
              <w:top w:val="nil"/>
              <w:left w:val="nil"/>
              <w:bottom w:val="single" w:sz="4" w:space="0" w:color="auto"/>
              <w:right w:val="single" w:sz="4" w:space="0" w:color="auto"/>
            </w:tcBorders>
            <w:shd w:val="clear" w:color="000000" w:fill="FFFFFF"/>
            <w:noWrap/>
            <w:vAlign w:val="bottom"/>
            <w:hideMark/>
          </w:tcPr>
          <w:p w14:paraId="3D20F2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186,9</w:t>
            </w:r>
          </w:p>
        </w:tc>
        <w:tc>
          <w:tcPr>
            <w:tcW w:w="1384" w:type="dxa"/>
            <w:tcBorders>
              <w:top w:val="nil"/>
              <w:left w:val="nil"/>
              <w:bottom w:val="single" w:sz="4" w:space="0" w:color="auto"/>
              <w:right w:val="single" w:sz="4" w:space="0" w:color="auto"/>
            </w:tcBorders>
            <w:shd w:val="clear" w:color="000000" w:fill="FFFFFF"/>
            <w:noWrap/>
            <w:vAlign w:val="bottom"/>
            <w:hideMark/>
          </w:tcPr>
          <w:p w14:paraId="33F52E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872,7</w:t>
            </w:r>
          </w:p>
        </w:tc>
        <w:tc>
          <w:tcPr>
            <w:tcW w:w="1134" w:type="dxa"/>
            <w:tcBorders>
              <w:top w:val="nil"/>
              <w:left w:val="nil"/>
              <w:bottom w:val="single" w:sz="4" w:space="0" w:color="auto"/>
              <w:right w:val="single" w:sz="4" w:space="0" w:color="auto"/>
            </w:tcBorders>
            <w:shd w:val="clear" w:color="000000" w:fill="FFFFFF"/>
            <w:noWrap/>
            <w:vAlign w:val="bottom"/>
            <w:hideMark/>
          </w:tcPr>
          <w:p w14:paraId="5FF7A1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124,3</w:t>
            </w:r>
          </w:p>
        </w:tc>
        <w:tc>
          <w:tcPr>
            <w:tcW w:w="1277" w:type="dxa"/>
            <w:tcBorders>
              <w:top w:val="nil"/>
              <w:left w:val="nil"/>
              <w:bottom w:val="single" w:sz="4" w:space="0" w:color="auto"/>
              <w:right w:val="single" w:sz="4" w:space="0" w:color="auto"/>
            </w:tcBorders>
            <w:shd w:val="clear" w:color="000000" w:fill="FFFFFF"/>
            <w:noWrap/>
            <w:vAlign w:val="bottom"/>
            <w:hideMark/>
          </w:tcPr>
          <w:p w14:paraId="3A0ABC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7 972,6</w:t>
            </w:r>
          </w:p>
        </w:tc>
        <w:tc>
          <w:tcPr>
            <w:tcW w:w="1040" w:type="dxa"/>
            <w:tcBorders>
              <w:top w:val="nil"/>
              <w:left w:val="nil"/>
              <w:bottom w:val="single" w:sz="4" w:space="0" w:color="auto"/>
              <w:right w:val="single" w:sz="4" w:space="0" w:color="auto"/>
            </w:tcBorders>
            <w:shd w:val="clear" w:color="000000" w:fill="FFFFFF"/>
            <w:noWrap/>
            <w:vAlign w:val="bottom"/>
            <w:hideMark/>
          </w:tcPr>
          <w:p w14:paraId="48E809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284,6</w:t>
            </w:r>
          </w:p>
        </w:tc>
        <w:tc>
          <w:tcPr>
            <w:tcW w:w="1087" w:type="dxa"/>
            <w:tcBorders>
              <w:top w:val="nil"/>
              <w:left w:val="nil"/>
              <w:bottom w:val="single" w:sz="4" w:space="0" w:color="auto"/>
              <w:right w:val="single" w:sz="4" w:space="0" w:color="auto"/>
            </w:tcBorders>
            <w:shd w:val="clear" w:color="000000" w:fill="FFFFFF"/>
            <w:noWrap/>
            <w:vAlign w:val="bottom"/>
            <w:hideMark/>
          </w:tcPr>
          <w:p w14:paraId="08C27B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3 935,1</w:t>
            </w:r>
          </w:p>
        </w:tc>
        <w:tc>
          <w:tcPr>
            <w:tcW w:w="1040" w:type="dxa"/>
            <w:tcBorders>
              <w:top w:val="nil"/>
              <w:left w:val="nil"/>
              <w:bottom w:val="single" w:sz="4" w:space="0" w:color="auto"/>
              <w:right w:val="single" w:sz="4" w:space="0" w:color="auto"/>
            </w:tcBorders>
            <w:shd w:val="clear" w:color="000000" w:fill="FFFFFF"/>
            <w:noWrap/>
            <w:vAlign w:val="bottom"/>
            <w:hideMark/>
          </w:tcPr>
          <w:p w14:paraId="2809AA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15E6B2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95523A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6835AE2"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28427C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9A474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551F75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32E370A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5A6659B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238BA1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EC5996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3D99CE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096709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3669F1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C93B0B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245D0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СМОЛЯН</w:t>
            </w:r>
          </w:p>
        </w:tc>
        <w:tc>
          <w:tcPr>
            <w:tcW w:w="1911" w:type="dxa"/>
            <w:tcBorders>
              <w:top w:val="nil"/>
              <w:left w:val="nil"/>
              <w:bottom w:val="single" w:sz="4" w:space="0" w:color="auto"/>
              <w:right w:val="single" w:sz="4" w:space="0" w:color="auto"/>
            </w:tcBorders>
            <w:shd w:val="clear" w:color="000000" w:fill="FFFFFF"/>
            <w:noWrap/>
            <w:vAlign w:val="bottom"/>
            <w:hideMark/>
          </w:tcPr>
          <w:p w14:paraId="7B60855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40E8ACA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39337B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071E3CE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2E1240F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0D52B9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9B047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3AC102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977E19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271570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4DF0CC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8EE7DE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Баните</w:t>
            </w:r>
          </w:p>
        </w:tc>
        <w:tc>
          <w:tcPr>
            <w:tcW w:w="1911" w:type="dxa"/>
            <w:tcBorders>
              <w:top w:val="nil"/>
              <w:left w:val="nil"/>
              <w:bottom w:val="single" w:sz="4" w:space="0" w:color="auto"/>
              <w:right w:val="single" w:sz="4" w:space="0" w:color="auto"/>
            </w:tcBorders>
            <w:shd w:val="clear" w:color="000000" w:fill="FFFFFF"/>
            <w:noWrap/>
            <w:vAlign w:val="bottom"/>
            <w:hideMark/>
          </w:tcPr>
          <w:p w14:paraId="006197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2 457,0</w:t>
            </w:r>
          </w:p>
        </w:tc>
        <w:tc>
          <w:tcPr>
            <w:tcW w:w="1118" w:type="dxa"/>
            <w:tcBorders>
              <w:top w:val="nil"/>
              <w:left w:val="nil"/>
              <w:bottom w:val="single" w:sz="4" w:space="0" w:color="auto"/>
              <w:right w:val="single" w:sz="4" w:space="0" w:color="auto"/>
            </w:tcBorders>
            <w:shd w:val="clear" w:color="000000" w:fill="FFFFFF"/>
            <w:noWrap/>
            <w:vAlign w:val="bottom"/>
            <w:hideMark/>
          </w:tcPr>
          <w:p w14:paraId="3B0C88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703,2</w:t>
            </w:r>
          </w:p>
        </w:tc>
        <w:tc>
          <w:tcPr>
            <w:tcW w:w="1257" w:type="dxa"/>
            <w:tcBorders>
              <w:top w:val="nil"/>
              <w:left w:val="nil"/>
              <w:bottom w:val="single" w:sz="4" w:space="0" w:color="auto"/>
              <w:right w:val="single" w:sz="4" w:space="0" w:color="auto"/>
            </w:tcBorders>
            <w:shd w:val="clear" w:color="000000" w:fill="FFFFFF"/>
            <w:noWrap/>
            <w:vAlign w:val="bottom"/>
            <w:hideMark/>
          </w:tcPr>
          <w:p w14:paraId="6ACD2B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215,6</w:t>
            </w:r>
          </w:p>
        </w:tc>
        <w:tc>
          <w:tcPr>
            <w:tcW w:w="1384" w:type="dxa"/>
            <w:tcBorders>
              <w:top w:val="nil"/>
              <w:left w:val="nil"/>
              <w:bottom w:val="single" w:sz="4" w:space="0" w:color="auto"/>
              <w:right w:val="single" w:sz="4" w:space="0" w:color="auto"/>
            </w:tcBorders>
            <w:shd w:val="clear" w:color="000000" w:fill="FFFFFF"/>
            <w:noWrap/>
            <w:vAlign w:val="bottom"/>
            <w:hideMark/>
          </w:tcPr>
          <w:p w14:paraId="5C1CED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487,6</w:t>
            </w:r>
          </w:p>
        </w:tc>
        <w:tc>
          <w:tcPr>
            <w:tcW w:w="1134" w:type="dxa"/>
            <w:tcBorders>
              <w:top w:val="nil"/>
              <w:left w:val="nil"/>
              <w:bottom w:val="single" w:sz="4" w:space="0" w:color="auto"/>
              <w:right w:val="single" w:sz="4" w:space="0" w:color="auto"/>
            </w:tcBorders>
            <w:shd w:val="clear" w:color="000000" w:fill="FFFFFF"/>
            <w:noWrap/>
            <w:vAlign w:val="bottom"/>
            <w:hideMark/>
          </w:tcPr>
          <w:p w14:paraId="5CC9DC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100,6</w:t>
            </w:r>
          </w:p>
        </w:tc>
        <w:tc>
          <w:tcPr>
            <w:tcW w:w="1277" w:type="dxa"/>
            <w:tcBorders>
              <w:top w:val="nil"/>
              <w:left w:val="nil"/>
              <w:bottom w:val="single" w:sz="4" w:space="0" w:color="auto"/>
              <w:right w:val="single" w:sz="4" w:space="0" w:color="auto"/>
            </w:tcBorders>
            <w:shd w:val="clear" w:color="000000" w:fill="FFFFFF"/>
            <w:noWrap/>
            <w:vAlign w:val="bottom"/>
            <w:hideMark/>
          </w:tcPr>
          <w:p w14:paraId="470CAA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1 207,7</w:t>
            </w:r>
          </w:p>
        </w:tc>
        <w:tc>
          <w:tcPr>
            <w:tcW w:w="1040" w:type="dxa"/>
            <w:tcBorders>
              <w:top w:val="nil"/>
              <w:left w:val="nil"/>
              <w:bottom w:val="single" w:sz="4" w:space="0" w:color="auto"/>
              <w:right w:val="single" w:sz="4" w:space="0" w:color="auto"/>
            </w:tcBorders>
            <w:shd w:val="clear" w:color="000000" w:fill="FFFFFF"/>
            <w:noWrap/>
            <w:vAlign w:val="bottom"/>
            <w:hideMark/>
          </w:tcPr>
          <w:p w14:paraId="4C073B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17,8</w:t>
            </w:r>
          </w:p>
        </w:tc>
        <w:tc>
          <w:tcPr>
            <w:tcW w:w="1087" w:type="dxa"/>
            <w:tcBorders>
              <w:top w:val="nil"/>
              <w:left w:val="nil"/>
              <w:bottom w:val="single" w:sz="4" w:space="0" w:color="auto"/>
              <w:right w:val="single" w:sz="4" w:space="0" w:color="auto"/>
            </w:tcBorders>
            <w:shd w:val="clear" w:color="000000" w:fill="FFFFFF"/>
            <w:noWrap/>
            <w:vAlign w:val="bottom"/>
            <w:hideMark/>
          </w:tcPr>
          <w:p w14:paraId="4C86E2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304,1</w:t>
            </w:r>
          </w:p>
        </w:tc>
        <w:tc>
          <w:tcPr>
            <w:tcW w:w="1040" w:type="dxa"/>
            <w:tcBorders>
              <w:top w:val="nil"/>
              <w:left w:val="nil"/>
              <w:bottom w:val="single" w:sz="4" w:space="0" w:color="auto"/>
              <w:right w:val="single" w:sz="4" w:space="0" w:color="auto"/>
            </w:tcBorders>
            <w:shd w:val="clear" w:color="000000" w:fill="FFFFFF"/>
            <w:noWrap/>
            <w:vAlign w:val="bottom"/>
            <w:hideMark/>
          </w:tcPr>
          <w:p w14:paraId="6DA1D6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123,6</w:t>
            </w:r>
          </w:p>
        </w:tc>
        <w:tc>
          <w:tcPr>
            <w:tcW w:w="1226" w:type="dxa"/>
            <w:tcBorders>
              <w:top w:val="nil"/>
              <w:left w:val="nil"/>
              <w:bottom w:val="single" w:sz="4" w:space="0" w:color="auto"/>
              <w:right w:val="single" w:sz="4" w:space="0" w:color="auto"/>
            </w:tcBorders>
            <w:shd w:val="clear" w:color="000000" w:fill="FFFFFF"/>
            <w:noWrap/>
            <w:vAlign w:val="bottom"/>
            <w:hideMark/>
          </w:tcPr>
          <w:p w14:paraId="74A97AF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B468B8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BFB01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Борино</w:t>
            </w:r>
          </w:p>
        </w:tc>
        <w:tc>
          <w:tcPr>
            <w:tcW w:w="1911" w:type="dxa"/>
            <w:tcBorders>
              <w:top w:val="nil"/>
              <w:left w:val="nil"/>
              <w:bottom w:val="single" w:sz="4" w:space="0" w:color="auto"/>
              <w:right w:val="single" w:sz="4" w:space="0" w:color="auto"/>
            </w:tcBorders>
            <w:shd w:val="clear" w:color="000000" w:fill="FFFFFF"/>
            <w:noWrap/>
            <w:vAlign w:val="bottom"/>
            <w:hideMark/>
          </w:tcPr>
          <w:p w14:paraId="0780A3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2 131,0</w:t>
            </w:r>
          </w:p>
        </w:tc>
        <w:tc>
          <w:tcPr>
            <w:tcW w:w="1118" w:type="dxa"/>
            <w:tcBorders>
              <w:top w:val="nil"/>
              <w:left w:val="nil"/>
              <w:bottom w:val="single" w:sz="4" w:space="0" w:color="auto"/>
              <w:right w:val="single" w:sz="4" w:space="0" w:color="auto"/>
            </w:tcBorders>
            <w:shd w:val="clear" w:color="000000" w:fill="FFFFFF"/>
            <w:noWrap/>
            <w:vAlign w:val="bottom"/>
            <w:hideMark/>
          </w:tcPr>
          <w:p w14:paraId="6CFE45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596,8</w:t>
            </w:r>
          </w:p>
        </w:tc>
        <w:tc>
          <w:tcPr>
            <w:tcW w:w="1257" w:type="dxa"/>
            <w:tcBorders>
              <w:top w:val="nil"/>
              <w:left w:val="nil"/>
              <w:bottom w:val="single" w:sz="4" w:space="0" w:color="auto"/>
              <w:right w:val="single" w:sz="4" w:space="0" w:color="auto"/>
            </w:tcBorders>
            <w:shd w:val="clear" w:color="000000" w:fill="FFFFFF"/>
            <w:noWrap/>
            <w:vAlign w:val="bottom"/>
            <w:hideMark/>
          </w:tcPr>
          <w:p w14:paraId="71B3D7E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99,4</w:t>
            </w:r>
          </w:p>
        </w:tc>
        <w:tc>
          <w:tcPr>
            <w:tcW w:w="1384" w:type="dxa"/>
            <w:tcBorders>
              <w:top w:val="nil"/>
              <w:left w:val="nil"/>
              <w:bottom w:val="single" w:sz="4" w:space="0" w:color="auto"/>
              <w:right w:val="single" w:sz="4" w:space="0" w:color="auto"/>
            </w:tcBorders>
            <w:shd w:val="clear" w:color="000000" w:fill="FFFFFF"/>
            <w:noWrap/>
            <w:vAlign w:val="bottom"/>
            <w:hideMark/>
          </w:tcPr>
          <w:p w14:paraId="1B6DC9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497,4</w:t>
            </w:r>
          </w:p>
        </w:tc>
        <w:tc>
          <w:tcPr>
            <w:tcW w:w="1134" w:type="dxa"/>
            <w:tcBorders>
              <w:top w:val="nil"/>
              <w:left w:val="nil"/>
              <w:bottom w:val="single" w:sz="4" w:space="0" w:color="auto"/>
              <w:right w:val="single" w:sz="4" w:space="0" w:color="auto"/>
            </w:tcBorders>
            <w:shd w:val="clear" w:color="000000" w:fill="FFFFFF"/>
            <w:noWrap/>
            <w:vAlign w:val="bottom"/>
            <w:hideMark/>
          </w:tcPr>
          <w:p w14:paraId="5DE948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119,1</w:t>
            </w:r>
          </w:p>
        </w:tc>
        <w:tc>
          <w:tcPr>
            <w:tcW w:w="1277" w:type="dxa"/>
            <w:tcBorders>
              <w:top w:val="nil"/>
              <w:left w:val="nil"/>
              <w:bottom w:val="single" w:sz="4" w:space="0" w:color="auto"/>
              <w:right w:val="single" w:sz="4" w:space="0" w:color="auto"/>
            </w:tcBorders>
            <w:shd w:val="clear" w:color="000000" w:fill="FFFFFF"/>
            <w:noWrap/>
            <w:vAlign w:val="bottom"/>
            <w:hideMark/>
          </w:tcPr>
          <w:p w14:paraId="599B56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1 046,8</w:t>
            </w:r>
          </w:p>
        </w:tc>
        <w:tc>
          <w:tcPr>
            <w:tcW w:w="1040" w:type="dxa"/>
            <w:tcBorders>
              <w:top w:val="nil"/>
              <w:left w:val="nil"/>
              <w:bottom w:val="single" w:sz="4" w:space="0" w:color="auto"/>
              <w:right w:val="single" w:sz="4" w:space="0" w:color="auto"/>
            </w:tcBorders>
            <w:shd w:val="clear" w:color="000000" w:fill="FFFFFF"/>
            <w:noWrap/>
            <w:vAlign w:val="bottom"/>
            <w:hideMark/>
          </w:tcPr>
          <w:p w14:paraId="374273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12,7</w:t>
            </w:r>
          </w:p>
        </w:tc>
        <w:tc>
          <w:tcPr>
            <w:tcW w:w="1087" w:type="dxa"/>
            <w:tcBorders>
              <w:top w:val="nil"/>
              <w:left w:val="nil"/>
              <w:bottom w:val="single" w:sz="4" w:space="0" w:color="auto"/>
              <w:right w:val="single" w:sz="4" w:space="0" w:color="auto"/>
            </w:tcBorders>
            <w:shd w:val="clear" w:color="000000" w:fill="FFFFFF"/>
            <w:noWrap/>
            <w:vAlign w:val="bottom"/>
            <w:hideMark/>
          </w:tcPr>
          <w:p w14:paraId="0B63D8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265,7</w:t>
            </w:r>
          </w:p>
        </w:tc>
        <w:tc>
          <w:tcPr>
            <w:tcW w:w="1040" w:type="dxa"/>
            <w:tcBorders>
              <w:top w:val="nil"/>
              <w:left w:val="nil"/>
              <w:bottom w:val="single" w:sz="4" w:space="0" w:color="auto"/>
              <w:right w:val="single" w:sz="4" w:space="0" w:color="auto"/>
            </w:tcBorders>
            <w:shd w:val="clear" w:color="000000" w:fill="FFFFFF"/>
            <w:noWrap/>
            <w:vAlign w:val="bottom"/>
            <w:hideMark/>
          </w:tcPr>
          <w:p w14:paraId="1070B4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89,9</w:t>
            </w:r>
          </w:p>
        </w:tc>
        <w:tc>
          <w:tcPr>
            <w:tcW w:w="1226" w:type="dxa"/>
            <w:tcBorders>
              <w:top w:val="nil"/>
              <w:left w:val="nil"/>
              <w:bottom w:val="single" w:sz="4" w:space="0" w:color="auto"/>
              <w:right w:val="single" w:sz="4" w:space="0" w:color="auto"/>
            </w:tcBorders>
            <w:shd w:val="clear" w:color="000000" w:fill="FFFFFF"/>
            <w:noWrap/>
            <w:vAlign w:val="bottom"/>
            <w:hideMark/>
          </w:tcPr>
          <w:p w14:paraId="4ED1A22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366BBF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C64BB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Девин</w:t>
            </w:r>
          </w:p>
        </w:tc>
        <w:tc>
          <w:tcPr>
            <w:tcW w:w="1911" w:type="dxa"/>
            <w:tcBorders>
              <w:top w:val="nil"/>
              <w:left w:val="nil"/>
              <w:bottom w:val="single" w:sz="4" w:space="0" w:color="auto"/>
              <w:right w:val="single" w:sz="4" w:space="0" w:color="auto"/>
            </w:tcBorders>
            <w:shd w:val="clear" w:color="000000" w:fill="FFFFFF"/>
            <w:noWrap/>
            <w:vAlign w:val="bottom"/>
            <w:hideMark/>
          </w:tcPr>
          <w:p w14:paraId="7F6D79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6 452,6</w:t>
            </w:r>
          </w:p>
        </w:tc>
        <w:tc>
          <w:tcPr>
            <w:tcW w:w="1118" w:type="dxa"/>
            <w:tcBorders>
              <w:top w:val="nil"/>
              <w:left w:val="nil"/>
              <w:bottom w:val="single" w:sz="4" w:space="0" w:color="auto"/>
              <w:right w:val="single" w:sz="4" w:space="0" w:color="auto"/>
            </w:tcBorders>
            <w:shd w:val="clear" w:color="000000" w:fill="FFFFFF"/>
            <w:noWrap/>
            <w:vAlign w:val="bottom"/>
            <w:hideMark/>
          </w:tcPr>
          <w:p w14:paraId="25CBA66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974,7</w:t>
            </w:r>
          </w:p>
        </w:tc>
        <w:tc>
          <w:tcPr>
            <w:tcW w:w="1257" w:type="dxa"/>
            <w:tcBorders>
              <w:top w:val="nil"/>
              <w:left w:val="nil"/>
              <w:bottom w:val="single" w:sz="4" w:space="0" w:color="auto"/>
              <w:right w:val="single" w:sz="4" w:space="0" w:color="auto"/>
            </w:tcBorders>
            <w:shd w:val="clear" w:color="000000" w:fill="FFFFFF"/>
            <w:noWrap/>
            <w:vAlign w:val="bottom"/>
            <w:hideMark/>
          </w:tcPr>
          <w:p w14:paraId="10BC5E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244,1</w:t>
            </w:r>
          </w:p>
        </w:tc>
        <w:tc>
          <w:tcPr>
            <w:tcW w:w="1384" w:type="dxa"/>
            <w:tcBorders>
              <w:top w:val="nil"/>
              <w:left w:val="nil"/>
              <w:bottom w:val="single" w:sz="4" w:space="0" w:color="auto"/>
              <w:right w:val="single" w:sz="4" w:space="0" w:color="auto"/>
            </w:tcBorders>
            <w:shd w:val="clear" w:color="000000" w:fill="FFFFFF"/>
            <w:noWrap/>
            <w:vAlign w:val="bottom"/>
            <w:hideMark/>
          </w:tcPr>
          <w:p w14:paraId="257939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730,6</w:t>
            </w:r>
          </w:p>
        </w:tc>
        <w:tc>
          <w:tcPr>
            <w:tcW w:w="1134" w:type="dxa"/>
            <w:tcBorders>
              <w:top w:val="nil"/>
              <w:left w:val="nil"/>
              <w:bottom w:val="single" w:sz="4" w:space="0" w:color="auto"/>
              <w:right w:val="single" w:sz="4" w:space="0" w:color="auto"/>
            </w:tcBorders>
            <w:shd w:val="clear" w:color="000000" w:fill="FFFFFF"/>
            <w:noWrap/>
            <w:vAlign w:val="bottom"/>
            <w:hideMark/>
          </w:tcPr>
          <w:p w14:paraId="3692A7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147,8</w:t>
            </w:r>
          </w:p>
        </w:tc>
        <w:tc>
          <w:tcPr>
            <w:tcW w:w="1277" w:type="dxa"/>
            <w:tcBorders>
              <w:top w:val="nil"/>
              <w:left w:val="nil"/>
              <w:bottom w:val="single" w:sz="4" w:space="0" w:color="auto"/>
              <w:right w:val="single" w:sz="4" w:space="0" w:color="auto"/>
            </w:tcBorders>
            <w:shd w:val="clear" w:color="000000" w:fill="FFFFFF"/>
            <w:noWrap/>
            <w:vAlign w:val="bottom"/>
            <w:hideMark/>
          </w:tcPr>
          <w:p w14:paraId="3328DA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4 355,6</w:t>
            </w:r>
          </w:p>
        </w:tc>
        <w:tc>
          <w:tcPr>
            <w:tcW w:w="1040" w:type="dxa"/>
            <w:tcBorders>
              <w:top w:val="nil"/>
              <w:left w:val="nil"/>
              <w:bottom w:val="single" w:sz="4" w:space="0" w:color="auto"/>
              <w:right w:val="single" w:sz="4" w:space="0" w:color="auto"/>
            </w:tcBorders>
            <w:shd w:val="clear" w:color="000000" w:fill="FFFFFF"/>
            <w:noWrap/>
            <w:vAlign w:val="bottom"/>
            <w:hideMark/>
          </w:tcPr>
          <w:p w14:paraId="4150CD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128,1</w:t>
            </w:r>
          </w:p>
        </w:tc>
        <w:tc>
          <w:tcPr>
            <w:tcW w:w="1087" w:type="dxa"/>
            <w:tcBorders>
              <w:top w:val="nil"/>
              <w:left w:val="nil"/>
              <w:bottom w:val="single" w:sz="4" w:space="0" w:color="auto"/>
              <w:right w:val="single" w:sz="4" w:space="0" w:color="auto"/>
            </w:tcBorders>
            <w:shd w:val="clear" w:color="000000" w:fill="FFFFFF"/>
            <w:noWrap/>
            <w:vAlign w:val="bottom"/>
            <w:hideMark/>
          </w:tcPr>
          <w:p w14:paraId="53ED9C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621,6</w:t>
            </w:r>
          </w:p>
        </w:tc>
        <w:tc>
          <w:tcPr>
            <w:tcW w:w="1040" w:type="dxa"/>
            <w:tcBorders>
              <w:top w:val="nil"/>
              <w:left w:val="nil"/>
              <w:bottom w:val="single" w:sz="4" w:space="0" w:color="auto"/>
              <w:right w:val="single" w:sz="4" w:space="0" w:color="auto"/>
            </w:tcBorders>
            <w:shd w:val="clear" w:color="000000" w:fill="FFFFFF"/>
            <w:noWrap/>
            <w:vAlign w:val="bottom"/>
            <w:hideMark/>
          </w:tcPr>
          <w:p w14:paraId="5D9E07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224,8</w:t>
            </w:r>
          </w:p>
        </w:tc>
        <w:tc>
          <w:tcPr>
            <w:tcW w:w="1226" w:type="dxa"/>
            <w:tcBorders>
              <w:top w:val="nil"/>
              <w:left w:val="nil"/>
              <w:bottom w:val="single" w:sz="4" w:space="0" w:color="auto"/>
              <w:right w:val="single" w:sz="4" w:space="0" w:color="auto"/>
            </w:tcBorders>
            <w:shd w:val="clear" w:color="000000" w:fill="FFFFFF"/>
            <w:noWrap/>
            <w:vAlign w:val="bottom"/>
            <w:hideMark/>
          </w:tcPr>
          <w:p w14:paraId="12A307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F6641C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745CE9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Доспат</w:t>
            </w:r>
          </w:p>
        </w:tc>
        <w:tc>
          <w:tcPr>
            <w:tcW w:w="1911" w:type="dxa"/>
            <w:tcBorders>
              <w:top w:val="nil"/>
              <w:left w:val="nil"/>
              <w:bottom w:val="single" w:sz="4" w:space="0" w:color="auto"/>
              <w:right w:val="single" w:sz="4" w:space="0" w:color="auto"/>
            </w:tcBorders>
            <w:shd w:val="clear" w:color="000000" w:fill="FFFFFF"/>
            <w:noWrap/>
            <w:vAlign w:val="bottom"/>
            <w:hideMark/>
          </w:tcPr>
          <w:p w14:paraId="7C136B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5 379,3</w:t>
            </w:r>
          </w:p>
        </w:tc>
        <w:tc>
          <w:tcPr>
            <w:tcW w:w="1118" w:type="dxa"/>
            <w:tcBorders>
              <w:top w:val="nil"/>
              <w:left w:val="nil"/>
              <w:bottom w:val="single" w:sz="4" w:space="0" w:color="auto"/>
              <w:right w:val="single" w:sz="4" w:space="0" w:color="auto"/>
            </w:tcBorders>
            <w:shd w:val="clear" w:color="000000" w:fill="FFFFFF"/>
            <w:noWrap/>
            <w:vAlign w:val="bottom"/>
            <w:hideMark/>
          </w:tcPr>
          <w:p w14:paraId="100520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802,5</w:t>
            </w:r>
          </w:p>
        </w:tc>
        <w:tc>
          <w:tcPr>
            <w:tcW w:w="1257" w:type="dxa"/>
            <w:tcBorders>
              <w:top w:val="nil"/>
              <w:left w:val="nil"/>
              <w:bottom w:val="single" w:sz="4" w:space="0" w:color="auto"/>
              <w:right w:val="single" w:sz="4" w:space="0" w:color="auto"/>
            </w:tcBorders>
            <w:shd w:val="clear" w:color="000000" w:fill="FFFFFF"/>
            <w:noWrap/>
            <w:vAlign w:val="bottom"/>
            <w:hideMark/>
          </w:tcPr>
          <w:p w14:paraId="2FBEBF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156,6</w:t>
            </w:r>
          </w:p>
        </w:tc>
        <w:tc>
          <w:tcPr>
            <w:tcW w:w="1384" w:type="dxa"/>
            <w:tcBorders>
              <w:top w:val="nil"/>
              <w:left w:val="nil"/>
              <w:bottom w:val="single" w:sz="4" w:space="0" w:color="auto"/>
              <w:right w:val="single" w:sz="4" w:space="0" w:color="auto"/>
            </w:tcBorders>
            <w:shd w:val="clear" w:color="000000" w:fill="FFFFFF"/>
            <w:noWrap/>
            <w:vAlign w:val="bottom"/>
            <w:hideMark/>
          </w:tcPr>
          <w:p w14:paraId="43D5C6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645,9</w:t>
            </w:r>
          </w:p>
        </w:tc>
        <w:tc>
          <w:tcPr>
            <w:tcW w:w="1134" w:type="dxa"/>
            <w:tcBorders>
              <w:top w:val="nil"/>
              <w:left w:val="nil"/>
              <w:bottom w:val="single" w:sz="4" w:space="0" w:color="auto"/>
              <w:right w:val="single" w:sz="4" w:space="0" w:color="auto"/>
            </w:tcBorders>
            <w:shd w:val="clear" w:color="000000" w:fill="FFFFFF"/>
            <w:noWrap/>
            <w:vAlign w:val="bottom"/>
            <w:hideMark/>
          </w:tcPr>
          <w:p w14:paraId="7B3A9E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102,2</w:t>
            </w:r>
          </w:p>
        </w:tc>
        <w:tc>
          <w:tcPr>
            <w:tcW w:w="1277" w:type="dxa"/>
            <w:tcBorders>
              <w:top w:val="nil"/>
              <w:left w:val="nil"/>
              <w:bottom w:val="single" w:sz="4" w:space="0" w:color="auto"/>
              <w:right w:val="single" w:sz="4" w:space="0" w:color="auto"/>
            </w:tcBorders>
            <w:shd w:val="clear" w:color="000000" w:fill="FFFFFF"/>
            <w:noWrap/>
            <w:vAlign w:val="bottom"/>
            <w:hideMark/>
          </w:tcPr>
          <w:p w14:paraId="12E4E6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3 875,3</w:t>
            </w:r>
          </w:p>
        </w:tc>
        <w:tc>
          <w:tcPr>
            <w:tcW w:w="1040" w:type="dxa"/>
            <w:tcBorders>
              <w:top w:val="nil"/>
              <w:left w:val="nil"/>
              <w:bottom w:val="single" w:sz="4" w:space="0" w:color="auto"/>
              <w:right w:val="single" w:sz="4" w:space="0" w:color="auto"/>
            </w:tcBorders>
            <w:shd w:val="clear" w:color="000000" w:fill="FFFFFF"/>
            <w:noWrap/>
            <w:vAlign w:val="bottom"/>
            <w:hideMark/>
          </w:tcPr>
          <w:p w14:paraId="727240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61,1</w:t>
            </w:r>
          </w:p>
        </w:tc>
        <w:tc>
          <w:tcPr>
            <w:tcW w:w="1087" w:type="dxa"/>
            <w:tcBorders>
              <w:top w:val="nil"/>
              <w:left w:val="nil"/>
              <w:bottom w:val="single" w:sz="4" w:space="0" w:color="auto"/>
              <w:right w:val="single" w:sz="4" w:space="0" w:color="auto"/>
            </w:tcBorders>
            <w:shd w:val="clear" w:color="000000" w:fill="FFFFFF"/>
            <w:noWrap/>
            <w:vAlign w:val="bottom"/>
            <w:hideMark/>
          </w:tcPr>
          <w:p w14:paraId="2419D8C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425,8</w:t>
            </w:r>
          </w:p>
        </w:tc>
        <w:tc>
          <w:tcPr>
            <w:tcW w:w="1040" w:type="dxa"/>
            <w:tcBorders>
              <w:top w:val="nil"/>
              <w:left w:val="nil"/>
              <w:bottom w:val="single" w:sz="4" w:space="0" w:color="auto"/>
              <w:right w:val="single" w:sz="4" w:space="0" w:color="auto"/>
            </w:tcBorders>
            <w:shd w:val="clear" w:color="000000" w:fill="FFFFFF"/>
            <w:noWrap/>
            <w:vAlign w:val="bottom"/>
            <w:hideMark/>
          </w:tcPr>
          <w:p w14:paraId="0E9E78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112,4</w:t>
            </w:r>
          </w:p>
        </w:tc>
        <w:tc>
          <w:tcPr>
            <w:tcW w:w="1226" w:type="dxa"/>
            <w:tcBorders>
              <w:top w:val="nil"/>
              <w:left w:val="nil"/>
              <w:bottom w:val="single" w:sz="4" w:space="0" w:color="auto"/>
              <w:right w:val="single" w:sz="4" w:space="0" w:color="auto"/>
            </w:tcBorders>
            <w:shd w:val="clear" w:color="000000" w:fill="FFFFFF"/>
            <w:noWrap/>
            <w:vAlign w:val="bottom"/>
            <w:hideMark/>
          </w:tcPr>
          <w:p w14:paraId="7092EB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FEDB45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0F725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Златоград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4474B2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7 336,5</w:t>
            </w:r>
          </w:p>
        </w:tc>
        <w:tc>
          <w:tcPr>
            <w:tcW w:w="1118" w:type="dxa"/>
            <w:tcBorders>
              <w:top w:val="nil"/>
              <w:left w:val="nil"/>
              <w:bottom w:val="single" w:sz="4" w:space="0" w:color="auto"/>
              <w:right w:val="single" w:sz="4" w:space="0" w:color="auto"/>
            </w:tcBorders>
            <w:shd w:val="clear" w:color="000000" w:fill="FFFFFF"/>
            <w:noWrap/>
            <w:vAlign w:val="bottom"/>
            <w:hideMark/>
          </w:tcPr>
          <w:p w14:paraId="4BDEA4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898,1</w:t>
            </w:r>
          </w:p>
        </w:tc>
        <w:tc>
          <w:tcPr>
            <w:tcW w:w="1257" w:type="dxa"/>
            <w:tcBorders>
              <w:top w:val="nil"/>
              <w:left w:val="nil"/>
              <w:bottom w:val="single" w:sz="4" w:space="0" w:color="auto"/>
              <w:right w:val="single" w:sz="4" w:space="0" w:color="auto"/>
            </w:tcBorders>
            <w:shd w:val="clear" w:color="000000" w:fill="FFFFFF"/>
            <w:noWrap/>
            <w:vAlign w:val="bottom"/>
            <w:hideMark/>
          </w:tcPr>
          <w:p w14:paraId="37582E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156,6</w:t>
            </w:r>
          </w:p>
        </w:tc>
        <w:tc>
          <w:tcPr>
            <w:tcW w:w="1384" w:type="dxa"/>
            <w:tcBorders>
              <w:top w:val="nil"/>
              <w:left w:val="nil"/>
              <w:bottom w:val="single" w:sz="4" w:space="0" w:color="auto"/>
              <w:right w:val="single" w:sz="4" w:space="0" w:color="auto"/>
            </w:tcBorders>
            <w:shd w:val="clear" w:color="000000" w:fill="FFFFFF"/>
            <w:noWrap/>
            <w:vAlign w:val="bottom"/>
            <w:hideMark/>
          </w:tcPr>
          <w:p w14:paraId="4D011E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741,5</w:t>
            </w:r>
          </w:p>
        </w:tc>
        <w:tc>
          <w:tcPr>
            <w:tcW w:w="1134" w:type="dxa"/>
            <w:tcBorders>
              <w:top w:val="nil"/>
              <w:left w:val="nil"/>
              <w:bottom w:val="single" w:sz="4" w:space="0" w:color="auto"/>
              <w:right w:val="single" w:sz="4" w:space="0" w:color="auto"/>
            </w:tcBorders>
            <w:shd w:val="clear" w:color="000000" w:fill="FFFFFF"/>
            <w:noWrap/>
            <w:vAlign w:val="bottom"/>
            <w:hideMark/>
          </w:tcPr>
          <w:p w14:paraId="3EFC93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124,4</w:t>
            </w:r>
          </w:p>
        </w:tc>
        <w:tc>
          <w:tcPr>
            <w:tcW w:w="1277" w:type="dxa"/>
            <w:tcBorders>
              <w:top w:val="nil"/>
              <w:left w:val="nil"/>
              <w:bottom w:val="single" w:sz="4" w:space="0" w:color="auto"/>
              <w:right w:val="single" w:sz="4" w:space="0" w:color="auto"/>
            </w:tcBorders>
            <w:shd w:val="clear" w:color="000000" w:fill="FFFFFF"/>
            <w:noWrap/>
            <w:vAlign w:val="bottom"/>
            <w:hideMark/>
          </w:tcPr>
          <w:p w14:paraId="7AC1139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4 813,7</w:t>
            </w:r>
          </w:p>
        </w:tc>
        <w:tc>
          <w:tcPr>
            <w:tcW w:w="1040" w:type="dxa"/>
            <w:tcBorders>
              <w:top w:val="nil"/>
              <w:left w:val="nil"/>
              <w:bottom w:val="single" w:sz="4" w:space="0" w:color="auto"/>
              <w:right w:val="single" w:sz="4" w:space="0" w:color="auto"/>
            </w:tcBorders>
            <w:shd w:val="clear" w:color="000000" w:fill="FFFFFF"/>
            <w:noWrap/>
            <w:vAlign w:val="bottom"/>
            <w:hideMark/>
          </w:tcPr>
          <w:p w14:paraId="5C19A2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471,7</w:t>
            </w:r>
          </w:p>
        </w:tc>
        <w:tc>
          <w:tcPr>
            <w:tcW w:w="1087" w:type="dxa"/>
            <w:tcBorders>
              <w:top w:val="nil"/>
              <w:left w:val="nil"/>
              <w:bottom w:val="single" w:sz="4" w:space="0" w:color="auto"/>
              <w:right w:val="single" w:sz="4" w:space="0" w:color="auto"/>
            </w:tcBorders>
            <w:shd w:val="clear" w:color="000000" w:fill="FFFFFF"/>
            <w:noWrap/>
            <w:vAlign w:val="bottom"/>
            <w:hideMark/>
          </w:tcPr>
          <w:p w14:paraId="5E81EB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848,8</w:t>
            </w:r>
          </w:p>
        </w:tc>
        <w:tc>
          <w:tcPr>
            <w:tcW w:w="1040" w:type="dxa"/>
            <w:tcBorders>
              <w:top w:val="nil"/>
              <w:left w:val="nil"/>
              <w:bottom w:val="single" w:sz="4" w:space="0" w:color="auto"/>
              <w:right w:val="single" w:sz="4" w:space="0" w:color="auto"/>
            </w:tcBorders>
            <w:shd w:val="clear" w:color="000000" w:fill="FFFFFF"/>
            <w:noWrap/>
            <w:vAlign w:val="bottom"/>
            <w:hideMark/>
          </w:tcPr>
          <w:p w14:paraId="392F0A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179,8</w:t>
            </w:r>
          </w:p>
        </w:tc>
        <w:tc>
          <w:tcPr>
            <w:tcW w:w="1226" w:type="dxa"/>
            <w:tcBorders>
              <w:top w:val="nil"/>
              <w:left w:val="nil"/>
              <w:bottom w:val="single" w:sz="4" w:space="0" w:color="auto"/>
              <w:right w:val="single" w:sz="4" w:space="0" w:color="auto"/>
            </w:tcBorders>
            <w:shd w:val="clear" w:color="000000" w:fill="FFFFFF"/>
            <w:noWrap/>
            <w:vAlign w:val="bottom"/>
            <w:hideMark/>
          </w:tcPr>
          <w:p w14:paraId="5CB5A7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FFB118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D2C656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Mадан</w:t>
            </w:r>
          </w:p>
        </w:tc>
        <w:tc>
          <w:tcPr>
            <w:tcW w:w="1911" w:type="dxa"/>
            <w:tcBorders>
              <w:top w:val="nil"/>
              <w:left w:val="nil"/>
              <w:bottom w:val="single" w:sz="4" w:space="0" w:color="auto"/>
              <w:right w:val="single" w:sz="4" w:space="0" w:color="auto"/>
            </w:tcBorders>
            <w:shd w:val="clear" w:color="000000" w:fill="FFFFFF"/>
            <w:noWrap/>
            <w:vAlign w:val="bottom"/>
            <w:hideMark/>
          </w:tcPr>
          <w:p w14:paraId="4B3B7E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7 302,3</w:t>
            </w:r>
          </w:p>
        </w:tc>
        <w:tc>
          <w:tcPr>
            <w:tcW w:w="1118" w:type="dxa"/>
            <w:tcBorders>
              <w:top w:val="nil"/>
              <w:left w:val="nil"/>
              <w:bottom w:val="single" w:sz="4" w:space="0" w:color="auto"/>
              <w:right w:val="single" w:sz="4" w:space="0" w:color="auto"/>
            </w:tcBorders>
            <w:shd w:val="clear" w:color="000000" w:fill="FFFFFF"/>
            <w:noWrap/>
            <w:vAlign w:val="bottom"/>
            <w:hideMark/>
          </w:tcPr>
          <w:p w14:paraId="446B43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1 124,2</w:t>
            </w:r>
          </w:p>
        </w:tc>
        <w:tc>
          <w:tcPr>
            <w:tcW w:w="1257" w:type="dxa"/>
            <w:tcBorders>
              <w:top w:val="nil"/>
              <w:left w:val="nil"/>
              <w:bottom w:val="single" w:sz="4" w:space="0" w:color="auto"/>
              <w:right w:val="single" w:sz="4" w:space="0" w:color="auto"/>
            </w:tcBorders>
            <w:shd w:val="clear" w:color="000000" w:fill="FFFFFF"/>
            <w:noWrap/>
            <w:vAlign w:val="bottom"/>
            <w:hideMark/>
          </w:tcPr>
          <w:p w14:paraId="620F01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387,3</w:t>
            </w:r>
          </w:p>
        </w:tc>
        <w:tc>
          <w:tcPr>
            <w:tcW w:w="1384" w:type="dxa"/>
            <w:tcBorders>
              <w:top w:val="nil"/>
              <w:left w:val="nil"/>
              <w:bottom w:val="single" w:sz="4" w:space="0" w:color="auto"/>
              <w:right w:val="single" w:sz="4" w:space="0" w:color="auto"/>
            </w:tcBorders>
            <w:shd w:val="clear" w:color="000000" w:fill="FFFFFF"/>
            <w:noWrap/>
            <w:vAlign w:val="bottom"/>
            <w:hideMark/>
          </w:tcPr>
          <w:p w14:paraId="74CA04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736,9</w:t>
            </w:r>
          </w:p>
        </w:tc>
        <w:tc>
          <w:tcPr>
            <w:tcW w:w="1134" w:type="dxa"/>
            <w:tcBorders>
              <w:top w:val="nil"/>
              <w:left w:val="nil"/>
              <w:bottom w:val="single" w:sz="4" w:space="0" w:color="auto"/>
              <w:right w:val="single" w:sz="4" w:space="0" w:color="auto"/>
            </w:tcBorders>
            <w:shd w:val="clear" w:color="000000" w:fill="FFFFFF"/>
            <w:noWrap/>
            <w:vAlign w:val="bottom"/>
            <w:hideMark/>
          </w:tcPr>
          <w:p w14:paraId="05165C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120,1</w:t>
            </w:r>
          </w:p>
        </w:tc>
        <w:tc>
          <w:tcPr>
            <w:tcW w:w="1277" w:type="dxa"/>
            <w:tcBorders>
              <w:top w:val="nil"/>
              <w:left w:val="nil"/>
              <w:bottom w:val="single" w:sz="4" w:space="0" w:color="auto"/>
              <w:right w:val="single" w:sz="4" w:space="0" w:color="auto"/>
            </w:tcBorders>
            <w:shd w:val="clear" w:color="000000" w:fill="FFFFFF"/>
            <w:noWrap/>
            <w:vAlign w:val="bottom"/>
            <w:hideMark/>
          </w:tcPr>
          <w:p w14:paraId="45D8E0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4 395,1</w:t>
            </w:r>
          </w:p>
        </w:tc>
        <w:tc>
          <w:tcPr>
            <w:tcW w:w="1040" w:type="dxa"/>
            <w:tcBorders>
              <w:top w:val="nil"/>
              <w:left w:val="nil"/>
              <w:bottom w:val="single" w:sz="4" w:space="0" w:color="auto"/>
              <w:right w:val="single" w:sz="4" w:space="0" w:color="auto"/>
            </w:tcBorders>
            <w:shd w:val="clear" w:color="000000" w:fill="FFFFFF"/>
            <w:noWrap/>
            <w:vAlign w:val="bottom"/>
            <w:hideMark/>
          </w:tcPr>
          <w:p w14:paraId="2C2228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74,6</w:t>
            </w:r>
          </w:p>
        </w:tc>
        <w:tc>
          <w:tcPr>
            <w:tcW w:w="1087" w:type="dxa"/>
            <w:tcBorders>
              <w:top w:val="nil"/>
              <w:left w:val="nil"/>
              <w:bottom w:val="single" w:sz="4" w:space="0" w:color="auto"/>
              <w:right w:val="single" w:sz="4" w:space="0" w:color="auto"/>
            </w:tcBorders>
            <w:shd w:val="clear" w:color="000000" w:fill="FFFFFF"/>
            <w:noWrap/>
            <w:vAlign w:val="bottom"/>
            <w:hideMark/>
          </w:tcPr>
          <w:p w14:paraId="3581C6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1 419,7</w:t>
            </w:r>
          </w:p>
        </w:tc>
        <w:tc>
          <w:tcPr>
            <w:tcW w:w="1040" w:type="dxa"/>
            <w:tcBorders>
              <w:top w:val="nil"/>
              <w:left w:val="nil"/>
              <w:bottom w:val="single" w:sz="4" w:space="0" w:color="auto"/>
              <w:right w:val="single" w:sz="4" w:space="0" w:color="auto"/>
            </w:tcBorders>
            <w:shd w:val="clear" w:color="000000" w:fill="FFFFFF"/>
            <w:noWrap/>
            <w:vAlign w:val="bottom"/>
            <w:hideMark/>
          </w:tcPr>
          <w:p w14:paraId="4E9705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12CA8F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A9FAAE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DDD07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Hеделино</w:t>
            </w:r>
          </w:p>
        </w:tc>
        <w:tc>
          <w:tcPr>
            <w:tcW w:w="1911" w:type="dxa"/>
            <w:tcBorders>
              <w:top w:val="nil"/>
              <w:left w:val="nil"/>
              <w:bottom w:val="single" w:sz="4" w:space="0" w:color="auto"/>
              <w:right w:val="single" w:sz="4" w:space="0" w:color="auto"/>
            </w:tcBorders>
            <w:shd w:val="clear" w:color="000000" w:fill="FFFFFF"/>
            <w:noWrap/>
            <w:vAlign w:val="bottom"/>
            <w:hideMark/>
          </w:tcPr>
          <w:p w14:paraId="037737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3 966,1</w:t>
            </w:r>
          </w:p>
        </w:tc>
        <w:tc>
          <w:tcPr>
            <w:tcW w:w="1118" w:type="dxa"/>
            <w:tcBorders>
              <w:top w:val="nil"/>
              <w:left w:val="nil"/>
              <w:bottom w:val="single" w:sz="4" w:space="0" w:color="auto"/>
              <w:right w:val="single" w:sz="4" w:space="0" w:color="auto"/>
            </w:tcBorders>
            <w:shd w:val="clear" w:color="000000" w:fill="FFFFFF"/>
            <w:noWrap/>
            <w:vAlign w:val="bottom"/>
            <w:hideMark/>
          </w:tcPr>
          <w:p w14:paraId="0FA02C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817,7</w:t>
            </w:r>
          </w:p>
        </w:tc>
        <w:tc>
          <w:tcPr>
            <w:tcW w:w="1257" w:type="dxa"/>
            <w:tcBorders>
              <w:top w:val="nil"/>
              <w:left w:val="nil"/>
              <w:bottom w:val="single" w:sz="4" w:space="0" w:color="auto"/>
              <w:right w:val="single" w:sz="4" w:space="0" w:color="auto"/>
            </w:tcBorders>
            <w:shd w:val="clear" w:color="000000" w:fill="FFFFFF"/>
            <w:noWrap/>
            <w:vAlign w:val="bottom"/>
            <w:hideMark/>
          </w:tcPr>
          <w:p w14:paraId="0EE1F5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254,2</w:t>
            </w:r>
          </w:p>
        </w:tc>
        <w:tc>
          <w:tcPr>
            <w:tcW w:w="1384" w:type="dxa"/>
            <w:tcBorders>
              <w:top w:val="nil"/>
              <w:left w:val="nil"/>
              <w:bottom w:val="single" w:sz="4" w:space="0" w:color="auto"/>
              <w:right w:val="single" w:sz="4" w:space="0" w:color="auto"/>
            </w:tcBorders>
            <w:shd w:val="clear" w:color="000000" w:fill="FFFFFF"/>
            <w:noWrap/>
            <w:vAlign w:val="bottom"/>
            <w:hideMark/>
          </w:tcPr>
          <w:p w14:paraId="0D9FA5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563,5</w:t>
            </w:r>
          </w:p>
        </w:tc>
        <w:tc>
          <w:tcPr>
            <w:tcW w:w="1134" w:type="dxa"/>
            <w:tcBorders>
              <w:top w:val="nil"/>
              <w:left w:val="nil"/>
              <w:bottom w:val="single" w:sz="4" w:space="0" w:color="auto"/>
              <w:right w:val="single" w:sz="4" w:space="0" w:color="auto"/>
            </w:tcBorders>
            <w:shd w:val="clear" w:color="000000" w:fill="FFFFFF"/>
            <w:noWrap/>
            <w:vAlign w:val="bottom"/>
            <w:hideMark/>
          </w:tcPr>
          <w:p w14:paraId="40A935C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114,8</w:t>
            </w:r>
          </w:p>
        </w:tc>
        <w:tc>
          <w:tcPr>
            <w:tcW w:w="1277" w:type="dxa"/>
            <w:tcBorders>
              <w:top w:val="nil"/>
              <w:left w:val="nil"/>
              <w:bottom w:val="single" w:sz="4" w:space="0" w:color="auto"/>
              <w:right w:val="single" w:sz="4" w:space="0" w:color="auto"/>
            </w:tcBorders>
            <w:shd w:val="clear" w:color="000000" w:fill="FFFFFF"/>
            <w:noWrap/>
            <w:vAlign w:val="bottom"/>
            <w:hideMark/>
          </w:tcPr>
          <w:p w14:paraId="368171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1 750,6</w:t>
            </w:r>
          </w:p>
        </w:tc>
        <w:tc>
          <w:tcPr>
            <w:tcW w:w="1040" w:type="dxa"/>
            <w:tcBorders>
              <w:top w:val="nil"/>
              <w:left w:val="nil"/>
              <w:bottom w:val="single" w:sz="4" w:space="0" w:color="auto"/>
              <w:right w:val="single" w:sz="4" w:space="0" w:color="auto"/>
            </w:tcBorders>
            <w:shd w:val="clear" w:color="000000" w:fill="FFFFFF"/>
            <w:noWrap/>
            <w:vAlign w:val="bottom"/>
            <w:hideMark/>
          </w:tcPr>
          <w:p w14:paraId="1EF2FE4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55,7</w:t>
            </w:r>
          </w:p>
        </w:tc>
        <w:tc>
          <w:tcPr>
            <w:tcW w:w="1087" w:type="dxa"/>
            <w:tcBorders>
              <w:top w:val="nil"/>
              <w:left w:val="nil"/>
              <w:bottom w:val="single" w:sz="4" w:space="0" w:color="auto"/>
              <w:right w:val="single" w:sz="4" w:space="0" w:color="auto"/>
            </w:tcBorders>
            <w:shd w:val="clear" w:color="000000" w:fill="FFFFFF"/>
            <w:noWrap/>
            <w:vAlign w:val="bottom"/>
            <w:hideMark/>
          </w:tcPr>
          <w:p w14:paraId="6B108F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1 047,5</w:t>
            </w:r>
          </w:p>
        </w:tc>
        <w:tc>
          <w:tcPr>
            <w:tcW w:w="1040" w:type="dxa"/>
            <w:tcBorders>
              <w:top w:val="nil"/>
              <w:left w:val="nil"/>
              <w:bottom w:val="single" w:sz="4" w:space="0" w:color="auto"/>
              <w:right w:val="single" w:sz="4" w:space="0" w:color="auto"/>
            </w:tcBorders>
            <w:shd w:val="clear" w:color="000000" w:fill="FFFFFF"/>
            <w:noWrap/>
            <w:vAlign w:val="bottom"/>
            <w:hideMark/>
          </w:tcPr>
          <w:p w14:paraId="7550A3F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179,8</w:t>
            </w:r>
          </w:p>
        </w:tc>
        <w:tc>
          <w:tcPr>
            <w:tcW w:w="1226" w:type="dxa"/>
            <w:tcBorders>
              <w:top w:val="nil"/>
              <w:left w:val="nil"/>
              <w:bottom w:val="single" w:sz="4" w:space="0" w:color="auto"/>
              <w:right w:val="single" w:sz="4" w:space="0" w:color="auto"/>
            </w:tcBorders>
            <w:shd w:val="clear" w:color="000000" w:fill="FFFFFF"/>
            <w:noWrap/>
            <w:vAlign w:val="bottom"/>
            <w:hideMark/>
          </w:tcPr>
          <w:p w14:paraId="31AED1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67F9EA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A6CEB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Pудозем</w:t>
            </w:r>
          </w:p>
        </w:tc>
        <w:tc>
          <w:tcPr>
            <w:tcW w:w="1911" w:type="dxa"/>
            <w:tcBorders>
              <w:top w:val="nil"/>
              <w:left w:val="nil"/>
              <w:bottom w:val="single" w:sz="4" w:space="0" w:color="auto"/>
              <w:right w:val="single" w:sz="4" w:space="0" w:color="auto"/>
            </w:tcBorders>
            <w:shd w:val="clear" w:color="000000" w:fill="FFFFFF"/>
            <w:noWrap/>
            <w:vAlign w:val="bottom"/>
            <w:hideMark/>
          </w:tcPr>
          <w:p w14:paraId="3F95C6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7 176,2</w:t>
            </w:r>
          </w:p>
        </w:tc>
        <w:tc>
          <w:tcPr>
            <w:tcW w:w="1118" w:type="dxa"/>
            <w:tcBorders>
              <w:top w:val="nil"/>
              <w:left w:val="nil"/>
              <w:bottom w:val="single" w:sz="4" w:space="0" w:color="auto"/>
              <w:right w:val="single" w:sz="4" w:space="0" w:color="auto"/>
            </w:tcBorders>
            <w:shd w:val="clear" w:color="000000" w:fill="FFFFFF"/>
            <w:noWrap/>
            <w:vAlign w:val="bottom"/>
            <w:hideMark/>
          </w:tcPr>
          <w:p w14:paraId="6FE3AE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982,4</w:t>
            </w:r>
          </w:p>
        </w:tc>
        <w:tc>
          <w:tcPr>
            <w:tcW w:w="1257" w:type="dxa"/>
            <w:tcBorders>
              <w:top w:val="nil"/>
              <w:left w:val="nil"/>
              <w:bottom w:val="single" w:sz="4" w:space="0" w:color="auto"/>
              <w:right w:val="single" w:sz="4" w:space="0" w:color="auto"/>
            </w:tcBorders>
            <w:shd w:val="clear" w:color="000000" w:fill="FFFFFF"/>
            <w:noWrap/>
            <w:vAlign w:val="bottom"/>
            <w:hideMark/>
          </w:tcPr>
          <w:p w14:paraId="0CB63D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299,9</w:t>
            </w:r>
          </w:p>
        </w:tc>
        <w:tc>
          <w:tcPr>
            <w:tcW w:w="1384" w:type="dxa"/>
            <w:tcBorders>
              <w:top w:val="nil"/>
              <w:left w:val="nil"/>
              <w:bottom w:val="single" w:sz="4" w:space="0" w:color="auto"/>
              <w:right w:val="single" w:sz="4" w:space="0" w:color="auto"/>
            </w:tcBorders>
            <w:shd w:val="clear" w:color="000000" w:fill="FFFFFF"/>
            <w:noWrap/>
            <w:vAlign w:val="bottom"/>
            <w:hideMark/>
          </w:tcPr>
          <w:p w14:paraId="465F4C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682,5</w:t>
            </w:r>
          </w:p>
        </w:tc>
        <w:tc>
          <w:tcPr>
            <w:tcW w:w="1134" w:type="dxa"/>
            <w:tcBorders>
              <w:top w:val="nil"/>
              <w:left w:val="nil"/>
              <w:bottom w:val="single" w:sz="4" w:space="0" w:color="auto"/>
              <w:right w:val="single" w:sz="4" w:space="0" w:color="auto"/>
            </w:tcBorders>
            <w:shd w:val="clear" w:color="000000" w:fill="FFFFFF"/>
            <w:noWrap/>
            <w:vAlign w:val="bottom"/>
            <w:hideMark/>
          </w:tcPr>
          <w:p w14:paraId="511026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172,0</w:t>
            </w:r>
          </w:p>
        </w:tc>
        <w:tc>
          <w:tcPr>
            <w:tcW w:w="1277" w:type="dxa"/>
            <w:tcBorders>
              <w:top w:val="nil"/>
              <w:left w:val="nil"/>
              <w:bottom w:val="single" w:sz="4" w:space="0" w:color="auto"/>
              <w:right w:val="single" w:sz="4" w:space="0" w:color="auto"/>
            </w:tcBorders>
            <w:shd w:val="clear" w:color="000000" w:fill="FFFFFF"/>
            <w:noWrap/>
            <w:vAlign w:val="bottom"/>
            <w:hideMark/>
          </w:tcPr>
          <w:p w14:paraId="73A325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4 990,7</w:t>
            </w:r>
          </w:p>
        </w:tc>
        <w:tc>
          <w:tcPr>
            <w:tcW w:w="1040" w:type="dxa"/>
            <w:tcBorders>
              <w:top w:val="nil"/>
              <w:left w:val="nil"/>
              <w:bottom w:val="single" w:sz="4" w:space="0" w:color="auto"/>
              <w:right w:val="single" w:sz="4" w:space="0" w:color="auto"/>
            </w:tcBorders>
            <w:shd w:val="clear" w:color="000000" w:fill="FFFFFF"/>
            <w:noWrap/>
            <w:vAlign w:val="bottom"/>
            <w:hideMark/>
          </w:tcPr>
          <w:p w14:paraId="54F096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80,0</w:t>
            </w:r>
          </w:p>
        </w:tc>
        <w:tc>
          <w:tcPr>
            <w:tcW w:w="1087" w:type="dxa"/>
            <w:tcBorders>
              <w:top w:val="nil"/>
              <w:left w:val="nil"/>
              <w:bottom w:val="single" w:sz="4" w:space="0" w:color="auto"/>
              <w:right w:val="single" w:sz="4" w:space="0" w:color="auto"/>
            </w:tcBorders>
            <w:shd w:val="clear" w:color="000000" w:fill="FFFFFF"/>
            <w:noWrap/>
            <w:vAlign w:val="bottom"/>
            <w:hideMark/>
          </w:tcPr>
          <w:p w14:paraId="2CBD54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731,9</w:t>
            </w:r>
          </w:p>
        </w:tc>
        <w:tc>
          <w:tcPr>
            <w:tcW w:w="1040" w:type="dxa"/>
            <w:tcBorders>
              <w:top w:val="nil"/>
              <w:left w:val="nil"/>
              <w:bottom w:val="single" w:sz="4" w:space="0" w:color="auto"/>
              <w:right w:val="single" w:sz="4" w:space="0" w:color="auto"/>
            </w:tcBorders>
            <w:shd w:val="clear" w:color="000000" w:fill="FFFFFF"/>
            <w:noWrap/>
            <w:vAlign w:val="bottom"/>
            <w:hideMark/>
          </w:tcPr>
          <w:p w14:paraId="76624F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219,2</w:t>
            </w:r>
          </w:p>
        </w:tc>
        <w:tc>
          <w:tcPr>
            <w:tcW w:w="1226" w:type="dxa"/>
            <w:tcBorders>
              <w:top w:val="nil"/>
              <w:left w:val="nil"/>
              <w:bottom w:val="single" w:sz="4" w:space="0" w:color="auto"/>
              <w:right w:val="single" w:sz="4" w:space="0" w:color="auto"/>
            </w:tcBorders>
            <w:shd w:val="clear" w:color="000000" w:fill="FFFFFF"/>
            <w:noWrap/>
            <w:vAlign w:val="bottom"/>
            <w:hideMark/>
          </w:tcPr>
          <w:p w14:paraId="348893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ED2A42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8F6BA4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Cмолян</w:t>
            </w:r>
          </w:p>
        </w:tc>
        <w:tc>
          <w:tcPr>
            <w:tcW w:w="1911" w:type="dxa"/>
            <w:tcBorders>
              <w:top w:val="nil"/>
              <w:left w:val="nil"/>
              <w:bottom w:val="single" w:sz="4" w:space="0" w:color="auto"/>
              <w:right w:val="single" w:sz="4" w:space="0" w:color="auto"/>
            </w:tcBorders>
            <w:shd w:val="clear" w:color="000000" w:fill="FFFFFF"/>
            <w:noWrap/>
            <w:vAlign w:val="bottom"/>
            <w:hideMark/>
          </w:tcPr>
          <w:p w14:paraId="4C54D3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27 898,5</w:t>
            </w:r>
          </w:p>
        </w:tc>
        <w:tc>
          <w:tcPr>
            <w:tcW w:w="1118" w:type="dxa"/>
            <w:tcBorders>
              <w:top w:val="nil"/>
              <w:left w:val="nil"/>
              <w:bottom w:val="single" w:sz="4" w:space="0" w:color="auto"/>
              <w:right w:val="single" w:sz="4" w:space="0" w:color="auto"/>
            </w:tcBorders>
            <w:shd w:val="clear" w:color="000000" w:fill="FFFFFF"/>
            <w:noWrap/>
            <w:vAlign w:val="bottom"/>
            <w:hideMark/>
          </w:tcPr>
          <w:p w14:paraId="6D32F4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2 088,7</w:t>
            </w:r>
          </w:p>
        </w:tc>
        <w:tc>
          <w:tcPr>
            <w:tcW w:w="1257" w:type="dxa"/>
            <w:tcBorders>
              <w:top w:val="nil"/>
              <w:left w:val="nil"/>
              <w:bottom w:val="single" w:sz="4" w:space="0" w:color="auto"/>
              <w:right w:val="single" w:sz="4" w:space="0" w:color="auto"/>
            </w:tcBorders>
            <w:shd w:val="clear" w:color="000000" w:fill="FFFFFF"/>
            <w:noWrap/>
            <w:vAlign w:val="bottom"/>
            <w:hideMark/>
          </w:tcPr>
          <w:p w14:paraId="56C835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653,5</w:t>
            </w:r>
          </w:p>
        </w:tc>
        <w:tc>
          <w:tcPr>
            <w:tcW w:w="1384" w:type="dxa"/>
            <w:tcBorders>
              <w:top w:val="nil"/>
              <w:left w:val="nil"/>
              <w:bottom w:val="single" w:sz="4" w:space="0" w:color="auto"/>
              <w:right w:val="single" w:sz="4" w:space="0" w:color="auto"/>
            </w:tcBorders>
            <w:shd w:val="clear" w:color="000000" w:fill="FFFFFF"/>
            <w:noWrap/>
            <w:vAlign w:val="bottom"/>
            <w:hideMark/>
          </w:tcPr>
          <w:p w14:paraId="59B5F6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1 435,2</w:t>
            </w:r>
          </w:p>
        </w:tc>
        <w:tc>
          <w:tcPr>
            <w:tcW w:w="1134" w:type="dxa"/>
            <w:tcBorders>
              <w:top w:val="nil"/>
              <w:left w:val="nil"/>
              <w:bottom w:val="single" w:sz="4" w:space="0" w:color="auto"/>
              <w:right w:val="single" w:sz="4" w:space="0" w:color="auto"/>
            </w:tcBorders>
            <w:shd w:val="clear" w:color="000000" w:fill="FFFFFF"/>
            <w:noWrap/>
            <w:vAlign w:val="bottom"/>
            <w:hideMark/>
          </w:tcPr>
          <w:p w14:paraId="34AB5D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252,2</w:t>
            </w:r>
          </w:p>
        </w:tc>
        <w:tc>
          <w:tcPr>
            <w:tcW w:w="1277" w:type="dxa"/>
            <w:tcBorders>
              <w:top w:val="nil"/>
              <w:left w:val="nil"/>
              <w:bottom w:val="single" w:sz="4" w:space="0" w:color="auto"/>
              <w:right w:val="single" w:sz="4" w:space="0" w:color="auto"/>
            </w:tcBorders>
            <w:shd w:val="clear" w:color="000000" w:fill="FFFFFF"/>
            <w:noWrap/>
            <w:vAlign w:val="bottom"/>
            <w:hideMark/>
          </w:tcPr>
          <w:p w14:paraId="2D35A3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15 805,5</w:t>
            </w:r>
          </w:p>
        </w:tc>
        <w:tc>
          <w:tcPr>
            <w:tcW w:w="1040" w:type="dxa"/>
            <w:tcBorders>
              <w:top w:val="nil"/>
              <w:left w:val="nil"/>
              <w:bottom w:val="single" w:sz="4" w:space="0" w:color="auto"/>
              <w:right w:val="single" w:sz="4" w:space="0" w:color="auto"/>
            </w:tcBorders>
            <w:shd w:val="clear" w:color="000000" w:fill="FFFFFF"/>
            <w:noWrap/>
            <w:vAlign w:val="bottom"/>
            <w:hideMark/>
          </w:tcPr>
          <w:p w14:paraId="7DCD02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612,7</w:t>
            </w:r>
          </w:p>
        </w:tc>
        <w:tc>
          <w:tcPr>
            <w:tcW w:w="1087" w:type="dxa"/>
            <w:tcBorders>
              <w:top w:val="nil"/>
              <w:left w:val="nil"/>
              <w:bottom w:val="single" w:sz="4" w:space="0" w:color="auto"/>
              <w:right w:val="single" w:sz="4" w:space="0" w:color="auto"/>
            </w:tcBorders>
            <w:shd w:val="clear" w:color="000000" w:fill="FFFFFF"/>
            <w:noWrap/>
            <w:vAlign w:val="bottom"/>
            <w:hideMark/>
          </w:tcPr>
          <w:p w14:paraId="3CE481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6 852,7</w:t>
            </w:r>
          </w:p>
        </w:tc>
        <w:tc>
          <w:tcPr>
            <w:tcW w:w="1040" w:type="dxa"/>
            <w:tcBorders>
              <w:top w:val="nil"/>
              <w:left w:val="nil"/>
              <w:bottom w:val="single" w:sz="4" w:space="0" w:color="auto"/>
              <w:right w:val="single" w:sz="4" w:space="0" w:color="auto"/>
            </w:tcBorders>
            <w:shd w:val="clear" w:color="000000" w:fill="FFFFFF"/>
            <w:noWrap/>
            <w:vAlign w:val="bottom"/>
            <w:hideMark/>
          </w:tcPr>
          <w:p w14:paraId="253D3F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2 286,7</w:t>
            </w:r>
          </w:p>
        </w:tc>
        <w:tc>
          <w:tcPr>
            <w:tcW w:w="1226" w:type="dxa"/>
            <w:tcBorders>
              <w:top w:val="nil"/>
              <w:left w:val="nil"/>
              <w:bottom w:val="single" w:sz="4" w:space="0" w:color="auto"/>
              <w:right w:val="single" w:sz="4" w:space="0" w:color="auto"/>
            </w:tcBorders>
            <w:shd w:val="clear" w:color="000000" w:fill="FFFFFF"/>
            <w:noWrap/>
            <w:vAlign w:val="bottom"/>
            <w:hideMark/>
          </w:tcPr>
          <w:p w14:paraId="39BF66A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02EF8C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1EF896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Чепеларе</w:t>
            </w:r>
          </w:p>
        </w:tc>
        <w:tc>
          <w:tcPr>
            <w:tcW w:w="1911" w:type="dxa"/>
            <w:tcBorders>
              <w:top w:val="nil"/>
              <w:left w:val="nil"/>
              <w:bottom w:val="single" w:sz="4" w:space="0" w:color="auto"/>
              <w:right w:val="single" w:sz="4" w:space="0" w:color="auto"/>
            </w:tcBorders>
            <w:shd w:val="clear" w:color="000000" w:fill="FFFFFF"/>
            <w:noWrap/>
            <w:vAlign w:val="bottom"/>
            <w:hideMark/>
          </w:tcPr>
          <w:p w14:paraId="0D7772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4 236,6</w:t>
            </w:r>
          </w:p>
        </w:tc>
        <w:tc>
          <w:tcPr>
            <w:tcW w:w="1118" w:type="dxa"/>
            <w:tcBorders>
              <w:top w:val="nil"/>
              <w:left w:val="nil"/>
              <w:bottom w:val="single" w:sz="4" w:space="0" w:color="auto"/>
              <w:right w:val="single" w:sz="4" w:space="0" w:color="auto"/>
            </w:tcBorders>
            <w:shd w:val="clear" w:color="000000" w:fill="FFFFFF"/>
            <w:noWrap/>
            <w:vAlign w:val="bottom"/>
            <w:hideMark/>
          </w:tcPr>
          <w:p w14:paraId="3A5F9F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763,3</w:t>
            </w:r>
          </w:p>
        </w:tc>
        <w:tc>
          <w:tcPr>
            <w:tcW w:w="1257" w:type="dxa"/>
            <w:tcBorders>
              <w:top w:val="nil"/>
              <w:left w:val="nil"/>
              <w:bottom w:val="single" w:sz="4" w:space="0" w:color="auto"/>
              <w:right w:val="single" w:sz="4" w:space="0" w:color="auto"/>
            </w:tcBorders>
            <w:shd w:val="clear" w:color="000000" w:fill="FFFFFF"/>
            <w:noWrap/>
            <w:vAlign w:val="bottom"/>
            <w:hideMark/>
          </w:tcPr>
          <w:p w14:paraId="01754E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181,9</w:t>
            </w:r>
          </w:p>
        </w:tc>
        <w:tc>
          <w:tcPr>
            <w:tcW w:w="1384" w:type="dxa"/>
            <w:tcBorders>
              <w:top w:val="nil"/>
              <w:left w:val="nil"/>
              <w:bottom w:val="single" w:sz="4" w:space="0" w:color="auto"/>
              <w:right w:val="single" w:sz="4" w:space="0" w:color="auto"/>
            </w:tcBorders>
            <w:shd w:val="clear" w:color="000000" w:fill="FFFFFF"/>
            <w:noWrap/>
            <w:vAlign w:val="bottom"/>
            <w:hideMark/>
          </w:tcPr>
          <w:p w14:paraId="0C61CA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581,4</w:t>
            </w:r>
          </w:p>
        </w:tc>
        <w:tc>
          <w:tcPr>
            <w:tcW w:w="1134" w:type="dxa"/>
            <w:tcBorders>
              <w:top w:val="nil"/>
              <w:left w:val="nil"/>
              <w:bottom w:val="single" w:sz="4" w:space="0" w:color="auto"/>
              <w:right w:val="single" w:sz="4" w:space="0" w:color="auto"/>
            </w:tcBorders>
            <w:shd w:val="clear" w:color="000000" w:fill="FFFFFF"/>
            <w:noWrap/>
            <w:vAlign w:val="bottom"/>
            <w:hideMark/>
          </w:tcPr>
          <w:p w14:paraId="1EB068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122,9</w:t>
            </w:r>
          </w:p>
        </w:tc>
        <w:tc>
          <w:tcPr>
            <w:tcW w:w="1277" w:type="dxa"/>
            <w:tcBorders>
              <w:top w:val="nil"/>
              <w:left w:val="nil"/>
              <w:bottom w:val="single" w:sz="4" w:space="0" w:color="auto"/>
              <w:right w:val="single" w:sz="4" w:space="0" w:color="auto"/>
            </w:tcBorders>
            <w:shd w:val="clear" w:color="000000" w:fill="FFFFFF"/>
            <w:noWrap/>
            <w:vAlign w:val="bottom"/>
            <w:hideMark/>
          </w:tcPr>
          <w:p w14:paraId="709DA2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2 765,7</w:t>
            </w:r>
          </w:p>
        </w:tc>
        <w:tc>
          <w:tcPr>
            <w:tcW w:w="1040" w:type="dxa"/>
            <w:tcBorders>
              <w:top w:val="nil"/>
              <w:left w:val="nil"/>
              <w:bottom w:val="single" w:sz="4" w:space="0" w:color="auto"/>
              <w:right w:val="single" w:sz="4" w:space="0" w:color="auto"/>
            </w:tcBorders>
            <w:shd w:val="clear" w:color="000000" w:fill="FFFFFF"/>
            <w:noWrap/>
            <w:vAlign w:val="bottom"/>
            <w:hideMark/>
          </w:tcPr>
          <w:p w14:paraId="6A6A59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91,9</w:t>
            </w:r>
          </w:p>
        </w:tc>
        <w:tc>
          <w:tcPr>
            <w:tcW w:w="1087" w:type="dxa"/>
            <w:tcBorders>
              <w:top w:val="nil"/>
              <w:left w:val="nil"/>
              <w:bottom w:val="single" w:sz="4" w:space="0" w:color="auto"/>
              <w:right w:val="single" w:sz="4" w:space="0" w:color="auto"/>
            </w:tcBorders>
            <w:shd w:val="clear" w:color="000000" w:fill="FFFFFF"/>
            <w:noWrap/>
            <w:vAlign w:val="bottom"/>
            <w:hideMark/>
          </w:tcPr>
          <w:p w14:paraId="0CF7B2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301,7</w:t>
            </w:r>
          </w:p>
        </w:tc>
        <w:tc>
          <w:tcPr>
            <w:tcW w:w="1040" w:type="dxa"/>
            <w:tcBorders>
              <w:top w:val="nil"/>
              <w:left w:val="nil"/>
              <w:bottom w:val="single" w:sz="4" w:space="0" w:color="auto"/>
              <w:right w:val="single" w:sz="4" w:space="0" w:color="auto"/>
            </w:tcBorders>
            <w:shd w:val="clear" w:color="000000" w:fill="FFFFFF"/>
            <w:noWrap/>
            <w:vAlign w:val="bottom"/>
            <w:hideMark/>
          </w:tcPr>
          <w:p w14:paraId="15934A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4EA2A20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2129C0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50BBFE4"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1ECD6B7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49A176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524049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0752D4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0FA6A6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073FD6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7165F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7066E68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6A606A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1A5A379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B84F39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EF89706"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СТОЛИЧНА ОБЩИНА</w:t>
            </w:r>
          </w:p>
        </w:tc>
        <w:tc>
          <w:tcPr>
            <w:tcW w:w="1911" w:type="dxa"/>
            <w:tcBorders>
              <w:top w:val="nil"/>
              <w:left w:val="nil"/>
              <w:bottom w:val="single" w:sz="4" w:space="0" w:color="auto"/>
              <w:right w:val="single" w:sz="4" w:space="0" w:color="auto"/>
            </w:tcBorders>
            <w:shd w:val="clear" w:color="000000" w:fill="FFFFFF"/>
            <w:noWrap/>
            <w:vAlign w:val="bottom"/>
            <w:hideMark/>
          </w:tcPr>
          <w:p w14:paraId="51C6C3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699 239,8</w:t>
            </w:r>
          </w:p>
        </w:tc>
        <w:tc>
          <w:tcPr>
            <w:tcW w:w="1118" w:type="dxa"/>
            <w:tcBorders>
              <w:top w:val="nil"/>
              <w:left w:val="nil"/>
              <w:bottom w:val="single" w:sz="4" w:space="0" w:color="auto"/>
              <w:right w:val="single" w:sz="4" w:space="0" w:color="auto"/>
            </w:tcBorders>
            <w:shd w:val="clear" w:color="000000" w:fill="FFFFFF"/>
            <w:noWrap/>
            <w:vAlign w:val="bottom"/>
            <w:hideMark/>
          </w:tcPr>
          <w:p w14:paraId="513D7B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46 414,0</w:t>
            </w:r>
          </w:p>
        </w:tc>
        <w:tc>
          <w:tcPr>
            <w:tcW w:w="1257" w:type="dxa"/>
            <w:tcBorders>
              <w:top w:val="nil"/>
              <w:left w:val="nil"/>
              <w:bottom w:val="single" w:sz="4" w:space="0" w:color="auto"/>
              <w:right w:val="single" w:sz="4" w:space="0" w:color="auto"/>
            </w:tcBorders>
            <w:shd w:val="clear" w:color="000000" w:fill="FFFFFF"/>
            <w:noWrap/>
            <w:vAlign w:val="bottom"/>
            <w:hideMark/>
          </w:tcPr>
          <w:p w14:paraId="3EA614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1 600,3</w:t>
            </w:r>
          </w:p>
        </w:tc>
        <w:tc>
          <w:tcPr>
            <w:tcW w:w="1384" w:type="dxa"/>
            <w:tcBorders>
              <w:top w:val="nil"/>
              <w:left w:val="nil"/>
              <w:bottom w:val="single" w:sz="4" w:space="0" w:color="auto"/>
              <w:right w:val="single" w:sz="4" w:space="0" w:color="auto"/>
            </w:tcBorders>
            <w:shd w:val="clear" w:color="000000" w:fill="FFFFFF"/>
            <w:noWrap/>
            <w:vAlign w:val="bottom"/>
            <w:hideMark/>
          </w:tcPr>
          <w:p w14:paraId="045D67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44 813,7</w:t>
            </w:r>
          </w:p>
        </w:tc>
        <w:tc>
          <w:tcPr>
            <w:tcW w:w="1134" w:type="dxa"/>
            <w:tcBorders>
              <w:top w:val="nil"/>
              <w:left w:val="nil"/>
              <w:bottom w:val="single" w:sz="4" w:space="0" w:color="auto"/>
              <w:right w:val="single" w:sz="4" w:space="0" w:color="auto"/>
            </w:tcBorders>
            <w:shd w:val="clear" w:color="000000" w:fill="FFFFFF"/>
            <w:noWrap/>
            <w:vAlign w:val="bottom"/>
            <w:hideMark/>
          </w:tcPr>
          <w:p w14:paraId="0E5BA5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7 334,1</w:t>
            </w:r>
          </w:p>
        </w:tc>
        <w:tc>
          <w:tcPr>
            <w:tcW w:w="1277" w:type="dxa"/>
            <w:tcBorders>
              <w:top w:val="nil"/>
              <w:left w:val="nil"/>
              <w:bottom w:val="single" w:sz="4" w:space="0" w:color="auto"/>
              <w:right w:val="single" w:sz="4" w:space="0" w:color="auto"/>
            </w:tcBorders>
            <w:shd w:val="clear" w:color="000000" w:fill="FFFFFF"/>
            <w:noWrap/>
            <w:vAlign w:val="bottom"/>
            <w:hideMark/>
          </w:tcPr>
          <w:p w14:paraId="6CF97D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535 270,9</w:t>
            </w:r>
          </w:p>
        </w:tc>
        <w:tc>
          <w:tcPr>
            <w:tcW w:w="1040" w:type="dxa"/>
            <w:tcBorders>
              <w:top w:val="nil"/>
              <w:left w:val="nil"/>
              <w:bottom w:val="single" w:sz="4" w:space="0" w:color="auto"/>
              <w:right w:val="single" w:sz="4" w:space="0" w:color="auto"/>
            </w:tcBorders>
            <w:shd w:val="clear" w:color="000000" w:fill="FFFFFF"/>
            <w:noWrap/>
            <w:vAlign w:val="bottom"/>
            <w:hideMark/>
          </w:tcPr>
          <w:p w14:paraId="3A4C4E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37 102,6</w:t>
            </w:r>
          </w:p>
        </w:tc>
        <w:tc>
          <w:tcPr>
            <w:tcW w:w="1087" w:type="dxa"/>
            <w:tcBorders>
              <w:top w:val="nil"/>
              <w:left w:val="nil"/>
              <w:bottom w:val="single" w:sz="4" w:space="0" w:color="auto"/>
              <w:right w:val="single" w:sz="4" w:space="0" w:color="auto"/>
            </w:tcBorders>
            <w:shd w:val="clear" w:color="000000" w:fill="FFFFFF"/>
            <w:noWrap/>
            <w:vAlign w:val="bottom"/>
            <w:hideMark/>
          </w:tcPr>
          <w:p w14:paraId="1C732B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59 947,2</w:t>
            </w:r>
          </w:p>
        </w:tc>
        <w:tc>
          <w:tcPr>
            <w:tcW w:w="1040" w:type="dxa"/>
            <w:tcBorders>
              <w:top w:val="nil"/>
              <w:left w:val="nil"/>
              <w:bottom w:val="single" w:sz="4" w:space="0" w:color="auto"/>
              <w:right w:val="single" w:sz="4" w:space="0" w:color="auto"/>
            </w:tcBorders>
            <w:shd w:val="clear" w:color="000000" w:fill="FFFFFF"/>
            <w:noWrap/>
            <w:vAlign w:val="bottom"/>
            <w:hideMark/>
          </w:tcPr>
          <w:p w14:paraId="095F43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13 171,0</w:t>
            </w:r>
          </w:p>
        </w:tc>
        <w:tc>
          <w:tcPr>
            <w:tcW w:w="1226" w:type="dxa"/>
            <w:tcBorders>
              <w:top w:val="nil"/>
              <w:left w:val="nil"/>
              <w:bottom w:val="single" w:sz="4" w:space="0" w:color="auto"/>
              <w:right w:val="single" w:sz="4" w:space="0" w:color="auto"/>
            </w:tcBorders>
            <w:shd w:val="clear" w:color="000000" w:fill="FFFFFF"/>
            <w:noWrap/>
            <w:vAlign w:val="bottom"/>
            <w:hideMark/>
          </w:tcPr>
          <w:p w14:paraId="26B6BD3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0CD467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681CC2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СОФИЙСКА</w:t>
            </w:r>
          </w:p>
        </w:tc>
        <w:tc>
          <w:tcPr>
            <w:tcW w:w="1911" w:type="dxa"/>
            <w:tcBorders>
              <w:top w:val="nil"/>
              <w:left w:val="nil"/>
              <w:bottom w:val="single" w:sz="4" w:space="0" w:color="auto"/>
              <w:right w:val="single" w:sz="4" w:space="0" w:color="auto"/>
            </w:tcBorders>
            <w:shd w:val="clear" w:color="000000" w:fill="FFFFFF"/>
            <w:noWrap/>
            <w:vAlign w:val="bottom"/>
            <w:hideMark/>
          </w:tcPr>
          <w:p w14:paraId="7C8309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4A05F4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617AF0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46AB6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4CE9FF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47FEF8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B8E67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4129B3F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7EA2B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6D8C0C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2B67ED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E1441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Антон</w:t>
            </w:r>
          </w:p>
        </w:tc>
        <w:tc>
          <w:tcPr>
            <w:tcW w:w="1911" w:type="dxa"/>
            <w:tcBorders>
              <w:top w:val="nil"/>
              <w:left w:val="nil"/>
              <w:bottom w:val="single" w:sz="4" w:space="0" w:color="auto"/>
              <w:right w:val="single" w:sz="4" w:space="0" w:color="auto"/>
            </w:tcBorders>
            <w:shd w:val="clear" w:color="000000" w:fill="FFFFFF"/>
            <w:noWrap/>
            <w:vAlign w:val="bottom"/>
            <w:hideMark/>
          </w:tcPr>
          <w:p w14:paraId="7A2887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1 277,6</w:t>
            </w:r>
          </w:p>
        </w:tc>
        <w:tc>
          <w:tcPr>
            <w:tcW w:w="1118" w:type="dxa"/>
            <w:tcBorders>
              <w:top w:val="nil"/>
              <w:left w:val="nil"/>
              <w:bottom w:val="single" w:sz="4" w:space="0" w:color="auto"/>
              <w:right w:val="single" w:sz="4" w:space="0" w:color="auto"/>
            </w:tcBorders>
            <w:shd w:val="clear" w:color="000000" w:fill="FFFFFF"/>
            <w:noWrap/>
            <w:vAlign w:val="bottom"/>
            <w:hideMark/>
          </w:tcPr>
          <w:p w14:paraId="7FF18A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468,9</w:t>
            </w:r>
          </w:p>
        </w:tc>
        <w:tc>
          <w:tcPr>
            <w:tcW w:w="1257" w:type="dxa"/>
            <w:tcBorders>
              <w:top w:val="nil"/>
              <w:left w:val="nil"/>
              <w:bottom w:val="single" w:sz="4" w:space="0" w:color="auto"/>
              <w:right w:val="single" w:sz="4" w:space="0" w:color="auto"/>
            </w:tcBorders>
            <w:shd w:val="clear" w:color="000000" w:fill="FFFFFF"/>
            <w:noWrap/>
            <w:vAlign w:val="bottom"/>
            <w:hideMark/>
          </w:tcPr>
          <w:p w14:paraId="704D8B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40,4</w:t>
            </w:r>
          </w:p>
        </w:tc>
        <w:tc>
          <w:tcPr>
            <w:tcW w:w="1384" w:type="dxa"/>
            <w:tcBorders>
              <w:top w:val="nil"/>
              <w:left w:val="nil"/>
              <w:bottom w:val="single" w:sz="4" w:space="0" w:color="auto"/>
              <w:right w:val="single" w:sz="4" w:space="0" w:color="auto"/>
            </w:tcBorders>
            <w:shd w:val="clear" w:color="000000" w:fill="FFFFFF"/>
            <w:noWrap/>
            <w:vAlign w:val="bottom"/>
            <w:hideMark/>
          </w:tcPr>
          <w:p w14:paraId="69E6DF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428,5</w:t>
            </w:r>
          </w:p>
        </w:tc>
        <w:tc>
          <w:tcPr>
            <w:tcW w:w="1134" w:type="dxa"/>
            <w:tcBorders>
              <w:top w:val="nil"/>
              <w:left w:val="nil"/>
              <w:bottom w:val="single" w:sz="4" w:space="0" w:color="auto"/>
              <w:right w:val="single" w:sz="4" w:space="0" w:color="auto"/>
            </w:tcBorders>
            <w:shd w:val="clear" w:color="000000" w:fill="FFFFFF"/>
            <w:noWrap/>
            <w:vAlign w:val="bottom"/>
            <w:hideMark/>
          </w:tcPr>
          <w:p w14:paraId="592922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97,5</w:t>
            </w:r>
          </w:p>
        </w:tc>
        <w:tc>
          <w:tcPr>
            <w:tcW w:w="1277" w:type="dxa"/>
            <w:tcBorders>
              <w:top w:val="nil"/>
              <w:left w:val="nil"/>
              <w:bottom w:val="single" w:sz="4" w:space="0" w:color="auto"/>
              <w:right w:val="single" w:sz="4" w:space="0" w:color="auto"/>
            </w:tcBorders>
            <w:shd w:val="clear" w:color="000000" w:fill="FFFFFF"/>
            <w:noWrap/>
            <w:vAlign w:val="bottom"/>
            <w:hideMark/>
          </w:tcPr>
          <w:p w14:paraId="1A1B54B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617,1</w:t>
            </w:r>
          </w:p>
        </w:tc>
        <w:tc>
          <w:tcPr>
            <w:tcW w:w="1040" w:type="dxa"/>
            <w:tcBorders>
              <w:top w:val="nil"/>
              <w:left w:val="nil"/>
              <w:bottom w:val="single" w:sz="4" w:space="0" w:color="auto"/>
              <w:right w:val="single" w:sz="4" w:space="0" w:color="auto"/>
            </w:tcBorders>
            <w:shd w:val="clear" w:color="000000" w:fill="FFFFFF"/>
            <w:noWrap/>
            <w:vAlign w:val="bottom"/>
            <w:hideMark/>
          </w:tcPr>
          <w:p w14:paraId="258DE0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37,1</w:t>
            </w:r>
          </w:p>
        </w:tc>
        <w:tc>
          <w:tcPr>
            <w:tcW w:w="1087" w:type="dxa"/>
            <w:tcBorders>
              <w:top w:val="nil"/>
              <w:left w:val="nil"/>
              <w:bottom w:val="single" w:sz="4" w:space="0" w:color="auto"/>
              <w:right w:val="single" w:sz="4" w:space="0" w:color="auto"/>
            </w:tcBorders>
            <w:shd w:val="clear" w:color="000000" w:fill="FFFFFF"/>
            <w:noWrap/>
            <w:vAlign w:val="bottom"/>
            <w:hideMark/>
          </w:tcPr>
          <w:p w14:paraId="4EEA572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23,3</w:t>
            </w:r>
          </w:p>
        </w:tc>
        <w:tc>
          <w:tcPr>
            <w:tcW w:w="1040" w:type="dxa"/>
            <w:tcBorders>
              <w:top w:val="nil"/>
              <w:left w:val="nil"/>
              <w:bottom w:val="single" w:sz="4" w:space="0" w:color="auto"/>
              <w:right w:val="single" w:sz="4" w:space="0" w:color="auto"/>
            </w:tcBorders>
            <w:shd w:val="clear" w:color="000000" w:fill="FFFFFF"/>
            <w:noWrap/>
            <w:vAlign w:val="bottom"/>
            <w:hideMark/>
          </w:tcPr>
          <w:p w14:paraId="0F1F60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33,7</w:t>
            </w:r>
          </w:p>
        </w:tc>
        <w:tc>
          <w:tcPr>
            <w:tcW w:w="1226" w:type="dxa"/>
            <w:tcBorders>
              <w:top w:val="nil"/>
              <w:left w:val="nil"/>
              <w:bottom w:val="single" w:sz="4" w:space="0" w:color="auto"/>
              <w:right w:val="single" w:sz="4" w:space="0" w:color="auto"/>
            </w:tcBorders>
            <w:shd w:val="clear" w:color="000000" w:fill="FFFFFF"/>
            <w:noWrap/>
            <w:vAlign w:val="bottom"/>
            <w:hideMark/>
          </w:tcPr>
          <w:p w14:paraId="41D4FB3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D82D74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E2DD73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Божурище</w:t>
            </w:r>
          </w:p>
        </w:tc>
        <w:tc>
          <w:tcPr>
            <w:tcW w:w="1911" w:type="dxa"/>
            <w:tcBorders>
              <w:top w:val="nil"/>
              <w:left w:val="nil"/>
              <w:bottom w:val="single" w:sz="4" w:space="0" w:color="auto"/>
              <w:right w:val="single" w:sz="4" w:space="0" w:color="auto"/>
            </w:tcBorders>
            <w:shd w:val="clear" w:color="000000" w:fill="FFFFFF"/>
            <w:noWrap/>
            <w:vAlign w:val="bottom"/>
            <w:hideMark/>
          </w:tcPr>
          <w:p w14:paraId="4FA697F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5 651,1</w:t>
            </w:r>
          </w:p>
        </w:tc>
        <w:tc>
          <w:tcPr>
            <w:tcW w:w="1118" w:type="dxa"/>
            <w:tcBorders>
              <w:top w:val="nil"/>
              <w:left w:val="nil"/>
              <w:bottom w:val="single" w:sz="4" w:space="0" w:color="auto"/>
              <w:right w:val="single" w:sz="4" w:space="0" w:color="auto"/>
            </w:tcBorders>
            <w:shd w:val="clear" w:color="000000" w:fill="FFFFFF"/>
            <w:noWrap/>
            <w:vAlign w:val="bottom"/>
            <w:hideMark/>
          </w:tcPr>
          <w:p w14:paraId="4521055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765,3</w:t>
            </w:r>
          </w:p>
        </w:tc>
        <w:tc>
          <w:tcPr>
            <w:tcW w:w="1257" w:type="dxa"/>
            <w:tcBorders>
              <w:top w:val="nil"/>
              <w:left w:val="nil"/>
              <w:bottom w:val="single" w:sz="4" w:space="0" w:color="auto"/>
              <w:right w:val="single" w:sz="4" w:space="0" w:color="auto"/>
            </w:tcBorders>
            <w:shd w:val="clear" w:color="000000" w:fill="FFFFFF"/>
            <w:noWrap/>
            <w:vAlign w:val="bottom"/>
            <w:hideMark/>
          </w:tcPr>
          <w:p w14:paraId="1ED7E6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133,1</w:t>
            </w:r>
          </w:p>
        </w:tc>
        <w:tc>
          <w:tcPr>
            <w:tcW w:w="1384" w:type="dxa"/>
            <w:tcBorders>
              <w:top w:val="nil"/>
              <w:left w:val="nil"/>
              <w:bottom w:val="single" w:sz="4" w:space="0" w:color="auto"/>
              <w:right w:val="single" w:sz="4" w:space="0" w:color="auto"/>
            </w:tcBorders>
            <w:shd w:val="clear" w:color="000000" w:fill="FFFFFF"/>
            <w:noWrap/>
            <w:vAlign w:val="bottom"/>
            <w:hideMark/>
          </w:tcPr>
          <w:p w14:paraId="5BA53B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632,2</w:t>
            </w:r>
          </w:p>
        </w:tc>
        <w:tc>
          <w:tcPr>
            <w:tcW w:w="1134" w:type="dxa"/>
            <w:tcBorders>
              <w:top w:val="nil"/>
              <w:left w:val="nil"/>
              <w:bottom w:val="single" w:sz="4" w:space="0" w:color="auto"/>
              <w:right w:val="single" w:sz="4" w:space="0" w:color="auto"/>
            </w:tcBorders>
            <w:shd w:val="clear" w:color="000000" w:fill="FFFFFF"/>
            <w:noWrap/>
            <w:vAlign w:val="bottom"/>
            <w:hideMark/>
          </w:tcPr>
          <w:p w14:paraId="6CE606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111,7</w:t>
            </w:r>
          </w:p>
        </w:tc>
        <w:tc>
          <w:tcPr>
            <w:tcW w:w="1277" w:type="dxa"/>
            <w:tcBorders>
              <w:top w:val="nil"/>
              <w:left w:val="nil"/>
              <w:bottom w:val="single" w:sz="4" w:space="0" w:color="auto"/>
              <w:right w:val="single" w:sz="4" w:space="0" w:color="auto"/>
            </w:tcBorders>
            <w:shd w:val="clear" w:color="000000" w:fill="FFFFFF"/>
            <w:noWrap/>
            <w:vAlign w:val="bottom"/>
            <w:hideMark/>
          </w:tcPr>
          <w:p w14:paraId="4F8C0D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4 405,5</w:t>
            </w:r>
          </w:p>
        </w:tc>
        <w:tc>
          <w:tcPr>
            <w:tcW w:w="1040" w:type="dxa"/>
            <w:tcBorders>
              <w:top w:val="nil"/>
              <w:left w:val="nil"/>
              <w:bottom w:val="single" w:sz="4" w:space="0" w:color="auto"/>
              <w:right w:val="single" w:sz="4" w:space="0" w:color="auto"/>
            </w:tcBorders>
            <w:shd w:val="clear" w:color="000000" w:fill="FFFFFF"/>
            <w:noWrap/>
            <w:vAlign w:val="bottom"/>
            <w:hideMark/>
          </w:tcPr>
          <w:p w14:paraId="4ADFEF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188,8</w:t>
            </w:r>
          </w:p>
        </w:tc>
        <w:tc>
          <w:tcPr>
            <w:tcW w:w="1087" w:type="dxa"/>
            <w:tcBorders>
              <w:top w:val="nil"/>
              <w:left w:val="nil"/>
              <w:bottom w:val="single" w:sz="4" w:space="0" w:color="auto"/>
              <w:right w:val="single" w:sz="4" w:space="0" w:color="auto"/>
            </w:tcBorders>
            <w:shd w:val="clear" w:color="000000" w:fill="FFFFFF"/>
            <w:noWrap/>
            <w:vAlign w:val="bottom"/>
            <w:hideMark/>
          </w:tcPr>
          <w:p w14:paraId="0BEB0CD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357BD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179,8</w:t>
            </w:r>
          </w:p>
        </w:tc>
        <w:tc>
          <w:tcPr>
            <w:tcW w:w="1226" w:type="dxa"/>
            <w:tcBorders>
              <w:top w:val="nil"/>
              <w:left w:val="nil"/>
              <w:bottom w:val="single" w:sz="4" w:space="0" w:color="auto"/>
              <w:right w:val="single" w:sz="4" w:space="0" w:color="auto"/>
            </w:tcBorders>
            <w:shd w:val="clear" w:color="000000" w:fill="FFFFFF"/>
            <w:noWrap/>
            <w:vAlign w:val="bottom"/>
            <w:hideMark/>
          </w:tcPr>
          <w:p w14:paraId="68101F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D55A4D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F88F4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Ботевград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34060C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21 960,0</w:t>
            </w:r>
          </w:p>
        </w:tc>
        <w:tc>
          <w:tcPr>
            <w:tcW w:w="1118" w:type="dxa"/>
            <w:tcBorders>
              <w:top w:val="nil"/>
              <w:left w:val="nil"/>
              <w:bottom w:val="single" w:sz="4" w:space="0" w:color="auto"/>
              <w:right w:val="single" w:sz="4" w:space="0" w:color="auto"/>
            </w:tcBorders>
            <w:shd w:val="clear" w:color="000000" w:fill="FFFFFF"/>
            <w:noWrap/>
            <w:vAlign w:val="bottom"/>
            <w:hideMark/>
          </w:tcPr>
          <w:p w14:paraId="67203C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1 536,3</w:t>
            </w:r>
          </w:p>
        </w:tc>
        <w:tc>
          <w:tcPr>
            <w:tcW w:w="1257" w:type="dxa"/>
            <w:tcBorders>
              <w:top w:val="nil"/>
              <w:left w:val="nil"/>
              <w:bottom w:val="single" w:sz="4" w:space="0" w:color="auto"/>
              <w:right w:val="single" w:sz="4" w:space="0" w:color="auto"/>
            </w:tcBorders>
            <w:shd w:val="clear" w:color="000000" w:fill="FFFFFF"/>
            <w:noWrap/>
            <w:vAlign w:val="bottom"/>
            <w:hideMark/>
          </w:tcPr>
          <w:p w14:paraId="5AB579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230,7</w:t>
            </w:r>
          </w:p>
        </w:tc>
        <w:tc>
          <w:tcPr>
            <w:tcW w:w="1384" w:type="dxa"/>
            <w:tcBorders>
              <w:top w:val="nil"/>
              <w:left w:val="nil"/>
              <w:bottom w:val="single" w:sz="4" w:space="0" w:color="auto"/>
              <w:right w:val="single" w:sz="4" w:space="0" w:color="auto"/>
            </w:tcBorders>
            <w:shd w:val="clear" w:color="000000" w:fill="FFFFFF"/>
            <w:noWrap/>
            <w:vAlign w:val="bottom"/>
            <w:hideMark/>
          </w:tcPr>
          <w:p w14:paraId="7EFACB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1 305,6</w:t>
            </w:r>
          </w:p>
        </w:tc>
        <w:tc>
          <w:tcPr>
            <w:tcW w:w="1134" w:type="dxa"/>
            <w:tcBorders>
              <w:top w:val="nil"/>
              <w:left w:val="nil"/>
              <w:bottom w:val="single" w:sz="4" w:space="0" w:color="auto"/>
              <w:right w:val="single" w:sz="4" w:space="0" w:color="auto"/>
            </w:tcBorders>
            <w:shd w:val="clear" w:color="000000" w:fill="FFFFFF"/>
            <w:noWrap/>
            <w:vAlign w:val="bottom"/>
            <w:hideMark/>
          </w:tcPr>
          <w:p w14:paraId="765509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146,7</w:t>
            </w:r>
          </w:p>
        </w:tc>
        <w:tc>
          <w:tcPr>
            <w:tcW w:w="1277" w:type="dxa"/>
            <w:tcBorders>
              <w:top w:val="nil"/>
              <w:left w:val="nil"/>
              <w:bottom w:val="single" w:sz="4" w:space="0" w:color="auto"/>
              <w:right w:val="single" w:sz="4" w:space="0" w:color="auto"/>
            </w:tcBorders>
            <w:shd w:val="clear" w:color="000000" w:fill="FFFFFF"/>
            <w:noWrap/>
            <w:vAlign w:val="bottom"/>
            <w:hideMark/>
          </w:tcPr>
          <w:p w14:paraId="375B7C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14 457,3</w:t>
            </w:r>
          </w:p>
        </w:tc>
        <w:tc>
          <w:tcPr>
            <w:tcW w:w="1040" w:type="dxa"/>
            <w:tcBorders>
              <w:top w:val="nil"/>
              <w:left w:val="nil"/>
              <w:bottom w:val="single" w:sz="4" w:space="0" w:color="auto"/>
              <w:right w:val="single" w:sz="4" w:space="0" w:color="auto"/>
            </w:tcBorders>
            <w:shd w:val="clear" w:color="000000" w:fill="FFFFFF"/>
            <w:noWrap/>
            <w:vAlign w:val="bottom"/>
            <w:hideMark/>
          </w:tcPr>
          <w:p w14:paraId="4BCF88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1 600,5</w:t>
            </w:r>
          </w:p>
        </w:tc>
        <w:tc>
          <w:tcPr>
            <w:tcW w:w="1087" w:type="dxa"/>
            <w:tcBorders>
              <w:top w:val="nil"/>
              <w:left w:val="nil"/>
              <w:bottom w:val="single" w:sz="4" w:space="0" w:color="auto"/>
              <w:right w:val="single" w:sz="4" w:space="0" w:color="auto"/>
            </w:tcBorders>
            <w:shd w:val="clear" w:color="000000" w:fill="FFFFFF"/>
            <w:noWrap/>
            <w:vAlign w:val="bottom"/>
            <w:hideMark/>
          </w:tcPr>
          <w:p w14:paraId="73B79A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3 444,4</w:t>
            </w:r>
          </w:p>
        </w:tc>
        <w:tc>
          <w:tcPr>
            <w:tcW w:w="1040" w:type="dxa"/>
            <w:tcBorders>
              <w:top w:val="nil"/>
              <w:left w:val="nil"/>
              <w:bottom w:val="single" w:sz="4" w:space="0" w:color="auto"/>
              <w:right w:val="single" w:sz="4" w:space="0" w:color="auto"/>
            </w:tcBorders>
            <w:shd w:val="clear" w:color="000000" w:fill="FFFFFF"/>
            <w:noWrap/>
            <w:vAlign w:val="bottom"/>
            <w:hideMark/>
          </w:tcPr>
          <w:p w14:paraId="65A4F5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774,8</w:t>
            </w:r>
          </w:p>
        </w:tc>
        <w:tc>
          <w:tcPr>
            <w:tcW w:w="1226" w:type="dxa"/>
            <w:tcBorders>
              <w:top w:val="nil"/>
              <w:left w:val="nil"/>
              <w:bottom w:val="single" w:sz="4" w:space="0" w:color="auto"/>
              <w:right w:val="single" w:sz="4" w:space="0" w:color="auto"/>
            </w:tcBorders>
            <w:shd w:val="clear" w:color="000000" w:fill="FFFFFF"/>
            <w:noWrap/>
            <w:vAlign w:val="bottom"/>
            <w:hideMark/>
          </w:tcPr>
          <w:p w14:paraId="0466F8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129377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9A2E4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Годеч</w:t>
            </w:r>
          </w:p>
        </w:tc>
        <w:tc>
          <w:tcPr>
            <w:tcW w:w="1911" w:type="dxa"/>
            <w:tcBorders>
              <w:top w:val="nil"/>
              <w:left w:val="nil"/>
              <w:bottom w:val="single" w:sz="4" w:space="0" w:color="auto"/>
              <w:right w:val="single" w:sz="4" w:space="0" w:color="auto"/>
            </w:tcBorders>
            <w:shd w:val="clear" w:color="000000" w:fill="FFFFFF"/>
            <w:noWrap/>
            <w:vAlign w:val="bottom"/>
            <w:hideMark/>
          </w:tcPr>
          <w:p w14:paraId="591521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2 732,6</w:t>
            </w:r>
          </w:p>
        </w:tc>
        <w:tc>
          <w:tcPr>
            <w:tcW w:w="1118" w:type="dxa"/>
            <w:tcBorders>
              <w:top w:val="nil"/>
              <w:left w:val="nil"/>
              <w:bottom w:val="single" w:sz="4" w:space="0" w:color="auto"/>
              <w:right w:val="single" w:sz="4" w:space="0" w:color="auto"/>
            </w:tcBorders>
            <w:shd w:val="clear" w:color="000000" w:fill="FFFFFF"/>
            <w:noWrap/>
            <w:vAlign w:val="bottom"/>
            <w:hideMark/>
          </w:tcPr>
          <w:p w14:paraId="1AB4AD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694,1</w:t>
            </w:r>
          </w:p>
        </w:tc>
        <w:tc>
          <w:tcPr>
            <w:tcW w:w="1257" w:type="dxa"/>
            <w:tcBorders>
              <w:top w:val="nil"/>
              <w:left w:val="nil"/>
              <w:bottom w:val="single" w:sz="4" w:space="0" w:color="auto"/>
              <w:right w:val="single" w:sz="4" w:space="0" w:color="auto"/>
            </w:tcBorders>
            <w:shd w:val="clear" w:color="000000" w:fill="FFFFFF"/>
            <w:noWrap/>
            <w:vAlign w:val="bottom"/>
            <w:hideMark/>
          </w:tcPr>
          <w:p w14:paraId="207130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165,0</w:t>
            </w:r>
          </w:p>
        </w:tc>
        <w:tc>
          <w:tcPr>
            <w:tcW w:w="1384" w:type="dxa"/>
            <w:tcBorders>
              <w:top w:val="nil"/>
              <w:left w:val="nil"/>
              <w:bottom w:val="single" w:sz="4" w:space="0" w:color="auto"/>
              <w:right w:val="single" w:sz="4" w:space="0" w:color="auto"/>
            </w:tcBorders>
            <w:shd w:val="clear" w:color="000000" w:fill="FFFFFF"/>
            <w:noWrap/>
            <w:vAlign w:val="bottom"/>
            <w:hideMark/>
          </w:tcPr>
          <w:p w14:paraId="315190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529,1</w:t>
            </w:r>
          </w:p>
        </w:tc>
        <w:tc>
          <w:tcPr>
            <w:tcW w:w="1134" w:type="dxa"/>
            <w:tcBorders>
              <w:top w:val="nil"/>
              <w:left w:val="nil"/>
              <w:bottom w:val="single" w:sz="4" w:space="0" w:color="auto"/>
              <w:right w:val="single" w:sz="4" w:space="0" w:color="auto"/>
            </w:tcBorders>
            <w:shd w:val="clear" w:color="000000" w:fill="FFFFFF"/>
            <w:noWrap/>
            <w:vAlign w:val="bottom"/>
            <w:hideMark/>
          </w:tcPr>
          <w:p w14:paraId="2116DA2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110,8</w:t>
            </w:r>
          </w:p>
        </w:tc>
        <w:tc>
          <w:tcPr>
            <w:tcW w:w="1277" w:type="dxa"/>
            <w:tcBorders>
              <w:top w:val="nil"/>
              <w:left w:val="nil"/>
              <w:bottom w:val="single" w:sz="4" w:space="0" w:color="auto"/>
              <w:right w:val="single" w:sz="4" w:space="0" w:color="auto"/>
            </w:tcBorders>
            <w:shd w:val="clear" w:color="000000" w:fill="FFFFFF"/>
            <w:noWrap/>
            <w:vAlign w:val="bottom"/>
            <w:hideMark/>
          </w:tcPr>
          <w:p w14:paraId="04BC2F9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1 644,5</w:t>
            </w:r>
          </w:p>
        </w:tc>
        <w:tc>
          <w:tcPr>
            <w:tcW w:w="1040" w:type="dxa"/>
            <w:tcBorders>
              <w:top w:val="nil"/>
              <w:left w:val="nil"/>
              <w:bottom w:val="single" w:sz="4" w:space="0" w:color="auto"/>
              <w:right w:val="single" w:sz="4" w:space="0" w:color="auto"/>
            </w:tcBorders>
            <w:shd w:val="clear" w:color="000000" w:fill="FFFFFF"/>
            <w:noWrap/>
            <w:vAlign w:val="bottom"/>
            <w:hideMark/>
          </w:tcPr>
          <w:p w14:paraId="427B4F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83,3</w:t>
            </w:r>
          </w:p>
        </w:tc>
        <w:tc>
          <w:tcPr>
            <w:tcW w:w="1087" w:type="dxa"/>
            <w:tcBorders>
              <w:top w:val="nil"/>
              <w:left w:val="nil"/>
              <w:bottom w:val="single" w:sz="4" w:space="0" w:color="auto"/>
              <w:right w:val="single" w:sz="4" w:space="0" w:color="auto"/>
            </w:tcBorders>
            <w:shd w:val="clear" w:color="000000" w:fill="FFFFFF"/>
            <w:noWrap/>
            <w:vAlign w:val="bottom"/>
            <w:hideMark/>
          </w:tcPr>
          <w:p w14:paraId="0FB568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121,2</w:t>
            </w:r>
          </w:p>
        </w:tc>
        <w:tc>
          <w:tcPr>
            <w:tcW w:w="1040" w:type="dxa"/>
            <w:tcBorders>
              <w:top w:val="nil"/>
              <w:left w:val="nil"/>
              <w:bottom w:val="single" w:sz="4" w:space="0" w:color="auto"/>
              <w:right w:val="single" w:sz="4" w:space="0" w:color="auto"/>
            </w:tcBorders>
            <w:shd w:val="clear" w:color="000000" w:fill="FFFFFF"/>
            <w:noWrap/>
            <w:vAlign w:val="bottom"/>
            <w:hideMark/>
          </w:tcPr>
          <w:p w14:paraId="3D685C3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78,7</w:t>
            </w:r>
          </w:p>
        </w:tc>
        <w:tc>
          <w:tcPr>
            <w:tcW w:w="1226" w:type="dxa"/>
            <w:tcBorders>
              <w:top w:val="nil"/>
              <w:left w:val="nil"/>
              <w:bottom w:val="single" w:sz="4" w:space="0" w:color="auto"/>
              <w:right w:val="single" w:sz="4" w:space="0" w:color="auto"/>
            </w:tcBorders>
            <w:shd w:val="clear" w:color="000000" w:fill="FFFFFF"/>
            <w:noWrap/>
            <w:vAlign w:val="bottom"/>
            <w:hideMark/>
          </w:tcPr>
          <w:p w14:paraId="67A71DA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1DCA36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54148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Горна Mалина</w:t>
            </w:r>
          </w:p>
        </w:tc>
        <w:tc>
          <w:tcPr>
            <w:tcW w:w="1911" w:type="dxa"/>
            <w:tcBorders>
              <w:top w:val="nil"/>
              <w:left w:val="nil"/>
              <w:bottom w:val="single" w:sz="4" w:space="0" w:color="auto"/>
              <w:right w:val="single" w:sz="4" w:space="0" w:color="auto"/>
            </w:tcBorders>
            <w:shd w:val="clear" w:color="000000" w:fill="FFFFFF"/>
            <w:noWrap/>
            <w:vAlign w:val="bottom"/>
            <w:hideMark/>
          </w:tcPr>
          <w:p w14:paraId="647F0E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5 258,8</w:t>
            </w:r>
          </w:p>
        </w:tc>
        <w:tc>
          <w:tcPr>
            <w:tcW w:w="1118" w:type="dxa"/>
            <w:tcBorders>
              <w:top w:val="nil"/>
              <w:left w:val="nil"/>
              <w:bottom w:val="single" w:sz="4" w:space="0" w:color="auto"/>
              <w:right w:val="single" w:sz="4" w:space="0" w:color="auto"/>
            </w:tcBorders>
            <w:shd w:val="clear" w:color="000000" w:fill="FFFFFF"/>
            <w:noWrap/>
            <w:vAlign w:val="bottom"/>
            <w:hideMark/>
          </w:tcPr>
          <w:p w14:paraId="796E93C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787,4</w:t>
            </w:r>
          </w:p>
        </w:tc>
        <w:tc>
          <w:tcPr>
            <w:tcW w:w="1257" w:type="dxa"/>
            <w:tcBorders>
              <w:top w:val="nil"/>
              <w:left w:val="nil"/>
              <w:bottom w:val="single" w:sz="4" w:space="0" w:color="auto"/>
              <w:right w:val="single" w:sz="4" w:space="0" w:color="auto"/>
            </w:tcBorders>
            <w:shd w:val="clear" w:color="000000" w:fill="FFFFFF"/>
            <w:noWrap/>
            <w:vAlign w:val="bottom"/>
            <w:hideMark/>
          </w:tcPr>
          <w:p w14:paraId="2227A5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240,8</w:t>
            </w:r>
          </w:p>
        </w:tc>
        <w:tc>
          <w:tcPr>
            <w:tcW w:w="1384" w:type="dxa"/>
            <w:tcBorders>
              <w:top w:val="nil"/>
              <w:left w:val="nil"/>
              <w:bottom w:val="single" w:sz="4" w:space="0" w:color="auto"/>
              <w:right w:val="single" w:sz="4" w:space="0" w:color="auto"/>
            </w:tcBorders>
            <w:shd w:val="clear" w:color="000000" w:fill="FFFFFF"/>
            <w:noWrap/>
            <w:vAlign w:val="bottom"/>
            <w:hideMark/>
          </w:tcPr>
          <w:p w14:paraId="65F9EEB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546,6</w:t>
            </w:r>
          </w:p>
        </w:tc>
        <w:tc>
          <w:tcPr>
            <w:tcW w:w="1134" w:type="dxa"/>
            <w:tcBorders>
              <w:top w:val="nil"/>
              <w:left w:val="nil"/>
              <w:bottom w:val="single" w:sz="4" w:space="0" w:color="auto"/>
              <w:right w:val="single" w:sz="4" w:space="0" w:color="auto"/>
            </w:tcBorders>
            <w:shd w:val="clear" w:color="000000" w:fill="FFFFFF"/>
            <w:noWrap/>
            <w:vAlign w:val="bottom"/>
            <w:hideMark/>
          </w:tcPr>
          <w:p w14:paraId="4048DE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113,3</w:t>
            </w:r>
          </w:p>
        </w:tc>
        <w:tc>
          <w:tcPr>
            <w:tcW w:w="1277" w:type="dxa"/>
            <w:tcBorders>
              <w:top w:val="nil"/>
              <w:left w:val="nil"/>
              <w:bottom w:val="single" w:sz="4" w:space="0" w:color="auto"/>
              <w:right w:val="single" w:sz="4" w:space="0" w:color="auto"/>
            </w:tcBorders>
            <w:shd w:val="clear" w:color="000000" w:fill="FFFFFF"/>
            <w:noWrap/>
            <w:vAlign w:val="bottom"/>
            <w:hideMark/>
          </w:tcPr>
          <w:p w14:paraId="469E91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3 721,0</w:t>
            </w:r>
          </w:p>
        </w:tc>
        <w:tc>
          <w:tcPr>
            <w:tcW w:w="1040" w:type="dxa"/>
            <w:tcBorders>
              <w:top w:val="nil"/>
              <w:left w:val="nil"/>
              <w:bottom w:val="single" w:sz="4" w:space="0" w:color="auto"/>
              <w:right w:val="single" w:sz="4" w:space="0" w:color="auto"/>
            </w:tcBorders>
            <w:shd w:val="clear" w:color="000000" w:fill="FFFFFF"/>
            <w:noWrap/>
            <w:vAlign w:val="bottom"/>
            <w:hideMark/>
          </w:tcPr>
          <w:p w14:paraId="4C4C71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110,6</w:t>
            </w:r>
          </w:p>
        </w:tc>
        <w:tc>
          <w:tcPr>
            <w:tcW w:w="1087" w:type="dxa"/>
            <w:tcBorders>
              <w:top w:val="nil"/>
              <w:left w:val="nil"/>
              <w:bottom w:val="single" w:sz="4" w:space="0" w:color="auto"/>
              <w:right w:val="single" w:sz="4" w:space="0" w:color="auto"/>
            </w:tcBorders>
            <w:shd w:val="clear" w:color="000000" w:fill="FFFFFF"/>
            <w:noWrap/>
            <w:vAlign w:val="bottom"/>
            <w:hideMark/>
          </w:tcPr>
          <w:p w14:paraId="2B9D3B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357,9</w:t>
            </w:r>
          </w:p>
        </w:tc>
        <w:tc>
          <w:tcPr>
            <w:tcW w:w="1040" w:type="dxa"/>
            <w:tcBorders>
              <w:top w:val="nil"/>
              <w:left w:val="nil"/>
              <w:bottom w:val="single" w:sz="4" w:space="0" w:color="auto"/>
              <w:right w:val="single" w:sz="4" w:space="0" w:color="auto"/>
            </w:tcBorders>
            <w:shd w:val="clear" w:color="000000" w:fill="FFFFFF"/>
            <w:noWrap/>
            <w:vAlign w:val="bottom"/>
            <w:hideMark/>
          </w:tcPr>
          <w:p w14:paraId="4A0963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654D4F0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612183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8751E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Долна баня</w:t>
            </w:r>
          </w:p>
        </w:tc>
        <w:tc>
          <w:tcPr>
            <w:tcW w:w="1911" w:type="dxa"/>
            <w:tcBorders>
              <w:top w:val="nil"/>
              <w:left w:val="nil"/>
              <w:bottom w:val="single" w:sz="4" w:space="0" w:color="auto"/>
              <w:right w:val="single" w:sz="4" w:space="0" w:color="auto"/>
            </w:tcBorders>
            <w:shd w:val="clear" w:color="000000" w:fill="FFFFFF"/>
            <w:noWrap/>
            <w:vAlign w:val="bottom"/>
            <w:hideMark/>
          </w:tcPr>
          <w:p w14:paraId="702D5D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7 035,1</w:t>
            </w:r>
          </w:p>
        </w:tc>
        <w:tc>
          <w:tcPr>
            <w:tcW w:w="1118" w:type="dxa"/>
            <w:tcBorders>
              <w:top w:val="nil"/>
              <w:left w:val="nil"/>
              <w:bottom w:val="single" w:sz="4" w:space="0" w:color="auto"/>
              <w:right w:val="single" w:sz="4" w:space="0" w:color="auto"/>
            </w:tcBorders>
            <w:shd w:val="clear" w:color="000000" w:fill="FFFFFF"/>
            <w:noWrap/>
            <w:vAlign w:val="bottom"/>
            <w:hideMark/>
          </w:tcPr>
          <w:p w14:paraId="177340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588,4</w:t>
            </w:r>
          </w:p>
        </w:tc>
        <w:tc>
          <w:tcPr>
            <w:tcW w:w="1257" w:type="dxa"/>
            <w:tcBorders>
              <w:top w:val="nil"/>
              <w:left w:val="nil"/>
              <w:bottom w:val="single" w:sz="4" w:space="0" w:color="auto"/>
              <w:right w:val="single" w:sz="4" w:space="0" w:color="auto"/>
            </w:tcBorders>
            <w:shd w:val="clear" w:color="000000" w:fill="FFFFFF"/>
            <w:noWrap/>
            <w:vAlign w:val="bottom"/>
            <w:hideMark/>
          </w:tcPr>
          <w:p w14:paraId="3B8B05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53,9</w:t>
            </w:r>
          </w:p>
        </w:tc>
        <w:tc>
          <w:tcPr>
            <w:tcW w:w="1384" w:type="dxa"/>
            <w:tcBorders>
              <w:top w:val="nil"/>
              <w:left w:val="nil"/>
              <w:bottom w:val="single" w:sz="4" w:space="0" w:color="auto"/>
              <w:right w:val="single" w:sz="4" w:space="0" w:color="auto"/>
            </w:tcBorders>
            <w:shd w:val="clear" w:color="000000" w:fill="FFFFFF"/>
            <w:noWrap/>
            <w:vAlign w:val="bottom"/>
            <w:hideMark/>
          </w:tcPr>
          <w:p w14:paraId="5F59C6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534,5</w:t>
            </w:r>
          </w:p>
        </w:tc>
        <w:tc>
          <w:tcPr>
            <w:tcW w:w="1134" w:type="dxa"/>
            <w:tcBorders>
              <w:top w:val="nil"/>
              <w:left w:val="nil"/>
              <w:bottom w:val="single" w:sz="4" w:space="0" w:color="auto"/>
              <w:right w:val="single" w:sz="4" w:space="0" w:color="auto"/>
            </w:tcBorders>
            <w:shd w:val="clear" w:color="000000" w:fill="FFFFFF"/>
            <w:noWrap/>
            <w:vAlign w:val="bottom"/>
            <w:hideMark/>
          </w:tcPr>
          <w:p w14:paraId="122AD1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124,9</w:t>
            </w:r>
          </w:p>
        </w:tc>
        <w:tc>
          <w:tcPr>
            <w:tcW w:w="1277" w:type="dxa"/>
            <w:tcBorders>
              <w:top w:val="nil"/>
              <w:left w:val="nil"/>
              <w:bottom w:val="single" w:sz="4" w:space="0" w:color="auto"/>
              <w:right w:val="single" w:sz="4" w:space="0" w:color="auto"/>
            </w:tcBorders>
            <w:shd w:val="clear" w:color="000000" w:fill="FFFFFF"/>
            <w:noWrap/>
            <w:vAlign w:val="bottom"/>
            <w:hideMark/>
          </w:tcPr>
          <w:p w14:paraId="0FB8B6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2 674,0</w:t>
            </w:r>
          </w:p>
        </w:tc>
        <w:tc>
          <w:tcPr>
            <w:tcW w:w="1040" w:type="dxa"/>
            <w:tcBorders>
              <w:top w:val="nil"/>
              <w:left w:val="nil"/>
              <w:bottom w:val="single" w:sz="4" w:space="0" w:color="auto"/>
              <w:right w:val="single" w:sz="4" w:space="0" w:color="auto"/>
            </w:tcBorders>
            <w:shd w:val="clear" w:color="000000" w:fill="FFFFFF"/>
            <w:noWrap/>
            <w:vAlign w:val="bottom"/>
            <w:hideMark/>
          </w:tcPr>
          <w:p w14:paraId="3C2EC8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159,0</w:t>
            </w:r>
          </w:p>
        </w:tc>
        <w:tc>
          <w:tcPr>
            <w:tcW w:w="1087" w:type="dxa"/>
            <w:tcBorders>
              <w:top w:val="nil"/>
              <w:left w:val="nil"/>
              <w:bottom w:val="single" w:sz="4" w:space="0" w:color="auto"/>
              <w:right w:val="single" w:sz="4" w:space="0" w:color="auto"/>
            </w:tcBorders>
            <w:shd w:val="clear" w:color="000000" w:fill="FFFFFF"/>
            <w:noWrap/>
            <w:vAlign w:val="bottom"/>
            <w:hideMark/>
          </w:tcPr>
          <w:p w14:paraId="69C16F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3 421,4</w:t>
            </w:r>
          </w:p>
        </w:tc>
        <w:tc>
          <w:tcPr>
            <w:tcW w:w="1040" w:type="dxa"/>
            <w:tcBorders>
              <w:top w:val="nil"/>
              <w:left w:val="nil"/>
              <w:bottom w:val="single" w:sz="4" w:space="0" w:color="auto"/>
              <w:right w:val="single" w:sz="4" w:space="0" w:color="auto"/>
            </w:tcBorders>
            <w:shd w:val="clear" w:color="000000" w:fill="FFFFFF"/>
            <w:noWrap/>
            <w:vAlign w:val="bottom"/>
            <w:hideMark/>
          </w:tcPr>
          <w:p w14:paraId="3CE58B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67,4</w:t>
            </w:r>
          </w:p>
        </w:tc>
        <w:tc>
          <w:tcPr>
            <w:tcW w:w="1226" w:type="dxa"/>
            <w:tcBorders>
              <w:top w:val="nil"/>
              <w:left w:val="nil"/>
              <w:bottom w:val="single" w:sz="4" w:space="0" w:color="auto"/>
              <w:right w:val="single" w:sz="4" w:space="0" w:color="auto"/>
            </w:tcBorders>
            <w:shd w:val="clear" w:color="000000" w:fill="FFFFFF"/>
            <w:noWrap/>
            <w:vAlign w:val="bottom"/>
            <w:hideMark/>
          </w:tcPr>
          <w:p w14:paraId="4D133C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FEFE5E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F38B9F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Драгоман</w:t>
            </w:r>
          </w:p>
        </w:tc>
        <w:tc>
          <w:tcPr>
            <w:tcW w:w="1911" w:type="dxa"/>
            <w:tcBorders>
              <w:top w:val="nil"/>
              <w:left w:val="nil"/>
              <w:bottom w:val="single" w:sz="4" w:space="0" w:color="auto"/>
              <w:right w:val="single" w:sz="4" w:space="0" w:color="auto"/>
            </w:tcBorders>
            <w:shd w:val="clear" w:color="000000" w:fill="FFFFFF"/>
            <w:noWrap/>
            <w:vAlign w:val="bottom"/>
            <w:hideMark/>
          </w:tcPr>
          <w:p w14:paraId="2E4348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3 710,8</w:t>
            </w:r>
          </w:p>
        </w:tc>
        <w:tc>
          <w:tcPr>
            <w:tcW w:w="1118" w:type="dxa"/>
            <w:tcBorders>
              <w:top w:val="nil"/>
              <w:left w:val="nil"/>
              <w:bottom w:val="single" w:sz="4" w:space="0" w:color="auto"/>
              <w:right w:val="single" w:sz="4" w:space="0" w:color="auto"/>
            </w:tcBorders>
            <w:shd w:val="clear" w:color="000000" w:fill="FFFFFF"/>
            <w:noWrap/>
            <w:vAlign w:val="bottom"/>
            <w:hideMark/>
          </w:tcPr>
          <w:p w14:paraId="664D5F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756,7</w:t>
            </w:r>
          </w:p>
        </w:tc>
        <w:tc>
          <w:tcPr>
            <w:tcW w:w="1257" w:type="dxa"/>
            <w:tcBorders>
              <w:top w:val="nil"/>
              <w:left w:val="nil"/>
              <w:bottom w:val="single" w:sz="4" w:space="0" w:color="auto"/>
              <w:right w:val="single" w:sz="4" w:space="0" w:color="auto"/>
            </w:tcBorders>
            <w:shd w:val="clear" w:color="000000" w:fill="FFFFFF"/>
            <w:noWrap/>
            <w:vAlign w:val="bottom"/>
            <w:hideMark/>
          </w:tcPr>
          <w:p w14:paraId="4145645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232,4</w:t>
            </w:r>
          </w:p>
        </w:tc>
        <w:tc>
          <w:tcPr>
            <w:tcW w:w="1384" w:type="dxa"/>
            <w:tcBorders>
              <w:top w:val="nil"/>
              <w:left w:val="nil"/>
              <w:bottom w:val="single" w:sz="4" w:space="0" w:color="auto"/>
              <w:right w:val="single" w:sz="4" w:space="0" w:color="auto"/>
            </w:tcBorders>
            <w:shd w:val="clear" w:color="000000" w:fill="FFFFFF"/>
            <w:noWrap/>
            <w:vAlign w:val="bottom"/>
            <w:hideMark/>
          </w:tcPr>
          <w:p w14:paraId="1E277B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524,3</w:t>
            </w:r>
          </w:p>
        </w:tc>
        <w:tc>
          <w:tcPr>
            <w:tcW w:w="1134" w:type="dxa"/>
            <w:tcBorders>
              <w:top w:val="nil"/>
              <w:left w:val="nil"/>
              <w:bottom w:val="single" w:sz="4" w:space="0" w:color="auto"/>
              <w:right w:val="single" w:sz="4" w:space="0" w:color="auto"/>
            </w:tcBorders>
            <w:shd w:val="clear" w:color="000000" w:fill="FFFFFF"/>
            <w:noWrap/>
            <w:vAlign w:val="bottom"/>
            <w:hideMark/>
          </w:tcPr>
          <w:p w14:paraId="6BB04D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170,0</w:t>
            </w:r>
          </w:p>
        </w:tc>
        <w:tc>
          <w:tcPr>
            <w:tcW w:w="1277" w:type="dxa"/>
            <w:tcBorders>
              <w:top w:val="nil"/>
              <w:left w:val="nil"/>
              <w:bottom w:val="single" w:sz="4" w:space="0" w:color="auto"/>
              <w:right w:val="single" w:sz="4" w:space="0" w:color="auto"/>
            </w:tcBorders>
            <w:shd w:val="clear" w:color="000000" w:fill="FFFFFF"/>
            <w:noWrap/>
            <w:vAlign w:val="bottom"/>
            <w:hideMark/>
          </w:tcPr>
          <w:p w14:paraId="6588966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1 336,2</w:t>
            </w:r>
          </w:p>
        </w:tc>
        <w:tc>
          <w:tcPr>
            <w:tcW w:w="1040" w:type="dxa"/>
            <w:tcBorders>
              <w:top w:val="nil"/>
              <w:left w:val="nil"/>
              <w:bottom w:val="single" w:sz="4" w:space="0" w:color="auto"/>
              <w:right w:val="single" w:sz="4" w:space="0" w:color="auto"/>
            </w:tcBorders>
            <w:shd w:val="clear" w:color="000000" w:fill="FFFFFF"/>
            <w:noWrap/>
            <w:vAlign w:val="bottom"/>
            <w:hideMark/>
          </w:tcPr>
          <w:p w14:paraId="43FFE87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157,2</w:t>
            </w:r>
          </w:p>
        </w:tc>
        <w:tc>
          <w:tcPr>
            <w:tcW w:w="1087" w:type="dxa"/>
            <w:tcBorders>
              <w:top w:val="nil"/>
              <w:left w:val="nil"/>
              <w:bottom w:val="single" w:sz="4" w:space="0" w:color="auto"/>
              <w:right w:val="single" w:sz="4" w:space="0" w:color="auto"/>
            </w:tcBorders>
            <w:shd w:val="clear" w:color="000000" w:fill="FFFFFF"/>
            <w:noWrap/>
            <w:vAlign w:val="bottom"/>
            <w:hideMark/>
          </w:tcPr>
          <w:p w14:paraId="4B868D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1 144,6</w:t>
            </w:r>
          </w:p>
        </w:tc>
        <w:tc>
          <w:tcPr>
            <w:tcW w:w="1040" w:type="dxa"/>
            <w:tcBorders>
              <w:top w:val="nil"/>
              <w:left w:val="nil"/>
              <w:bottom w:val="single" w:sz="4" w:space="0" w:color="auto"/>
              <w:right w:val="single" w:sz="4" w:space="0" w:color="auto"/>
            </w:tcBorders>
            <w:shd w:val="clear" w:color="000000" w:fill="FFFFFF"/>
            <w:noWrap/>
            <w:vAlign w:val="bottom"/>
            <w:hideMark/>
          </w:tcPr>
          <w:p w14:paraId="03ED5B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146,1</w:t>
            </w:r>
          </w:p>
        </w:tc>
        <w:tc>
          <w:tcPr>
            <w:tcW w:w="1226" w:type="dxa"/>
            <w:tcBorders>
              <w:top w:val="nil"/>
              <w:left w:val="nil"/>
              <w:bottom w:val="single" w:sz="4" w:space="0" w:color="auto"/>
              <w:right w:val="single" w:sz="4" w:space="0" w:color="auto"/>
            </w:tcBorders>
            <w:shd w:val="clear" w:color="000000" w:fill="FFFFFF"/>
            <w:noWrap/>
            <w:vAlign w:val="bottom"/>
            <w:hideMark/>
          </w:tcPr>
          <w:p w14:paraId="43E1FE9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EAF8C9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153B7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Eлин Пелин</w:t>
            </w:r>
          </w:p>
        </w:tc>
        <w:tc>
          <w:tcPr>
            <w:tcW w:w="1911" w:type="dxa"/>
            <w:tcBorders>
              <w:top w:val="nil"/>
              <w:left w:val="nil"/>
              <w:bottom w:val="single" w:sz="4" w:space="0" w:color="auto"/>
              <w:right w:val="single" w:sz="4" w:space="0" w:color="auto"/>
            </w:tcBorders>
            <w:shd w:val="clear" w:color="000000" w:fill="FFFFFF"/>
            <w:noWrap/>
            <w:vAlign w:val="bottom"/>
            <w:hideMark/>
          </w:tcPr>
          <w:p w14:paraId="43C571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15 317,0</w:t>
            </w:r>
          </w:p>
        </w:tc>
        <w:tc>
          <w:tcPr>
            <w:tcW w:w="1118" w:type="dxa"/>
            <w:tcBorders>
              <w:top w:val="nil"/>
              <w:left w:val="nil"/>
              <w:bottom w:val="single" w:sz="4" w:space="0" w:color="auto"/>
              <w:right w:val="single" w:sz="4" w:space="0" w:color="auto"/>
            </w:tcBorders>
            <w:shd w:val="clear" w:color="000000" w:fill="FFFFFF"/>
            <w:noWrap/>
            <w:vAlign w:val="bottom"/>
            <w:hideMark/>
          </w:tcPr>
          <w:p w14:paraId="08AF3F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1 339,4</w:t>
            </w:r>
          </w:p>
        </w:tc>
        <w:tc>
          <w:tcPr>
            <w:tcW w:w="1257" w:type="dxa"/>
            <w:tcBorders>
              <w:top w:val="nil"/>
              <w:left w:val="nil"/>
              <w:bottom w:val="single" w:sz="4" w:space="0" w:color="auto"/>
              <w:right w:val="single" w:sz="4" w:space="0" w:color="auto"/>
            </w:tcBorders>
            <w:shd w:val="clear" w:color="000000" w:fill="FFFFFF"/>
            <w:noWrap/>
            <w:vAlign w:val="bottom"/>
            <w:hideMark/>
          </w:tcPr>
          <w:p w14:paraId="4610B0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330,1</w:t>
            </w:r>
          </w:p>
        </w:tc>
        <w:tc>
          <w:tcPr>
            <w:tcW w:w="1384" w:type="dxa"/>
            <w:tcBorders>
              <w:top w:val="nil"/>
              <w:left w:val="nil"/>
              <w:bottom w:val="single" w:sz="4" w:space="0" w:color="auto"/>
              <w:right w:val="single" w:sz="4" w:space="0" w:color="auto"/>
            </w:tcBorders>
            <w:shd w:val="clear" w:color="000000" w:fill="FFFFFF"/>
            <w:noWrap/>
            <w:vAlign w:val="bottom"/>
            <w:hideMark/>
          </w:tcPr>
          <w:p w14:paraId="0951EA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1 009,3</w:t>
            </w:r>
          </w:p>
        </w:tc>
        <w:tc>
          <w:tcPr>
            <w:tcW w:w="1134" w:type="dxa"/>
            <w:tcBorders>
              <w:top w:val="nil"/>
              <w:left w:val="nil"/>
              <w:bottom w:val="single" w:sz="4" w:space="0" w:color="auto"/>
              <w:right w:val="single" w:sz="4" w:space="0" w:color="auto"/>
            </w:tcBorders>
            <w:shd w:val="clear" w:color="000000" w:fill="FFFFFF"/>
            <w:noWrap/>
            <w:vAlign w:val="bottom"/>
            <w:hideMark/>
          </w:tcPr>
          <w:p w14:paraId="26B0B6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166,0</w:t>
            </w:r>
          </w:p>
        </w:tc>
        <w:tc>
          <w:tcPr>
            <w:tcW w:w="1277" w:type="dxa"/>
            <w:tcBorders>
              <w:top w:val="nil"/>
              <w:left w:val="nil"/>
              <w:bottom w:val="single" w:sz="4" w:space="0" w:color="auto"/>
              <w:right w:val="single" w:sz="4" w:space="0" w:color="auto"/>
            </w:tcBorders>
            <w:shd w:val="clear" w:color="000000" w:fill="FFFFFF"/>
            <w:noWrap/>
            <w:vAlign w:val="bottom"/>
            <w:hideMark/>
          </w:tcPr>
          <w:p w14:paraId="645A82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11 692,3</w:t>
            </w:r>
          </w:p>
        </w:tc>
        <w:tc>
          <w:tcPr>
            <w:tcW w:w="1040" w:type="dxa"/>
            <w:tcBorders>
              <w:top w:val="nil"/>
              <w:left w:val="nil"/>
              <w:bottom w:val="single" w:sz="4" w:space="0" w:color="auto"/>
              <w:right w:val="single" w:sz="4" w:space="0" w:color="auto"/>
            </w:tcBorders>
            <w:shd w:val="clear" w:color="000000" w:fill="FFFFFF"/>
            <w:noWrap/>
            <w:vAlign w:val="bottom"/>
            <w:hideMark/>
          </w:tcPr>
          <w:p w14:paraId="7F4F02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389,5</w:t>
            </w:r>
          </w:p>
        </w:tc>
        <w:tc>
          <w:tcPr>
            <w:tcW w:w="1087" w:type="dxa"/>
            <w:tcBorders>
              <w:top w:val="nil"/>
              <w:left w:val="nil"/>
              <w:bottom w:val="single" w:sz="4" w:space="0" w:color="auto"/>
              <w:right w:val="single" w:sz="4" w:space="0" w:color="auto"/>
            </w:tcBorders>
            <w:shd w:val="clear" w:color="000000" w:fill="FFFFFF"/>
            <w:noWrap/>
            <w:vAlign w:val="bottom"/>
            <w:hideMark/>
          </w:tcPr>
          <w:p w14:paraId="1527CF6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1 302,7</w:t>
            </w:r>
          </w:p>
        </w:tc>
        <w:tc>
          <w:tcPr>
            <w:tcW w:w="1040" w:type="dxa"/>
            <w:tcBorders>
              <w:top w:val="nil"/>
              <w:left w:val="nil"/>
              <w:bottom w:val="single" w:sz="4" w:space="0" w:color="auto"/>
              <w:right w:val="single" w:sz="4" w:space="0" w:color="auto"/>
            </w:tcBorders>
            <w:shd w:val="clear" w:color="000000" w:fill="FFFFFF"/>
            <w:noWrap/>
            <w:vAlign w:val="bottom"/>
            <w:hideMark/>
          </w:tcPr>
          <w:p w14:paraId="334C10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427,1</w:t>
            </w:r>
          </w:p>
        </w:tc>
        <w:tc>
          <w:tcPr>
            <w:tcW w:w="1226" w:type="dxa"/>
            <w:tcBorders>
              <w:top w:val="nil"/>
              <w:left w:val="nil"/>
              <w:bottom w:val="single" w:sz="4" w:space="0" w:color="auto"/>
              <w:right w:val="single" w:sz="4" w:space="0" w:color="auto"/>
            </w:tcBorders>
            <w:shd w:val="clear" w:color="000000" w:fill="FFFFFF"/>
            <w:noWrap/>
            <w:vAlign w:val="bottom"/>
            <w:hideMark/>
          </w:tcPr>
          <w:p w14:paraId="0810FC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BB403CF"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FB0D4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Eтрополе</w:t>
            </w:r>
          </w:p>
        </w:tc>
        <w:tc>
          <w:tcPr>
            <w:tcW w:w="1911" w:type="dxa"/>
            <w:tcBorders>
              <w:top w:val="nil"/>
              <w:left w:val="nil"/>
              <w:bottom w:val="single" w:sz="4" w:space="0" w:color="auto"/>
              <w:right w:val="single" w:sz="4" w:space="0" w:color="auto"/>
            </w:tcBorders>
            <w:shd w:val="clear" w:color="000000" w:fill="FFFFFF"/>
            <w:noWrap/>
            <w:vAlign w:val="bottom"/>
            <w:hideMark/>
          </w:tcPr>
          <w:p w14:paraId="3DC57D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8 544,9</w:t>
            </w:r>
          </w:p>
        </w:tc>
        <w:tc>
          <w:tcPr>
            <w:tcW w:w="1118" w:type="dxa"/>
            <w:tcBorders>
              <w:top w:val="nil"/>
              <w:left w:val="nil"/>
              <w:bottom w:val="single" w:sz="4" w:space="0" w:color="auto"/>
              <w:right w:val="single" w:sz="4" w:space="0" w:color="auto"/>
            </w:tcBorders>
            <w:shd w:val="clear" w:color="000000" w:fill="FFFFFF"/>
            <w:noWrap/>
            <w:vAlign w:val="bottom"/>
            <w:hideMark/>
          </w:tcPr>
          <w:p w14:paraId="5C7611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904,4</w:t>
            </w:r>
          </w:p>
        </w:tc>
        <w:tc>
          <w:tcPr>
            <w:tcW w:w="1257" w:type="dxa"/>
            <w:tcBorders>
              <w:top w:val="nil"/>
              <w:left w:val="nil"/>
              <w:bottom w:val="single" w:sz="4" w:space="0" w:color="auto"/>
              <w:right w:val="single" w:sz="4" w:space="0" w:color="auto"/>
            </w:tcBorders>
            <w:shd w:val="clear" w:color="000000" w:fill="FFFFFF"/>
            <w:noWrap/>
            <w:vAlign w:val="bottom"/>
            <w:hideMark/>
          </w:tcPr>
          <w:p w14:paraId="3881CB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161,6</w:t>
            </w:r>
          </w:p>
        </w:tc>
        <w:tc>
          <w:tcPr>
            <w:tcW w:w="1384" w:type="dxa"/>
            <w:tcBorders>
              <w:top w:val="nil"/>
              <w:left w:val="nil"/>
              <w:bottom w:val="single" w:sz="4" w:space="0" w:color="auto"/>
              <w:right w:val="single" w:sz="4" w:space="0" w:color="auto"/>
            </w:tcBorders>
            <w:shd w:val="clear" w:color="000000" w:fill="FFFFFF"/>
            <w:noWrap/>
            <w:vAlign w:val="bottom"/>
            <w:hideMark/>
          </w:tcPr>
          <w:p w14:paraId="6669C1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742,8</w:t>
            </w:r>
          </w:p>
        </w:tc>
        <w:tc>
          <w:tcPr>
            <w:tcW w:w="1134" w:type="dxa"/>
            <w:tcBorders>
              <w:top w:val="nil"/>
              <w:left w:val="nil"/>
              <w:bottom w:val="single" w:sz="4" w:space="0" w:color="auto"/>
              <w:right w:val="single" w:sz="4" w:space="0" w:color="auto"/>
            </w:tcBorders>
            <w:shd w:val="clear" w:color="000000" w:fill="FFFFFF"/>
            <w:noWrap/>
            <w:vAlign w:val="bottom"/>
            <w:hideMark/>
          </w:tcPr>
          <w:p w14:paraId="023AB6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153,4</w:t>
            </w:r>
          </w:p>
        </w:tc>
        <w:tc>
          <w:tcPr>
            <w:tcW w:w="1277" w:type="dxa"/>
            <w:tcBorders>
              <w:top w:val="nil"/>
              <w:left w:val="nil"/>
              <w:bottom w:val="single" w:sz="4" w:space="0" w:color="auto"/>
              <w:right w:val="single" w:sz="4" w:space="0" w:color="auto"/>
            </w:tcBorders>
            <w:shd w:val="clear" w:color="000000" w:fill="FFFFFF"/>
            <w:noWrap/>
            <w:vAlign w:val="bottom"/>
            <w:hideMark/>
          </w:tcPr>
          <w:p w14:paraId="2167A9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5 809,0</w:t>
            </w:r>
          </w:p>
        </w:tc>
        <w:tc>
          <w:tcPr>
            <w:tcW w:w="1040" w:type="dxa"/>
            <w:tcBorders>
              <w:top w:val="nil"/>
              <w:left w:val="nil"/>
              <w:bottom w:val="single" w:sz="4" w:space="0" w:color="auto"/>
              <w:right w:val="single" w:sz="4" w:space="0" w:color="auto"/>
            </w:tcBorders>
            <w:shd w:val="clear" w:color="000000" w:fill="FFFFFF"/>
            <w:noWrap/>
            <w:vAlign w:val="bottom"/>
            <w:hideMark/>
          </w:tcPr>
          <w:p w14:paraId="20E91D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521,7</w:t>
            </w:r>
          </w:p>
        </w:tc>
        <w:tc>
          <w:tcPr>
            <w:tcW w:w="1087" w:type="dxa"/>
            <w:tcBorders>
              <w:top w:val="nil"/>
              <w:left w:val="nil"/>
              <w:bottom w:val="single" w:sz="4" w:space="0" w:color="auto"/>
              <w:right w:val="single" w:sz="4" w:space="0" w:color="auto"/>
            </w:tcBorders>
            <w:shd w:val="clear" w:color="000000" w:fill="FFFFFF"/>
            <w:noWrap/>
            <w:vAlign w:val="bottom"/>
            <w:hideMark/>
          </w:tcPr>
          <w:p w14:paraId="2A2EB7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801,0</w:t>
            </w:r>
          </w:p>
        </w:tc>
        <w:tc>
          <w:tcPr>
            <w:tcW w:w="1040" w:type="dxa"/>
            <w:tcBorders>
              <w:top w:val="nil"/>
              <w:left w:val="nil"/>
              <w:bottom w:val="single" w:sz="4" w:space="0" w:color="auto"/>
              <w:right w:val="single" w:sz="4" w:space="0" w:color="auto"/>
            </w:tcBorders>
            <w:shd w:val="clear" w:color="000000" w:fill="FFFFFF"/>
            <w:noWrap/>
            <w:vAlign w:val="bottom"/>
            <w:hideMark/>
          </w:tcPr>
          <w:p w14:paraId="5D524E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355,4</w:t>
            </w:r>
          </w:p>
        </w:tc>
        <w:tc>
          <w:tcPr>
            <w:tcW w:w="1226" w:type="dxa"/>
            <w:tcBorders>
              <w:top w:val="nil"/>
              <w:left w:val="nil"/>
              <w:bottom w:val="single" w:sz="4" w:space="0" w:color="auto"/>
              <w:right w:val="single" w:sz="4" w:space="0" w:color="auto"/>
            </w:tcBorders>
            <w:shd w:val="clear" w:color="000000" w:fill="FFFFFF"/>
            <w:noWrap/>
            <w:vAlign w:val="bottom"/>
            <w:hideMark/>
          </w:tcPr>
          <w:p w14:paraId="398DB05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F5ECB9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402C0C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Златица</w:t>
            </w:r>
          </w:p>
        </w:tc>
        <w:tc>
          <w:tcPr>
            <w:tcW w:w="1911" w:type="dxa"/>
            <w:tcBorders>
              <w:top w:val="nil"/>
              <w:left w:val="nil"/>
              <w:bottom w:val="single" w:sz="4" w:space="0" w:color="auto"/>
              <w:right w:val="single" w:sz="4" w:space="0" w:color="auto"/>
            </w:tcBorders>
            <w:shd w:val="clear" w:color="000000" w:fill="FFFFFF"/>
            <w:noWrap/>
            <w:vAlign w:val="bottom"/>
            <w:hideMark/>
          </w:tcPr>
          <w:p w14:paraId="48A9EB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3 977,7</w:t>
            </w:r>
          </w:p>
        </w:tc>
        <w:tc>
          <w:tcPr>
            <w:tcW w:w="1118" w:type="dxa"/>
            <w:tcBorders>
              <w:top w:val="nil"/>
              <w:left w:val="nil"/>
              <w:bottom w:val="single" w:sz="4" w:space="0" w:color="auto"/>
              <w:right w:val="single" w:sz="4" w:space="0" w:color="auto"/>
            </w:tcBorders>
            <w:shd w:val="clear" w:color="000000" w:fill="FFFFFF"/>
            <w:noWrap/>
            <w:vAlign w:val="bottom"/>
            <w:hideMark/>
          </w:tcPr>
          <w:p w14:paraId="39B3047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641,4</w:t>
            </w:r>
          </w:p>
        </w:tc>
        <w:tc>
          <w:tcPr>
            <w:tcW w:w="1257" w:type="dxa"/>
            <w:tcBorders>
              <w:top w:val="nil"/>
              <w:left w:val="nil"/>
              <w:bottom w:val="single" w:sz="4" w:space="0" w:color="auto"/>
              <w:right w:val="single" w:sz="4" w:space="0" w:color="auto"/>
            </w:tcBorders>
            <w:shd w:val="clear" w:color="000000" w:fill="FFFFFF"/>
            <w:noWrap/>
            <w:vAlign w:val="bottom"/>
            <w:hideMark/>
          </w:tcPr>
          <w:p w14:paraId="23BF19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86,0</w:t>
            </w:r>
          </w:p>
        </w:tc>
        <w:tc>
          <w:tcPr>
            <w:tcW w:w="1384" w:type="dxa"/>
            <w:tcBorders>
              <w:top w:val="nil"/>
              <w:left w:val="nil"/>
              <w:bottom w:val="single" w:sz="4" w:space="0" w:color="auto"/>
              <w:right w:val="single" w:sz="4" w:space="0" w:color="auto"/>
            </w:tcBorders>
            <w:shd w:val="clear" w:color="000000" w:fill="FFFFFF"/>
            <w:noWrap/>
            <w:vAlign w:val="bottom"/>
            <w:hideMark/>
          </w:tcPr>
          <w:p w14:paraId="75470B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555,4</w:t>
            </w:r>
          </w:p>
        </w:tc>
        <w:tc>
          <w:tcPr>
            <w:tcW w:w="1134" w:type="dxa"/>
            <w:tcBorders>
              <w:top w:val="nil"/>
              <w:left w:val="nil"/>
              <w:bottom w:val="single" w:sz="4" w:space="0" w:color="auto"/>
              <w:right w:val="single" w:sz="4" w:space="0" w:color="auto"/>
            </w:tcBorders>
            <w:shd w:val="clear" w:color="000000" w:fill="FFFFFF"/>
            <w:noWrap/>
            <w:vAlign w:val="bottom"/>
            <w:hideMark/>
          </w:tcPr>
          <w:p w14:paraId="419141C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110,5</w:t>
            </w:r>
          </w:p>
        </w:tc>
        <w:tc>
          <w:tcPr>
            <w:tcW w:w="1277" w:type="dxa"/>
            <w:tcBorders>
              <w:top w:val="nil"/>
              <w:left w:val="nil"/>
              <w:bottom w:val="single" w:sz="4" w:space="0" w:color="auto"/>
              <w:right w:val="single" w:sz="4" w:space="0" w:color="auto"/>
            </w:tcBorders>
            <w:shd w:val="clear" w:color="000000" w:fill="FFFFFF"/>
            <w:noWrap/>
            <w:vAlign w:val="bottom"/>
            <w:hideMark/>
          </w:tcPr>
          <w:p w14:paraId="7C9581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2 645,8</w:t>
            </w:r>
          </w:p>
        </w:tc>
        <w:tc>
          <w:tcPr>
            <w:tcW w:w="1040" w:type="dxa"/>
            <w:tcBorders>
              <w:top w:val="nil"/>
              <w:left w:val="nil"/>
              <w:bottom w:val="single" w:sz="4" w:space="0" w:color="auto"/>
              <w:right w:val="single" w:sz="4" w:space="0" w:color="auto"/>
            </w:tcBorders>
            <w:shd w:val="clear" w:color="000000" w:fill="FFFFFF"/>
            <w:noWrap/>
            <w:vAlign w:val="bottom"/>
            <w:hideMark/>
          </w:tcPr>
          <w:p w14:paraId="0E950D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95,7</w:t>
            </w:r>
          </w:p>
        </w:tc>
        <w:tc>
          <w:tcPr>
            <w:tcW w:w="1087" w:type="dxa"/>
            <w:tcBorders>
              <w:top w:val="nil"/>
              <w:left w:val="nil"/>
              <w:bottom w:val="single" w:sz="4" w:space="0" w:color="auto"/>
              <w:right w:val="single" w:sz="4" w:space="0" w:color="auto"/>
            </w:tcBorders>
            <w:shd w:val="clear" w:color="000000" w:fill="FFFFFF"/>
            <w:noWrap/>
            <w:vAlign w:val="bottom"/>
            <w:hideMark/>
          </w:tcPr>
          <w:p w14:paraId="073E20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360,7</w:t>
            </w:r>
          </w:p>
        </w:tc>
        <w:tc>
          <w:tcPr>
            <w:tcW w:w="1040" w:type="dxa"/>
            <w:tcBorders>
              <w:top w:val="nil"/>
              <w:left w:val="nil"/>
              <w:bottom w:val="single" w:sz="4" w:space="0" w:color="auto"/>
              <w:right w:val="single" w:sz="4" w:space="0" w:color="auto"/>
            </w:tcBorders>
            <w:shd w:val="clear" w:color="000000" w:fill="FFFFFF"/>
            <w:noWrap/>
            <w:vAlign w:val="bottom"/>
            <w:hideMark/>
          </w:tcPr>
          <w:p w14:paraId="757191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123,6</w:t>
            </w:r>
          </w:p>
        </w:tc>
        <w:tc>
          <w:tcPr>
            <w:tcW w:w="1226" w:type="dxa"/>
            <w:tcBorders>
              <w:top w:val="nil"/>
              <w:left w:val="nil"/>
              <w:bottom w:val="single" w:sz="4" w:space="0" w:color="auto"/>
              <w:right w:val="single" w:sz="4" w:space="0" w:color="auto"/>
            </w:tcBorders>
            <w:shd w:val="clear" w:color="000000" w:fill="FFFFFF"/>
            <w:noWrap/>
            <w:vAlign w:val="bottom"/>
            <w:hideMark/>
          </w:tcPr>
          <w:p w14:paraId="20E72A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B1690C1"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2B5CF5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Ихтиман</w:t>
            </w:r>
          </w:p>
        </w:tc>
        <w:tc>
          <w:tcPr>
            <w:tcW w:w="1911" w:type="dxa"/>
            <w:tcBorders>
              <w:top w:val="nil"/>
              <w:left w:val="nil"/>
              <w:bottom w:val="single" w:sz="4" w:space="0" w:color="auto"/>
              <w:right w:val="single" w:sz="4" w:space="0" w:color="auto"/>
            </w:tcBorders>
            <w:shd w:val="clear" w:color="000000" w:fill="FFFFFF"/>
            <w:noWrap/>
            <w:vAlign w:val="bottom"/>
            <w:hideMark/>
          </w:tcPr>
          <w:p w14:paraId="23DF91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10 993,1</w:t>
            </w:r>
          </w:p>
        </w:tc>
        <w:tc>
          <w:tcPr>
            <w:tcW w:w="1118" w:type="dxa"/>
            <w:tcBorders>
              <w:top w:val="nil"/>
              <w:left w:val="nil"/>
              <w:bottom w:val="single" w:sz="4" w:space="0" w:color="auto"/>
              <w:right w:val="single" w:sz="4" w:space="0" w:color="auto"/>
            </w:tcBorders>
            <w:shd w:val="clear" w:color="000000" w:fill="FFFFFF"/>
            <w:noWrap/>
            <w:vAlign w:val="bottom"/>
            <w:hideMark/>
          </w:tcPr>
          <w:p w14:paraId="52CD4B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1 183,1</w:t>
            </w:r>
          </w:p>
        </w:tc>
        <w:tc>
          <w:tcPr>
            <w:tcW w:w="1257" w:type="dxa"/>
            <w:tcBorders>
              <w:top w:val="nil"/>
              <w:left w:val="nil"/>
              <w:bottom w:val="single" w:sz="4" w:space="0" w:color="auto"/>
              <w:right w:val="single" w:sz="4" w:space="0" w:color="auto"/>
            </w:tcBorders>
            <w:shd w:val="clear" w:color="000000" w:fill="FFFFFF"/>
            <w:noWrap/>
            <w:vAlign w:val="bottom"/>
            <w:hideMark/>
          </w:tcPr>
          <w:p w14:paraId="28CE11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261,0</w:t>
            </w:r>
          </w:p>
        </w:tc>
        <w:tc>
          <w:tcPr>
            <w:tcW w:w="1384" w:type="dxa"/>
            <w:tcBorders>
              <w:top w:val="nil"/>
              <w:left w:val="nil"/>
              <w:bottom w:val="single" w:sz="4" w:space="0" w:color="auto"/>
              <w:right w:val="single" w:sz="4" w:space="0" w:color="auto"/>
            </w:tcBorders>
            <w:shd w:val="clear" w:color="000000" w:fill="FFFFFF"/>
            <w:noWrap/>
            <w:vAlign w:val="bottom"/>
            <w:hideMark/>
          </w:tcPr>
          <w:p w14:paraId="046F12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922,1</w:t>
            </w:r>
          </w:p>
        </w:tc>
        <w:tc>
          <w:tcPr>
            <w:tcW w:w="1134" w:type="dxa"/>
            <w:tcBorders>
              <w:top w:val="nil"/>
              <w:left w:val="nil"/>
              <w:bottom w:val="single" w:sz="4" w:space="0" w:color="auto"/>
              <w:right w:val="single" w:sz="4" w:space="0" w:color="auto"/>
            </w:tcBorders>
            <w:shd w:val="clear" w:color="000000" w:fill="FFFFFF"/>
            <w:noWrap/>
            <w:vAlign w:val="bottom"/>
            <w:hideMark/>
          </w:tcPr>
          <w:p w14:paraId="343502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147,1</w:t>
            </w:r>
          </w:p>
        </w:tc>
        <w:tc>
          <w:tcPr>
            <w:tcW w:w="1277" w:type="dxa"/>
            <w:tcBorders>
              <w:top w:val="nil"/>
              <w:left w:val="nil"/>
              <w:bottom w:val="single" w:sz="4" w:space="0" w:color="auto"/>
              <w:right w:val="single" w:sz="4" w:space="0" w:color="auto"/>
            </w:tcBorders>
            <w:shd w:val="clear" w:color="000000" w:fill="FFFFFF"/>
            <w:noWrap/>
            <w:vAlign w:val="bottom"/>
            <w:hideMark/>
          </w:tcPr>
          <w:p w14:paraId="70BF3F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8 347,3</w:t>
            </w:r>
          </w:p>
        </w:tc>
        <w:tc>
          <w:tcPr>
            <w:tcW w:w="1040" w:type="dxa"/>
            <w:tcBorders>
              <w:top w:val="nil"/>
              <w:left w:val="nil"/>
              <w:bottom w:val="single" w:sz="4" w:space="0" w:color="auto"/>
              <w:right w:val="single" w:sz="4" w:space="0" w:color="auto"/>
            </w:tcBorders>
            <w:shd w:val="clear" w:color="000000" w:fill="FFFFFF"/>
            <w:noWrap/>
            <w:vAlign w:val="bottom"/>
            <w:hideMark/>
          </w:tcPr>
          <w:p w14:paraId="73E3C6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249,5</w:t>
            </w:r>
          </w:p>
        </w:tc>
        <w:tc>
          <w:tcPr>
            <w:tcW w:w="1087" w:type="dxa"/>
            <w:tcBorders>
              <w:top w:val="nil"/>
              <w:left w:val="nil"/>
              <w:bottom w:val="single" w:sz="4" w:space="0" w:color="auto"/>
              <w:right w:val="single" w:sz="4" w:space="0" w:color="auto"/>
            </w:tcBorders>
            <w:shd w:val="clear" w:color="000000" w:fill="FFFFFF"/>
            <w:noWrap/>
            <w:vAlign w:val="bottom"/>
            <w:hideMark/>
          </w:tcPr>
          <w:p w14:paraId="0440D7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852,5</w:t>
            </w:r>
          </w:p>
        </w:tc>
        <w:tc>
          <w:tcPr>
            <w:tcW w:w="1040" w:type="dxa"/>
            <w:tcBorders>
              <w:top w:val="nil"/>
              <w:left w:val="nil"/>
              <w:bottom w:val="single" w:sz="4" w:space="0" w:color="auto"/>
              <w:right w:val="single" w:sz="4" w:space="0" w:color="auto"/>
            </w:tcBorders>
            <w:shd w:val="clear" w:color="000000" w:fill="FFFFFF"/>
            <w:noWrap/>
            <w:vAlign w:val="bottom"/>
            <w:hideMark/>
          </w:tcPr>
          <w:p w14:paraId="46A021E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213,6</w:t>
            </w:r>
          </w:p>
        </w:tc>
        <w:tc>
          <w:tcPr>
            <w:tcW w:w="1226" w:type="dxa"/>
            <w:tcBorders>
              <w:top w:val="nil"/>
              <w:left w:val="nil"/>
              <w:bottom w:val="single" w:sz="4" w:space="0" w:color="auto"/>
              <w:right w:val="single" w:sz="4" w:space="0" w:color="auto"/>
            </w:tcBorders>
            <w:shd w:val="clear" w:color="000000" w:fill="FFFFFF"/>
            <w:noWrap/>
            <w:vAlign w:val="bottom"/>
            <w:hideMark/>
          </w:tcPr>
          <w:p w14:paraId="084285E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242C2C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BBC26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Kопривщица</w:t>
            </w:r>
          </w:p>
        </w:tc>
        <w:tc>
          <w:tcPr>
            <w:tcW w:w="1911" w:type="dxa"/>
            <w:tcBorders>
              <w:top w:val="nil"/>
              <w:left w:val="nil"/>
              <w:bottom w:val="single" w:sz="4" w:space="0" w:color="auto"/>
              <w:right w:val="single" w:sz="4" w:space="0" w:color="auto"/>
            </w:tcBorders>
            <w:shd w:val="clear" w:color="000000" w:fill="FFFFFF"/>
            <w:noWrap/>
            <w:vAlign w:val="bottom"/>
            <w:hideMark/>
          </w:tcPr>
          <w:p w14:paraId="6C2406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2 369,5</w:t>
            </w:r>
          </w:p>
        </w:tc>
        <w:tc>
          <w:tcPr>
            <w:tcW w:w="1118" w:type="dxa"/>
            <w:tcBorders>
              <w:top w:val="nil"/>
              <w:left w:val="nil"/>
              <w:bottom w:val="single" w:sz="4" w:space="0" w:color="auto"/>
              <w:right w:val="single" w:sz="4" w:space="0" w:color="auto"/>
            </w:tcBorders>
            <w:shd w:val="clear" w:color="000000" w:fill="FFFFFF"/>
            <w:noWrap/>
            <w:vAlign w:val="bottom"/>
            <w:hideMark/>
          </w:tcPr>
          <w:p w14:paraId="3D1EEA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486,2</w:t>
            </w:r>
          </w:p>
        </w:tc>
        <w:tc>
          <w:tcPr>
            <w:tcW w:w="1257" w:type="dxa"/>
            <w:tcBorders>
              <w:top w:val="nil"/>
              <w:left w:val="nil"/>
              <w:bottom w:val="single" w:sz="4" w:space="0" w:color="auto"/>
              <w:right w:val="single" w:sz="4" w:space="0" w:color="auto"/>
            </w:tcBorders>
            <w:shd w:val="clear" w:color="000000" w:fill="FFFFFF"/>
            <w:noWrap/>
            <w:vAlign w:val="bottom"/>
            <w:hideMark/>
          </w:tcPr>
          <w:p w14:paraId="6622FA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40,4</w:t>
            </w:r>
          </w:p>
        </w:tc>
        <w:tc>
          <w:tcPr>
            <w:tcW w:w="1384" w:type="dxa"/>
            <w:tcBorders>
              <w:top w:val="nil"/>
              <w:left w:val="nil"/>
              <w:bottom w:val="single" w:sz="4" w:space="0" w:color="auto"/>
              <w:right w:val="single" w:sz="4" w:space="0" w:color="auto"/>
            </w:tcBorders>
            <w:shd w:val="clear" w:color="000000" w:fill="FFFFFF"/>
            <w:noWrap/>
            <w:vAlign w:val="bottom"/>
            <w:hideMark/>
          </w:tcPr>
          <w:p w14:paraId="66F162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445,8</w:t>
            </w:r>
          </w:p>
        </w:tc>
        <w:tc>
          <w:tcPr>
            <w:tcW w:w="1134" w:type="dxa"/>
            <w:tcBorders>
              <w:top w:val="nil"/>
              <w:left w:val="nil"/>
              <w:bottom w:val="single" w:sz="4" w:space="0" w:color="auto"/>
              <w:right w:val="single" w:sz="4" w:space="0" w:color="auto"/>
            </w:tcBorders>
            <w:shd w:val="clear" w:color="000000" w:fill="FFFFFF"/>
            <w:noWrap/>
            <w:vAlign w:val="bottom"/>
            <w:hideMark/>
          </w:tcPr>
          <w:p w14:paraId="555642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141,5</w:t>
            </w:r>
          </w:p>
        </w:tc>
        <w:tc>
          <w:tcPr>
            <w:tcW w:w="1277" w:type="dxa"/>
            <w:tcBorders>
              <w:top w:val="nil"/>
              <w:left w:val="nil"/>
              <w:bottom w:val="single" w:sz="4" w:space="0" w:color="auto"/>
              <w:right w:val="single" w:sz="4" w:space="0" w:color="auto"/>
            </w:tcBorders>
            <w:shd w:val="clear" w:color="000000" w:fill="FFFFFF"/>
            <w:noWrap/>
            <w:vAlign w:val="bottom"/>
            <w:hideMark/>
          </w:tcPr>
          <w:p w14:paraId="6943F5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1 114,3</w:t>
            </w:r>
          </w:p>
        </w:tc>
        <w:tc>
          <w:tcPr>
            <w:tcW w:w="1040" w:type="dxa"/>
            <w:tcBorders>
              <w:top w:val="nil"/>
              <w:left w:val="nil"/>
              <w:bottom w:val="single" w:sz="4" w:space="0" w:color="auto"/>
              <w:right w:val="single" w:sz="4" w:space="0" w:color="auto"/>
            </w:tcBorders>
            <w:shd w:val="clear" w:color="000000" w:fill="FFFFFF"/>
            <w:noWrap/>
            <w:vAlign w:val="bottom"/>
            <w:hideMark/>
          </w:tcPr>
          <w:p w14:paraId="6F3717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19,3</w:t>
            </w:r>
          </w:p>
        </w:tc>
        <w:tc>
          <w:tcPr>
            <w:tcW w:w="1087" w:type="dxa"/>
            <w:tcBorders>
              <w:top w:val="nil"/>
              <w:left w:val="nil"/>
              <w:bottom w:val="single" w:sz="4" w:space="0" w:color="auto"/>
              <w:right w:val="single" w:sz="4" w:space="0" w:color="auto"/>
            </w:tcBorders>
            <w:shd w:val="clear" w:color="000000" w:fill="FFFFFF"/>
            <w:noWrap/>
            <w:vAlign w:val="bottom"/>
            <w:hideMark/>
          </w:tcPr>
          <w:p w14:paraId="2F867F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32,6</w:t>
            </w:r>
          </w:p>
        </w:tc>
        <w:tc>
          <w:tcPr>
            <w:tcW w:w="1040" w:type="dxa"/>
            <w:tcBorders>
              <w:top w:val="nil"/>
              <w:left w:val="nil"/>
              <w:bottom w:val="single" w:sz="4" w:space="0" w:color="auto"/>
              <w:right w:val="single" w:sz="4" w:space="0" w:color="auto"/>
            </w:tcBorders>
            <w:shd w:val="clear" w:color="000000" w:fill="FFFFFF"/>
            <w:noWrap/>
            <w:vAlign w:val="bottom"/>
            <w:hideMark/>
          </w:tcPr>
          <w:p w14:paraId="55D456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575,6</w:t>
            </w:r>
          </w:p>
        </w:tc>
        <w:tc>
          <w:tcPr>
            <w:tcW w:w="1226" w:type="dxa"/>
            <w:tcBorders>
              <w:top w:val="nil"/>
              <w:left w:val="nil"/>
              <w:bottom w:val="single" w:sz="4" w:space="0" w:color="auto"/>
              <w:right w:val="single" w:sz="4" w:space="0" w:color="auto"/>
            </w:tcBorders>
            <w:shd w:val="clear" w:color="000000" w:fill="FFFFFF"/>
            <w:noWrap/>
            <w:vAlign w:val="bottom"/>
            <w:hideMark/>
          </w:tcPr>
          <w:p w14:paraId="4E1622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7265BC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63658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Kостенец</w:t>
            </w:r>
          </w:p>
        </w:tc>
        <w:tc>
          <w:tcPr>
            <w:tcW w:w="1911" w:type="dxa"/>
            <w:tcBorders>
              <w:top w:val="nil"/>
              <w:left w:val="nil"/>
              <w:bottom w:val="single" w:sz="4" w:space="0" w:color="auto"/>
              <w:right w:val="single" w:sz="4" w:space="0" w:color="auto"/>
            </w:tcBorders>
            <w:shd w:val="clear" w:color="000000" w:fill="FFFFFF"/>
            <w:noWrap/>
            <w:vAlign w:val="bottom"/>
            <w:hideMark/>
          </w:tcPr>
          <w:p w14:paraId="3DF1FA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7 339,5</w:t>
            </w:r>
          </w:p>
        </w:tc>
        <w:tc>
          <w:tcPr>
            <w:tcW w:w="1118" w:type="dxa"/>
            <w:tcBorders>
              <w:top w:val="nil"/>
              <w:left w:val="nil"/>
              <w:bottom w:val="single" w:sz="4" w:space="0" w:color="auto"/>
              <w:right w:val="single" w:sz="4" w:space="0" w:color="auto"/>
            </w:tcBorders>
            <w:shd w:val="clear" w:color="000000" w:fill="FFFFFF"/>
            <w:noWrap/>
            <w:vAlign w:val="bottom"/>
            <w:hideMark/>
          </w:tcPr>
          <w:p w14:paraId="072DFD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862,9</w:t>
            </w:r>
          </w:p>
        </w:tc>
        <w:tc>
          <w:tcPr>
            <w:tcW w:w="1257" w:type="dxa"/>
            <w:tcBorders>
              <w:top w:val="nil"/>
              <w:left w:val="nil"/>
              <w:bottom w:val="single" w:sz="4" w:space="0" w:color="auto"/>
              <w:right w:val="single" w:sz="4" w:space="0" w:color="auto"/>
            </w:tcBorders>
            <w:shd w:val="clear" w:color="000000" w:fill="FFFFFF"/>
            <w:noWrap/>
            <w:vAlign w:val="bottom"/>
            <w:hideMark/>
          </w:tcPr>
          <w:p w14:paraId="0A622E1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124,6</w:t>
            </w:r>
          </w:p>
        </w:tc>
        <w:tc>
          <w:tcPr>
            <w:tcW w:w="1384" w:type="dxa"/>
            <w:tcBorders>
              <w:top w:val="nil"/>
              <w:left w:val="nil"/>
              <w:bottom w:val="single" w:sz="4" w:space="0" w:color="auto"/>
              <w:right w:val="single" w:sz="4" w:space="0" w:color="auto"/>
            </w:tcBorders>
            <w:shd w:val="clear" w:color="000000" w:fill="FFFFFF"/>
            <w:noWrap/>
            <w:vAlign w:val="bottom"/>
            <w:hideMark/>
          </w:tcPr>
          <w:p w14:paraId="738E79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738,3</w:t>
            </w:r>
          </w:p>
        </w:tc>
        <w:tc>
          <w:tcPr>
            <w:tcW w:w="1134" w:type="dxa"/>
            <w:tcBorders>
              <w:top w:val="nil"/>
              <w:left w:val="nil"/>
              <w:bottom w:val="single" w:sz="4" w:space="0" w:color="auto"/>
              <w:right w:val="single" w:sz="4" w:space="0" w:color="auto"/>
            </w:tcBorders>
            <w:shd w:val="clear" w:color="000000" w:fill="FFFFFF"/>
            <w:noWrap/>
            <w:vAlign w:val="bottom"/>
            <w:hideMark/>
          </w:tcPr>
          <w:p w14:paraId="3BD0561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120,8</w:t>
            </w:r>
          </w:p>
        </w:tc>
        <w:tc>
          <w:tcPr>
            <w:tcW w:w="1277" w:type="dxa"/>
            <w:tcBorders>
              <w:top w:val="nil"/>
              <w:left w:val="nil"/>
              <w:bottom w:val="single" w:sz="4" w:space="0" w:color="auto"/>
              <w:right w:val="single" w:sz="4" w:space="0" w:color="auto"/>
            </w:tcBorders>
            <w:shd w:val="clear" w:color="000000" w:fill="FFFFFF"/>
            <w:noWrap/>
            <w:vAlign w:val="bottom"/>
            <w:hideMark/>
          </w:tcPr>
          <w:p w14:paraId="428479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5 608,0</w:t>
            </w:r>
          </w:p>
        </w:tc>
        <w:tc>
          <w:tcPr>
            <w:tcW w:w="1040" w:type="dxa"/>
            <w:tcBorders>
              <w:top w:val="nil"/>
              <w:left w:val="nil"/>
              <w:bottom w:val="single" w:sz="4" w:space="0" w:color="auto"/>
              <w:right w:val="single" w:sz="4" w:space="0" w:color="auto"/>
            </w:tcBorders>
            <w:shd w:val="clear" w:color="000000" w:fill="FFFFFF"/>
            <w:noWrap/>
            <w:vAlign w:val="bottom"/>
            <w:hideMark/>
          </w:tcPr>
          <w:p w14:paraId="6F47D3F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255,2</w:t>
            </w:r>
          </w:p>
        </w:tc>
        <w:tc>
          <w:tcPr>
            <w:tcW w:w="1087" w:type="dxa"/>
            <w:tcBorders>
              <w:top w:val="nil"/>
              <w:left w:val="nil"/>
              <w:bottom w:val="single" w:sz="4" w:space="0" w:color="auto"/>
              <w:right w:val="single" w:sz="4" w:space="0" w:color="auto"/>
            </w:tcBorders>
            <w:shd w:val="clear" w:color="000000" w:fill="FFFFFF"/>
            <w:noWrap/>
            <w:vAlign w:val="bottom"/>
            <w:hideMark/>
          </w:tcPr>
          <w:p w14:paraId="319C9A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200,4</w:t>
            </w:r>
          </w:p>
        </w:tc>
        <w:tc>
          <w:tcPr>
            <w:tcW w:w="1040" w:type="dxa"/>
            <w:tcBorders>
              <w:top w:val="nil"/>
              <w:left w:val="nil"/>
              <w:bottom w:val="single" w:sz="4" w:space="0" w:color="auto"/>
              <w:right w:val="single" w:sz="4" w:space="0" w:color="auto"/>
            </w:tcBorders>
            <w:shd w:val="clear" w:color="000000" w:fill="FFFFFF"/>
            <w:noWrap/>
            <w:vAlign w:val="bottom"/>
            <w:hideMark/>
          </w:tcPr>
          <w:p w14:paraId="5FD687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292,2</w:t>
            </w:r>
          </w:p>
        </w:tc>
        <w:tc>
          <w:tcPr>
            <w:tcW w:w="1226" w:type="dxa"/>
            <w:tcBorders>
              <w:top w:val="nil"/>
              <w:left w:val="nil"/>
              <w:bottom w:val="single" w:sz="4" w:space="0" w:color="auto"/>
              <w:right w:val="single" w:sz="4" w:space="0" w:color="auto"/>
            </w:tcBorders>
            <w:shd w:val="clear" w:color="000000" w:fill="FFFFFF"/>
            <w:noWrap/>
            <w:vAlign w:val="bottom"/>
            <w:hideMark/>
          </w:tcPr>
          <w:p w14:paraId="44193C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0D4AA0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59C659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Kостинброд</w:t>
            </w:r>
          </w:p>
        </w:tc>
        <w:tc>
          <w:tcPr>
            <w:tcW w:w="1911" w:type="dxa"/>
            <w:tcBorders>
              <w:top w:val="nil"/>
              <w:left w:val="nil"/>
              <w:bottom w:val="single" w:sz="4" w:space="0" w:color="auto"/>
              <w:right w:val="single" w:sz="4" w:space="0" w:color="auto"/>
            </w:tcBorders>
            <w:shd w:val="clear" w:color="000000" w:fill="FFFFFF"/>
            <w:noWrap/>
            <w:vAlign w:val="bottom"/>
            <w:hideMark/>
          </w:tcPr>
          <w:p w14:paraId="4BF252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10 428,4</w:t>
            </w:r>
          </w:p>
        </w:tc>
        <w:tc>
          <w:tcPr>
            <w:tcW w:w="1118" w:type="dxa"/>
            <w:tcBorders>
              <w:top w:val="nil"/>
              <w:left w:val="nil"/>
              <w:bottom w:val="single" w:sz="4" w:space="0" w:color="auto"/>
              <w:right w:val="single" w:sz="4" w:space="0" w:color="auto"/>
            </w:tcBorders>
            <w:shd w:val="clear" w:color="000000" w:fill="FFFFFF"/>
            <w:noWrap/>
            <w:vAlign w:val="bottom"/>
            <w:hideMark/>
          </w:tcPr>
          <w:p w14:paraId="2A5F99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1 062,1</w:t>
            </w:r>
          </w:p>
        </w:tc>
        <w:tc>
          <w:tcPr>
            <w:tcW w:w="1257" w:type="dxa"/>
            <w:tcBorders>
              <w:top w:val="nil"/>
              <w:left w:val="nil"/>
              <w:bottom w:val="single" w:sz="4" w:space="0" w:color="auto"/>
              <w:right w:val="single" w:sz="4" w:space="0" w:color="auto"/>
            </w:tcBorders>
            <w:shd w:val="clear" w:color="000000" w:fill="FFFFFF"/>
            <w:noWrap/>
            <w:vAlign w:val="bottom"/>
            <w:hideMark/>
          </w:tcPr>
          <w:p w14:paraId="309D308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195,4</w:t>
            </w:r>
          </w:p>
        </w:tc>
        <w:tc>
          <w:tcPr>
            <w:tcW w:w="1384" w:type="dxa"/>
            <w:tcBorders>
              <w:top w:val="nil"/>
              <w:left w:val="nil"/>
              <w:bottom w:val="single" w:sz="4" w:space="0" w:color="auto"/>
              <w:right w:val="single" w:sz="4" w:space="0" w:color="auto"/>
            </w:tcBorders>
            <w:shd w:val="clear" w:color="000000" w:fill="FFFFFF"/>
            <w:noWrap/>
            <w:vAlign w:val="bottom"/>
            <w:hideMark/>
          </w:tcPr>
          <w:p w14:paraId="195CAF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866,7</w:t>
            </w:r>
          </w:p>
        </w:tc>
        <w:tc>
          <w:tcPr>
            <w:tcW w:w="1134" w:type="dxa"/>
            <w:tcBorders>
              <w:top w:val="nil"/>
              <w:left w:val="nil"/>
              <w:bottom w:val="single" w:sz="4" w:space="0" w:color="auto"/>
              <w:right w:val="single" w:sz="4" w:space="0" w:color="auto"/>
            </w:tcBorders>
            <w:shd w:val="clear" w:color="000000" w:fill="FFFFFF"/>
            <w:noWrap/>
            <w:vAlign w:val="bottom"/>
            <w:hideMark/>
          </w:tcPr>
          <w:p w14:paraId="13D5BF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171,1</w:t>
            </w:r>
          </w:p>
        </w:tc>
        <w:tc>
          <w:tcPr>
            <w:tcW w:w="1277" w:type="dxa"/>
            <w:tcBorders>
              <w:top w:val="nil"/>
              <w:left w:val="nil"/>
              <w:bottom w:val="single" w:sz="4" w:space="0" w:color="auto"/>
              <w:right w:val="single" w:sz="4" w:space="0" w:color="auto"/>
            </w:tcBorders>
            <w:shd w:val="clear" w:color="000000" w:fill="FFFFFF"/>
            <w:noWrap/>
            <w:vAlign w:val="bottom"/>
            <w:hideMark/>
          </w:tcPr>
          <w:p w14:paraId="0A258D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7 683,0</w:t>
            </w:r>
          </w:p>
        </w:tc>
        <w:tc>
          <w:tcPr>
            <w:tcW w:w="1040" w:type="dxa"/>
            <w:tcBorders>
              <w:top w:val="nil"/>
              <w:left w:val="nil"/>
              <w:bottom w:val="single" w:sz="4" w:space="0" w:color="auto"/>
              <w:right w:val="single" w:sz="4" w:space="0" w:color="auto"/>
            </w:tcBorders>
            <w:shd w:val="clear" w:color="000000" w:fill="FFFFFF"/>
            <w:noWrap/>
            <w:vAlign w:val="bottom"/>
            <w:hideMark/>
          </w:tcPr>
          <w:p w14:paraId="5DC3BD4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416,6</w:t>
            </w:r>
          </w:p>
        </w:tc>
        <w:tc>
          <w:tcPr>
            <w:tcW w:w="1087" w:type="dxa"/>
            <w:tcBorders>
              <w:top w:val="nil"/>
              <w:left w:val="nil"/>
              <w:bottom w:val="single" w:sz="4" w:space="0" w:color="auto"/>
              <w:right w:val="single" w:sz="4" w:space="0" w:color="auto"/>
            </w:tcBorders>
            <w:shd w:val="clear" w:color="000000" w:fill="FFFFFF"/>
            <w:noWrap/>
            <w:vAlign w:val="bottom"/>
            <w:hideMark/>
          </w:tcPr>
          <w:p w14:paraId="39404A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904,5</w:t>
            </w:r>
          </w:p>
        </w:tc>
        <w:tc>
          <w:tcPr>
            <w:tcW w:w="1040" w:type="dxa"/>
            <w:tcBorders>
              <w:top w:val="nil"/>
              <w:left w:val="nil"/>
              <w:bottom w:val="single" w:sz="4" w:space="0" w:color="auto"/>
              <w:right w:val="single" w:sz="4" w:space="0" w:color="auto"/>
            </w:tcBorders>
            <w:shd w:val="clear" w:color="000000" w:fill="FFFFFF"/>
            <w:noWrap/>
            <w:vAlign w:val="bottom"/>
            <w:hideMark/>
          </w:tcPr>
          <w:p w14:paraId="728501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73A44A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C836B1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98C89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Мирково</w:t>
            </w:r>
          </w:p>
        </w:tc>
        <w:tc>
          <w:tcPr>
            <w:tcW w:w="1911" w:type="dxa"/>
            <w:tcBorders>
              <w:top w:val="nil"/>
              <w:left w:val="nil"/>
              <w:bottom w:val="single" w:sz="4" w:space="0" w:color="auto"/>
              <w:right w:val="single" w:sz="4" w:space="0" w:color="auto"/>
            </w:tcBorders>
            <w:shd w:val="clear" w:color="000000" w:fill="FFFFFF"/>
            <w:noWrap/>
            <w:vAlign w:val="bottom"/>
            <w:hideMark/>
          </w:tcPr>
          <w:p w14:paraId="1F8E044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1 509,4</w:t>
            </w:r>
          </w:p>
        </w:tc>
        <w:tc>
          <w:tcPr>
            <w:tcW w:w="1118" w:type="dxa"/>
            <w:tcBorders>
              <w:top w:val="nil"/>
              <w:left w:val="nil"/>
              <w:bottom w:val="single" w:sz="4" w:space="0" w:color="auto"/>
              <w:right w:val="single" w:sz="4" w:space="0" w:color="auto"/>
            </w:tcBorders>
            <w:shd w:val="clear" w:color="000000" w:fill="FFFFFF"/>
            <w:noWrap/>
            <w:vAlign w:val="bottom"/>
            <w:hideMark/>
          </w:tcPr>
          <w:p w14:paraId="26465E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539,7</w:t>
            </w:r>
          </w:p>
        </w:tc>
        <w:tc>
          <w:tcPr>
            <w:tcW w:w="1257" w:type="dxa"/>
            <w:tcBorders>
              <w:top w:val="nil"/>
              <w:left w:val="nil"/>
              <w:bottom w:val="single" w:sz="4" w:space="0" w:color="auto"/>
              <w:right w:val="single" w:sz="4" w:space="0" w:color="auto"/>
            </w:tcBorders>
            <w:shd w:val="clear" w:color="000000" w:fill="FFFFFF"/>
            <w:noWrap/>
            <w:vAlign w:val="bottom"/>
            <w:hideMark/>
          </w:tcPr>
          <w:p w14:paraId="74A323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97,6</w:t>
            </w:r>
          </w:p>
        </w:tc>
        <w:tc>
          <w:tcPr>
            <w:tcW w:w="1384" w:type="dxa"/>
            <w:tcBorders>
              <w:top w:val="nil"/>
              <w:left w:val="nil"/>
              <w:bottom w:val="single" w:sz="4" w:space="0" w:color="auto"/>
              <w:right w:val="single" w:sz="4" w:space="0" w:color="auto"/>
            </w:tcBorders>
            <w:shd w:val="clear" w:color="000000" w:fill="FFFFFF"/>
            <w:noWrap/>
            <w:vAlign w:val="bottom"/>
            <w:hideMark/>
          </w:tcPr>
          <w:p w14:paraId="31967DC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442,1</w:t>
            </w:r>
          </w:p>
        </w:tc>
        <w:tc>
          <w:tcPr>
            <w:tcW w:w="1134" w:type="dxa"/>
            <w:tcBorders>
              <w:top w:val="nil"/>
              <w:left w:val="nil"/>
              <w:bottom w:val="single" w:sz="4" w:space="0" w:color="auto"/>
              <w:right w:val="single" w:sz="4" w:space="0" w:color="auto"/>
            </w:tcBorders>
            <w:shd w:val="clear" w:color="000000" w:fill="FFFFFF"/>
            <w:noWrap/>
            <w:vAlign w:val="bottom"/>
            <w:hideMark/>
          </w:tcPr>
          <w:p w14:paraId="756535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120,4</w:t>
            </w:r>
          </w:p>
        </w:tc>
        <w:tc>
          <w:tcPr>
            <w:tcW w:w="1277" w:type="dxa"/>
            <w:tcBorders>
              <w:top w:val="nil"/>
              <w:left w:val="nil"/>
              <w:bottom w:val="single" w:sz="4" w:space="0" w:color="auto"/>
              <w:right w:val="single" w:sz="4" w:space="0" w:color="auto"/>
            </w:tcBorders>
            <w:shd w:val="clear" w:color="000000" w:fill="FFFFFF"/>
            <w:noWrap/>
            <w:vAlign w:val="bottom"/>
            <w:hideMark/>
          </w:tcPr>
          <w:p w14:paraId="46C659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713,7</w:t>
            </w:r>
          </w:p>
        </w:tc>
        <w:tc>
          <w:tcPr>
            <w:tcW w:w="1040" w:type="dxa"/>
            <w:tcBorders>
              <w:top w:val="nil"/>
              <w:left w:val="nil"/>
              <w:bottom w:val="single" w:sz="4" w:space="0" w:color="auto"/>
              <w:right w:val="single" w:sz="4" w:space="0" w:color="auto"/>
            </w:tcBorders>
            <w:shd w:val="clear" w:color="000000" w:fill="FFFFFF"/>
            <w:noWrap/>
            <w:vAlign w:val="bottom"/>
            <w:hideMark/>
          </w:tcPr>
          <w:p w14:paraId="4255BD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15,0</w:t>
            </w:r>
          </w:p>
        </w:tc>
        <w:tc>
          <w:tcPr>
            <w:tcW w:w="1087" w:type="dxa"/>
            <w:tcBorders>
              <w:top w:val="nil"/>
              <w:left w:val="nil"/>
              <w:bottom w:val="single" w:sz="4" w:space="0" w:color="auto"/>
              <w:right w:val="single" w:sz="4" w:space="0" w:color="auto"/>
            </w:tcBorders>
            <w:shd w:val="clear" w:color="000000" w:fill="FFFFFF"/>
            <w:noWrap/>
            <w:vAlign w:val="bottom"/>
            <w:hideMark/>
          </w:tcPr>
          <w:p w14:paraId="6E5861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41,9</w:t>
            </w:r>
          </w:p>
        </w:tc>
        <w:tc>
          <w:tcPr>
            <w:tcW w:w="1040" w:type="dxa"/>
            <w:tcBorders>
              <w:top w:val="nil"/>
              <w:left w:val="nil"/>
              <w:bottom w:val="single" w:sz="4" w:space="0" w:color="auto"/>
              <w:right w:val="single" w:sz="4" w:space="0" w:color="auto"/>
            </w:tcBorders>
            <w:shd w:val="clear" w:color="000000" w:fill="FFFFFF"/>
            <w:noWrap/>
            <w:vAlign w:val="bottom"/>
            <w:hideMark/>
          </w:tcPr>
          <w:p w14:paraId="4FB130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78,7</w:t>
            </w:r>
          </w:p>
        </w:tc>
        <w:tc>
          <w:tcPr>
            <w:tcW w:w="1226" w:type="dxa"/>
            <w:tcBorders>
              <w:top w:val="nil"/>
              <w:left w:val="nil"/>
              <w:bottom w:val="single" w:sz="4" w:space="0" w:color="auto"/>
              <w:right w:val="single" w:sz="4" w:space="0" w:color="auto"/>
            </w:tcBorders>
            <w:shd w:val="clear" w:color="000000" w:fill="FFFFFF"/>
            <w:noWrap/>
            <w:vAlign w:val="bottom"/>
            <w:hideMark/>
          </w:tcPr>
          <w:p w14:paraId="5B8EB3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6B1399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8B06B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Пирдоп</w:t>
            </w:r>
          </w:p>
        </w:tc>
        <w:tc>
          <w:tcPr>
            <w:tcW w:w="1911" w:type="dxa"/>
            <w:tcBorders>
              <w:top w:val="nil"/>
              <w:left w:val="nil"/>
              <w:bottom w:val="single" w:sz="4" w:space="0" w:color="auto"/>
              <w:right w:val="single" w:sz="4" w:space="0" w:color="auto"/>
            </w:tcBorders>
            <w:shd w:val="clear" w:color="000000" w:fill="FFFFFF"/>
            <w:noWrap/>
            <w:vAlign w:val="bottom"/>
            <w:hideMark/>
          </w:tcPr>
          <w:p w14:paraId="130700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4 760,2</w:t>
            </w:r>
          </w:p>
        </w:tc>
        <w:tc>
          <w:tcPr>
            <w:tcW w:w="1118" w:type="dxa"/>
            <w:tcBorders>
              <w:top w:val="nil"/>
              <w:left w:val="nil"/>
              <w:bottom w:val="single" w:sz="4" w:space="0" w:color="auto"/>
              <w:right w:val="single" w:sz="4" w:space="0" w:color="auto"/>
            </w:tcBorders>
            <w:shd w:val="clear" w:color="000000" w:fill="FFFFFF"/>
            <w:noWrap/>
            <w:vAlign w:val="bottom"/>
            <w:hideMark/>
          </w:tcPr>
          <w:p w14:paraId="0EB0CBF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675,7</w:t>
            </w:r>
          </w:p>
        </w:tc>
        <w:tc>
          <w:tcPr>
            <w:tcW w:w="1257" w:type="dxa"/>
            <w:tcBorders>
              <w:top w:val="nil"/>
              <w:left w:val="nil"/>
              <w:bottom w:val="single" w:sz="4" w:space="0" w:color="auto"/>
              <w:right w:val="single" w:sz="4" w:space="0" w:color="auto"/>
            </w:tcBorders>
            <w:shd w:val="clear" w:color="000000" w:fill="FFFFFF"/>
            <w:noWrap/>
            <w:vAlign w:val="bottom"/>
            <w:hideMark/>
          </w:tcPr>
          <w:p w14:paraId="2F8E10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57,2</w:t>
            </w:r>
          </w:p>
        </w:tc>
        <w:tc>
          <w:tcPr>
            <w:tcW w:w="1384" w:type="dxa"/>
            <w:tcBorders>
              <w:top w:val="nil"/>
              <w:left w:val="nil"/>
              <w:bottom w:val="single" w:sz="4" w:space="0" w:color="auto"/>
              <w:right w:val="single" w:sz="4" w:space="0" w:color="auto"/>
            </w:tcBorders>
            <w:shd w:val="clear" w:color="000000" w:fill="FFFFFF"/>
            <w:noWrap/>
            <w:vAlign w:val="bottom"/>
            <w:hideMark/>
          </w:tcPr>
          <w:p w14:paraId="781576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618,5</w:t>
            </w:r>
          </w:p>
        </w:tc>
        <w:tc>
          <w:tcPr>
            <w:tcW w:w="1134" w:type="dxa"/>
            <w:tcBorders>
              <w:top w:val="nil"/>
              <w:left w:val="nil"/>
              <w:bottom w:val="single" w:sz="4" w:space="0" w:color="auto"/>
              <w:right w:val="single" w:sz="4" w:space="0" w:color="auto"/>
            </w:tcBorders>
            <w:shd w:val="clear" w:color="000000" w:fill="FFFFFF"/>
            <w:noWrap/>
            <w:vAlign w:val="bottom"/>
            <w:hideMark/>
          </w:tcPr>
          <w:p w14:paraId="6A7F56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105,2</w:t>
            </w:r>
          </w:p>
        </w:tc>
        <w:tc>
          <w:tcPr>
            <w:tcW w:w="1277" w:type="dxa"/>
            <w:tcBorders>
              <w:top w:val="nil"/>
              <w:left w:val="nil"/>
              <w:bottom w:val="single" w:sz="4" w:space="0" w:color="auto"/>
              <w:right w:val="single" w:sz="4" w:space="0" w:color="auto"/>
            </w:tcBorders>
            <w:shd w:val="clear" w:color="000000" w:fill="FFFFFF"/>
            <w:noWrap/>
            <w:vAlign w:val="bottom"/>
            <w:hideMark/>
          </w:tcPr>
          <w:p w14:paraId="322963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3 035,1</w:t>
            </w:r>
          </w:p>
        </w:tc>
        <w:tc>
          <w:tcPr>
            <w:tcW w:w="1040" w:type="dxa"/>
            <w:tcBorders>
              <w:top w:val="nil"/>
              <w:left w:val="nil"/>
              <w:bottom w:val="single" w:sz="4" w:space="0" w:color="auto"/>
              <w:right w:val="single" w:sz="4" w:space="0" w:color="auto"/>
            </w:tcBorders>
            <w:shd w:val="clear" w:color="000000" w:fill="FFFFFF"/>
            <w:noWrap/>
            <w:vAlign w:val="bottom"/>
            <w:hideMark/>
          </w:tcPr>
          <w:p w14:paraId="78E968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173,5</w:t>
            </w:r>
          </w:p>
        </w:tc>
        <w:tc>
          <w:tcPr>
            <w:tcW w:w="1087" w:type="dxa"/>
            <w:tcBorders>
              <w:top w:val="nil"/>
              <w:left w:val="nil"/>
              <w:bottom w:val="single" w:sz="4" w:space="0" w:color="auto"/>
              <w:right w:val="single" w:sz="4" w:space="0" w:color="auto"/>
            </w:tcBorders>
            <w:shd w:val="clear" w:color="000000" w:fill="FFFFFF"/>
            <w:noWrap/>
            <w:vAlign w:val="bottom"/>
            <w:hideMark/>
          </w:tcPr>
          <w:p w14:paraId="2D63BE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680,8</w:t>
            </w:r>
          </w:p>
        </w:tc>
        <w:tc>
          <w:tcPr>
            <w:tcW w:w="1040" w:type="dxa"/>
            <w:tcBorders>
              <w:top w:val="nil"/>
              <w:left w:val="nil"/>
              <w:bottom w:val="single" w:sz="4" w:space="0" w:color="auto"/>
              <w:right w:val="single" w:sz="4" w:space="0" w:color="auto"/>
            </w:tcBorders>
            <w:shd w:val="clear" w:color="000000" w:fill="FFFFFF"/>
            <w:noWrap/>
            <w:vAlign w:val="bottom"/>
            <w:hideMark/>
          </w:tcPr>
          <w:p w14:paraId="668C41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89,9</w:t>
            </w:r>
          </w:p>
        </w:tc>
        <w:tc>
          <w:tcPr>
            <w:tcW w:w="1226" w:type="dxa"/>
            <w:tcBorders>
              <w:top w:val="nil"/>
              <w:left w:val="nil"/>
              <w:bottom w:val="single" w:sz="4" w:space="0" w:color="auto"/>
              <w:right w:val="single" w:sz="4" w:space="0" w:color="auto"/>
            </w:tcBorders>
            <w:shd w:val="clear" w:color="000000" w:fill="FFFFFF"/>
            <w:noWrap/>
            <w:vAlign w:val="bottom"/>
            <w:hideMark/>
          </w:tcPr>
          <w:p w14:paraId="2DBE40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181D33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7FB52F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Правец</w:t>
            </w:r>
          </w:p>
        </w:tc>
        <w:tc>
          <w:tcPr>
            <w:tcW w:w="1911" w:type="dxa"/>
            <w:tcBorders>
              <w:top w:val="nil"/>
              <w:left w:val="nil"/>
              <w:bottom w:val="single" w:sz="4" w:space="0" w:color="auto"/>
              <w:right w:val="single" w:sz="4" w:space="0" w:color="auto"/>
            </w:tcBorders>
            <w:shd w:val="clear" w:color="000000" w:fill="FFFFFF"/>
            <w:noWrap/>
            <w:vAlign w:val="bottom"/>
            <w:hideMark/>
          </w:tcPr>
          <w:p w14:paraId="4FAB74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8 447,6</w:t>
            </w:r>
          </w:p>
        </w:tc>
        <w:tc>
          <w:tcPr>
            <w:tcW w:w="1118" w:type="dxa"/>
            <w:tcBorders>
              <w:top w:val="nil"/>
              <w:left w:val="nil"/>
              <w:bottom w:val="single" w:sz="4" w:space="0" w:color="auto"/>
              <w:right w:val="single" w:sz="4" w:space="0" w:color="auto"/>
            </w:tcBorders>
            <w:shd w:val="clear" w:color="000000" w:fill="FFFFFF"/>
            <w:noWrap/>
            <w:vAlign w:val="bottom"/>
            <w:hideMark/>
          </w:tcPr>
          <w:p w14:paraId="7FA3FBD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813,9</w:t>
            </w:r>
          </w:p>
        </w:tc>
        <w:tc>
          <w:tcPr>
            <w:tcW w:w="1257" w:type="dxa"/>
            <w:tcBorders>
              <w:top w:val="nil"/>
              <w:left w:val="nil"/>
              <w:bottom w:val="single" w:sz="4" w:space="0" w:color="auto"/>
              <w:right w:val="single" w:sz="4" w:space="0" w:color="auto"/>
            </w:tcBorders>
            <w:shd w:val="clear" w:color="000000" w:fill="FFFFFF"/>
            <w:noWrap/>
            <w:vAlign w:val="bottom"/>
            <w:hideMark/>
          </w:tcPr>
          <w:p w14:paraId="51029D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192,0</w:t>
            </w:r>
          </w:p>
        </w:tc>
        <w:tc>
          <w:tcPr>
            <w:tcW w:w="1384" w:type="dxa"/>
            <w:tcBorders>
              <w:top w:val="nil"/>
              <w:left w:val="nil"/>
              <w:bottom w:val="single" w:sz="4" w:space="0" w:color="auto"/>
              <w:right w:val="single" w:sz="4" w:space="0" w:color="auto"/>
            </w:tcBorders>
            <w:shd w:val="clear" w:color="000000" w:fill="FFFFFF"/>
            <w:noWrap/>
            <w:vAlign w:val="bottom"/>
            <w:hideMark/>
          </w:tcPr>
          <w:p w14:paraId="6C5BBC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621,9</w:t>
            </w:r>
          </w:p>
        </w:tc>
        <w:tc>
          <w:tcPr>
            <w:tcW w:w="1134" w:type="dxa"/>
            <w:tcBorders>
              <w:top w:val="nil"/>
              <w:left w:val="nil"/>
              <w:bottom w:val="single" w:sz="4" w:space="0" w:color="auto"/>
              <w:right w:val="single" w:sz="4" w:space="0" w:color="auto"/>
            </w:tcBorders>
            <w:shd w:val="clear" w:color="000000" w:fill="FFFFFF"/>
            <w:noWrap/>
            <w:vAlign w:val="bottom"/>
            <w:hideMark/>
          </w:tcPr>
          <w:p w14:paraId="16537C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138,6</w:t>
            </w:r>
          </w:p>
        </w:tc>
        <w:tc>
          <w:tcPr>
            <w:tcW w:w="1277" w:type="dxa"/>
            <w:tcBorders>
              <w:top w:val="nil"/>
              <w:left w:val="nil"/>
              <w:bottom w:val="single" w:sz="4" w:space="0" w:color="auto"/>
              <w:right w:val="single" w:sz="4" w:space="0" w:color="auto"/>
            </w:tcBorders>
            <w:shd w:val="clear" w:color="000000" w:fill="FFFFFF"/>
            <w:noWrap/>
            <w:vAlign w:val="bottom"/>
            <w:hideMark/>
          </w:tcPr>
          <w:p w14:paraId="1BD5C9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5 538,1</w:t>
            </w:r>
          </w:p>
        </w:tc>
        <w:tc>
          <w:tcPr>
            <w:tcW w:w="1040" w:type="dxa"/>
            <w:tcBorders>
              <w:top w:val="nil"/>
              <w:left w:val="nil"/>
              <w:bottom w:val="single" w:sz="4" w:space="0" w:color="auto"/>
              <w:right w:val="single" w:sz="4" w:space="0" w:color="auto"/>
            </w:tcBorders>
            <w:shd w:val="clear" w:color="000000" w:fill="FFFFFF"/>
            <w:noWrap/>
            <w:vAlign w:val="bottom"/>
            <w:hideMark/>
          </w:tcPr>
          <w:p w14:paraId="738FFC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149,8</w:t>
            </w:r>
          </w:p>
        </w:tc>
        <w:tc>
          <w:tcPr>
            <w:tcW w:w="1087" w:type="dxa"/>
            <w:tcBorders>
              <w:top w:val="nil"/>
              <w:left w:val="nil"/>
              <w:bottom w:val="single" w:sz="4" w:space="0" w:color="auto"/>
              <w:right w:val="single" w:sz="4" w:space="0" w:color="auto"/>
            </w:tcBorders>
            <w:shd w:val="clear" w:color="000000" w:fill="FFFFFF"/>
            <w:noWrap/>
            <w:vAlign w:val="bottom"/>
            <w:hideMark/>
          </w:tcPr>
          <w:p w14:paraId="75CEEF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1 365,2</w:t>
            </w:r>
          </w:p>
        </w:tc>
        <w:tc>
          <w:tcPr>
            <w:tcW w:w="1040" w:type="dxa"/>
            <w:tcBorders>
              <w:top w:val="nil"/>
              <w:left w:val="nil"/>
              <w:bottom w:val="single" w:sz="4" w:space="0" w:color="auto"/>
              <w:right w:val="single" w:sz="4" w:space="0" w:color="auto"/>
            </w:tcBorders>
            <w:shd w:val="clear" w:color="000000" w:fill="FFFFFF"/>
            <w:noWrap/>
            <w:vAlign w:val="bottom"/>
            <w:hideMark/>
          </w:tcPr>
          <w:p w14:paraId="1EC191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442,0</w:t>
            </w:r>
          </w:p>
        </w:tc>
        <w:tc>
          <w:tcPr>
            <w:tcW w:w="1226" w:type="dxa"/>
            <w:tcBorders>
              <w:top w:val="nil"/>
              <w:left w:val="nil"/>
              <w:bottom w:val="single" w:sz="4" w:space="0" w:color="auto"/>
              <w:right w:val="single" w:sz="4" w:space="0" w:color="auto"/>
            </w:tcBorders>
            <w:shd w:val="clear" w:color="000000" w:fill="FFFFFF"/>
            <w:noWrap/>
            <w:vAlign w:val="bottom"/>
            <w:hideMark/>
          </w:tcPr>
          <w:p w14:paraId="02E7CB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F0A4FA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C9075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Cамоков</w:t>
            </w:r>
          </w:p>
        </w:tc>
        <w:tc>
          <w:tcPr>
            <w:tcW w:w="1911" w:type="dxa"/>
            <w:tcBorders>
              <w:top w:val="nil"/>
              <w:left w:val="nil"/>
              <w:bottom w:val="single" w:sz="4" w:space="0" w:color="auto"/>
              <w:right w:val="single" w:sz="4" w:space="0" w:color="auto"/>
            </w:tcBorders>
            <w:shd w:val="clear" w:color="000000" w:fill="FFFFFF"/>
            <w:noWrap/>
            <w:vAlign w:val="bottom"/>
            <w:hideMark/>
          </w:tcPr>
          <w:p w14:paraId="0CF465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22 899,6</w:t>
            </w:r>
          </w:p>
        </w:tc>
        <w:tc>
          <w:tcPr>
            <w:tcW w:w="1118" w:type="dxa"/>
            <w:tcBorders>
              <w:top w:val="nil"/>
              <w:left w:val="nil"/>
              <w:bottom w:val="single" w:sz="4" w:space="0" w:color="auto"/>
              <w:right w:val="single" w:sz="4" w:space="0" w:color="auto"/>
            </w:tcBorders>
            <w:shd w:val="clear" w:color="000000" w:fill="FFFFFF"/>
            <w:noWrap/>
            <w:vAlign w:val="bottom"/>
            <w:hideMark/>
          </w:tcPr>
          <w:p w14:paraId="16EE853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1 809,0</w:t>
            </w:r>
          </w:p>
        </w:tc>
        <w:tc>
          <w:tcPr>
            <w:tcW w:w="1257" w:type="dxa"/>
            <w:tcBorders>
              <w:top w:val="nil"/>
              <w:left w:val="nil"/>
              <w:bottom w:val="single" w:sz="4" w:space="0" w:color="auto"/>
              <w:right w:val="single" w:sz="4" w:space="0" w:color="auto"/>
            </w:tcBorders>
            <w:shd w:val="clear" w:color="000000" w:fill="FFFFFF"/>
            <w:noWrap/>
            <w:vAlign w:val="bottom"/>
            <w:hideMark/>
          </w:tcPr>
          <w:p w14:paraId="5778FB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412,6</w:t>
            </w:r>
          </w:p>
        </w:tc>
        <w:tc>
          <w:tcPr>
            <w:tcW w:w="1384" w:type="dxa"/>
            <w:tcBorders>
              <w:top w:val="nil"/>
              <w:left w:val="nil"/>
              <w:bottom w:val="single" w:sz="4" w:space="0" w:color="auto"/>
              <w:right w:val="single" w:sz="4" w:space="0" w:color="auto"/>
            </w:tcBorders>
            <w:shd w:val="clear" w:color="000000" w:fill="FFFFFF"/>
            <w:noWrap/>
            <w:vAlign w:val="bottom"/>
            <w:hideMark/>
          </w:tcPr>
          <w:p w14:paraId="57524E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1 396,4</w:t>
            </w:r>
          </w:p>
        </w:tc>
        <w:tc>
          <w:tcPr>
            <w:tcW w:w="1134" w:type="dxa"/>
            <w:tcBorders>
              <w:top w:val="nil"/>
              <w:left w:val="nil"/>
              <w:bottom w:val="single" w:sz="4" w:space="0" w:color="auto"/>
              <w:right w:val="single" w:sz="4" w:space="0" w:color="auto"/>
            </w:tcBorders>
            <w:shd w:val="clear" w:color="000000" w:fill="FFFFFF"/>
            <w:noWrap/>
            <w:vAlign w:val="bottom"/>
            <w:hideMark/>
          </w:tcPr>
          <w:p w14:paraId="0BA4FB6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203,8</w:t>
            </w:r>
          </w:p>
        </w:tc>
        <w:tc>
          <w:tcPr>
            <w:tcW w:w="1277" w:type="dxa"/>
            <w:tcBorders>
              <w:top w:val="nil"/>
              <w:left w:val="nil"/>
              <w:bottom w:val="single" w:sz="4" w:space="0" w:color="auto"/>
              <w:right w:val="single" w:sz="4" w:space="0" w:color="auto"/>
            </w:tcBorders>
            <w:shd w:val="clear" w:color="000000" w:fill="FFFFFF"/>
            <w:noWrap/>
            <w:vAlign w:val="bottom"/>
            <w:hideMark/>
          </w:tcPr>
          <w:p w14:paraId="534CEF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15 631,5</w:t>
            </w:r>
          </w:p>
        </w:tc>
        <w:tc>
          <w:tcPr>
            <w:tcW w:w="1040" w:type="dxa"/>
            <w:tcBorders>
              <w:top w:val="nil"/>
              <w:left w:val="nil"/>
              <w:bottom w:val="single" w:sz="4" w:space="0" w:color="auto"/>
              <w:right w:val="single" w:sz="4" w:space="0" w:color="auto"/>
            </w:tcBorders>
            <w:shd w:val="clear" w:color="000000" w:fill="FFFFFF"/>
            <w:noWrap/>
            <w:vAlign w:val="bottom"/>
            <w:hideMark/>
          </w:tcPr>
          <w:p w14:paraId="499319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498,1</w:t>
            </w:r>
          </w:p>
        </w:tc>
        <w:tc>
          <w:tcPr>
            <w:tcW w:w="1087" w:type="dxa"/>
            <w:tcBorders>
              <w:top w:val="nil"/>
              <w:left w:val="nil"/>
              <w:bottom w:val="single" w:sz="4" w:space="0" w:color="auto"/>
              <w:right w:val="single" w:sz="4" w:space="0" w:color="auto"/>
            </w:tcBorders>
            <w:shd w:val="clear" w:color="000000" w:fill="FFFFFF"/>
            <w:noWrap/>
            <w:vAlign w:val="bottom"/>
            <w:hideMark/>
          </w:tcPr>
          <w:p w14:paraId="2B42A4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3 896,8</w:t>
            </w:r>
          </w:p>
        </w:tc>
        <w:tc>
          <w:tcPr>
            <w:tcW w:w="1040" w:type="dxa"/>
            <w:tcBorders>
              <w:top w:val="nil"/>
              <w:left w:val="nil"/>
              <w:bottom w:val="single" w:sz="4" w:space="0" w:color="auto"/>
              <w:right w:val="single" w:sz="4" w:space="0" w:color="auto"/>
            </w:tcBorders>
            <w:shd w:val="clear" w:color="000000" w:fill="FFFFFF"/>
            <w:noWrap/>
            <w:vAlign w:val="bottom"/>
            <w:hideMark/>
          </w:tcPr>
          <w:p w14:paraId="369B03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860,4</w:t>
            </w:r>
          </w:p>
        </w:tc>
        <w:tc>
          <w:tcPr>
            <w:tcW w:w="1226" w:type="dxa"/>
            <w:tcBorders>
              <w:top w:val="nil"/>
              <w:left w:val="nil"/>
              <w:bottom w:val="single" w:sz="4" w:space="0" w:color="auto"/>
              <w:right w:val="single" w:sz="4" w:space="0" w:color="auto"/>
            </w:tcBorders>
            <w:shd w:val="clear" w:color="000000" w:fill="FFFFFF"/>
            <w:noWrap/>
            <w:vAlign w:val="bottom"/>
            <w:hideMark/>
          </w:tcPr>
          <w:p w14:paraId="73D860E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916867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99F0D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Cвоге</w:t>
            </w:r>
          </w:p>
        </w:tc>
        <w:tc>
          <w:tcPr>
            <w:tcW w:w="1911" w:type="dxa"/>
            <w:tcBorders>
              <w:top w:val="nil"/>
              <w:left w:val="nil"/>
              <w:bottom w:val="single" w:sz="4" w:space="0" w:color="auto"/>
              <w:right w:val="single" w:sz="4" w:space="0" w:color="auto"/>
            </w:tcBorders>
            <w:shd w:val="clear" w:color="000000" w:fill="FFFFFF"/>
            <w:noWrap/>
            <w:vAlign w:val="bottom"/>
            <w:hideMark/>
          </w:tcPr>
          <w:p w14:paraId="45C9E1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9 758,4</w:t>
            </w:r>
          </w:p>
        </w:tc>
        <w:tc>
          <w:tcPr>
            <w:tcW w:w="1118" w:type="dxa"/>
            <w:tcBorders>
              <w:top w:val="nil"/>
              <w:left w:val="nil"/>
              <w:bottom w:val="single" w:sz="4" w:space="0" w:color="auto"/>
              <w:right w:val="single" w:sz="4" w:space="0" w:color="auto"/>
            </w:tcBorders>
            <w:shd w:val="clear" w:color="000000" w:fill="FFFFFF"/>
            <w:noWrap/>
            <w:vAlign w:val="bottom"/>
            <w:hideMark/>
          </w:tcPr>
          <w:p w14:paraId="6CEB166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1 379,2</w:t>
            </w:r>
          </w:p>
        </w:tc>
        <w:tc>
          <w:tcPr>
            <w:tcW w:w="1257" w:type="dxa"/>
            <w:tcBorders>
              <w:top w:val="nil"/>
              <w:left w:val="nil"/>
              <w:bottom w:val="single" w:sz="4" w:space="0" w:color="auto"/>
              <w:right w:val="single" w:sz="4" w:space="0" w:color="auto"/>
            </w:tcBorders>
            <w:shd w:val="clear" w:color="000000" w:fill="FFFFFF"/>
            <w:noWrap/>
            <w:vAlign w:val="bottom"/>
            <w:hideMark/>
          </w:tcPr>
          <w:p w14:paraId="11C676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463,2</w:t>
            </w:r>
          </w:p>
        </w:tc>
        <w:tc>
          <w:tcPr>
            <w:tcW w:w="1384" w:type="dxa"/>
            <w:tcBorders>
              <w:top w:val="nil"/>
              <w:left w:val="nil"/>
              <w:bottom w:val="single" w:sz="4" w:space="0" w:color="auto"/>
              <w:right w:val="single" w:sz="4" w:space="0" w:color="auto"/>
            </w:tcBorders>
            <w:shd w:val="clear" w:color="000000" w:fill="FFFFFF"/>
            <w:noWrap/>
            <w:vAlign w:val="bottom"/>
            <w:hideMark/>
          </w:tcPr>
          <w:p w14:paraId="05BA49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916,0</w:t>
            </w:r>
          </w:p>
        </w:tc>
        <w:tc>
          <w:tcPr>
            <w:tcW w:w="1134" w:type="dxa"/>
            <w:tcBorders>
              <w:top w:val="nil"/>
              <w:left w:val="nil"/>
              <w:bottom w:val="single" w:sz="4" w:space="0" w:color="auto"/>
              <w:right w:val="single" w:sz="4" w:space="0" w:color="auto"/>
            </w:tcBorders>
            <w:shd w:val="clear" w:color="000000" w:fill="FFFFFF"/>
            <w:noWrap/>
            <w:vAlign w:val="bottom"/>
            <w:hideMark/>
          </w:tcPr>
          <w:p w14:paraId="56926C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135,8</w:t>
            </w:r>
          </w:p>
        </w:tc>
        <w:tc>
          <w:tcPr>
            <w:tcW w:w="1277" w:type="dxa"/>
            <w:tcBorders>
              <w:top w:val="nil"/>
              <w:left w:val="nil"/>
              <w:bottom w:val="single" w:sz="4" w:space="0" w:color="auto"/>
              <w:right w:val="single" w:sz="4" w:space="0" w:color="auto"/>
            </w:tcBorders>
            <w:shd w:val="clear" w:color="000000" w:fill="FFFFFF"/>
            <w:noWrap/>
            <w:vAlign w:val="bottom"/>
            <w:hideMark/>
          </w:tcPr>
          <w:p w14:paraId="4A560A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6 041,0</w:t>
            </w:r>
          </w:p>
        </w:tc>
        <w:tc>
          <w:tcPr>
            <w:tcW w:w="1040" w:type="dxa"/>
            <w:tcBorders>
              <w:top w:val="nil"/>
              <w:left w:val="nil"/>
              <w:bottom w:val="single" w:sz="4" w:space="0" w:color="auto"/>
              <w:right w:val="single" w:sz="4" w:space="0" w:color="auto"/>
            </w:tcBorders>
            <w:shd w:val="clear" w:color="000000" w:fill="FFFFFF"/>
            <w:noWrap/>
            <w:vAlign w:val="bottom"/>
            <w:hideMark/>
          </w:tcPr>
          <w:p w14:paraId="61E860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214,8</w:t>
            </w:r>
          </w:p>
        </w:tc>
        <w:tc>
          <w:tcPr>
            <w:tcW w:w="1087" w:type="dxa"/>
            <w:tcBorders>
              <w:top w:val="nil"/>
              <w:left w:val="nil"/>
              <w:bottom w:val="single" w:sz="4" w:space="0" w:color="auto"/>
              <w:right w:val="single" w:sz="4" w:space="0" w:color="auto"/>
            </w:tcBorders>
            <w:shd w:val="clear" w:color="000000" w:fill="FFFFFF"/>
            <w:noWrap/>
            <w:vAlign w:val="bottom"/>
            <w:hideMark/>
          </w:tcPr>
          <w:p w14:paraId="2ABF00D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1 650,4</w:t>
            </w:r>
          </w:p>
        </w:tc>
        <w:tc>
          <w:tcPr>
            <w:tcW w:w="1040" w:type="dxa"/>
            <w:tcBorders>
              <w:top w:val="nil"/>
              <w:left w:val="nil"/>
              <w:bottom w:val="single" w:sz="4" w:space="0" w:color="auto"/>
              <w:right w:val="single" w:sz="4" w:space="0" w:color="auto"/>
            </w:tcBorders>
            <w:shd w:val="clear" w:color="000000" w:fill="FFFFFF"/>
            <w:noWrap/>
            <w:vAlign w:val="bottom"/>
            <w:hideMark/>
          </w:tcPr>
          <w:p w14:paraId="7C90AF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337,2</w:t>
            </w:r>
          </w:p>
        </w:tc>
        <w:tc>
          <w:tcPr>
            <w:tcW w:w="1226" w:type="dxa"/>
            <w:tcBorders>
              <w:top w:val="nil"/>
              <w:left w:val="nil"/>
              <w:bottom w:val="single" w:sz="4" w:space="0" w:color="auto"/>
              <w:right w:val="single" w:sz="4" w:space="0" w:color="auto"/>
            </w:tcBorders>
            <w:shd w:val="clear" w:color="000000" w:fill="FFFFFF"/>
            <w:noWrap/>
            <w:vAlign w:val="bottom"/>
            <w:hideMark/>
          </w:tcPr>
          <w:p w14:paraId="559ED32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EA902C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0311EC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Cливница</w:t>
            </w:r>
          </w:p>
        </w:tc>
        <w:tc>
          <w:tcPr>
            <w:tcW w:w="1911" w:type="dxa"/>
            <w:tcBorders>
              <w:top w:val="nil"/>
              <w:left w:val="nil"/>
              <w:bottom w:val="single" w:sz="4" w:space="0" w:color="auto"/>
              <w:right w:val="single" w:sz="4" w:space="0" w:color="auto"/>
            </w:tcBorders>
            <w:shd w:val="clear" w:color="000000" w:fill="FFFFFF"/>
            <w:noWrap/>
            <w:vAlign w:val="bottom"/>
            <w:hideMark/>
          </w:tcPr>
          <w:p w14:paraId="777798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5 650,5</w:t>
            </w:r>
          </w:p>
        </w:tc>
        <w:tc>
          <w:tcPr>
            <w:tcW w:w="1118" w:type="dxa"/>
            <w:tcBorders>
              <w:top w:val="nil"/>
              <w:left w:val="nil"/>
              <w:bottom w:val="single" w:sz="4" w:space="0" w:color="auto"/>
              <w:right w:val="single" w:sz="4" w:space="0" w:color="auto"/>
            </w:tcBorders>
            <w:shd w:val="clear" w:color="000000" w:fill="FFFFFF"/>
            <w:noWrap/>
            <w:vAlign w:val="bottom"/>
            <w:hideMark/>
          </w:tcPr>
          <w:p w14:paraId="42292E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808,8</w:t>
            </w:r>
          </w:p>
        </w:tc>
        <w:tc>
          <w:tcPr>
            <w:tcW w:w="1257" w:type="dxa"/>
            <w:tcBorders>
              <w:top w:val="nil"/>
              <w:left w:val="nil"/>
              <w:bottom w:val="single" w:sz="4" w:space="0" w:color="auto"/>
              <w:right w:val="single" w:sz="4" w:space="0" w:color="auto"/>
            </w:tcBorders>
            <w:shd w:val="clear" w:color="000000" w:fill="FFFFFF"/>
            <w:noWrap/>
            <w:vAlign w:val="bottom"/>
            <w:hideMark/>
          </w:tcPr>
          <w:p w14:paraId="40F7D2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165,0</w:t>
            </w:r>
          </w:p>
        </w:tc>
        <w:tc>
          <w:tcPr>
            <w:tcW w:w="1384" w:type="dxa"/>
            <w:tcBorders>
              <w:top w:val="nil"/>
              <w:left w:val="nil"/>
              <w:bottom w:val="single" w:sz="4" w:space="0" w:color="auto"/>
              <w:right w:val="single" w:sz="4" w:space="0" w:color="auto"/>
            </w:tcBorders>
            <w:shd w:val="clear" w:color="000000" w:fill="FFFFFF"/>
            <w:noWrap/>
            <w:vAlign w:val="bottom"/>
            <w:hideMark/>
          </w:tcPr>
          <w:p w14:paraId="7E6053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643,8</w:t>
            </w:r>
          </w:p>
        </w:tc>
        <w:tc>
          <w:tcPr>
            <w:tcW w:w="1134" w:type="dxa"/>
            <w:tcBorders>
              <w:top w:val="nil"/>
              <w:left w:val="nil"/>
              <w:bottom w:val="single" w:sz="4" w:space="0" w:color="auto"/>
              <w:right w:val="single" w:sz="4" w:space="0" w:color="auto"/>
            </w:tcBorders>
            <w:shd w:val="clear" w:color="000000" w:fill="FFFFFF"/>
            <w:noWrap/>
            <w:vAlign w:val="bottom"/>
            <w:hideMark/>
          </w:tcPr>
          <w:p w14:paraId="508092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121,8</w:t>
            </w:r>
          </w:p>
        </w:tc>
        <w:tc>
          <w:tcPr>
            <w:tcW w:w="1277" w:type="dxa"/>
            <w:tcBorders>
              <w:top w:val="nil"/>
              <w:left w:val="nil"/>
              <w:bottom w:val="single" w:sz="4" w:space="0" w:color="auto"/>
              <w:right w:val="single" w:sz="4" w:space="0" w:color="auto"/>
            </w:tcBorders>
            <w:shd w:val="clear" w:color="000000" w:fill="FFFFFF"/>
            <w:noWrap/>
            <w:vAlign w:val="bottom"/>
            <w:hideMark/>
          </w:tcPr>
          <w:p w14:paraId="6F7E25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3 957,5</w:t>
            </w:r>
          </w:p>
        </w:tc>
        <w:tc>
          <w:tcPr>
            <w:tcW w:w="1040" w:type="dxa"/>
            <w:tcBorders>
              <w:top w:val="nil"/>
              <w:left w:val="nil"/>
              <w:bottom w:val="single" w:sz="4" w:space="0" w:color="auto"/>
              <w:right w:val="single" w:sz="4" w:space="0" w:color="auto"/>
            </w:tcBorders>
            <w:shd w:val="clear" w:color="000000" w:fill="FFFFFF"/>
            <w:noWrap/>
            <w:vAlign w:val="bottom"/>
            <w:hideMark/>
          </w:tcPr>
          <w:p w14:paraId="557771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130,0</w:t>
            </w:r>
          </w:p>
        </w:tc>
        <w:tc>
          <w:tcPr>
            <w:tcW w:w="1087" w:type="dxa"/>
            <w:tcBorders>
              <w:top w:val="nil"/>
              <w:left w:val="nil"/>
              <w:bottom w:val="single" w:sz="4" w:space="0" w:color="auto"/>
              <w:right w:val="single" w:sz="4" w:space="0" w:color="auto"/>
            </w:tcBorders>
            <w:shd w:val="clear" w:color="000000" w:fill="FFFFFF"/>
            <w:noWrap/>
            <w:vAlign w:val="bottom"/>
            <w:hideMark/>
          </w:tcPr>
          <w:p w14:paraId="624A22D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463,8</w:t>
            </w:r>
          </w:p>
        </w:tc>
        <w:tc>
          <w:tcPr>
            <w:tcW w:w="1040" w:type="dxa"/>
            <w:tcBorders>
              <w:top w:val="nil"/>
              <w:left w:val="nil"/>
              <w:bottom w:val="single" w:sz="4" w:space="0" w:color="auto"/>
              <w:right w:val="single" w:sz="4" w:space="0" w:color="auto"/>
            </w:tcBorders>
            <w:shd w:val="clear" w:color="000000" w:fill="FFFFFF"/>
            <w:noWrap/>
            <w:vAlign w:val="bottom"/>
            <w:hideMark/>
          </w:tcPr>
          <w:p w14:paraId="5126E4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5C2BFD8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050F250"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4DD2A2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Чавдар</w:t>
            </w:r>
          </w:p>
        </w:tc>
        <w:tc>
          <w:tcPr>
            <w:tcW w:w="1911" w:type="dxa"/>
            <w:tcBorders>
              <w:top w:val="nil"/>
              <w:left w:val="nil"/>
              <w:bottom w:val="single" w:sz="4" w:space="0" w:color="auto"/>
              <w:right w:val="single" w:sz="4" w:space="0" w:color="auto"/>
            </w:tcBorders>
            <w:shd w:val="clear" w:color="000000" w:fill="FFFFFF"/>
            <w:noWrap/>
            <w:vAlign w:val="bottom"/>
            <w:hideMark/>
          </w:tcPr>
          <w:p w14:paraId="43A6A5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1 295,3</w:t>
            </w:r>
          </w:p>
        </w:tc>
        <w:tc>
          <w:tcPr>
            <w:tcW w:w="1118" w:type="dxa"/>
            <w:tcBorders>
              <w:top w:val="nil"/>
              <w:left w:val="nil"/>
              <w:bottom w:val="single" w:sz="4" w:space="0" w:color="auto"/>
              <w:right w:val="single" w:sz="4" w:space="0" w:color="auto"/>
            </w:tcBorders>
            <w:shd w:val="clear" w:color="000000" w:fill="FFFFFF"/>
            <w:noWrap/>
            <w:vAlign w:val="bottom"/>
            <w:hideMark/>
          </w:tcPr>
          <w:p w14:paraId="6B2FE9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459,3</w:t>
            </w:r>
          </w:p>
        </w:tc>
        <w:tc>
          <w:tcPr>
            <w:tcW w:w="1257" w:type="dxa"/>
            <w:tcBorders>
              <w:top w:val="nil"/>
              <w:left w:val="nil"/>
              <w:bottom w:val="single" w:sz="4" w:space="0" w:color="auto"/>
              <w:right w:val="single" w:sz="4" w:space="0" w:color="auto"/>
            </w:tcBorders>
            <w:shd w:val="clear" w:color="000000" w:fill="FFFFFF"/>
            <w:noWrap/>
            <w:vAlign w:val="bottom"/>
            <w:hideMark/>
          </w:tcPr>
          <w:p w14:paraId="281F5CB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40,4</w:t>
            </w:r>
          </w:p>
        </w:tc>
        <w:tc>
          <w:tcPr>
            <w:tcW w:w="1384" w:type="dxa"/>
            <w:tcBorders>
              <w:top w:val="nil"/>
              <w:left w:val="nil"/>
              <w:bottom w:val="single" w:sz="4" w:space="0" w:color="auto"/>
              <w:right w:val="single" w:sz="4" w:space="0" w:color="auto"/>
            </w:tcBorders>
            <w:shd w:val="clear" w:color="000000" w:fill="FFFFFF"/>
            <w:noWrap/>
            <w:vAlign w:val="bottom"/>
            <w:hideMark/>
          </w:tcPr>
          <w:p w14:paraId="56342B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418,9</w:t>
            </w:r>
          </w:p>
        </w:tc>
        <w:tc>
          <w:tcPr>
            <w:tcW w:w="1134" w:type="dxa"/>
            <w:tcBorders>
              <w:top w:val="nil"/>
              <w:left w:val="nil"/>
              <w:bottom w:val="single" w:sz="4" w:space="0" w:color="auto"/>
              <w:right w:val="single" w:sz="4" w:space="0" w:color="auto"/>
            </w:tcBorders>
            <w:shd w:val="clear" w:color="000000" w:fill="FFFFFF"/>
            <w:noWrap/>
            <w:vAlign w:val="bottom"/>
            <w:hideMark/>
          </w:tcPr>
          <w:p w14:paraId="2A7F2D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111,6</w:t>
            </w:r>
          </w:p>
        </w:tc>
        <w:tc>
          <w:tcPr>
            <w:tcW w:w="1277" w:type="dxa"/>
            <w:tcBorders>
              <w:top w:val="nil"/>
              <w:left w:val="nil"/>
              <w:bottom w:val="single" w:sz="4" w:space="0" w:color="auto"/>
              <w:right w:val="single" w:sz="4" w:space="0" w:color="auto"/>
            </w:tcBorders>
            <w:shd w:val="clear" w:color="000000" w:fill="FFFFFF"/>
            <w:noWrap/>
            <w:vAlign w:val="bottom"/>
            <w:hideMark/>
          </w:tcPr>
          <w:p w14:paraId="6C0A35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659,0</w:t>
            </w:r>
          </w:p>
        </w:tc>
        <w:tc>
          <w:tcPr>
            <w:tcW w:w="1040" w:type="dxa"/>
            <w:tcBorders>
              <w:top w:val="nil"/>
              <w:left w:val="nil"/>
              <w:bottom w:val="single" w:sz="4" w:space="0" w:color="auto"/>
              <w:right w:val="single" w:sz="4" w:space="0" w:color="auto"/>
            </w:tcBorders>
            <w:shd w:val="clear" w:color="000000" w:fill="FFFFFF"/>
            <w:noWrap/>
            <w:vAlign w:val="bottom"/>
            <w:hideMark/>
          </w:tcPr>
          <w:p w14:paraId="5EB81B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w:t>
            </w:r>
          </w:p>
        </w:tc>
        <w:tc>
          <w:tcPr>
            <w:tcW w:w="1087" w:type="dxa"/>
            <w:tcBorders>
              <w:top w:val="nil"/>
              <w:left w:val="nil"/>
              <w:bottom w:val="single" w:sz="4" w:space="0" w:color="auto"/>
              <w:right w:val="single" w:sz="4" w:space="0" w:color="auto"/>
            </w:tcBorders>
            <w:shd w:val="clear" w:color="000000" w:fill="FFFFFF"/>
            <w:noWrap/>
            <w:vAlign w:val="bottom"/>
            <w:hideMark/>
          </w:tcPr>
          <w:p w14:paraId="57F1EE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18,7</w:t>
            </w:r>
          </w:p>
        </w:tc>
        <w:tc>
          <w:tcPr>
            <w:tcW w:w="1040" w:type="dxa"/>
            <w:tcBorders>
              <w:top w:val="nil"/>
              <w:left w:val="nil"/>
              <w:bottom w:val="single" w:sz="4" w:space="0" w:color="auto"/>
              <w:right w:val="single" w:sz="4" w:space="0" w:color="auto"/>
            </w:tcBorders>
            <w:shd w:val="clear" w:color="000000" w:fill="FFFFFF"/>
            <w:noWrap/>
            <w:vAlign w:val="bottom"/>
            <w:hideMark/>
          </w:tcPr>
          <w:p w14:paraId="7767DE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33,7</w:t>
            </w:r>
          </w:p>
        </w:tc>
        <w:tc>
          <w:tcPr>
            <w:tcW w:w="1226" w:type="dxa"/>
            <w:tcBorders>
              <w:top w:val="nil"/>
              <w:left w:val="nil"/>
              <w:bottom w:val="single" w:sz="4" w:space="0" w:color="auto"/>
              <w:right w:val="single" w:sz="4" w:space="0" w:color="auto"/>
            </w:tcBorders>
            <w:shd w:val="clear" w:color="000000" w:fill="FFFFFF"/>
            <w:noWrap/>
            <w:vAlign w:val="bottom"/>
            <w:hideMark/>
          </w:tcPr>
          <w:p w14:paraId="66E0FC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A430D2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C6CCC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Челопеч</w:t>
            </w:r>
          </w:p>
        </w:tc>
        <w:tc>
          <w:tcPr>
            <w:tcW w:w="1911" w:type="dxa"/>
            <w:tcBorders>
              <w:top w:val="nil"/>
              <w:left w:val="nil"/>
              <w:bottom w:val="single" w:sz="4" w:space="0" w:color="auto"/>
              <w:right w:val="single" w:sz="4" w:space="0" w:color="auto"/>
            </w:tcBorders>
            <w:shd w:val="clear" w:color="000000" w:fill="FFFFFF"/>
            <w:noWrap/>
            <w:vAlign w:val="bottom"/>
            <w:hideMark/>
          </w:tcPr>
          <w:p w14:paraId="14FFFA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2 284,6</w:t>
            </w:r>
          </w:p>
        </w:tc>
        <w:tc>
          <w:tcPr>
            <w:tcW w:w="1118" w:type="dxa"/>
            <w:tcBorders>
              <w:top w:val="nil"/>
              <w:left w:val="nil"/>
              <w:bottom w:val="single" w:sz="4" w:space="0" w:color="auto"/>
              <w:right w:val="single" w:sz="4" w:space="0" w:color="auto"/>
            </w:tcBorders>
            <w:shd w:val="clear" w:color="000000" w:fill="FFFFFF"/>
            <w:noWrap/>
            <w:vAlign w:val="bottom"/>
            <w:hideMark/>
          </w:tcPr>
          <w:p w14:paraId="3B4425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468,9</w:t>
            </w:r>
          </w:p>
        </w:tc>
        <w:tc>
          <w:tcPr>
            <w:tcW w:w="1257" w:type="dxa"/>
            <w:tcBorders>
              <w:top w:val="nil"/>
              <w:left w:val="nil"/>
              <w:bottom w:val="single" w:sz="4" w:space="0" w:color="auto"/>
              <w:right w:val="single" w:sz="4" w:space="0" w:color="auto"/>
            </w:tcBorders>
            <w:shd w:val="clear" w:color="000000" w:fill="FFFFFF"/>
            <w:noWrap/>
            <w:vAlign w:val="bottom"/>
            <w:hideMark/>
          </w:tcPr>
          <w:p w14:paraId="4064E8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40,4</w:t>
            </w:r>
          </w:p>
        </w:tc>
        <w:tc>
          <w:tcPr>
            <w:tcW w:w="1384" w:type="dxa"/>
            <w:tcBorders>
              <w:top w:val="nil"/>
              <w:left w:val="nil"/>
              <w:bottom w:val="single" w:sz="4" w:space="0" w:color="auto"/>
              <w:right w:val="single" w:sz="4" w:space="0" w:color="auto"/>
            </w:tcBorders>
            <w:shd w:val="clear" w:color="000000" w:fill="FFFFFF"/>
            <w:noWrap/>
            <w:vAlign w:val="bottom"/>
            <w:hideMark/>
          </w:tcPr>
          <w:p w14:paraId="7A422E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428,5</w:t>
            </w:r>
          </w:p>
        </w:tc>
        <w:tc>
          <w:tcPr>
            <w:tcW w:w="1134" w:type="dxa"/>
            <w:tcBorders>
              <w:top w:val="nil"/>
              <w:left w:val="nil"/>
              <w:bottom w:val="single" w:sz="4" w:space="0" w:color="auto"/>
              <w:right w:val="single" w:sz="4" w:space="0" w:color="auto"/>
            </w:tcBorders>
            <w:shd w:val="clear" w:color="000000" w:fill="FFFFFF"/>
            <w:noWrap/>
            <w:vAlign w:val="bottom"/>
            <w:hideMark/>
          </w:tcPr>
          <w:p w14:paraId="580642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109,4</w:t>
            </w:r>
          </w:p>
        </w:tc>
        <w:tc>
          <w:tcPr>
            <w:tcW w:w="1277" w:type="dxa"/>
            <w:tcBorders>
              <w:top w:val="nil"/>
              <w:left w:val="nil"/>
              <w:bottom w:val="single" w:sz="4" w:space="0" w:color="auto"/>
              <w:right w:val="single" w:sz="4" w:space="0" w:color="auto"/>
            </w:tcBorders>
            <w:shd w:val="clear" w:color="000000" w:fill="FFFFFF"/>
            <w:noWrap/>
            <w:vAlign w:val="bottom"/>
            <w:hideMark/>
          </w:tcPr>
          <w:p w14:paraId="033D67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1 537,0</w:t>
            </w:r>
          </w:p>
        </w:tc>
        <w:tc>
          <w:tcPr>
            <w:tcW w:w="1040" w:type="dxa"/>
            <w:tcBorders>
              <w:top w:val="nil"/>
              <w:left w:val="nil"/>
              <w:bottom w:val="single" w:sz="4" w:space="0" w:color="auto"/>
              <w:right w:val="single" w:sz="4" w:space="0" w:color="auto"/>
            </w:tcBorders>
            <w:shd w:val="clear" w:color="000000" w:fill="FFFFFF"/>
            <w:noWrap/>
            <w:vAlign w:val="bottom"/>
            <w:hideMark/>
          </w:tcPr>
          <w:p w14:paraId="65C1E9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71,9</w:t>
            </w:r>
          </w:p>
        </w:tc>
        <w:tc>
          <w:tcPr>
            <w:tcW w:w="1087" w:type="dxa"/>
            <w:tcBorders>
              <w:top w:val="nil"/>
              <w:left w:val="nil"/>
              <w:bottom w:val="single" w:sz="4" w:space="0" w:color="auto"/>
              <w:right w:val="single" w:sz="4" w:space="0" w:color="auto"/>
            </w:tcBorders>
            <w:shd w:val="clear" w:color="000000" w:fill="FFFFFF"/>
            <w:noWrap/>
            <w:vAlign w:val="bottom"/>
            <w:hideMark/>
          </w:tcPr>
          <w:p w14:paraId="5B34ED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18,7</w:t>
            </w:r>
          </w:p>
        </w:tc>
        <w:tc>
          <w:tcPr>
            <w:tcW w:w="1040" w:type="dxa"/>
            <w:tcBorders>
              <w:top w:val="nil"/>
              <w:left w:val="nil"/>
              <w:bottom w:val="single" w:sz="4" w:space="0" w:color="auto"/>
              <w:right w:val="single" w:sz="4" w:space="0" w:color="auto"/>
            </w:tcBorders>
            <w:shd w:val="clear" w:color="000000" w:fill="FFFFFF"/>
            <w:noWrap/>
            <w:vAlign w:val="bottom"/>
            <w:hideMark/>
          </w:tcPr>
          <w:p w14:paraId="1876AD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78,7</w:t>
            </w:r>
          </w:p>
        </w:tc>
        <w:tc>
          <w:tcPr>
            <w:tcW w:w="1226" w:type="dxa"/>
            <w:tcBorders>
              <w:top w:val="nil"/>
              <w:left w:val="nil"/>
              <w:bottom w:val="single" w:sz="4" w:space="0" w:color="auto"/>
              <w:right w:val="single" w:sz="4" w:space="0" w:color="auto"/>
            </w:tcBorders>
            <w:shd w:val="clear" w:color="000000" w:fill="FFFFFF"/>
            <w:noWrap/>
            <w:vAlign w:val="bottom"/>
            <w:hideMark/>
          </w:tcPr>
          <w:p w14:paraId="1BDFF8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27E63C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95C9EEE"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714A03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3F7FB1C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20D2DF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4C5C5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4242561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05EE6E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700C88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641AD5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482B73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55BA98A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1DDFF94"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5C6BC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СТАРА ЗАГОРА</w:t>
            </w:r>
          </w:p>
        </w:tc>
        <w:tc>
          <w:tcPr>
            <w:tcW w:w="1911" w:type="dxa"/>
            <w:tcBorders>
              <w:top w:val="nil"/>
              <w:left w:val="nil"/>
              <w:bottom w:val="single" w:sz="4" w:space="0" w:color="auto"/>
              <w:right w:val="single" w:sz="4" w:space="0" w:color="auto"/>
            </w:tcBorders>
            <w:shd w:val="clear" w:color="000000" w:fill="FFFFFF"/>
            <w:noWrap/>
            <w:vAlign w:val="bottom"/>
            <w:hideMark/>
          </w:tcPr>
          <w:p w14:paraId="644714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5F65CE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2756247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2EC1C5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5ABB97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69A968B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323810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241A0B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6369B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80639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01AC73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CA290A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Братя Даскалови</w:t>
            </w:r>
          </w:p>
        </w:tc>
        <w:tc>
          <w:tcPr>
            <w:tcW w:w="1911" w:type="dxa"/>
            <w:tcBorders>
              <w:top w:val="nil"/>
              <w:left w:val="nil"/>
              <w:bottom w:val="single" w:sz="4" w:space="0" w:color="auto"/>
              <w:right w:val="single" w:sz="4" w:space="0" w:color="auto"/>
            </w:tcBorders>
            <w:shd w:val="clear" w:color="000000" w:fill="FFFFFF"/>
            <w:noWrap/>
            <w:vAlign w:val="bottom"/>
            <w:hideMark/>
          </w:tcPr>
          <w:p w14:paraId="73953A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4 863,6</w:t>
            </w:r>
          </w:p>
        </w:tc>
        <w:tc>
          <w:tcPr>
            <w:tcW w:w="1118" w:type="dxa"/>
            <w:tcBorders>
              <w:top w:val="nil"/>
              <w:left w:val="nil"/>
              <w:bottom w:val="single" w:sz="4" w:space="0" w:color="auto"/>
              <w:right w:val="single" w:sz="4" w:space="0" w:color="auto"/>
            </w:tcBorders>
            <w:shd w:val="clear" w:color="000000" w:fill="FFFFFF"/>
            <w:noWrap/>
            <w:vAlign w:val="bottom"/>
            <w:hideMark/>
          </w:tcPr>
          <w:p w14:paraId="3EFAD1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956,1</w:t>
            </w:r>
          </w:p>
        </w:tc>
        <w:tc>
          <w:tcPr>
            <w:tcW w:w="1257" w:type="dxa"/>
            <w:tcBorders>
              <w:top w:val="nil"/>
              <w:left w:val="nil"/>
              <w:bottom w:val="single" w:sz="4" w:space="0" w:color="auto"/>
              <w:right w:val="single" w:sz="4" w:space="0" w:color="auto"/>
            </w:tcBorders>
            <w:shd w:val="clear" w:color="000000" w:fill="FFFFFF"/>
            <w:noWrap/>
            <w:vAlign w:val="bottom"/>
            <w:hideMark/>
          </w:tcPr>
          <w:p w14:paraId="374042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362,1</w:t>
            </w:r>
          </w:p>
        </w:tc>
        <w:tc>
          <w:tcPr>
            <w:tcW w:w="1384" w:type="dxa"/>
            <w:tcBorders>
              <w:top w:val="nil"/>
              <w:left w:val="nil"/>
              <w:bottom w:val="single" w:sz="4" w:space="0" w:color="auto"/>
              <w:right w:val="single" w:sz="4" w:space="0" w:color="auto"/>
            </w:tcBorders>
            <w:shd w:val="clear" w:color="000000" w:fill="FFFFFF"/>
            <w:noWrap/>
            <w:vAlign w:val="bottom"/>
            <w:hideMark/>
          </w:tcPr>
          <w:p w14:paraId="3745BE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594,0</w:t>
            </w:r>
          </w:p>
        </w:tc>
        <w:tc>
          <w:tcPr>
            <w:tcW w:w="1134" w:type="dxa"/>
            <w:tcBorders>
              <w:top w:val="nil"/>
              <w:left w:val="nil"/>
              <w:bottom w:val="single" w:sz="4" w:space="0" w:color="auto"/>
              <w:right w:val="single" w:sz="4" w:space="0" w:color="auto"/>
            </w:tcBorders>
            <w:shd w:val="clear" w:color="000000" w:fill="FFFFFF"/>
            <w:noWrap/>
            <w:vAlign w:val="bottom"/>
            <w:hideMark/>
          </w:tcPr>
          <w:p w14:paraId="09A7B6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123,2</w:t>
            </w:r>
          </w:p>
        </w:tc>
        <w:tc>
          <w:tcPr>
            <w:tcW w:w="1277" w:type="dxa"/>
            <w:tcBorders>
              <w:top w:val="nil"/>
              <w:left w:val="nil"/>
              <w:bottom w:val="single" w:sz="4" w:space="0" w:color="auto"/>
              <w:right w:val="single" w:sz="4" w:space="0" w:color="auto"/>
            </w:tcBorders>
            <w:shd w:val="clear" w:color="000000" w:fill="FFFFFF"/>
            <w:noWrap/>
            <w:vAlign w:val="bottom"/>
            <w:hideMark/>
          </w:tcPr>
          <w:p w14:paraId="021B3C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3 161,4</w:t>
            </w:r>
          </w:p>
        </w:tc>
        <w:tc>
          <w:tcPr>
            <w:tcW w:w="1040" w:type="dxa"/>
            <w:tcBorders>
              <w:top w:val="nil"/>
              <w:left w:val="nil"/>
              <w:bottom w:val="single" w:sz="4" w:space="0" w:color="auto"/>
              <w:right w:val="single" w:sz="4" w:space="0" w:color="auto"/>
            </w:tcBorders>
            <w:shd w:val="clear" w:color="000000" w:fill="FFFFFF"/>
            <w:noWrap/>
            <w:vAlign w:val="bottom"/>
            <w:hideMark/>
          </w:tcPr>
          <w:p w14:paraId="69DF21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74,4</w:t>
            </w:r>
          </w:p>
        </w:tc>
        <w:tc>
          <w:tcPr>
            <w:tcW w:w="1087" w:type="dxa"/>
            <w:tcBorders>
              <w:top w:val="nil"/>
              <w:left w:val="nil"/>
              <w:bottom w:val="single" w:sz="4" w:space="0" w:color="auto"/>
              <w:right w:val="single" w:sz="4" w:space="0" w:color="auto"/>
            </w:tcBorders>
            <w:shd w:val="clear" w:color="000000" w:fill="FFFFFF"/>
            <w:noWrap/>
            <w:vAlign w:val="bottom"/>
            <w:hideMark/>
          </w:tcPr>
          <w:p w14:paraId="300584C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346,2</w:t>
            </w:r>
          </w:p>
        </w:tc>
        <w:tc>
          <w:tcPr>
            <w:tcW w:w="1040" w:type="dxa"/>
            <w:tcBorders>
              <w:top w:val="nil"/>
              <w:left w:val="nil"/>
              <w:bottom w:val="single" w:sz="4" w:space="0" w:color="auto"/>
              <w:right w:val="single" w:sz="4" w:space="0" w:color="auto"/>
            </w:tcBorders>
            <w:shd w:val="clear" w:color="000000" w:fill="FFFFFF"/>
            <w:noWrap/>
            <w:vAlign w:val="bottom"/>
            <w:hideMark/>
          </w:tcPr>
          <w:p w14:paraId="5EC325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202,3</w:t>
            </w:r>
          </w:p>
        </w:tc>
        <w:tc>
          <w:tcPr>
            <w:tcW w:w="1226" w:type="dxa"/>
            <w:tcBorders>
              <w:top w:val="nil"/>
              <w:left w:val="nil"/>
              <w:bottom w:val="single" w:sz="4" w:space="0" w:color="auto"/>
              <w:right w:val="single" w:sz="4" w:space="0" w:color="auto"/>
            </w:tcBorders>
            <w:shd w:val="clear" w:color="000000" w:fill="FFFFFF"/>
            <w:noWrap/>
            <w:vAlign w:val="bottom"/>
            <w:hideMark/>
          </w:tcPr>
          <w:p w14:paraId="7F703E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840331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E592F4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Гурково</w:t>
            </w:r>
          </w:p>
        </w:tc>
        <w:tc>
          <w:tcPr>
            <w:tcW w:w="1911" w:type="dxa"/>
            <w:tcBorders>
              <w:top w:val="nil"/>
              <w:left w:val="nil"/>
              <w:bottom w:val="single" w:sz="4" w:space="0" w:color="auto"/>
              <w:right w:val="single" w:sz="4" w:space="0" w:color="auto"/>
            </w:tcBorders>
            <w:shd w:val="clear" w:color="000000" w:fill="FFFFFF"/>
            <w:noWrap/>
            <w:vAlign w:val="bottom"/>
            <w:hideMark/>
          </w:tcPr>
          <w:p w14:paraId="6E773C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3 376,2</w:t>
            </w:r>
          </w:p>
        </w:tc>
        <w:tc>
          <w:tcPr>
            <w:tcW w:w="1118" w:type="dxa"/>
            <w:tcBorders>
              <w:top w:val="nil"/>
              <w:left w:val="nil"/>
              <w:bottom w:val="single" w:sz="4" w:space="0" w:color="auto"/>
              <w:right w:val="single" w:sz="4" w:space="0" w:color="auto"/>
            </w:tcBorders>
            <w:shd w:val="clear" w:color="000000" w:fill="FFFFFF"/>
            <w:noWrap/>
            <w:vAlign w:val="bottom"/>
            <w:hideMark/>
          </w:tcPr>
          <w:p w14:paraId="6F6999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674,6</w:t>
            </w:r>
          </w:p>
        </w:tc>
        <w:tc>
          <w:tcPr>
            <w:tcW w:w="1257" w:type="dxa"/>
            <w:tcBorders>
              <w:top w:val="nil"/>
              <w:left w:val="nil"/>
              <w:bottom w:val="single" w:sz="4" w:space="0" w:color="auto"/>
              <w:right w:val="single" w:sz="4" w:space="0" w:color="auto"/>
            </w:tcBorders>
            <w:shd w:val="clear" w:color="000000" w:fill="FFFFFF"/>
            <w:noWrap/>
            <w:vAlign w:val="bottom"/>
            <w:hideMark/>
          </w:tcPr>
          <w:p w14:paraId="41246E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112,7</w:t>
            </w:r>
          </w:p>
        </w:tc>
        <w:tc>
          <w:tcPr>
            <w:tcW w:w="1384" w:type="dxa"/>
            <w:tcBorders>
              <w:top w:val="nil"/>
              <w:left w:val="nil"/>
              <w:bottom w:val="single" w:sz="4" w:space="0" w:color="auto"/>
              <w:right w:val="single" w:sz="4" w:space="0" w:color="auto"/>
            </w:tcBorders>
            <w:shd w:val="clear" w:color="000000" w:fill="FFFFFF"/>
            <w:noWrap/>
            <w:vAlign w:val="bottom"/>
            <w:hideMark/>
          </w:tcPr>
          <w:p w14:paraId="2D9D60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561,9</w:t>
            </w:r>
          </w:p>
        </w:tc>
        <w:tc>
          <w:tcPr>
            <w:tcW w:w="1134" w:type="dxa"/>
            <w:tcBorders>
              <w:top w:val="nil"/>
              <w:left w:val="nil"/>
              <w:bottom w:val="single" w:sz="4" w:space="0" w:color="auto"/>
              <w:right w:val="single" w:sz="4" w:space="0" w:color="auto"/>
            </w:tcBorders>
            <w:shd w:val="clear" w:color="000000" w:fill="FFFFFF"/>
            <w:noWrap/>
            <w:vAlign w:val="bottom"/>
            <w:hideMark/>
          </w:tcPr>
          <w:p w14:paraId="0978C3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113,2</w:t>
            </w:r>
          </w:p>
        </w:tc>
        <w:tc>
          <w:tcPr>
            <w:tcW w:w="1277" w:type="dxa"/>
            <w:tcBorders>
              <w:top w:val="nil"/>
              <w:left w:val="nil"/>
              <w:bottom w:val="single" w:sz="4" w:space="0" w:color="auto"/>
              <w:right w:val="single" w:sz="4" w:space="0" w:color="auto"/>
            </w:tcBorders>
            <w:shd w:val="clear" w:color="000000" w:fill="FFFFFF"/>
            <w:noWrap/>
            <w:vAlign w:val="bottom"/>
            <w:hideMark/>
          </w:tcPr>
          <w:p w14:paraId="79024D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2 301,5</w:t>
            </w:r>
          </w:p>
        </w:tc>
        <w:tc>
          <w:tcPr>
            <w:tcW w:w="1040" w:type="dxa"/>
            <w:tcBorders>
              <w:top w:val="nil"/>
              <w:left w:val="nil"/>
              <w:bottom w:val="single" w:sz="4" w:space="0" w:color="auto"/>
              <w:right w:val="single" w:sz="4" w:space="0" w:color="auto"/>
            </w:tcBorders>
            <w:shd w:val="clear" w:color="000000" w:fill="FFFFFF"/>
            <w:noWrap/>
            <w:vAlign w:val="bottom"/>
            <w:hideMark/>
          </w:tcPr>
          <w:p w14:paraId="685D08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111,2</w:t>
            </w:r>
          </w:p>
        </w:tc>
        <w:tc>
          <w:tcPr>
            <w:tcW w:w="1087" w:type="dxa"/>
            <w:tcBorders>
              <w:top w:val="nil"/>
              <w:left w:val="nil"/>
              <w:bottom w:val="single" w:sz="4" w:space="0" w:color="auto"/>
              <w:right w:val="single" w:sz="4" w:space="0" w:color="auto"/>
            </w:tcBorders>
            <w:shd w:val="clear" w:color="000000" w:fill="FFFFFF"/>
            <w:noWrap/>
            <w:vAlign w:val="bottom"/>
            <w:hideMark/>
          </w:tcPr>
          <w:p w14:paraId="542C202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74,6</w:t>
            </w:r>
          </w:p>
        </w:tc>
        <w:tc>
          <w:tcPr>
            <w:tcW w:w="1040" w:type="dxa"/>
            <w:tcBorders>
              <w:top w:val="nil"/>
              <w:left w:val="nil"/>
              <w:bottom w:val="single" w:sz="4" w:space="0" w:color="auto"/>
              <w:right w:val="single" w:sz="4" w:space="0" w:color="auto"/>
            </w:tcBorders>
            <w:shd w:val="clear" w:color="000000" w:fill="FFFFFF"/>
            <w:noWrap/>
            <w:vAlign w:val="bottom"/>
            <w:hideMark/>
          </w:tcPr>
          <w:p w14:paraId="3BDB1B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101,1</w:t>
            </w:r>
          </w:p>
        </w:tc>
        <w:tc>
          <w:tcPr>
            <w:tcW w:w="1226" w:type="dxa"/>
            <w:tcBorders>
              <w:top w:val="nil"/>
              <w:left w:val="nil"/>
              <w:bottom w:val="single" w:sz="4" w:space="0" w:color="auto"/>
              <w:right w:val="single" w:sz="4" w:space="0" w:color="auto"/>
            </w:tcBorders>
            <w:shd w:val="clear" w:color="000000" w:fill="FFFFFF"/>
            <w:noWrap/>
            <w:vAlign w:val="bottom"/>
            <w:hideMark/>
          </w:tcPr>
          <w:p w14:paraId="5FA92D6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06F668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1F4F5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Гълъбово</w:t>
            </w:r>
          </w:p>
        </w:tc>
        <w:tc>
          <w:tcPr>
            <w:tcW w:w="1911" w:type="dxa"/>
            <w:tcBorders>
              <w:top w:val="nil"/>
              <w:left w:val="nil"/>
              <w:bottom w:val="single" w:sz="4" w:space="0" w:color="auto"/>
              <w:right w:val="single" w:sz="4" w:space="0" w:color="auto"/>
            </w:tcBorders>
            <w:shd w:val="clear" w:color="000000" w:fill="FFFFFF"/>
            <w:noWrap/>
            <w:vAlign w:val="bottom"/>
            <w:hideMark/>
          </w:tcPr>
          <w:p w14:paraId="3D813B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7 658,6</w:t>
            </w:r>
          </w:p>
        </w:tc>
        <w:tc>
          <w:tcPr>
            <w:tcW w:w="1118" w:type="dxa"/>
            <w:tcBorders>
              <w:top w:val="nil"/>
              <w:left w:val="nil"/>
              <w:bottom w:val="single" w:sz="4" w:space="0" w:color="auto"/>
              <w:right w:val="single" w:sz="4" w:space="0" w:color="auto"/>
            </w:tcBorders>
            <w:shd w:val="clear" w:color="000000" w:fill="FFFFFF"/>
            <w:noWrap/>
            <w:vAlign w:val="bottom"/>
            <w:hideMark/>
          </w:tcPr>
          <w:p w14:paraId="21D16E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926,8</w:t>
            </w:r>
          </w:p>
        </w:tc>
        <w:tc>
          <w:tcPr>
            <w:tcW w:w="1257" w:type="dxa"/>
            <w:tcBorders>
              <w:top w:val="nil"/>
              <w:left w:val="nil"/>
              <w:bottom w:val="single" w:sz="4" w:space="0" w:color="auto"/>
              <w:right w:val="single" w:sz="4" w:space="0" w:color="auto"/>
            </w:tcBorders>
            <w:shd w:val="clear" w:color="000000" w:fill="FFFFFF"/>
            <w:noWrap/>
            <w:vAlign w:val="bottom"/>
            <w:hideMark/>
          </w:tcPr>
          <w:p w14:paraId="7A90F2B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197,0</w:t>
            </w:r>
          </w:p>
        </w:tc>
        <w:tc>
          <w:tcPr>
            <w:tcW w:w="1384" w:type="dxa"/>
            <w:tcBorders>
              <w:top w:val="nil"/>
              <w:left w:val="nil"/>
              <w:bottom w:val="single" w:sz="4" w:space="0" w:color="auto"/>
              <w:right w:val="single" w:sz="4" w:space="0" w:color="auto"/>
            </w:tcBorders>
            <w:shd w:val="clear" w:color="000000" w:fill="FFFFFF"/>
            <w:noWrap/>
            <w:vAlign w:val="bottom"/>
            <w:hideMark/>
          </w:tcPr>
          <w:p w14:paraId="25BD26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729,8</w:t>
            </w:r>
          </w:p>
        </w:tc>
        <w:tc>
          <w:tcPr>
            <w:tcW w:w="1134" w:type="dxa"/>
            <w:tcBorders>
              <w:top w:val="nil"/>
              <w:left w:val="nil"/>
              <w:bottom w:val="single" w:sz="4" w:space="0" w:color="auto"/>
              <w:right w:val="single" w:sz="4" w:space="0" w:color="auto"/>
            </w:tcBorders>
            <w:shd w:val="clear" w:color="000000" w:fill="FFFFFF"/>
            <w:noWrap/>
            <w:vAlign w:val="bottom"/>
            <w:hideMark/>
          </w:tcPr>
          <w:p w14:paraId="647942A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112,2</w:t>
            </w:r>
          </w:p>
        </w:tc>
        <w:tc>
          <w:tcPr>
            <w:tcW w:w="1277" w:type="dxa"/>
            <w:tcBorders>
              <w:top w:val="nil"/>
              <w:left w:val="nil"/>
              <w:bottom w:val="single" w:sz="4" w:space="0" w:color="auto"/>
              <w:right w:val="single" w:sz="4" w:space="0" w:color="auto"/>
            </w:tcBorders>
            <w:shd w:val="clear" w:color="000000" w:fill="FFFFFF"/>
            <w:noWrap/>
            <w:vAlign w:val="bottom"/>
            <w:hideMark/>
          </w:tcPr>
          <w:p w14:paraId="1AFDD2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5 139,1</w:t>
            </w:r>
          </w:p>
        </w:tc>
        <w:tc>
          <w:tcPr>
            <w:tcW w:w="1040" w:type="dxa"/>
            <w:tcBorders>
              <w:top w:val="nil"/>
              <w:left w:val="nil"/>
              <w:bottom w:val="single" w:sz="4" w:space="0" w:color="auto"/>
              <w:right w:val="single" w:sz="4" w:space="0" w:color="auto"/>
            </w:tcBorders>
            <w:shd w:val="clear" w:color="000000" w:fill="FFFFFF"/>
            <w:noWrap/>
            <w:vAlign w:val="bottom"/>
            <w:hideMark/>
          </w:tcPr>
          <w:p w14:paraId="1671674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116,4</w:t>
            </w:r>
          </w:p>
        </w:tc>
        <w:tc>
          <w:tcPr>
            <w:tcW w:w="1087" w:type="dxa"/>
            <w:tcBorders>
              <w:top w:val="nil"/>
              <w:left w:val="nil"/>
              <w:bottom w:val="single" w:sz="4" w:space="0" w:color="auto"/>
              <w:right w:val="single" w:sz="4" w:space="0" w:color="auto"/>
            </w:tcBorders>
            <w:shd w:val="clear" w:color="000000" w:fill="FFFFFF"/>
            <w:noWrap/>
            <w:vAlign w:val="bottom"/>
            <w:hideMark/>
          </w:tcPr>
          <w:p w14:paraId="17945E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1 173,0</w:t>
            </w:r>
          </w:p>
        </w:tc>
        <w:tc>
          <w:tcPr>
            <w:tcW w:w="1040" w:type="dxa"/>
            <w:tcBorders>
              <w:top w:val="nil"/>
              <w:left w:val="nil"/>
              <w:bottom w:val="single" w:sz="4" w:space="0" w:color="auto"/>
              <w:right w:val="single" w:sz="4" w:space="0" w:color="auto"/>
            </w:tcBorders>
            <w:shd w:val="clear" w:color="000000" w:fill="FFFFFF"/>
            <w:noWrap/>
            <w:vAlign w:val="bottom"/>
            <w:hideMark/>
          </w:tcPr>
          <w:p w14:paraId="320574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16561BA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26167B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CBD1DD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Kазанлък</w:t>
            </w:r>
          </w:p>
        </w:tc>
        <w:tc>
          <w:tcPr>
            <w:tcW w:w="1911" w:type="dxa"/>
            <w:tcBorders>
              <w:top w:val="nil"/>
              <w:left w:val="nil"/>
              <w:bottom w:val="single" w:sz="4" w:space="0" w:color="auto"/>
              <w:right w:val="single" w:sz="4" w:space="0" w:color="auto"/>
            </w:tcBorders>
            <w:shd w:val="clear" w:color="000000" w:fill="FFFFFF"/>
            <w:noWrap/>
            <w:vAlign w:val="bottom"/>
            <w:hideMark/>
          </w:tcPr>
          <w:p w14:paraId="0E2F72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44 658,5</w:t>
            </w:r>
          </w:p>
        </w:tc>
        <w:tc>
          <w:tcPr>
            <w:tcW w:w="1118" w:type="dxa"/>
            <w:tcBorders>
              <w:top w:val="nil"/>
              <w:left w:val="nil"/>
              <w:bottom w:val="single" w:sz="4" w:space="0" w:color="auto"/>
              <w:right w:val="single" w:sz="4" w:space="0" w:color="auto"/>
            </w:tcBorders>
            <w:shd w:val="clear" w:color="000000" w:fill="FFFFFF"/>
            <w:noWrap/>
            <w:vAlign w:val="bottom"/>
            <w:hideMark/>
          </w:tcPr>
          <w:p w14:paraId="4D461F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2 949,8</w:t>
            </w:r>
          </w:p>
        </w:tc>
        <w:tc>
          <w:tcPr>
            <w:tcW w:w="1257" w:type="dxa"/>
            <w:tcBorders>
              <w:top w:val="nil"/>
              <w:left w:val="nil"/>
              <w:bottom w:val="single" w:sz="4" w:space="0" w:color="auto"/>
              <w:right w:val="single" w:sz="4" w:space="0" w:color="auto"/>
            </w:tcBorders>
            <w:shd w:val="clear" w:color="000000" w:fill="FFFFFF"/>
            <w:noWrap/>
            <w:vAlign w:val="bottom"/>
            <w:hideMark/>
          </w:tcPr>
          <w:p w14:paraId="162448A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369,0</w:t>
            </w:r>
          </w:p>
        </w:tc>
        <w:tc>
          <w:tcPr>
            <w:tcW w:w="1384" w:type="dxa"/>
            <w:tcBorders>
              <w:top w:val="nil"/>
              <w:left w:val="nil"/>
              <w:bottom w:val="single" w:sz="4" w:space="0" w:color="auto"/>
              <w:right w:val="single" w:sz="4" w:space="0" w:color="auto"/>
            </w:tcBorders>
            <w:shd w:val="clear" w:color="000000" w:fill="FFFFFF"/>
            <w:noWrap/>
            <w:vAlign w:val="bottom"/>
            <w:hideMark/>
          </w:tcPr>
          <w:p w14:paraId="0903A2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2 580,8</w:t>
            </w:r>
          </w:p>
        </w:tc>
        <w:tc>
          <w:tcPr>
            <w:tcW w:w="1134" w:type="dxa"/>
            <w:tcBorders>
              <w:top w:val="nil"/>
              <w:left w:val="nil"/>
              <w:bottom w:val="single" w:sz="4" w:space="0" w:color="auto"/>
              <w:right w:val="single" w:sz="4" w:space="0" w:color="auto"/>
            </w:tcBorders>
            <w:shd w:val="clear" w:color="000000" w:fill="FFFFFF"/>
            <w:noWrap/>
            <w:vAlign w:val="bottom"/>
            <w:hideMark/>
          </w:tcPr>
          <w:p w14:paraId="6B87A4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255,7</w:t>
            </w:r>
          </w:p>
        </w:tc>
        <w:tc>
          <w:tcPr>
            <w:tcW w:w="1277" w:type="dxa"/>
            <w:tcBorders>
              <w:top w:val="nil"/>
              <w:left w:val="nil"/>
              <w:bottom w:val="single" w:sz="4" w:space="0" w:color="auto"/>
              <w:right w:val="single" w:sz="4" w:space="0" w:color="auto"/>
            </w:tcBorders>
            <w:shd w:val="clear" w:color="000000" w:fill="FFFFFF"/>
            <w:noWrap/>
            <w:vAlign w:val="bottom"/>
            <w:hideMark/>
          </w:tcPr>
          <w:p w14:paraId="4DBF7D6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28 568,6</w:t>
            </w:r>
          </w:p>
        </w:tc>
        <w:tc>
          <w:tcPr>
            <w:tcW w:w="1040" w:type="dxa"/>
            <w:tcBorders>
              <w:top w:val="nil"/>
              <w:left w:val="nil"/>
              <w:bottom w:val="single" w:sz="4" w:space="0" w:color="auto"/>
              <w:right w:val="single" w:sz="4" w:space="0" w:color="auto"/>
            </w:tcBorders>
            <w:shd w:val="clear" w:color="000000" w:fill="FFFFFF"/>
            <w:noWrap/>
            <w:vAlign w:val="bottom"/>
            <w:hideMark/>
          </w:tcPr>
          <w:p w14:paraId="463B82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3 177,6</w:t>
            </w:r>
          </w:p>
        </w:tc>
        <w:tc>
          <w:tcPr>
            <w:tcW w:w="1087" w:type="dxa"/>
            <w:tcBorders>
              <w:top w:val="nil"/>
              <w:left w:val="nil"/>
              <w:bottom w:val="single" w:sz="4" w:space="0" w:color="auto"/>
              <w:right w:val="single" w:sz="4" w:space="0" w:color="auto"/>
            </w:tcBorders>
            <w:shd w:val="clear" w:color="000000" w:fill="FFFFFF"/>
            <w:noWrap/>
            <w:vAlign w:val="bottom"/>
            <w:hideMark/>
          </w:tcPr>
          <w:p w14:paraId="7417F7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8 239,3</w:t>
            </w:r>
          </w:p>
        </w:tc>
        <w:tc>
          <w:tcPr>
            <w:tcW w:w="1040" w:type="dxa"/>
            <w:tcBorders>
              <w:top w:val="nil"/>
              <w:left w:val="nil"/>
              <w:bottom w:val="single" w:sz="4" w:space="0" w:color="auto"/>
              <w:right w:val="single" w:sz="4" w:space="0" w:color="auto"/>
            </w:tcBorders>
            <w:shd w:val="clear" w:color="000000" w:fill="FFFFFF"/>
            <w:noWrap/>
            <w:vAlign w:val="bottom"/>
            <w:hideMark/>
          </w:tcPr>
          <w:p w14:paraId="5682CC4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1 467,5</w:t>
            </w:r>
          </w:p>
        </w:tc>
        <w:tc>
          <w:tcPr>
            <w:tcW w:w="1226" w:type="dxa"/>
            <w:tcBorders>
              <w:top w:val="nil"/>
              <w:left w:val="nil"/>
              <w:bottom w:val="single" w:sz="4" w:space="0" w:color="auto"/>
              <w:right w:val="single" w:sz="4" w:space="0" w:color="auto"/>
            </w:tcBorders>
            <w:shd w:val="clear" w:color="000000" w:fill="FFFFFF"/>
            <w:noWrap/>
            <w:vAlign w:val="bottom"/>
            <w:hideMark/>
          </w:tcPr>
          <w:p w14:paraId="72E47B7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28BBE7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DD579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Mъглиж</w:t>
            </w:r>
          </w:p>
        </w:tc>
        <w:tc>
          <w:tcPr>
            <w:tcW w:w="1911" w:type="dxa"/>
            <w:tcBorders>
              <w:top w:val="nil"/>
              <w:left w:val="nil"/>
              <w:bottom w:val="single" w:sz="4" w:space="0" w:color="auto"/>
              <w:right w:val="single" w:sz="4" w:space="0" w:color="auto"/>
            </w:tcBorders>
            <w:shd w:val="clear" w:color="000000" w:fill="FFFFFF"/>
            <w:noWrap/>
            <w:vAlign w:val="bottom"/>
            <w:hideMark/>
          </w:tcPr>
          <w:p w14:paraId="71A40E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7 348,8</w:t>
            </w:r>
          </w:p>
        </w:tc>
        <w:tc>
          <w:tcPr>
            <w:tcW w:w="1118" w:type="dxa"/>
            <w:tcBorders>
              <w:top w:val="nil"/>
              <w:left w:val="nil"/>
              <w:bottom w:val="single" w:sz="4" w:space="0" w:color="auto"/>
              <w:right w:val="single" w:sz="4" w:space="0" w:color="auto"/>
            </w:tcBorders>
            <w:shd w:val="clear" w:color="000000" w:fill="FFFFFF"/>
            <w:noWrap/>
            <w:vAlign w:val="bottom"/>
            <w:hideMark/>
          </w:tcPr>
          <w:p w14:paraId="3DDC8C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970,0</w:t>
            </w:r>
          </w:p>
        </w:tc>
        <w:tc>
          <w:tcPr>
            <w:tcW w:w="1257" w:type="dxa"/>
            <w:tcBorders>
              <w:top w:val="nil"/>
              <w:left w:val="nil"/>
              <w:bottom w:val="single" w:sz="4" w:space="0" w:color="auto"/>
              <w:right w:val="single" w:sz="4" w:space="0" w:color="auto"/>
            </w:tcBorders>
            <w:shd w:val="clear" w:color="000000" w:fill="FFFFFF"/>
            <w:noWrap/>
            <w:vAlign w:val="bottom"/>
            <w:hideMark/>
          </w:tcPr>
          <w:p w14:paraId="50F7E0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217,3</w:t>
            </w:r>
          </w:p>
        </w:tc>
        <w:tc>
          <w:tcPr>
            <w:tcW w:w="1384" w:type="dxa"/>
            <w:tcBorders>
              <w:top w:val="nil"/>
              <w:left w:val="nil"/>
              <w:bottom w:val="single" w:sz="4" w:space="0" w:color="auto"/>
              <w:right w:val="single" w:sz="4" w:space="0" w:color="auto"/>
            </w:tcBorders>
            <w:shd w:val="clear" w:color="000000" w:fill="FFFFFF"/>
            <w:noWrap/>
            <w:vAlign w:val="bottom"/>
            <w:hideMark/>
          </w:tcPr>
          <w:p w14:paraId="505BDA7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752,7</w:t>
            </w:r>
          </w:p>
        </w:tc>
        <w:tc>
          <w:tcPr>
            <w:tcW w:w="1134" w:type="dxa"/>
            <w:tcBorders>
              <w:top w:val="nil"/>
              <w:left w:val="nil"/>
              <w:bottom w:val="single" w:sz="4" w:space="0" w:color="auto"/>
              <w:right w:val="single" w:sz="4" w:space="0" w:color="auto"/>
            </w:tcBorders>
            <w:shd w:val="clear" w:color="000000" w:fill="FFFFFF"/>
            <w:noWrap/>
            <w:vAlign w:val="bottom"/>
            <w:hideMark/>
          </w:tcPr>
          <w:p w14:paraId="6ED915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149,0</w:t>
            </w:r>
          </w:p>
        </w:tc>
        <w:tc>
          <w:tcPr>
            <w:tcW w:w="1277" w:type="dxa"/>
            <w:tcBorders>
              <w:top w:val="nil"/>
              <w:left w:val="nil"/>
              <w:bottom w:val="single" w:sz="4" w:space="0" w:color="auto"/>
              <w:right w:val="single" w:sz="4" w:space="0" w:color="auto"/>
            </w:tcBorders>
            <w:shd w:val="clear" w:color="000000" w:fill="FFFFFF"/>
            <w:noWrap/>
            <w:vAlign w:val="bottom"/>
            <w:hideMark/>
          </w:tcPr>
          <w:p w14:paraId="1926E6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5 343,2</w:t>
            </w:r>
          </w:p>
        </w:tc>
        <w:tc>
          <w:tcPr>
            <w:tcW w:w="1040" w:type="dxa"/>
            <w:tcBorders>
              <w:top w:val="nil"/>
              <w:left w:val="nil"/>
              <w:bottom w:val="single" w:sz="4" w:space="0" w:color="auto"/>
              <w:right w:val="single" w:sz="4" w:space="0" w:color="auto"/>
            </w:tcBorders>
            <w:shd w:val="clear" w:color="000000" w:fill="FFFFFF"/>
            <w:noWrap/>
            <w:vAlign w:val="bottom"/>
            <w:hideMark/>
          </w:tcPr>
          <w:p w14:paraId="0458C13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185,4</w:t>
            </w:r>
          </w:p>
        </w:tc>
        <w:tc>
          <w:tcPr>
            <w:tcW w:w="1087" w:type="dxa"/>
            <w:tcBorders>
              <w:top w:val="nil"/>
              <w:left w:val="nil"/>
              <w:bottom w:val="single" w:sz="4" w:space="0" w:color="auto"/>
              <w:right w:val="single" w:sz="4" w:space="0" w:color="auto"/>
            </w:tcBorders>
            <w:shd w:val="clear" w:color="000000" w:fill="FFFFFF"/>
            <w:noWrap/>
            <w:vAlign w:val="bottom"/>
            <w:hideMark/>
          </w:tcPr>
          <w:p w14:paraId="5BF7FF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532,6</w:t>
            </w:r>
          </w:p>
        </w:tc>
        <w:tc>
          <w:tcPr>
            <w:tcW w:w="1040" w:type="dxa"/>
            <w:tcBorders>
              <w:top w:val="nil"/>
              <w:left w:val="nil"/>
              <w:bottom w:val="single" w:sz="4" w:space="0" w:color="auto"/>
              <w:right w:val="single" w:sz="4" w:space="0" w:color="auto"/>
            </w:tcBorders>
            <w:shd w:val="clear" w:color="000000" w:fill="FFFFFF"/>
            <w:noWrap/>
            <w:vAlign w:val="bottom"/>
            <w:hideMark/>
          </w:tcPr>
          <w:p w14:paraId="540F63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168,6</w:t>
            </w:r>
          </w:p>
        </w:tc>
        <w:tc>
          <w:tcPr>
            <w:tcW w:w="1226" w:type="dxa"/>
            <w:tcBorders>
              <w:top w:val="nil"/>
              <w:left w:val="nil"/>
              <w:bottom w:val="single" w:sz="4" w:space="0" w:color="auto"/>
              <w:right w:val="single" w:sz="4" w:space="0" w:color="auto"/>
            </w:tcBorders>
            <w:shd w:val="clear" w:color="000000" w:fill="FFFFFF"/>
            <w:noWrap/>
            <w:vAlign w:val="bottom"/>
            <w:hideMark/>
          </w:tcPr>
          <w:p w14:paraId="6D7A29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FAC31F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61741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Николаево</w:t>
            </w:r>
          </w:p>
        </w:tc>
        <w:tc>
          <w:tcPr>
            <w:tcW w:w="1911" w:type="dxa"/>
            <w:tcBorders>
              <w:top w:val="nil"/>
              <w:left w:val="nil"/>
              <w:bottom w:val="single" w:sz="4" w:space="0" w:color="auto"/>
              <w:right w:val="single" w:sz="4" w:space="0" w:color="auto"/>
            </w:tcBorders>
            <w:shd w:val="clear" w:color="000000" w:fill="FFFFFF"/>
            <w:noWrap/>
            <w:vAlign w:val="bottom"/>
            <w:hideMark/>
          </w:tcPr>
          <w:p w14:paraId="053DD2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4 300,1</w:t>
            </w:r>
          </w:p>
        </w:tc>
        <w:tc>
          <w:tcPr>
            <w:tcW w:w="1118" w:type="dxa"/>
            <w:tcBorders>
              <w:top w:val="nil"/>
              <w:left w:val="nil"/>
              <w:bottom w:val="single" w:sz="4" w:space="0" w:color="auto"/>
              <w:right w:val="single" w:sz="4" w:space="0" w:color="auto"/>
            </w:tcBorders>
            <w:shd w:val="clear" w:color="000000" w:fill="FFFFFF"/>
            <w:noWrap/>
            <w:vAlign w:val="bottom"/>
            <w:hideMark/>
          </w:tcPr>
          <w:p w14:paraId="2FC513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640,9</w:t>
            </w:r>
          </w:p>
        </w:tc>
        <w:tc>
          <w:tcPr>
            <w:tcW w:w="1257" w:type="dxa"/>
            <w:tcBorders>
              <w:top w:val="nil"/>
              <w:left w:val="nil"/>
              <w:bottom w:val="single" w:sz="4" w:space="0" w:color="auto"/>
              <w:right w:val="single" w:sz="4" w:space="0" w:color="auto"/>
            </w:tcBorders>
            <w:shd w:val="clear" w:color="000000" w:fill="FFFFFF"/>
            <w:noWrap/>
            <w:vAlign w:val="bottom"/>
            <w:hideMark/>
          </w:tcPr>
          <w:p w14:paraId="369909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89,3</w:t>
            </w:r>
          </w:p>
        </w:tc>
        <w:tc>
          <w:tcPr>
            <w:tcW w:w="1384" w:type="dxa"/>
            <w:tcBorders>
              <w:top w:val="nil"/>
              <w:left w:val="nil"/>
              <w:bottom w:val="single" w:sz="4" w:space="0" w:color="auto"/>
              <w:right w:val="single" w:sz="4" w:space="0" w:color="auto"/>
            </w:tcBorders>
            <w:shd w:val="clear" w:color="000000" w:fill="FFFFFF"/>
            <w:noWrap/>
            <w:vAlign w:val="bottom"/>
            <w:hideMark/>
          </w:tcPr>
          <w:p w14:paraId="28139D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551,6</w:t>
            </w:r>
          </w:p>
        </w:tc>
        <w:tc>
          <w:tcPr>
            <w:tcW w:w="1134" w:type="dxa"/>
            <w:tcBorders>
              <w:top w:val="nil"/>
              <w:left w:val="nil"/>
              <w:bottom w:val="single" w:sz="4" w:space="0" w:color="auto"/>
              <w:right w:val="single" w:sz="4" w:space="0" w:color="auto"/>
            </w:tcBorders>
            <w:shd w:val="clear" w:color="000000" w:fill="FFFFFF"/>
            <w:noWrap/>
            <w:vAlign w:val="bottom"/>
            <w:hideMark/>
          </w:tcPr>
          <w:p w14:paraId="137D49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134,1</w:t>
            </w:r>
          </w:p>
        </w:tc>
        <w:tc>
          <w:tcPr>
            <w:tcW w:w="1277" w:type="dxa"/>
            <w:tcBorders>
              <w:top w:val="nil"/>
              <w:left w:val="nil"/>
              <w:bottom w:val="single" w:sz="4" w:space="0" w:color="auto"/>
              <w:right w:val="single" w:sz="4" w:space="0" w:color="auto"/>
            </w:tcBorders>
            <w:shd w:val="clear" w:color="000000" w:fill="FFFFFF"/>
            <w:noWrap/>
            <w:vAlign w:val="bottom"/>
            <w:hideMark/>
          </w:tcPr>
          <w:p w14:paraId="4875BF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2 960,6</w:t>
            </w:r>
          </w:p>
        </w:tc>
        <w:tc>
          <w:tcPr>
            <w:tcW w:w="1040" w:type="dxa"/>
            <w:tcBorders>
              <w:top w:val="nil"/>
              <w:left w:val="nil"/>
              <w:bottom w:val="single" w:sz="4" w:space="0" w:color="auto"/>
              <w:right w:val="single" w:sz="4" w:space="0" w:color="auto"/>
            </w:tcBorders>
            <w:shd w:val="clear" w:color="000000" w:fill="FFFFFF"/>
            <w:noWrap/>
            <w:vAlign w:val="bottom"/>
            <w:hideMark/>
          </w:tcPr>
          <w:p w14:paraId="682F05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102,5</w:t>
            </w:r>
          </w:p>
        </w:tc>
        <w:tc>
          <w:tcPr>
            <w:tcW w:w="1087" w:type="dxa"/>
            <w:tcBorders>
              <w:top w:val="nil"/>
              <w:left w:val="nil"/>
              <w:bottom w:val="single" w:sz="4" w:space="0" w:color="auto"/>
              <w:right w:val="single" w:sz="4" w:space="0" w:color="auto"/>
            </w:tcBorders>
            <w:shd w:val="clear" w:color="000000" w:fill="FFFFFF"/>
            <w:noWrap/>
            <w:vAlign w:val="bottom"/>
            <w:hideMark/>
          </w:tcPr>
          <w:p w14:paraId="6F0240E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349,6</w:t>
            </w:r>
          </w:p>
        </w:tc>
        <w:tc>
          <w:tcPr>
            <w:tcW w:w="1040" w:type="dxa"/>
            <w:tcBorders>
              <w:top w:val="nil"/>
              <w:left w:val="nil"/>
              <w:bottom w:val="single" w:sz="4" w:space="0" w:color="auto"/>
              <w:right w:val="single" w:sz="4" w:space="0" w:color="auto"/>
            </w:tcBorders>
            <w:shd w:val="clear" w:color="000000" w:fill="FFFFFF"/>
            <w:noWrap/>
            <w:vAlign w:val="bottom"/>
            <w:hideMark/>
          </w:tcPr>
          <w:p w14:paraId="448039B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112,4</w:t>
            </w:r>
          </w:p>
        </w:tc>
        <w:tc>
          <w:tcPr>
            <w:tcW w:w="1226" w:type="dxa"/>
            <w:tcBorders>
              <w:top w:val="nil"/>
              <w:left w:val="nil"/>
              <w:bottom w:val="single" w:sz="4" w:space="0" w:color="auto"/>
              <w:right w:val="single" w:sz="4" w:space="0" w:color="auto"/>
            </w:tcBorders>
            <w:shd w:val="clear" w:color="000000" w:fill="FFFFFF"/>
            <w:noWrap/>
            <w:vAlign w:val="bottom"/>
            <w:hideMark/>
          </w:tcPr>
          <w:p w14:paraId="063378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486875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C05D73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Oпан</w:t>
            </w:r>
          </w:p>
        </w:tc>
        <w:tc>
          <w:tcPr>
            <w:tcW w:w="1911" w:type="dxa"/>
            <w:tcBorders>
              <w:top w:val="nil"/>
              <w:left w:val="nil"/>
              <w:bottom w:val="single" w:sz="4" w:space="0" w:color="auto"/>
              <w:right w:val="single" w:sz="4" w:space="0" w:color="auto"/>
            </w:tcBorders>
            <w:shd w:val="clear" w:color="000000" w:fill="FFFFFF"/>
            <w:noWrap/>
            <w:vAlign w:val="bottom"/>
            <w:hideMark/>
          </w:tcPr>
          <w:p w14:paraId="571EA7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1 616,7</w:t>
            </w:r>
          </w:p>
        </w:tc>
        <w:tc>
          <w:tcPr>
            <w:tcW w:w="1118" w:type="dxa"/>
            <w:tcBorders>
              <w:top w:val="nil"/>
              <w:left w:val="nil"/>
              <w:bottom w:val="single" w:sz="4" w:space="0" w:color="auto"/>
              <w:right w:val="single" w:sz="4" w:space="0" w:color="auto"/>
            </w:tcBorders>
            <w:shd w:val="clear" w:color="000000" w:fill="FFFFFF"/>
            <w:noWrap/>
            <w:vAlign w:val="bottom"/>
            <w:hideMark/>
          </w:tcPr>
          <w:p w14:paraId="4E14AA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660,0</w:t>
            </w:r>
          </w:p>
        </w:tc>
        <w:tc>
          <w:tcPr>
            <w:tcW w:w="1257" w:type="dxa"/>
            <w:tcBorders>
              <w:top w:val="nil"/>
              <w:left w:val="nil"/>
              <w:bottom w:val="single" w:sz="4" w:space="0" w:color="auto"/>
              <w:right w:val="single" w:sz="4" w:space="0" w:color="auto"/>
            </w:tcBorders>
            <w:shd w:val="clear" w:color="000000" w:fill="FFFFFF"/>
            <w:noWrap/>
            <w:vAlign w:val="bottom"/>
            <w:hideMark/>
          </w:tcPr>
          <w:p w14:paraId="09D2C33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215,6</w:t>
            </w:r>
          </w:p>
        </w:tc>
        <w:tc>
          <w:tcPr>
            <w:tcW w:w="1384" w:type="dxa"/>
            <w:tcBorders>
              <w:top w:val="nil"/>
              <w:left w:val="nil"/>
              <w:bottom w:val="single" w:sz="4" w:space="0" w:color="auto"/>
              <w:right w:val="single" w:sz="4" w:space="0" w:color="auto"/>
            </w:tcBorders>
            <w:shd w:val="clear" w:color="000000" w:fill="FFFFFF"/>
            <w:noWrap/>
            <w:vAlign w:val="bottom"/>
            <w:hideMark/>
          </w:tcPr>
          <w:p w14:paraId="7597060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444,4</w:t>
            </w:r>
          </w:p>
        </w:tc>
        <w:tc>
          <w:tcPr>
            <w:tcW w:w="1134" w:type="dxa"/>
            <w:tcBorders>
              <w:top w:val="nil"/>
              <w:left w:val="nil"/>
              <w:bottom w:val="single" w:sz="4" w:space="0" w:color="auto"/>
              <w:right w:val="single" w:sz="4" w:space="0" w:color="auto"/>
            </w:tcBorders>
            <w:shd w:val="clear" w:color="000000" w:fill="FFFFFF"/>
            <w:noWrap/>
            <w:vAlign w:val="bottom"/>
            <w:hideMark/>
          </w:tcPr>
          <w:p w14:paraId="3DCEB1C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93,7</w:t>
            </w:r>
          </w:p>
        </w:tc>
        <w:tc>
          <w:tcPr>
            <w:tcW w:w="1277" w:type="dxa"/>
            <w:tcBorders>
              <w:top w:val="nil"/>
              <w:left w:val="nil"/>
              <w:bottom w:val="single" w:sz="4" w:space="0" w:color="auto"/>
              <w:right w:val="single" w:sz="4" w:space="0" w:color="auto"/>
            </w:tcBorders>
            <w:shd w:val="clear" w:color="000000" w:fill="FFFFFF"/>
            <w:noWrap/>
            <w:vAlign w:val="bottom"/>
            <w:hideMark/>
          </w:tcPr>
          <w:p w14:paraId="3D86EF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644,3</w:t>
            </w:r>
          </w:p>
        </w:tc>
        <w:tc>
          <w:tcPr>
            <w:tcW w:w="1040" w:type="dxa"/>
            <w:tcBorders>
              <w:top w:val="nil"/>
              <w:left w:val="nil"/>
              <w:bottom w:val="single" w:sz="4" w:space="0" w:color="auto"/>
              <w:right w:val="single" w:sz="4" w:space="0" w:color="auto"/>
            </w:tcBorders>
            <w:shd w:val="clear" w:color="000000" w:fill="FFFFFF"/>
            <w:noWrap/>
            <w:vAlign w:val="bottom"/>
            <w:hideMark/>
          </w:tcPr>
          <w:p w14:paraId="7CA06F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w:t>
            </w:r>
          </w:p>
        </w:tc>
        <w:tc>
          <w:tcPr>
            <w:tcW w:w="1087" w:type="dxa"/>
            <w:tcBorders>
              <w:top w:val="nil"/>
              <w:left w:val="nil"/>
              <w:bottom w:val="single" w:sz="4" w:space="0" w:color="auto"/>
              <w:right w:val="single" w:sz="4" w:space="0" w:color="auto"/>
            </w:tcBorders>
            <w:shd w:val="clear" w:color="000000" w:fill="FFFFFF"/>
            <w:noWrap/>
            <w:vAlign w:val="bottom"/>
            <w:hideMark/>
          </w:tcPr>
          <w:p w14:paraId="31E5509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74,6</w:t>
            </w:r>
          </w:p>
        </w:tc>
        <w:tc>
          <w:tcPr>
            <w:tcW w:w="1040" w:type="dxa"/>
            <w:tcBorders>
              <w:top w:val="nil"/>
              <w:left w:val="nil"/>
              <w:bottom w:val="single" w:sz="4" w:space="0" w:color="auto"/>
              <w:right w:val="single" w:sz="4" w:space="0" w:color="auto"/>
            </w:tcBorders>
            <w:shd w:val="clear" w:color="000000" w:fill="FFFFFF"/>
            <w:noWrap/>
            <w:vAlign w:val="bottom"/>
            <w:hideMark/>
          </w:tcPr>
          <w:p w14:paraId="45508F6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134,9</w:t>
            </w:r>
          </w:p>
        </w:tc>
        <w:tc>
          <w:tcPr>
            <w:tcW w:w="1226" w:type="dxa"/>
            <w:tcBorders>
              <w:top w:val="nil"/>
              <w:left w:val="nil"/>
              <w:bottom w:val="single" w:sz="4" w:space="0" w:color="auto"/>
              <w:right w:val="single" w:sz="4" w:space="0" w:color="auto"/>
            </w:tcBorders>
            <w:shd w:val="clear" w:color="000000" w:fill="FFFFFF"/>
            <w:noWrap/>
            <w:vAlign w:val="bottom"/>
            <w:hideMark/>
          </w:tcPr>
          <w:p w14:paraId="3E9992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9226E8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80338F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Павел баня</w:t>
            </w:r>
          </w:p>
        </w:tc>
        <w:tc>
          <w:tcPr>
            <w:tcW w:w="1911" w:type="dxa"/>
            <w:tcBorders>
              <w:top w:val="nil"/>
              <w:left w:val="nil"/>
              <w:bottom w:val="single" w:sz="4" w:space="0" w:color="auto"/>
              <w:right w:val="single" w:sz="4" w:space="0" w:color="auto"/>
            </w:tcBorders>
            <w:shd w:val="clear" w:color="000000" w:fill="FFFFFF"/>
            <w:noWrap/>
            <w:vAlign w:val="bottom"/>
            <w:hideMark/>
          </w:tcPr>
          <w:p w14:paraId="0EAE7C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9 555,6</w:t>
            </w:r>
          </w:p>
        </w:tc>
        <w:tc>
          <w:tcPr>
            <w:tcW w:w="1118" w:type="dxa"/>
            <w:tcBorders>
              <w:top w:val="nil"/>
              <w:left w:val="nil"/>
              <w:bottom w:val="single" w:sz="4" w:space="0" w:color="auto"/>
              <w:right w:val="single" w:sz="4" w:space="0" w:color="auto"/>
            </w:tcBorders>
            <w:shd w:val="clear" w:color="000000" w:fill="FFFFFF"/>
            <w:noWrap/>
            <w:vAlign w:val="bottom"/>
            <w:hideMark/>
          </w:tcPr>
          <w:p w14:paraId="56E77F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1 142,1</w:t>
            </w:r>
          </w:p>
        </w:tc>
        <w:tc>
          <w:tcPr>
            <w:tcW w:w="1257" w:type="dxa"/>
            <w:tcBorders>
              <w:top w:val="nil"/>
              <w:left w:val="nil"/>
              <w:bottom w:val="single" w:sz="4" w:space="0" w:color="auto"/>
              <w:right w:val="single" w:sz="4" w:space="0" w:color="auto"/>
            </w:tcBorders>
            <w:shd w:val="clear" w:color="000000" w:fill="FFFFFF"/>
            <w:noWrap/>
            <w:vAlign w:val="bottom"/>
            <w:hideMark/>
          </w:tcPr>
          <w:p w14:paraId="0A16AD9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244,1</w:t>
            </w:r>
          </w:p>
        </w:tc>
        <w:tc>
          <w:tcPr>
            <w:tcW w:w="1384" w:type="dxa"/>
            <w:tcBorders>
              <w:top w:val="nil"/>
              <w:left w:val="nil"/>
              <w:bottom w:val="single" w:sz="4" w:space="0" w:color="auto"/>
              <w:right w:val="single" w:sz="4" w:space="0" w:color="auto"/>
            </w:tcBorders>
            <w:shd w:val="clear" w:color="000000" w:fill="FFFFFF"/>
            <w:noWrap/>
            <w:vAlign w:val="bottom"/>
            <w:hideMark/>
          </w:tcPr>
          <w:p w14:paraId="230DEBE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898,0</w:t>
            </w:r>
          </w:p>
        </w:tc>
        <w:tc>
          <w:tcPr>
            <w:tcW w:w="1134" w:type="dxa"/>
            <w:tcBorders>
              <w:top w:val="nil"/>
              <w:left w:val="nil"/>
              <w:bottom w:val="single" w:sz="4" w:space="0" w:color="auto"/>
              <w:right w:val="single" w:sz="4" w:space="0" w:color="auto"/>
            </w:tcBorders>
            <w:shd w:val="clear" w:color="000000" w:fill="FFFFFF"/>
            <w:noWrap/>
            <w:vAlign w:val="bottom"/>
            <w:hideMark/>
          </w:tcPr>
          <w:p w14:paraId="682078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138,8</w:t>
            </w:r>
          </w:p>
        </w:tc>
        <w:tc>
          <w:tcPr>
            <w:tcW w:w="1277" w:type="dxa"/>
            <w:tcBorders>
              <w:top w:val="nil"/>
              <w:left w:val="nil"/>
              <w:bottom w:val="single" w:sz="4" w:space="0" w:color="auto"/>
              <w:right w:val="single" w:sz="4" w:space="0" w:color="auto"/>
            </w:tcBorders>
            <w:shd w:val="clear" w:color="000000" w:fill="FFFFFF"/>
            <w:noWrap/>
            <w:vAlign w:val="bottom"/>
            <w:hideMark/>
          </w:tcPr>
          <w:p w14:paraId="40B9CB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6 900,9</w:t>
            </w:r>
          </w:p>
        </w:tc>
        <w:tc>
          <w:tcPr>
            <w:tcW w:w="1040" w:type="dxa"/>
            <w:tcBorders>
              <w:top w:val="nil"/>
              <w:left w:val="nil"/>
              <w:bottom w:val="single" w:sz="4" w:space="0" w:color="auto"/>
              <w:right w:val="single" w:sz="4" w:space="0" w:color="auto"/>
            </w:tcBorders>
            <w:shd w:val="clear" w:color="000000" w:fill="FFFFFF"/>
            <w:noWrap/>
            <w:vAlign w:val="bottom"/>
            <w:hideMark/>
          </w:tcPr>
          <w:p w14:paraId="32B0053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632,5</w:t>
            </w:r>
          </w:p>
        </w:tc>
        <w:tc>
          <w:tcPr>
            <w:tcW w:w="1087" w:type="dxa"/>
            <w:tcBorders>
              <w:top w:val="nil"/>
              <w:left w:val="nil"/>
              <w:bottom w:val="single" w:sz="4" w:space="0" w:color="auto"/>
              <w:right w:val="single" w:sz="4" w:space="0" w:color="auto"/>
            </w:tcBorders>
            <w:shd w:val="clear" w:color="000000" w:fill="FFFFFF"/>
            <w:noWrap/>
            <w:vAlign w:val="bottom"/>
            <w:hideMark/>
          </w:tcPr>
          <w:p w14:paraId="25C612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516,5</w:t>
            </w:r>
          </w:p>
        </w:tc>
        <w:tc>
          <w:tcPr>
            <w:tcW w:w="1040" w:type="dxa"/>
            <w:tcBorders>
              <w:top w:val="nil"/>
              <w:left w:val="nil"/>
              <w:bottom w:val="single" w:sz="4" w:space="0" w:color="auto"/>
              <w:right w:val="single" w:sz="4" w:space="0" w:color="auto"/>
            </w:tcBorders>
            <w:shd w:val="clear" w:color="000000" w:fill="FFFFFF"/>
            <w:noWrap/>
            <w:vAlign w:val="bottom"/>
            <w:hideMark/>
          </w:tcPr>
          <w:p w14:paraId="3AD22F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224,8</w:t>
            </w:r>
          </w:p>
        </w:tc>
        <w:tc>
          <w:tcPr>
            <w:tcW w:w="1226" w:type="dxa"/>
            <w:tcBorders>
              <w:top w:val="nil"/>
              <w:left w:val="nil"/>
              <w:bottom w:val="single" w:sz="4" w:space="0" w:color="auto"/>
              <w:right w:val="single" w:sz="4" w:space="0" w:color="auto"/>
            </w:tcBorders>
            <w:shd w:val="clear" w:color="000000" w:fill="FFFFFF"/>
            <w:noWrap/>
            <w:vAlign w:val="bottom"/>
            <w:hideMark/>
          </w:tcPr>
          <w:p w14:paraId="2C703EB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53FCBB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68F6596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Pаднево</w:t>
            </w:r>
          </w:p>
        </w:tc>
        <w:tc>
          <w:tcPr>
            <w:tcW w:w="1911" w:type="dxa"/>
            <w:tcBorders>
              <w:top w:val="nil"/>
              <w:left w:val="nil"/>
              <w:bottom w:val="single" w:sz="4" w:space="0" w:color="auto"/>
              <w:right w:val="single" w:sz="4" w:space="0" w:color="auto"/>
            </w:tcBorders>
            <w:shd w:val="clear" w:color="000000" w:fill="FFFFFF"/>
            <w:noWrap/>
            <w:vAlign w:val="bottom"/>
            <w:hideMark/>
          </w:tcPr>
          <w:p w14:paraId="4DCFA4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10 360,1</w:t>
            </w:r>
          </w:p>
        </w:tc>
        <w:tc>
          <w:tcPr>
            <w:tcW w:w="1118" w:type="dxa"/>
            <w:tcBorders>
              <w:top w:val="nil"/>
              <w:left w:val="nil"/>
              <w:bottom w:val="single" w:sz="4" w:space="0" w:color="auto"/>
              <w:right w:val="single" w:sz="4" w:space="0" w:color="auto"/>
            </w:tcBorders>
            <w:shd w:val="clear" w:color="000000" w:fill="FFFFFF"/>
            <w:noWrap/>
            <w:vAlign w:val="bottom"/>
            <w:hideMark/>
          </w:tcPr>
          <w:p w14:paraId="31D90B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1 263,8</w:t>
            </w:r>
          </w:p>
        </w:tc>
        <w:tc>
          <w:tcPr>
            <w:tcW w:w="1257" w:type="dxa"/>
            <w:tcBorders>
              <w:top w:val="nil"/>
              <w:left w:val="nil"/>
              <w:bottom w:val="single" w:sz="4" w:space="0" w:color="auto"/>
              <w:right w:val="single" w:sz="4" w:space="0" w:color="auto"/>
            </w:tcBorders>
            <w:shd w:val="clear" w:color="000000" w:fill="FFFFFF"/>
            <w:noWrap/>
            <w:vAlign w:val="bottom"/>
            <w:hideMark/>
          </w:tcPr>
          <w:p w14:paraId="6E94D1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350,3</w:t>
            </w:r>
          </w:p>
        </w:tc>
        <w:tc>
          <w:tcPr>
            <w:tcW w:w="1384" w:type="dxa"/>
            <w:tcBorders>
              <w:top w:val="nil"/>
              <w:left w:val="nil"/>
              <w:bottom w:val="single" w:sz="4" w:space="0" w:color="auto"/>
              <w:right w:val="single" w:sz="4" w:space="0" w:color="auto"/>
            </w:tcBorders>
            <w:shd w:val="clear" w:color="000000" w:fill="FFFFFF"/>
            <w:noWrap/>
            <w:vAlign w:val="bottom"/>
            <w:hideMark/>
          </w:tcPr>
          <w:p w14:paraId="5E3C1E0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913,5</w:t>
            </w:r>
          </w:p>
        </w:tc>
        <w:tc>
          <w:tcPr>
            <w:tcW w:w="1134" w:type="dxa"/>
            <w:tcBorders>
              <w:top w:val="nil"/>
              <w:left w:val="nil"/>
              <w:bottom w:val="single" w:sz="4" w:space="0" w:color="auto"/>
              <w:right w:val="single" w:sz="4" w:space="0" w:color="auto"/>
            </w:tcBorders>
            <w:shd w:val="clear" w:color="000000" w:fill="FFFFFF"/>
            <w:noWrap/>
            <w:vAlign w:val="bottom"/>
            <w:hideMark/>
          </w:tcPr>
          <w:p w14:paraId="4359DB0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168,5</w:t>
            </w:r>
          </w:p>
        </w:tc>
        <w:tc>
          <w:tcPr>
            <w:tcW w:w="1277" w:type="dxa"/>
            <w:tcBorders>
              <w:top w:val="nil"/>
              <w:left w:val="nil"/>
              <w:bottom w:val="single" w:sz="4" w:space="0" w:color="auto"/>
              <w:right w:val="single" w:sz="4" w:space="0" w:color="auto"/>
            </w:tcBorders>
            <w:shd w:val="clear" w:color="000000" w:fill="FFFFFF"/>
            <w:noWrap/>
            <w:vAlign w:val="bottom"/>
            <w:hideMark/>
          </w:tcPr>
          <w:p w14:paraId="69344A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7 026,7</w:t>
            </w:r>
          </w:p>
        </w:tc>
        <w:tc>
          <w:tcPr>
            <w:tcW w:w="1040" w:type="dxa"/>
            <w:tcBorders>
              <w:top w:val="nil"/>
              <w:left w:val="nil"/>
              <w:bottom w:val="single" w:sz="4" w:space="0" w:color="auto"/>
              <w:right w:val="single" w:sz="4" w:space="0" w:color="auto"/>
            </w:tcBorders>
            <w:shd w:val="clear" w:color="000000" w:fill="FFFFFF"/>
            <w:noWrap/>
            <w:vAlign w:val="bottom"/>
            <w:hideMark/>
          </w:tcPr>
          <w:p w14:paraId="160D6C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320,6</w:t>
            </w:r>
          </w:p>
        </w:tc>
        <w:tc>
          <w:tcPr>
            <w:tcW w:w="1087" w:type="dxa"/>
            <w:tcBorders>
              <w:top w:val="nil"/>
              <w:left w:val="nil"/>
              <w:bottom w:val="single" w:sz="4" w:space="0" w:color="auto"/>
              <w:right w:val="single" w:sz="4" w:space="0" w:color="auto"/>
            </w:tcBorders>
            <w:shd w:val="clear" w:color="000000" w:fill="FFFFFF"/>
            <w:noWrap/>
            <w:vAlign w:val="bottom"/>
            <w:hideMark/>
          </w:tcPr>
          <w:p w14:paraId="1C1765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1 101,4</w:t>
            </w:r>
          </w:p>
        </w:tc>
        <w:tc>
          <w:tcPr>
            <w:tcW w:w="1040" w:type="dxa"/>
            <w:tcBorders>
              <w:top w:val="nil"/>
              <w:left w:val="nil"/>
              <w:bottom w:val="single" w:sz="4" w:space="0" w:color="auto"/>
              <w:right w:val="single" w:sz="4" w:space="0" w:color="auto"/>
            </w:tcBorders>
            <w:shd w:val="clear" w:color="000000" w:fill="FFFFFF"/>
            <w:noWrap/>
            <w:vAlign w:val="bottom"/>
            <w:hideMark/>
          </w:tcPr>
          <w:p w14:paraId="48AD51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479,1</w:t>
            </w:r>
          </w:p>
        </w:tc>
        <w:tc>
          <w:tcPr>
            <w:tcW w:w="1226" w:type="dxa"/>
            <w:tcBorders>
              <w:top w:val="nil"/>
              <w:left w:val="nil"/>
              <w:bottom w:val="single" w:sz="4" w:space="0" w:color="auto"/>
              <w:right w:val="single" w:sz="4" w:space="0" w:color="auto"/>
            </w:tcBorders>
            <w:shd w:val="clear" w:color="000000" w:fill="FFFFFF"/>
            <w:noWrap/>
            <w:vAlign w:val="bottom"/>
            <w:hideMark/>
          </w:tcPr>
          <w:p w14:paraId="3C1D25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C167BC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B7705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Cтара Загора</w:t>
            </w:r>
          </w:p>
        </w:tc>
        <w:tc>
          <w:tcPr>
            <w:tcW w:w="1911" w:type="dxa"/>
            <w:tcBorders>
              <w:top w:val="nil"/>
              <w:left w:val="nil"/>
              <w:bottom w:val="single" w:sz="4" w:space="0" w:color="auto"/>
              <w:right w:val="single" w:sz="4" w:space="0" w:color="auto"/>
            </w:tcBorders>
            <w:shd w:val="clear" w:color="000000" w:fill="FFFFFF"/>
            <w:noWrap/>
            <w:vAlign w:val="bottom"/>
            <w:hideMark/>
          </w:tcPr>
          <w:p w14:paraId="60224B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94 568,6</w:t>
            </w:r>
          </w:p>
        </w:tc>
        <w:tc>
          <w:tcPr>
            <w:tcW w:w="1118" w:type="dxa"/>
            <w:tcBorders>
              <w:top w:val="nil"/>
              <w:left w:val="nil"/>
              <w:bottom w:val="single" w:sz="4" w:space="0" w:color="auto"/>
              <w:right w:val="single" w:sz="4" w:space="0" w:color="auto"/>
            </w:tcBorders>
            <w:shd w:val="clear" w:color="000000" w:fill="FFFFFF"/>
            <w:noWrap/>
            <w:vAlign w:val="bottom"/>
            <w:hideMark/>
          </w:tcPr>
          <w:p w14:paraId="1EC355B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5 566,6</w:t>
            </w:r>
          </w:p>
        </w:tc>
        <w:tc>
          <w:tcPr>
            <w:tcW w:w="1257" w:type="dxa"/>
            <w:tcBorders>
              <w:top w:val="nil"/>
              <w:left w:val="nil"/>
              <w:bottom w:val="single" w:sz="4" w:space="0" w:color="auto"/>
              <w:right w:val="single" w:sz="4" w:space="0" w:color="auto"/>
            </w:tcBorders>
            <w:shd w:val="clear" w:color="000000" w:fill="FFFFFF"/>
            <w:noWrap/>
            <w:vAlign w:val="bottom"/>
            <w:hideMark/>
          </w:tcPr>
          <w:p w14:paraId="46BBF73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820,5</w:t>
            </w:r>
          </w:p>
        </w:tc>
        <w:tc>
          <w:tcPr>
            <w:tcW w:w="1384" w:type="dxa"/>
            <w:tcBorders>
              <w:top w:val="nil"/>
              <w:left w:val="nil"/>
              <w:bottom w:val="single" w:sz="4" w:space="0" w:color="auto"/>
              <w:right w:val="single" w:sz="4" w:space="0" w:color="auto"/>
            </w:tcBorders>
            <w:shd w:val="clear" w:color="000000" w:fill="FFFFFF"/>
            <w:noWrap/>
            <w:vAlign w:val="bottom"/>
            <w:hideMark/>
          </w:tcPr>
          <w:p w14:paraId="3407D9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4 746,1</w:t>
            </w:r>
          </w:p>
        </w:tc>
        <w:tc>
          <w:tcPr>
            <w:tcW w:w="1134" w:type="dxa"/>
            <w:tcBorders>
              <w:top w:val="nil"/>
              <w:left w:val="nil"/>
              <w:bottom w:val="single" w:sz="4" w:space="0" w:color="auto"/>
              <w:right w:val="single" w:sz="4" w:space="0" w:color="auto"/>
            </w:tcBorders>
            <w:shd w:val="clear" w:color="000000" w:fill="FFFFFF"/>
            <w:noWrap/>
            <w:vAlign w:val="bottom"/>
            <w:hideMark/>
          </w:tcPr>
          <w:p w14:paraId="2C2F68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366,7</w:t>
            </w:r>
          </w:p>
        </w:tc>
        <w:tc>
          <w:tcPr>
            <w:tcW w:w="1277" w:type="dxa"/>
            <w:tcBorders>
              <w:top w:val="nil"/>
              <w:left w:val="nil"/>
              <w:bottom w:val="single" w:sz="4" w:space="0" w:color="auto"/>
              <w:right w:val="single" w:sz="4" w:space="0" w:color="auto"/>
            </w:tcBorders>
            <w:shd w:val="clear" w:color="000000" w:fill="FFFFFF"/>
            <w:noWrap/>
            <w:vAlign w:val="bottom"/>
            <w:hideMark/>
          </w:tcPr>
          <w:p w14:paraId="31C6EE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61 987,4</w:t>
            </w:r>
          </w:p>
        </w:tc>
        <w:tc>
          <w:tcPr>
            <w:tcW w:w="1040" w:type="dxa"/>
            <w:tcBorders>
              <w:top w:val="nil"/>
              <w:left w:val="nil"/>
              <w:bottom w:val="single" w:sz="4" w:space="0" w:color="auto"/>
              <w:right w:val="single" w:sz="4" w:space="0" w:color="auto"/>
            </w:tcBorders>
            <w:shd w:val="clear" w:color="000000" w:fill="FFFFFF"/>
            <w:noWrap/>
            <w:vAlign w:val="bottom"/>
            <w:hideMark/>
          </w:tcPr>
          <w:p w14:paraId="37A64BC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7 727,3</w:t>
            </w:r>
          </w:p>
        </w:tc>
        <w:tc>
          <w:tcPr>
            <w:tcW w:w="1087" w:type="dxa"/>
            <w:tcBorders>
              <w:top w:val="nil"/>
              <w:left w:val="nil"/>
              <w:bottom w:val="single" w:sz="4" w:space="0" w:color="auto"/>
              <w:right w:val="single" w:sz="4" w:space="0" w:color="auto"/>
            </w:tcBorders>
            <w:shd w:val="clear" w:color="000000" w:fill="FFFFFF"/>
            <w:noWrap/>
            <w:vAlign w:val="bottom"/>
            <w:hideMark/>
          </w:tcPr>
          <w:p w14:paraId="01B4C9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15 967,8</w:t>
            </w:r>
          </w:p>
        </w:tc>
        <w:tc>
          <w:tcPr>
            <w:tcW w:w="1040" w:type="dxa"/>
            <w:tcBorders>
              <w:top w:val="nil"/>
              <w:left w:val="nil"/>
              <w:bottom w:val="single" w:sz="4" w:space="0" w:color="auto"/>
              <w:right w:val="single" w:sz="4" w:space="0" w:color="auto"/>
            </w:tcBorders>
            <w:shd w:val="clear" w:color="000000" w:fill="FFFFFF"/>
            <w:noWrap/>
            <w:vAlign w:val="bottom"/>
            <w:hideMark/>
          </w:tcPr>
          <w:p w14:paraId="0FB59C1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2 952,8</w:t>
            </w:r>
          </w:p>
        </w:tc>
        <w:tc>
          <w:tcPr>
            <w:tcW w:w="1226" w:type="dxa"/>
            <w:tcBorders>
              <w:top w:val="nil"/>
              <w:left w:val="nil"/>
              <w:bottom w:val="single" w:sz="4" w:space="0" w:color="auto"/>
              <w:right w:val="single" w:sz="4" w:space="0" w:color="auto"/>
            </w:tcBorders>
            <w:shd w:val="clear" w:color="000000" w:fill="FFFFFF"/>
            <w:noWrap/>
            <w:vAlign w:val="bottom"/>
            <w:hideMark/>
          </w:tcPr>
          <w:p w14:paraId="45320C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BD02BD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597E6C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Чирпан</w:t>
            </w:r>
          </w:p>
        </w:tc>
        <w:tc>
          <w:tcPr>
            <w:tcW w:w="1911" w:type="dxa"/>
            <w:tcBorders>
              <w:top w:val="nil"/>
              <w:left w:val="nil"/>
              <w:bottom w:val="single" w:sz="4" w:space="0" w:color="auto"/>
              <w:right w:val="single" w:sz="4" w:space="0" w:color="auto"/>
            </w:tcBorders>
            <w:shd w:val="clear" w:color="000000" w:fill="FFFFFF"/>
            <w:noWrap/>
            <w:vAlign w:val="bottom"/>
            <w:hideMark/>
          </w:tcPr>
          <w:p w14:paraId="5F7E07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13 429,0</w:t>
            </w:r>
          </w:p>
        </w:tc>
        <w:tc>
          <w:tcPr>
            <w:tcW w:w="1118" w:type="dxa"/>
            <w:tcBorders>
              <w:top w:val="nil"/>
              <w:left w:val="nil"/>
              <w:bottom w:val="single" w:sz="4" w:space="0" w:color="auto"/>
              <w:right w:val="single" w:sz="4" w:space="0" w:color="auto"/>
            </w:tcBorders>
            <w:shd w:val="clear" w:color="000000" w:fill="FFFFFF"/>
            <w:noWrap/>
            <w:vAlign w:val="bottom"/>
            <w:hideMark/>
          </w:tcPr>
          <w:p w14:paraId="010438E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1 283,5</w:t>
            </w:r>
          </w:p>
        </w:tc>
        <w:tc>
          <w:tcPr>
            <w:tcW w:w="1257" w:type="dxa"/>
            <w:tcBorders>
              <w:top w:val="nil"/>
              <w:left w:val="nil"/>
              <w:bottom w:val="single" w:sz="4" w:space="0" w:color="auto"/>
              <w:right w:val="single" w:sz="4" w:space="0" w:color="auto"/>
            </w:tcBorders>
            <w:shd w:val="clear" w:color="000000" w:fill="FFFFFF"/>
            <w:noWrap/>
            <w:vAlign w:val="bottom"/>
            <w:hideMark/>
          </w:tcPr>
          <w:p w14:paraId="1A084C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279,6</w:t>
            </w:r>
          </w:p>
        </w:tc>
        <w:tc>
          <w:tcPr>
            <w:tcW w:w="1384" w:type="dxa"/>
            <w:tcBorders>
              <w:top w:val="nil"/>
              <w:left w:val="nil"/>
              <w:bottom w:val="single" w:sz="4" w:space="0" w:color="auto"/>
              <w:right w:val="single" w:sz="4" w:space="0" w:color="auto"/>
            </w:tcBorders>
            <w:shd w:val="clear" w:color="000000" w:fill="FFFFFF"/>
            <w:noWrap/>
            <w:vAlign w:val="bottom"/>
            <w:hideMark/>
          </w:tcPr>
          <w:p w14:paraId="4B7D5F0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1 003,9</w:t>
            </w:r>
          </w:p>
        </w:tc>
        <w:tc>
          <w:tcPr>
            <w:tcW w:w="1134" w:type="dxa"/>
            <w:tcBorders>
              <w:top w:val="nil"/>
              <w:left w:val="nil"/>
              <w:bottom w:val="single" w:sz="4" w:space="0" w:color="auto"/>
              <w:right w:val="single" w:sz="4" w:space="0" w:color="auto"/>
            </w:tcBorders>
            <w:shd w:val="clear" w:color="000000" w:fill="FFFFFF"/>
            <w:noWrap/>
            <w:vAlign w:val="bottom"/>
            <w:hideMark/>
          </w:tcPr>
          <w:p w14:paraId="23B420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210,9</w:t>
            </w:r>
          </w:p>
        </w:tc>
        <w:tc>
          <w:tcPr>
            <w:tcW w:w="1277" w:type="dxa"/>
            <w:tcBorders>
              <w:top w:val="nil"/>
              <w:left w:val="nil"/>
              <w:bottom w:val="single" w:sz="4" w:space="0" w:color="auto"/>
              <w:right w:val="single" w:sz="4" w:space="0" w:color="auto"/>
            </w:tcBorders>
            <w:shd w:val="clear" w:color="000000" w:fill="FFFFFF"/>
            <w:noWrap/>
            <w:vAlign w:val="bottom"/>
            <w:hideMark/>
          </w:tcPr>
          <w:p w14:paraId="506299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9 668,5</w:t>
            </w:r>
          </w:p>
        </w:tc>
        <w:tc>
          <w:tcPr>
            <w:tcW w:w="1040" w:type="dxa"/>
            <w:tcBorders>
              <w:top w:val="nil"/>
              <w:left w:val="nil"/>
              <w:bottom w:val="single" w:sz="4" w:space="0" w:color="auto"/>
              <w:right w:val="single" w:sz="4" w:space="0" w:color="auto"/>
            </w:tcBorders>
            <w:shd w:val="clear" w:color="000000" w:fill="FFFFFF"/>
            <w:noWrap/>
            <w:vAlign w:val="bottom"/>
            <w:hideMark/>
          </w:tcPr>
          <w:p w14:paraId="71A0D1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665,9</w:t>
            </w:r>
          </w:p>
        </w:tc>
        <w:tc>
          <w:tcPr>
            <w:tcW w:w="1087" w:type="dxa"/>
            <w:tcBorders>
              <w:top w:val="nil"/>
              <w:left w:val="nil"/>
              <w:bottom w:val="single" w:sz="4" w:space="0" w:color="auto"/>
              <w:right w:val="single" w:sz="4" w:space="0" w:color="auto"/>
            </w:tcBorders>
            <w:shd w:val="clear" w:color="000000" w:fill="FFFFFF"/>
            <w:noWrap/>
            <w:vAlign w:val="bottom"/>
            <w:hideMark/>
          </w:tcPr>
          <w:p w14:paraId="41A35E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1 120,2</w:t>
            </w:r>
          </w:p>
        </w:tc>
        <w:tc>
          <w:tcPr>
            <w:tcW w:w="1040" w:type="dxa"/>
            <w:tcBorders>
              <w:top w:val="nil"/>
              <w:left w:val="nil"/>
              <w:bottom w:val="single" w:sz="4" w:space="0" w:color="auto"/>
              <w:right w:val="single" w:sz="4" w:space="0" w:color="auto"/>
            </w:tcBorders>
            <w:shd w:val="clear" w:color="000000" w:fill="FFFFFF"/>
            <w:noWrap/>
            <w:vAlign w:val="bottom"/>
            <w:hideMark/>
          </w:tcPr>
          <w:p w14:paraId="336B2F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480,0</w:t>
            </w:r>
          </w:p>
        </w:tc>
        <w:tc>
          <w:tcPr>
            <w:tcW w:w="1226" w:type="dxa"/>
            <w:tcBorders>
              <w:top w:val="nil"/>
              <w:left w:val="nil"/>
              <w:bottom w:val="single" w:sz="4" w:space="0" w:color="auto"/>
              <w:right w:val="single" w:sz="4" w:space="0" w:color="auto"/>
            </w:tcBorders>
            <w:shd w:val="clear" w:color="000000" w:fill="FFFFFF"/>
            <w:noWrap/>
            <w:vAlign w:val="bottom"/>
            <w:hideMark/>
          </w:tcPr>
          <w:p w14:paraId="3203834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EE4912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C2F7470"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139294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794B51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5987215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30170C0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7F363BD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5EA1ACB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B6D03E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203BEA6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359BFC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3C247D3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FF8D21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1A16DC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ТЪРГОВИЩЕ</w:t>
            </w:r>
          </w:p>
        </w:tc>
        <w:tc>
          <w:tcPr>
            <w:tcW w:w="1911" w:type="dxa"/>
            <w:tcBorders>
              <w:top w:val="nil"/>
              <w:left w:val="nil"/>
              <w:bottom w:val="single" w:sz="4" w:space="0" w:color="auto"/>
              <w:right w:val="single" w:sz="4" w:space="0" w:color="auto"/>
            </w:tcBorders>
            <w:shd w:val="clear" w:color="000000" w:fill="FFFFFF"/>
            <w:noWrap/>
            <w:vAlign w:val="bottom"/>
            <w:hideMark/>
          </w:tcPr>
          <w:p w14:paraId="28FCE7E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095A1BE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60ED6A1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0F0BA5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4CCC5C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5709750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0DC969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498B00E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74AE0E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5468B5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C9B38C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7A134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Aнтоново</w:t>
            </w:r>
          </w:p>
        </w:tc>
        <w:tc>
          <w:tcPr>
            <w:tcW w:w="1911" w:type="dxa"/>
            <w:tcBorders>
              <w:top w:val="nil"/>
              <w:left w:val="nil"/>
              <w:bottom w:val="single" w:sz="4" w:space="0" w:color="auto"/>
              <w:right w:val="single" w:sz="4" w:space="0" w:color="auto"/>
            </w:tcBorders>
            <w:shd w:val="clear" w:color="000000" w:fill="FFFFFF"/>
            <w:noWrap/>
            <w:vAlign w:val="bottom"/>
            <w:hideMark/>
          </w:tcPr>
          <w:p w14:paraId="1E79DB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3 355,6</w:t>
            </w:r>
          </w:p>
        </w:tc>
        <w:tc>
          <w:tcPr>
            <w:tcW w:w="1118" w:type="dxa"/>
            <w:tcBorders>
              <w:top w:val="nil"/>
              <w:left w:val="nil"/>
              <w:bottom w:val="single" w:sz="4" w:space="0" w:color="auto"/>
              <w:right w:val="single" w:sz="4" w:space="0" w:color="auto"/>
            </w:tcBorders>
            <w:shd w:val="clear" w:color="000000" w:fill="FFFFFF"/>
            <w:noWrap/>
            <w:vAlign w:val="bottom"/>
            <w:hideMark/>
          </w:tcPr>
          <w:p w14:paraId="43F1E27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1 069,4</w:t>
            </w:r>
          </w:p>
        </w:tc>
        <w:tc>
          <w:tcPr>
            <w:tcW w:w="1257" w:type="dxa"/>
            <w:tcBorders>
              <w:top w:val="nil"/>
              <w:left w:val="nil"/>
              <w:bottom w:val="single" w:sz="4" w:space="0" w:color="auto"/>
              <w:right w:val="single" w:sz="4" w:space="0" w:color="auto"/>
            </w:tcBorders>
            <w:shd w:val="clear" w:color="000000" w:fill="FFFFFF"/>
            <w:noWrap/>
            <w:vAlign w:val="bottom"/>
            <w:hideMark/>
          </w:tcPr>
          <w:p w14:paraId="318918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470,0</w:t>
            </w:r>
          </w:p>
        </w:tc>
        <w:tc>
          <w:tcPr>
            <w:tcW w:w="1384" w:type="dxa"/>
            <w:tcBorders>
              <w:top w:val="nil"/>
              <w:left w:val="nil"/>
              <w:bottom w:val="single" w:sz="4" w:space="0" w:color="auto"/>
              <w:right w:val="single" w:sz="4" w:space="0" w:color="auto"/>
            </w:tcBorders>
            <w:shd w:val="clear" w:color="000000" w:fill="FFFFFF"/>
            <w:noWrap/>
            <w:vAlign w:val="bottom"/>
            <w:hideMark/>
          </w:tcPr>
          <w:p w14:paraId="7373BA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599,4</w:t>
            </w:r>
          </w:p>
        </w:tc>
        <w:tc>
          <w:tcPr>
            <w:tcW w:w="1134" w:type="dxa"/>
            <w:tcBorders>
              <w:top w:val="nil"/>
              <w:left w:val="nil"/>
              <w:bottom w:val="single" w:sz="4" w:space="0" w:color="auto"/>
              <w:right w:val="single" w:sz="4" w:space="0" w:color="auto"/>
            </w:tcBorders>
            <w:shd w:val="clear" w:color="000000" w:fill="FFFFFF"/>
            <w:noWrap/>
            <w:vAlign w:val="bottom"/>
            <w:hideMark/>
          </w:tcPr>
          <w:p w14:paraId="39C388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139,5</w:t>
            </w:r>
          </w:p>
        </w:tc>
        <w:tc>
          <w:tcPr>
            <w:tcW w:w="1277" w:type="dxa"/>
            <w:tcBorders>
              <w:top w:val="nil"/>
              <w:left w:val="nil"/>
              <w:bottom w:val="single" w:sz="4" w:space="0" w:color="auto"/>
              <w:right w:val="single" w:sz="4" w:space="0" w:color="auto"/>
            </w:tcBorders>
            <w:shd w:val="clear" w:color="000000" w:fill="FFFFFF"/>
            <w:noWrap/>
            <w:vAlign w:val="bottom"/>
            <w:hideMark/>
          </w:tcPr>
          <w:p w14:paraId="1D46DA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1 750,4</w:t>
            </w:r>
          </w:p>
        </w:tc>
        <w:tc>
          <w:tcPr>
            <w:tcW w:w="1040" w:type="dxa"/>
            <w:tcBorders>
              <w:top w:val="nil"/>
              <w:left w:val="nil"/>
              <w:bottom w:val="single" w:sz="4" w:space="0" w:color="auto"/>
              <w:right w:val="single" w:sz="4" w:space="0" w:color="auto"/>
            </w:tcBorders>
            <w:shd w:val="clear" w:color="000000" w:fill="FFFFFF"/>
            <w:noWrap/>
            <w:vAlign w:val="bottom"/>
            <w:hideMark/>
          </w:tcPr>
          <w:p w14:paraId="4239256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38,3</w:t>
            </w:r>
          </w:p>
        </w:tc>
        <w:tc>
          <w:tcPr>
            <w:tcW w:w="1087" w:type="dxa"/>
            <w:tcBorders>
              <w:top w:val="nil"/>
              <w:left w:val="nil"/>
              <w:bottom w:val="single" w:sz="4" w:space="0" w:color="auto"/>
              <w:right w:val="single" w:sz="4" w:space="0" w:color="auto"/>
            </w:tcBorders>
            <w:shd w:val="clear" w:color="000000" w:fill="FFFFFF"/>
            <w:noWrap/>
            <w:vAlign w:val="bottom"/>
            <w:hideMark/>
          </w:tcPr>
          <w:p w14:paraId="255DF15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144,5</w:t>
            </w:r>
          </w:p>
        </w:tc>
        <w:tc>
          <w:tcPr>
            <w:tcW w:w="1040" w:type="dxa"/>
            <w:tcBorders>
              <w:top w:val="nil"/>
              <w:left w:val="nil"/>
              <w:bottom w:val="single" w:sz="4" w:space="0" w:color="auto"/>
              <w:right w:val="single" w:sz="4" w:space="0" w:color="auto"/>
            </w:tcBorders>
            <w:shd w:val="clear" w:color="000000" w:fill="FFFFFF"/>
            <w:noWrap/>
            <w:vAlign w:val="bottom"/>
            <w:hideMark/>
          </w:tcPr>
          <w:p w14:paraId="20012E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213,5</w:t>
            </w:r>
          </w:p>
        </w:tc>
        <w:tc>
          <w:tcPr>
            <w:tcW w:w="1226" w:type="dxa"/>
            <w:tcBorders>
              <w:top w:val="nil"/>
              <w:left w:val="nil"/>
              <w:bottom w:val="single" w:sz="4" w:space="0" w:color="auto"/>
              <w:right w:val="single" w:sz="4" w:space="0" w:color="auto"/>
            </w:tcBorders>
            <w:shd w:val="clear" w:color="000000" w:fill="FFFFFF"/>
            <w:noWrap/>
            <w:vAlign w:val="bottom"/>
            <w:hideMark/>
          </w:tcPr>
          <w:p w14:paraId="6868EEB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7DB132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09DDF0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Oмуртаг</w:t>
            </w:r>
          </w:p>
        </w:tc>
        <w:tc>
          <w:tcPr>
            <w:tcW w:w="1911" w:type="dxa"/>
            <w:tcBorders>
              <w:top w:val="nil"/>
              <w:left w:val="nil"/>
              <w:bottom w:val="single" w:sz="4" w:space="0" w:color="auto"/>
              <w:right w:val="single" w:sz="4" w:space="0" w:color="auto"/>
            </w:tcBorders>
            <w:shd w:val="clear" w:color="000000" w:fill="FFFFFF"/>
            <w:noWrap/>
            <w:vAlign w:val="bottom"/>
            <w:hideMark/>
          </w:tcPr>
          <w:p w14:paraId="2265FFA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8 854,6</w:t>
            </w:r>
          </w:p>
        </w:tc>
        <w:tc>
          <w:tcPr>
            <w:tcW w:w="1118" w:type="dxa"/>
            <w:tcBorders>
              <w:top w:val="nil"/>
              <w:left w:val="nil"/>
              <w:bottom w:val="single" w:sz="4" w:space="0" w:color="auto"/>
              <w:right w:val="single" w:sz="4" w:space="0" w:color="auto"/>
            </w:tcBorders>
            <w:shd w:val="clear" w:color="000000" w:fill="FFFFFF"/>
            <w:noWrap/>
            <w:vAlign w:val="bottom"/>
            <w:hideMark/>
          </w:tcPr>
          <w:p w14:paraId="3E0D59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1 958,5</w:t>
            </w:r>
          </w:p>
        </w:tc>
        <w:tc>
          <w:tcPr>
            <w:tcW w:w="1257" w:type="dxa"/>
            <w:tcBorders>
              <w:top w:val="nil"/>
              <w:left w:val="nil"/>
              <w:bottom w:val="single" w:sz="4" w:space="0" w:color="auto"/>
              <w:right w:val="single" w:sz="4" w:space="0" w:color="auto"/>
            </w:tcBorders>
            <w:shd w:val="clear" w:color="000000" w:fill="FFFFFF"/>
            <w:noWrap/>
            <w:vAlign w:val="bottom"/>
            <w:hideMark/>
          </w:tcPr>
          <w:p w14:paraId="21426B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673,9</w:t>
            </w:r>
          </w:p>
        </w:tc>
        <w:tc>
          <w:tcPr>
            <w:tcW w:w="1384" w:type="dxa"/>
            <w:tcBorders>
              <w:top w:val="nil"/>
              <w:left w:val="nil"/>
              <w:bottom w:val="single" w:sz="4" w:space="0" w:color="auto"/>
              <w:right w:val="single" w:sz="4" w:space="0" w:color="auto"/>
            </w:tcBorders>
            <w:shd w:val="clear" w:color="000000" w:fill="FFFFFF"/>
            <w:noWrap/>
            <w:vAlign w:val="bottom"/>
            <w:hideMark/>
          </w:tcPr>
          <w:p w14:paraId="0C24A08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1 284,6</w:t>
            </w:r>
          </w:p>
        </w:tc>
        <w:tc>
          <w:tcPr>
            <w:tcW w:w="1134" w:type="dxa"/>
            <w:tcBorders>
              <w:top w:val="nil"/>
              <w:left w:val="nil"/>
              <w:bottom w:val="single" w:sz="4" w:space="0" w:color="auto"/>
              <w:right w:val="single" w:sz="4" w:space="0" w:color="auto"/>
            </w:tcBorders>
            <w:shd w:val="clear" w:color="000000" w:fill="FFFFFF"/>
            <w:noWrap/>
            <w:vAlign w:val="bottom"/>
            <w:hideMark/>
          </w:tcPr>
          <w:p w14:paraId="742ECCC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111,3</w:t>
            </w:r>
          </w:p>
        </w:tc>
        <w:tc>
          <w:tcPr>
            <w:tcW w:w="1277" w:type="dxa"/>
            <w:tcBorders>
              <w:top w:val="nil"/>
              <w:left w:val="nil"/>
              <w:bottom w:val="single" w:sz="4" w:space="0" w:color="auto"/>
              <w:right w:val="single" w:sz="4" w:space="0" w:color="auto"/>
            </w:tcBorders>
            <w:shd w:val="clear" w:color="000000" w:fill="FFFFFF"/>
            <w:noWrap/>
            <w:vAlign w:val="bottom"/>
            <w:hideMark/>
          </w:tcPr>
          <w:p w14:paraId="4273E7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5 362,7</w:t>
            </w:r>
          </w:p>
        </w:tc>
        <w:tc>
          <w:tcPr>
            <w:tcW w:w="1040" w:type="dxa"/>
            <w:tcBorders>
              <w:top w:val="nil"/>
              <w:left w:val="nil"/>
              <w:bottom w:val="single" w:sz="4" w:space="0" w:color="auto"/>
              <w:right w:val="single" w:sz="4" w:space="0" w:color="auto"/>
            </w:tcBorders>
            <w:shd w:val="clear" w:color="000000" w:fill="FFFFFF"/>
            <w:noWrap/>
            <w:vAlign w:val="bottom"/>
            <w:hideMark/>
          </w:tcPr>
          <w:p w14:paraId="7381624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620,8</w:t>
            </w:r>
          </w:p>
        </w:tc>
        <w:tc>
          <w:tcPr>
            <w:tcW w:w="1087" w:type="dxa"/>
            <w:tcBorders>
              <w:top w:val="nil"/>
              <w:left w:val="nil"/>
              <w:bottom w:val="single" w:sz="4" w:space="0" w:color="auto"/>
              <w:right w:val="single" w:sz="4" w:space="0" w:color="auto"/>
            </w:tcBorders>
            <w:shd w:val="clear" w:color="000000" w:fill="FFFFFF"/>
            <w:noWrap/>
            <w:vAlign w:val="bottom"/>
            <w:hideMark/>
          </w:tcPr>
          <w:p w14:paraId="45A38A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284,3</w:t>
            </w:r>
          </w:p>
        </w:tc>
        <w:tc>
          <w:tcPr>
            <w:tcW w:w="1040" w:type="dxa"/>
            <w:tcBorders>
              <w:top w:val="nil"/>
              <w:left w:val="nil"/>
              <w:bottom w:val="single" w:sz="4" w:space="0" w:color="auto"/>
              <w:right w:val="single" w:sz="4" w:space="0" w:color="auto"/>
            </w:tcBorders>
            <w:shd w:val="clear" w:color="000000" w:fill="FFFFFF"/>
            <w:noWrap/>
            <w:vAlign w:val="bottom"/>
            <w:hideMark/>
          </w:tcPr>
          <w:p w14:paraId="2DFB47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517,0</w:t>
            </w:r>
          </w:p>
        </w:tc>
        <w:tc>
          <w:tcPr>
            <w:tcW w:w="1226" w:type="dxa"/>
            <w:tcBorders>
              <w:top w:val="nil"/>
              <w:left w:val="nil"/>
              <w:bottom w:val="single" w:sz="4" w:space="0" w:color="auto"/>
              <w:right w:val="single" w:sz="4" w:space="0" w:color="auto"/>
            </w:tcBorders>
            <w:shd w:val="clear" w:color="000000" w:fill="FFFFFF"/>
            <w:noWrap/>
            <w:vAlign w:val="bottom"/>
            <w:hideMark/>
          </w:tcPr>
          <w:p w14:paraId="1BF52D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558A0C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A7A46A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Oпака</w:t>
            </w:r>
          </w:p>
        </w:tc>
        <w:tc>
          <w:tcPr>
            <w:tcW w:w="1911" w:type="dxa"/>
            <w:tcBorders>
              <w:top w:val="nil"/>
              <w:left w:val="nil"/>
              <w:bottom w:val="single" w:sz="4" w:space="0" w:color="auto"/>
              <w:right w:val="single" w:sz="4" w:space="0" w:color="auto"/>
            </w:tcBorders>
            <w:shd w:val="clear" w:color="000000" w:fill="FFFFFF"/>
            <w:noWrap/>
            <w:vAlign w:val="bottom"/>
            <w:hideMark/>
          </w:tcPr>
          <w:p w14:paraId="5FF5A1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3 036,6</w:t>
            </w:r>
          </w:p>
        </w:tc>
        <w:tc>
          <w:tcPr>
            <w:tcW w:w="1118" w:type="dxa"/>
            <w:tcBorders>
              <w:top w:val="nil"/>
              <w:left w:val="nil"/>
              <w:bottom w:val="single" w:sz="4" w:space="0" w:color="auto"/>
              <w:right w:val="single" w:sz="4" w:space="0" w:color="auto"/>
            </w:tcBorders>
            <w:shd w:val="clear" w:color="000000" w:fill="FFFFFF"/>
            <w:noWrap/>
            <w:vAlign w:val="bottom"/>
            <w:hideMark/>
          </w:tcPr>
          <w:p w14:paraId="6D4293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718,2</w:t>
            </w:r>
          </w:p>
        </w:tc>
        <w:tc>
          <w:tcPr>
            <w:tcW w:w="1257" w:type="dxa"/>
            <w:tcBorders>
              <w:top w:val="nil"/>
              <w:left w:val="nil"/>
              <w:bottom w:val="single" w:sz="4" w:space="0" w:color="auto"/>
              <w:right w:val="single" w:sz="4" w:space="0" w:color="auto"/>
            </w:tcBorders>
            <w:shd w:val="clear" w:color="000000" w:fill="FFFFFF"/>
            <w:noWrap/>
            <w:vAlign w:val="bottom"/>
            <w:hideMark/>
          </w:tcPr>
          <w:p w14:paraId="2E2579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123,0</w:t>
            </w:r>
          </w:p>
        </w:tc>
        <w:tc>
          <w:tcPr>
            <w:tcW w:w="1384" w:type="dxa"/>
            <w:tcBorders>
              <w:top w:val="nil"/>
              <w:left w:val="nil"/>
              <w:bottom w:val="single" w:sz="4" w:space="0" w:color="auto"/>
              <w:right w:val="single" w:sz="4" w:space="0" w:color="auto"/>
            </w:tcBorders>
            <w:shd w:val="clear" w:color="000000" w:fill="FFFFFF"/>
            <w:noWrap/>
            <w:vAlign w:val="bottom"/>
            <w:hideMark/>
          </w:tcPr>
          <w:p w14:paraId="6EBE74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595,2</w:t>
            </w:r>
          </w:p>
        </w:tc>
        <w:tc>
          <w:tcPr>
            <w:tcW w:w="1134" w:type="dxa"/>
            <w:tcBorders>
              <w:top w:val="nil"/>
              <w:left w:val="nil"/>
              <w:bottom w:val="single" w:sz="4" w:space="0" w:color="auto"/>
              <w:right w:val="single" w:sz="4" w:space="0" w:color="auto"/>
            </w:tcBorders>
            <w:shd w:val="clear" w:color="000000" w:fill="FFFFFF"/>
            <w:noWrap/>
            <w:vAlign w:val="bottom"/>
            <w:hideMark/>
          </w:tcPr>
          <w:p w14:paraId="1B96B98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124,8</w:t>
            </w:r>
          </w:p>
        </w:tc>
        <w:tc>
          <w:tcPr>
            <w:tcW w:w="1277" w:type="dxa"/>
            <w:tcBorders>
              <w:top w:val="nil"/>
              <w:left w:val="nil"/>
              <w:bottom w:val="single" w:sz="4" w:space="0" w:color="auto"/>
              <w:right w:val="single" w:sz="4" w:space="0" w:color="auto"/>
            </w:tcBorders>
            <w:shd w:val="clear" w:color="000000" w:fill="FFFFFF"/>
            <w:noWrap/>
            <w:vAlign w:val="bottom"/>
            <w:hideMark/>
          </w:tcPr>
          <w:p w14:paraId="005919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1 659,3</w:t>
            </w:r>
          </w:p>
        </w:tc>
        <w:tc>
          <w:tcPr>
            <w:tcW w:w="1040" w:type="dxa"/>
            <w:tcBorders>
              <w:top w:val="nil"/>
              <w:left w:val="nil"/>
              <w:bottom w:val="single" w:sz="4" w:space="0" w:color="auto"/>
              <w:right w:val="single" w:sz="4" w:space="0" w:color="auto"/>
            </w:tcBorders>
            <w:shd w:val="clear" w:color="000000" w:fill="FFFFFF"/>
            <w:noWrap/>
            <w:vAlign w:val="bottom"/>
            <w:hideMark/>
          </w:tcPr>
          <w:p w14:paraId="75374E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38,2</w:t>
            </w:r>
          </w:p>
        </w:tc>
        <w:tc>
          <w:tcPr>
            <w:tcW w:w="1087" w:type="dxa"/>
            <w:tcBorders>
              <w:top w:val="nil"/>
              <w:left w:val="nil"/>
              <w:bottom w:val="single" w:sz="4" w:space="0" w:color="auto"/>
              <w:right w:val="single" w:sz="4" w:space="0" w:color="auto"/>
            </w:tcBorders>
            <w:shd w:val="clear" w:color="000000" w:fill="FFFFFF"/>
            <w:noWrap/>
            <w:vAlign w:val="bottom"/>
            <w:hideMark/>
          </w:tcPr>
          <w:p w14:paraId="65C302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394,9</w:t>
            </w:r>
          </w:p>
        </w:tc>
        <w:tc>
          <w:tcPr>
            <w:tcW w:w="1040" w:type="dxa"/>
            <w:tcBorders>
              <w:top w:val="nil"/>
              <w:left w:val="nil"/>
              <w:bottom w:val="single" w:sz="4" w:space="0" w:color="auto"/>
              <w:right w:val="single" w:sz="4" w:space="0" w:color="auto"/>
            </w:tcBorders>
            <w:shd w:val="clear" w:color="000000" w:fill="FFFFFF"/>
            <w:noWrap/>
            <w:vAlign w:val="bottom"/>
            <w:hideMark/>
          </w:tcPr>
          <w:p w14:paraId="0539BD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101,2</w:t>
            </w:r>
          </w:p>
        </w:tc>
        <w:tc>
          <w:tcPr>
            <w:tcW w:w="1226" w:type="dxa"/>
            <w:tcBorders>
              <w:top w:val="nil"/>
              <w:left w:val="nil"/>
              <w:bottom w:val="single" w:sz="4" w:space="0" w:color="auto"/>
              <w:right w:val="single" w:sz="4" w:space="0" w:color="auto"/>
            </w:tcBorders>
            <w:shd w:val="clear" w:color="000000" w:fill="FFFFFF"/>
            <w:noWrap/>
            <w:vAlign w:val="bottom"/>
            <w:hideMark/>
          </w:tcPr>
          <w:p w14:paraId="132960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2E467E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41D029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Попово</w:t>
            </w:r>
          </w:p>
        </w:tc>
        <w:tc>
          <w:tcPr>
            <w:tcW w:w="1911" w:type="dxa"/>
            <w:tcBorders>
              <w:top w:val="nil"/>
              <w:left w:val="nil"/>
              <w:bottom w:val="single" w:sz="4" w:space="0" w:color="auto"/>
              <w:right w:val="single" w:sz="4" w:space="0" w:color="auto"/>
            </w:tcBorders>
            <w:shd w:val="clear" w:color="000000" w:fill="FFFFFF"/>
            <w:noWrap/>
            <w:vAlign w:val="bottom"/>
            <w:hideMark/>
          </w:tcPr>
          <w:p w14:paraId="07F9C80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16 591,2</w:t>
            </w:r>
          </w:p>
        </w:tc>
        <w:tc>
          <w:tcPr>
            <w:tcW w:w="1118" w:type="dxa"/>
            <w:tcBorders>
              <w:top w:val="nil"/>
              <w:left w:val="nil"/>
              <w:bottom w:val="single" w:sz="4" w:space="0" w:color="auto"/>
              <w:right w:val="single" w:sz="4" w:space="0" w:color="auto"/>
            </w:tcBorders>
            <w:shd w:val="clear" w:color="000000" w:fill="FFFFFF"/>
            <w:noWrap/>
            <w:vAlign w:val="bottom"/>
            <w:hideMark/>
          </w:tcPr>
          <w:p w14:paraId="147AA4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1 770,7</w:t>
            </w:r>
          </w:p>
        </w:tc>
        <w:tc>
          <w:tcPr>
            <w:tcW w:w="1257" w:type="dxa"/>
            <w:tcBorders>
              <w:top w:val="nil"/>
              <w:left w:val="nil"/>
              <w:bottom w:val="single" w:sz="4" w:space="0" w:color="auto"/>
              <w:right w:val="single" w:sz="4" w:space="0" w:color="auto"/>
            </w:tcBorders>
            <w:shd w:val="clear" w:color="000000" w:fill="FFFFFF"/>
            <w:noWrap/>
            <w:vAlign w:val="bottom"/>
            <w:hideMark/>
          </w:tcPr>
          <w:p w14:paraId="3FF58BA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562,6</w:t>
            </w:r>
          </w:p>
        </w:tc>
        <w:tc>
          <w:tcPr>
            <w:tcW w:w="1384" w:type="dxa"/>
            <w:tcBorders>
              <w:top w:val="nil"/>
              <w:left w:val="nil"/>
              <w:bottom w:val="single" w:sz="4" w:space="0" w:color="auto"/>
              <w:right w:val="single" w:sz="4" w:space="0" w:color="auto"/>
            </w:tcBorders>
            <w:shd w:val="clear" w:color="000000" w:fill="FFFFFF"/>
            <w:noWrap/>
            <w:vAlign w:val="bottom"/>
            <w:hideMark/>
          </w:tcPr>
          <w:p w14:paraId="49FC41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1 208,1</w:t>
            </w:r>
          </w:p>
        </w:tc>
        <w:tc>
          <w:tcPr>
            <w:tcW w:w="1134" w:type="dxa"/>
            <w:tcBorders>
              <w:top w:val="nil"/>
              <w:left w:val="nil"/>
              <w:bottom w:val="single" w:sz="4" w:space="0" w:color="auto"/>
              <w:right w:val="single" w:sz="4" w:space="0" w:color="auto"/>
            </w:tcBorders>
            <w:shd w:val="clear" w:color="000000" w:fill="FFFFFF"/>
            <w:noWrap/>
            <w:vAlign w:val="bottom"/>
            <w:hideMark/>
          </w:tcPr>
          <w:p w14:paraId="6D71E97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169,9</w:t>
            </w:r>
          </w:p>
        </w:tc>
        <w:tc>
          <w:tcPr>
            <w:tcW w:w="1277" w:type="dxa"/>
            <w:tcBorders>
              <w:top w:val="nil"/>
              <w:left w:val="nil"/>
              <w:bottom w:val="single" w:sz="4" w:space="0" w:color="auto"/>
              <w:right w:val="single" w:sz="4" w:space="0" w:color="auto"/>
            </w:tcBorders>
            <w:shd w:val="clear" w:color="000000" w:fill="FFFFFF"/>
            <w:noWrap/>
            <w:vAlign w:val="bottom"/>
            <w:hideMark/>
          </w:tcPr>
          <w:p w14:paraId="461647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10 359,5</w:t>
            </w:r>
          </w:p>
        </w:tc>
        <w:tc>
          <w:tcPr>
            <w:tcW w:w="1040" w:type="dxa"/>
            <w:tcBorders>
              <w:top w:val="nil"/>
              <w:left w:val="nil"/>
              <w:bottom w:val="single" w:sz="4" w:space="0" w:color="auto"/>
              <w:right w:val="single" w:sz="4" w:space="0" w:color="auto"/>
            </w:tcBorders>
            <w:shd w:val="clear" w:color="000000" w:fill="FFFFFF"/>
            <w:noWrap/>
            <w:vAlign w:val="bottom"/>
            <w:hideMark/>
          </w:tcPr>
          <w:p w14:paraId="5FCF7D4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251,7</w:t>
            </w:r>
          </w:p>
        </w:tc>
        <w:tc>
          <w:tcPr>
            <w:tcW w:w="1087" w:type="dxa"/>
            <w:tcBorders>
              <w:top w:val="nil"/>
              <w:left w:val="nil"/>
              <w:bottom w:val="single" w:sz="4" w:space="0" w:color="auto"/>
              <w:right w:val="single" w:sz="4" w:space="0" w:color="auto"/>
            </w:tcBorders>
            <w:shd w:val="clear" w:color="000000" w:fill="FFFFFF"/>
            <w:noWrap/>
            <w:vAlign w:val="bottom"/>
            <w:hideMark/>
          </w:tcPr>
          <w:p w14:paraId="36066C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3 031,9</w:t>
            </w:r>
          </w:p>
        </w:tc>
        <w:tc>
          <w:tcPr>
            <w:tcW w:w="1040" w:type="dxa"/>
            <w:tcBorders>
              <w:top w:val="nil"/>
              <w:left w:val="nil"/>
              <w:bottom w:val="single" w:sz="4" w:space="0" w:color="auto"/>
              <w:right w:val="single" w:sz="4" w:space="0" w:color="auto"/>
            </w:tcBorders>
            <w:shd w:val="clear" w:color="000000" w:fill="FFFFFF"/>
            <w:noWrap/>
            <w:vAlign w:val="bottom"/>
            <w:hideMark/>
          </w:tcPr>
          <w:p w14:paraId="2F89DEE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1 007,5</w:t>
            </w:r>
          </w:p>
        </w:tc>
        <w:tc>
          <w:tcPr>
            <w:tcW w:w="1226" w:type="dxa"/>
            <w:tcBorders>
              <w:top w:val="nil"/>
              <w:left w:val="nil"/>
              <w:bottom w:val="single" w:sz="4" w:space="0" w:color="auto"/>
              <w:right w:val="single" w:sz="4" w:space="0" w:color="auto"/>
            </w:tcBorders>
            <w:shd w:val="clear" w:color="000000" w:fill="FFFFFF"/>
            <w:noWrap/>
            <w:vAlign w:val="bottom"/>
            <w:hideMark/>
          </w:tcPr>
          <w:p w14:paraId="57390E3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7F3B27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F7384D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Tърговище</w:t>
            </w:r>
          </w:p>
        </w:tc>
        <w:tc>
          <w:tcPr>
            <w:tcW w:w="1911" w:type="dxa"/>
            <w:tcBorders>
              <w:top w:val="nil"/>
              <w:left w:val="nil"/>
              <w:bottom w:val="single" w:sz="4" w:space="0" w:color="auto"/>
              <w:right w:val="single" w:sz="4" w:space="0" w:color="auto"/>
            </w:tcBorders>
            <w:shd w:val="clear" w:color="000000" w:fill="FFFFFF"/>
            <w:noWrap/>
            <w:vAlign w:val="bottom"/>
            <w:hideMark/>
          </w:tcPr>
          <w:p w14:paraId="1DBB86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36 791,3</w:t>
            </w:r>
          </w:p>
        </w:tc>
        <w:tc>
          <w:tcPr>
            <w:tcW w:w="1118" w:type="dxa"/>
            <w:tcBorders>
              <w:top w:val="nil"/>
              <w:left w:val="nil"/>
              <w:bottom w:val="single" w:sz="4" w:space="0" w:color="auto"/>
              <w:right w:val="single" w:sz="4" w:space="0" w:color="auto"/>
            </w:tcBorders>
            <w:shd w:val="clear" w:color="000000" w:fill="FFFFFF"/>
            <w:noWrap/>
            <w:vAlign w:val="bottom"/>
            <w:hideMark/>
          </w:tcPr>
          <w:p w14:paraId="3E2082B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3 249,1</w:t>
            </w:r>
          </w:p>
        </w:tc>
        <w:tc>
          <w:tcPr>
            <w:tcW w:w="1257" w:type="dxa"/>
            <w:tcBorders>
              <w:top w:val="nil"/>
              <w:left w:val="nil"/>
              <w:bottom w:val="single" w:sz="4" w:space="0" w:color="auto"/>
              <w:right w:val="single" w:sz="4" w:space="0" w:color="auto"/>
            </w:tcBorders>
            <w:shd w:val="clear" w:color="000000" w:fill="FFFFFF"/>
            <w:noWrap/>
            <w:vAlign w:val="bottom"/>
            <w:hideMark/>
          </w:tcPr>
          <w:p w14:paraId="0042DF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847,5</w:t>
            </w:r>
          </w:p>
        </w:tc>
        <w:tc>
          <w:tcPr>
            <w:tcW w:w="1384" w:type="dxa"/>
            <w:tcBorders>
              <w:top w:val="nil"/>
              <w:left w:val="nil"/>
              <w:bottom w:val="single" w:sz="4" w:space="0" w:color="auto"/>
              <w:right w:val="single" w:sz="4" w:space="0" w:color="auto"/>
            </w:tcBorders>
            <w:shd w:val="clear" w:color="000000" w:fill="FFFFFF"/>
            <w:noWrap/>
            <w:vAlign w:val="bottom"/>
            <w:hideMark/>
          </w:tcPr>
          <w:p w14:paraId="2097303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2 401,6</w:t>
            </w:r>
          </w:p>
        </w:tc>
        <w:tc>
          <w:tcPr>
            <w:tcW w:w="1134" w:type="dxa"/>
            <w:tcBorders>
              <w:top w:val="nil"/>
              <w:left w:val="nil"/>
              <w:bottom w:val="single" w:sz="4" w:space="0" w:color="auto"/>
              <w:right w:val="single" w:sz="4" w:space="0" w:color="auto"/>
            </w:tcBorders>
            <w:shd w:val="clear" w:color="000000" w:fill="FFFFFF"/>
            <w:noWrap/>
            <w:vAlign w:val="bottom"/>
            <w:hideMark/>
          </w:tcPr>
          <w:p w14:paraId="6321A9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229,8</w:t>
            </w:r>
          </w:p>
        </w:tc>
        <w:tc>
          <w:tcPr>
            <w:tcW w:w="1277" w:type="dxa"/>
            <w:tcBorders>
              <w:top w:val="nil"/>
              <w:left w:val="nil"/>
              <w:bottom w:val="single" w:sz="4" w:space="0" w:color="auto"/>
              <w:right w:val="single" w:sz="4" w:space="0" w:color="auto"/>
            </w:tcBorders>
            <w:shd w:val="clear" w:color="000000" w:fill="FFFFFF"/>
            <w:noWrap/>
            <w:vAlign w:val="bottom"/>
            <w:hideMark/>
          </w:tcPr>
          <w:p w14:paraId="1D6669A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22 664,5</w:t>
            </w:r>
          </w:p>
        </w:tc>
        <w:tc>
          <w:tcPr>
            <w:tcW w:w="1040" w:type="dxa"/>
            <w:tcBorders>
              <w:top w:val="nil"/>
              <w:left w:val="nil"/>
              <w:bottom w:val="single" w:sz="4" w:space="0" w:color="auto"/>
              <w:right w:val="single" w:sz="4" w:space="0" w:color="auto"/>
            </w:tcBorders>
            <w:shd w:val="clear" w:color="000000" w:fill="FFFFFF"/>
            <w:noWrap/>
            <w:vAlign w:val="bottom"/>
            <w:hideMark/>
          </w:tcPr>
          <w:p w14:paraId="7CF09D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2 765,8</w:t>
            </w:r>
          </w:p>
        </w:tc>
        <w:tc>
          <w:tcPr>
            <w:tcW w:w="1087" w:type="dxa"/>
            <w:tcBorders>
              <w:top w:val="nil"/>
              <w:left w:val="nil"/>
              <w:bottom w:val="single" w:sz="4" w:space="0" w:color="auto"/>
              <w:right w:val="single" w:sz="4" w:space="0" w:color="auto"/>
            </w:tcBorders>
            <w:shd w:val="clear" w:color="000000" w:fill="FFFFFF"/>
            <w:noWrap/>
            <w:vAlign w:val="bottom"/>
            <w:hideMark/>
          </w:tcPr>
          <w:p w14:paraId="35CA18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6 041,3</w:t>
            </w:r>
          </w:p>
        </w:tc>
        <w:tc>
          <w:tcPr>
            <w:tcW w:w="1040" w:type="dxa"/>
            <w:tcBorders>
              <w:top w:val="nil"/>
              <w:left w:val="nil"/>
              <w:bottom w:val="single" w:sz="4" w:space="0" w:color="auto"/>
              <w:right w:val="single" w:sz="4" w:space="0" w:color="auto"/>
            </w:tcBorders>
            <w:shd w:val="clear" w:color="000000" w:fill="FFFFFF"/>
            <w:noWrap/>
            <w:vAlign w:val="bottom"/>
            <w:hideMark/>
          </w:tcPr>
          <w:p w14:paraId="250D0CC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1 840,8</w:t>
            </w:r>
          </w:p>
        </w:tc>
        <w:tc>
          <w:tcPr>
            <w:tcW w:w="1226" w:type="dxa"/>
            <w:tcBorders>
              <w:top w:val="nil"/>
              <w:left w:val="nil"/>
              <w:bottom w:val="single" w:sz="4" w:space="0" w:color="auto"/>
              <w:right w:val="single" w:sz="4" w:space="0" w:color="auto"/>
            </w:tcBorders>
            <w:shd w:val="clear" w:color="000000" w:fill="FFFFFF"/>
            <w:noWrap/>
            <w:vAlign w:val="bottom"/>
            <w:hideMark/>
          </w:tcPr>
          <w:p w14:paraId="00B0C14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3FC81C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B122165" w14:textId="77777777" w:rsidR="00761800" w:rsidRPr="00761800" w:rsidRDefault="00761800" w:rsidP="00761800">
            <w:pPr>
              <w:rPr>
                <w:rFonts w:ascii="Times New Roman" w:hAnsi="Times New Roman"/>
                <w:sz w:val="22"/>
                <w:szCs w:val="22"/>
                <w:u w:val="single"/>
                <w:lang w:eastAsia="bg-BG"/>
              </w:rPr>
            </w:pPr>
            <w:r w:rsidRPr="00761800">
              <w:rPr>
                <w:rFonts w:ascii="Times New Roman" w:hAnsi="Times New Roman"/>
                <w:sz w:val="22"/>
                <w:szCs w:val="22"/>
                <w:u w:val="single"/>
                <w:lang w:eastAsia="bg-BG"/>
              </w:rPr>
              <w:t> </w:t>
            </w:r>
          </w:p>
        </w:tc>
        <w:tc>
          <w:tcPr>
            <w:tcW w:w="1911" w:type="dxa"/>
            <w:tcBorders>
              <w:top w:val="nil"/>
              <w:left w:val="nil"/>
              <w:bottom w:val="single" w:sz="4" w:space="0" w:color="auto"/>
              <w:right w:val="single" w:sz="4" w:space="0" w:color="auto"/>
            </w:tcBorders>
            <w:shd w:val="clear" w:color="000000" w:fill="FFFFFF"/>
            <w:noWrap/>
            <w:vAlign w:val="bottom"/>
            <w:hideMark/>
          </w:tcPr>
          <w:p w14:paraId="019824C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44C8AD8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61B510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7A3FF2A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024CDAD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597452C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E9892F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1E4B8D3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53761F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75ADB4C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EB8691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90B2F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ХАСКОВО</w:t>
            </w:r>
          </w:p>
        </w:tc>
        <w:tc>
          <w:tcPr>
            <w:tcW w:w="1911" w:type="dxa"/>
            <w:tcBorders>
              <w:top w:val="nil"/>
              <w:left w:val="nil"/>
              <w:bottom w:val="single" w:sz="4" w:space="0" w:color="auto"/>
              <w:right w:val="single" w:sz="4" w:space="0" w:color="auto"/>
            </w:tcBorders>
            <w:shd w:val="clear" w:color="000000" w:fill="FFFFFF"/>
            <w:noWrap/>
            <w:vAlign w:val="bottom"/>
            <w:hideMark/>
          </w:tcPr>
          <w:p w14:paraId="2D36492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6A244E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6A3A079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4F4121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10B3590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4B6A54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936BED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5444B3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AB2639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58A3607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E7A506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3A418C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Димитровград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5957757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24 614,9</w:t>
            </w:r>
          </w:p>
        </w:tc>
        <w:tc>
          <w:tcPr>
            <w:tcW w:w="1118" w:type="dxa"/>
            <w:tcBorders>
              <w:top w:val="nil"/>
              <w:left w:val="nil"/>
              <w:bottom w:val="single" w:sz="4" w:space="0" w:color="auto"/>
              <w:right w:val="single" w:sz="4" w:space="0" w:color="auto"/>
            </w:tcBorders>
            <w:shd w:val="clear" w:color="000000" w:fill="FFFFFF"/>
            <w:noWrap/>
            <w:vAlign w:val="bottom"/>
            <w:hideMark/>
          </w:tcPr>
          <w:p w14:paraId="0B41402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2 317,7</w:t>
            </w:r>
          </w:p>
        </w:tc>
        <w:tc>
          <w:tcPr>
            <w:tcW w:w="1257" w:type="dxa"/>
            <w:tcBorders>
              <w:top w:val="nil"/>
              <w:left w:val="nil"/>
              <w:bottom w:val="single" w:sz="4" w:space="0" w:color="auto"/>
              <w:right w:val="single" w:sz="4" w:space="0" w:color="auto"/>
            </w:tcBorders>
            <w:shd w:val="clear" w:color="000000" w:fill="FFFFFF"/>
            <w:noWrap/>
            <w:vAlign w:val="bottom"/>
            <w:hideMark/>
          </w:tcPr>
          <w:p w14:paraId="6146D25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434,7</w:t>
            </w:r>
          </w:p>
        </w:tc>
        <w:tc>
          <w:tcPr>
            <w:tcW w:w="1384" w:type="dxa"/>
            <w:tcBorders>
              <w:top w:val="nil"/>
              <w:left w:val="nil"/>
              <w:bottom w:val="single" w:sz="4" w:space="0" w:color="auto"/>
              <w:right w:val="single" w:sz="4" w:space="0" w:color="auto"/>
            </w:tcBorders>
            <w:shd w:val="clear" w:color="000000" w:fill="FFFFFF"/>
            <w:noWrap/>
            <w:vAlign w:val="bottom"/>
            <w:hideMark/>
          </w:tcPr>
          <w:p w14:paraId="74FF1F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1 883,0</w:t>
            </w:r>
          </w:p>
        </w:tc>
        <w:tc>
          <w:tcPr>
            <w:tcW w:w="1134" w:type="dxa"/>
            <w:tcBorders>
              <w:top w:val="nil"/>
              <w:left w:val="nil"/>
              <w:bottom w:val="single" w:sz="4" w:space="0" w:color="auto"/>
              <w:right w:val="single" w:sz="4" w:space="0" w:color="auto"/>
            </w:tcBorders>
            <w:shd w:val="clear" w:color="000000" w:fill="FFFFFF"/>
            <w:noWrap/>
            <w:vAlign w:val="bottom"/>
            <w:hideMark/>
          </w:tcPr>
          <w:p w14:paraId="7A5912B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197,6</w:t>
            </w:r>
          </w:p>
        </w:tc>
        <w:tc>
          <w:tcPr>
            <w:tcW w:w="1277" w:type="dxa"/>
            <w:tcBorders>
              <w:top w:val="nil"/>
              <w:left w:val="nil"/>
              <w:bottom w:val="single" w:sz="4" w:space="0" w:color="auto"/>
              <w:right w:val="single" w:sz="4" w:space="0" w:color="auto"/>
            </w:tcBorders>
            <w:shd w:val="clear" w:color="000000" w:fill="FFFFFF"/>
            <w:noWrap/>
            <w:vAlign w:val="bottom"/>
            <w:hideMark/>
          </w:tcPr>
          <w:p w14:paraId="462F000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17 319,4</w:t>
            </w:r>
          </w:p>
        </w:tc>
        <w:tc>
          <w:tcPr>
            <w:tcW w:w="1040" w:type="dxa"/>
            <w:tcBorders>
              <w:top w:val="nil"/>
              <w:left w:val="nil"/>
              <w:bottom w:val="single" w:sz="4" w:space="0" w:color="auto"/>
              <w:right w:val="single" w:sz="4" w:space="0" w:color="auto"/>
            </w:tcBorders>
            <w:shd w:val="clear" w:color="000000" w:fill="FFFFFF"/>
            <w:noWrap/>
            <w:vAlign w:val="bottom"/>
            <w:hideMark/>
          </w:tcPr>
          <w:p w14:paraId="1420931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717,6</w:t>
            </w:r>
          </w:p>
        </w:tc>
        <w:tc>
          <w:tcPr>
            <w:tcW w:w="1087" w:type="dxa"/>
            <w:tcBorders>
              <w:top w:val="nil"/>
              <w:left w:val="nil"/>
              <w:bottom w:val="single" w:sz="4" w:space="0" w:color="auto"/>
              <w:right w:val="single" w:sz="4" w:space="0" w:color="auto"/>
            </w:tcBorders>
            <w:shd w:val="clear" w:color="000000" w:fill="FFFFFF"/>
            <w:noWrap/>
            <w:vAlign w:val="bottom"/>
            <w:hideMark/>
          </w:tcPr>
          <w:p w14:paraId="40B69F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3 410,7</w:t>
            </w:r>
          </w:p>
        </w:tc>
        <w:tc>
          <w:tcPr>
            <w:tcW w:w="1040" w:type="dxa"/>
            <w:tcBorders>
              <w:top w:val="nil"/>
              <w:left w:val="nil"/>
              <w:bottom w:val="single" w:sz="4" w:space="0" w:color="auto"/>
              <w:right w:val="single" w:sz="4" w:space="0" w:color="auto"/>
            </w:tcBorders>
            <w:shd w:val="clear" w:color="000000" w:fill="FFFFFF"/>
            <w:noWrap/>
            <w:vAlign w:val="bottom"/>
            <w:hideMark/>
          </w:tcPr>
          <w:p w14:paraId="3901D3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651,9</w:t>
            </w:r>
          </w:p>
        </w:tc>
        <w:tc>
          <w:tcPr>
            <w:tcW w:w="1226" w:type="dxa"/>
            <w:tcBorders>
              <w:top w:val="nil"/>
              <w:left w:val="nil"/>
              <w:bottom w:val="single" w:sz="4" w:space="0" w:color="auto"/>
              <w:right w:val="single" w:sz="4" w:space="0" w:color="auto"/>
            </w:tcBorders>
            <w:shd w:val="clear" w:color="000000" w:fill="FFFFFF"/>
            <w:noWrap/>
            <w:vAlign w:val="bottom"/>
            <w:hideMark/>
          </w:tcPr>
          <w:p w14:paraId="1617EA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DFCF03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56A95C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Ивайловград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05007C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4 287,1</w:t>
            </w:r>
          </w:p>
        </w:tc>
        <w:tc>
          <w:tcPr>
            <w:tcW w:w="1118" w:type="dxa"/>
            <w:tcBorders>
              <w:top w:val="nil"/>
              <w:left w:val="nil"/>
              <w:bottom w:val="single" w:sz="4" w:space="0" w:color="auto"/>
              <w:right w:val="single" w:sz="4" w:space="0" w:color="auto"/>
            </w:tcBorders>
            <w:shd w:val="clear" w:color="000000" w:fill="FFFFFF"/>
            <w:noWrap/>
            <w:vAlign w:val="bottom"/>
            <w:hideMark/>
          </w:tcPr>
          <w:p w14:paraId="7EA42E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974,2</w:t>
            </w:r>
          </w:p>
        </w:tc>
        <w:tc>
          <w:tcPr>
            <w:tcW w:w="1257" w:type="dxa"/>
            <w:tcBorders>
              <w:top w:val="nil"/>
              <w:left w:val="nil"/>
              <w:bottom w:val="single" w:sz="4" w:space="0" w:color="auto"/>
              <w:right w:val="single" w:sz="4" w:space="0" w:color="auto"/>
            </w:tcBorders>
            <w:shd w:val="clear" w:color="000000" w:fill="FFFFFF"/>
            <w:noWrap/>
            <w:vAlign w:val="bottom"/>
            <w:hideMark/>
          </w:tcPr>
          <w:p w14:paraId="7BAA28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360,4</w:t>
            </w:r>
          </w:p>
        </w:tc>
        <w:tc>
          <w:tcPr>
            <w:tcW w:w="1384" w:type="dxa"/>
            <w:tcBorders>
              <w:top w:val="nil"/>
              <w:left w:val="nil"/>
              <w:bottom w:val="single" w:sz="4" w:space="0" w:color="auto"/>
              <w:right w:val="single" w:sz="4" w:space="0" w:color="auto"/>
            </w:tcBorders>
            <w:shd w:val="clear" w:color="000000" w:fill="FFFFFF"/>
            <w:noWrap/>
            <w:vAlign w:val="bottom"/>
            <w:hideMark/>
          </w:tcPr>
          <w:p w14:paraId="49EED1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613,8</w:t>
            </w:r>
          </w:p>
        </w:tc>
        <w:tc>
          <w:tcPr>
            <w:tcW w:w="1134" w:type="dxa"/>
            <w:tcBorders>
              <w:top w:val="nil"/>
              <w:left w:val="nil"/>
              <w:bottom w:val="single" w:sz="4" w:space="0" w:color="auto"/>
              <w:right w:val="single" w:sz="4" w:space="0" w:color="auto"/>
            </w:tcBorders>
            <w:shd w:val="clear" w:color="000000" w:fill="FFFFFF"/>
            <w:noWrap/>
            <w:vAlign w:val="bottom"/>
            <w:hideMark/>
          </w:tcPr>
          <w:p w14:paraId="69F9102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118,6</w:t>
            </w:r>
          </w:p>
        </w:tc>
        <w:tc>
          <w:tcPr>
            <w:tcW w:w="1277" w:type="dxa"/>
            <w:tcBorders>
              <w:top w:val="nil"/>
              <w:left w:val="nil"/>
              <w:bottom w:val="single" w:sz="4" w:space="0" w:color="auto"/>
              <w:right w:val="single" w:sz="4" w:space="0" w:color="auto"/>
            </w:tcBorders>
            <w:shd w:val="clear" w:color="000000" w:fill="FFFFFF"/>
            <w:noWrap/>
            <w:vAlign w:val="bottom"/>
            <w:hideMark/>
          </w:tcPr>
          <w:p w14:paraId="12ED56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2 394,9</w:t>
            </w:r>
          </w:p>
        </w:tc>
        <w:tc>
          <w:tcPr>
            <w:tcW w:w="1040" w:type="dxa"/>
            <w:tcBorders>
              <w:top w:val="nil"/>
              <w:left w:val="nil"/>
              <w:bottom w:val="single" w:sz="4" w:space="0" w:color="auto"/>
              <w:right w:val="single" w:sz="4" w:space="0" w:color="auto"/>
            </w:tcBorders>
            <w:shd w:val="clear" w:color="000000" w:fill="FFFFFF"/>
            <w:noWrap/>
            <w:vAlign w:val="bottom"/>
            <w:hideMark/>
          </w:tcPr>
          <w:p w14:paraId="361B43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46,2</w:t>
            </w:r>
          </w:p>
        </w:tc>
        <w:tc>
          <w:tcPr>
            <w:tcW w:w="1087" w:type="dxa"/>
            <w:tcBorders>
              <w:top w:val="nil"/>
              <w:left w:val="nil"/>
              <w:bottom w:val="single" w:sz="4" w:space="0" w:color="auto"/>
              <w:right w:val="single" w:sz="4" w:space="0" w:color="auto"/>
            </w:tcBorders>
            <w:shd w:val="clear" w:color="000000" w:fill="FFFFFF"/>
            <w:noWrap/>
            <w:vAlign w:val="bottom"/>
            <w:hideMark/>
          </w:tcPr>
          <w:p w14:paraId="4EFAC7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652,1</w:t>
            </w:r>
          </w:p>
        </w:tc>
        <w:tc>
          <w:tcPr>
            <w:tcW w:w="1040" w:type="dxa"/>
            <w:tcBorders>
              <w:top w:val="nil"/>
              <w:left w:val="nil"/>
              <w:bottom w:val="single" w:sz="4" w:space="0" w:color="auto"/>
              <w:right w:val="single" w:sz="4" w:space="0" w:color="auto"/>
            </w:tcBorders>
            <w:shd w:val="clear" w:color="000000" w:fill="FFFFFF"/>
            <w:noWrap/>
            <w:vAlign w:val="bottom"/>
            <w:hideMark/>
          </w:tcPr>
          <w:p w14:paraId="05D64FD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101,1</w:t>
            </w:r>
          </w:p>
        </w:tc>
        <w:tc>
          <w:tcPr>
            <w:tcW w:w="1226" w:type="dxa"/>
            <w:tcBorders>
              <w:top w:val="nil"/>
              <w:left w:val="nil"/>
              <w:bottom w:val="single" w:sz="4" w:space="0" w:color="auto"/>
              <w:right w:val="single" w:sz="4" w:space="0" w:color="auto"/>
            </w:tcBorders>
            <w:shd w:val="clear" w:color="000000" w:fill="FFFFFF"/>
            <w:noWrap/>
            <w:vAlign w:val="bottom"/>
            <w:hideMark/>
          </w:tcPr>
          <w:p w14:paraId="09C176F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8616C4C"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B9840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Любимец</w:t>
            </w:r>
          </w:p>
        </w:tc>
        <w:tc>
          <w:tcPr>
            <w:tcW w:w="1911" w:type="dxa"/>
            <w:tcBorders>
              <w:top w:val="nil"/>
              <w:left w:val="nil"/>
              <w:bottom w:val="single" w:sz="4" w:space="0" w:color="auto"/>
              <w:right w:val="single" w:sz="4" w:space="0" w:color="auto"/>
            </w:tcBorders>
            <w:shd w:val="clear" w:color="000000" w:fill="FFFFFF"/>
            <w:noWrap/>
            <w:vAlign w:val="bottom"/>
            <w:hideMark/>
          </w:tcPr>
          <w:p w14:paraId="2AF7014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6 054,7</w:t>
            </w:r>
          </w:p>
        </w:tc>
        <w:tc>
          <w:tcPr>
            <w:tcW w:w="1118" w:type="dxa"/>
            <w:tcBorders>
              <w:top w:val="nil"/>
              <w:left w:val="nil"/>
              <w:bottom w:val="single" w:sz="4" w:space="0" w:color="auto"/>
              <w:right w:val="single" w:sz="4" w:space="0" w:color="auto"/>
            </w:tcBorders>
            <w:shd w:val="clear" w:color="000000" w:fill="FFFFFF"/>
            <w:noWrap/>
            <w:vAlign w:val="bottom"/>
            <w:hideMark/>
          </w:tcPr>
          <w:p w14:paraId="60F7AF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839,0</w:t>
            </w:r>
          </w:p>
        </w:tc>
        <w:tc>
          <w:tcPr>
            <w:tcW w:w="1257" w:type="dxa"/>
            <w:tcBorders>
              <w:top w:val="nil"/>
              <w:left w:val="nil"/>
              <w:bottom w:val="single" w:sz="4" w:space="0" w:color="auto"/>
              <w:right w:val="single" w:sz="4" w:space="0" w:color="auto"/>
            </w:tcBorders>
            <w:shd w:val="clear" w:color="000000" w:fill="FFFFFF"/>
            <w:noWrap/>
            <w:vAlign w:val="bottom"/>
            <w:hideMark/>
          </w:tcPr>
          <w:p w14:paraId="1906EF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159,9</w:t>
            </w:r>
          </w:p>
        </w:tc>
        <w:tc>
          <w:tcPr>
            <w:tcW w:w="1384" w:type="dxa"/>
            <w:tcBorders>
              <w:top w:val="nil"/>
              <w:left w:val="nil"/>
              <w:bottom w:val="single" w:sz="4" w:space="0" w:color="auto"/>
              <w:right w:val="single" w:sz="4" w:space="0" w:color="auto"/>
            </w:tcBorders>
            <w:shd w:val="clear" w:color="000000" w:fill="FFFFFF"/>
            <w:noWrap/>
            <w:vAlign w:val="bottom"/>
            <w:hideMark/>
          </w:tcPr>
          <w:p w14:paraId="3A1C83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679,1</w:t>
            </w:r>
          </w:p>
        </w:tc>
        <w:tc>
          <w:tcPr>
            <w:tcW w:w="1134" w:type="dxa"/>
            <w:tcBorders>
              <w:top w:val="nil"/>
              <w:left w:val="nil"/>
              <w:bottom w:val="single" w:sz="4" w:space="0" w:color="auto"/>
              <w:right w:val="single" w:sz="4" w:space="0" w:color="auto"/>
            </w:tcBorders>
            <w:shd w:val="clear" w:color="000000" w:fill="FFFFFF"/>
            <w:noWrap/>
            <w:vAlign w:val="bottom"/>
            <w:hideMark/>
          </w:tcPr>
          <w:p w14:paraId="72DDD6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120,8</w:t>
            </w:r>
          </w:p>
        </w:tc>
        <w:tc>
          <w:tcPr>
            <w:tcW w:w="1277" w:type="dxa"/>
            <w:tcBorders>
              <w:top w:val="nil"/>
              <w:left w:val="nil"/>
              <w:bottom w:val="single" w:sz="4" w:space="0" w:color="auto"/>
              <w:right w:val="single" w:sz="4" w:space="0" w:color="auto"/>
            </w:tcBorders>
            <w:shd w:val="clear" w:color="000000" w:fill="FFFFFF"/>
            <w:noWrap/>
            <w:vAlign w:val="bottom"/>
            <w:hideMark/>
          </w:tcPr>
          <w:p w14:paraId="43735D1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4 377,0</w:t>
            </w:r>
          </w:p>
        </w:tc>
        <w:tc>
          <w:tcPr>
            <w:tcW w:w="1040" w:type="dxa"/>
            <w:tcBorders>
              <w:top w:val="nil"/>
              <w:left w:val="nil"/>
              <w:bottom w:val="single" w:sz="4" w:space="0" w:color="auto"/>
              <w:right w:val="single" w:sz="4" w:space="0" w:color="auto"/>
            </w:tcBorders>
            <w:shd w:val="clear" w:color="000000" w:fill="FFFFFF"/>
            <w:noWrap/>
            <w:vAlign w:val="bottom"/>
            <w:hideMark/>
          </w:tcPr>
          <w:p w14:paraId="3BC6B41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473,1</w:t>
            </w:r>
          </w:p>
        </w:tc>
        <w:tc>
          <w:tcPr>
            <w:tcW w:w="1087" w:type="dxa"/>
            <w:tcBorders>
              <w:top w:val="nil"/>
              <w:left w:val="nil"/>
              <w:bottom w:val="single" w:sz="4" w:space="0" w:color="auto"/>
              <w:right w:val="single" w:sz="4" w:space="0" w:color="auto"/>
            </w:tcBorders>
            <w:shd w:val="clear" w:color="000000" w:fill="FFFFFF"/>
            <w:noWrap/>
            <w:vAlign w:val="bottom"/>
            <w:hideMark/>
          </w:tcPr>
          <w:p w14:paraId="50F798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121,2</w:t>
            </w:r>
          </w:p>
        </w:tc>
        <w:tc>
          <w:tcPr>
            <w:tcW w:w="1040" w:type="dxa"/>
            <w:tcBorders>
              <w:top w:val="nil"/>
              <w:left w:val="nil"/>
              <w:bottom w:val="single" w:sz="4" w:space="0" w:color="auto"/>
              <w:right w:val="single" w:sz="4" w:space="0" w:color="auto"/>
            </w:tcBorders>
            <w:shd w:val="clear" w:color="000000" w:fill="FFFFFF"/>
            <w:noWrap/>
            <w:vAlign w:val="bottom"/>
            <w:hideMark/>
          </w:tcPr>
          <w:p w14:paraId="45A008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123,6</w:t>
            </w:r>
          </w:p>
        </w:tc>
        <w:tc>
          <w:tcPr>
            <w:tcW w:w="1226" w:type="dxa"/>
            <w:tcBorders>
              <w:top w:val="nil"/>
              <w:left w:val="nil"/>
              <w:bottom w:val="single" w:sz="4" w:space="0" w:color="auto"/>
              <w:right w:val="single" w:sz="4" w:space="0" w:color="auto"/>
            </w:tcBorders>
            <w:shd w:val="clear" w:color="000000" w:fill="FFFFFF"/>
            <w:noWrap/>
            <w:vAlign w:val="bottom"/>
            <w:hideMark/>
          </w:tcPr>
          <w:p w14:paraId="277FAEC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C6E646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C84958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Mаджарово</w:t>
            </w:r>
          </w:p>
        </w:tc>
        <w:tc>
          <w:tcPr>
            <w:tcW w:w="1911" w:type="dxa"/>
            <w:tcBorders>
              <w:top w:val="nil"/>
              <w:left w:val="nil"/>
              <w:bottom w:val="single" w:sz="4" w:space="0" w:color="auto"/>
              <w:right w:val="single" w:sz="4" w:space="0" w:color="auto"/>
            </w:tcBorders>
            <w:shd w:val="clear" w:color="000000" w:fill="FFFFFF"/>
            <w:noWrap/>
            <w:vAlign w:val="bottom"/>
            <w:hideMark/>
          </w:tcPr>
          <w:p w14:paraId="0569F1F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1 789,5</w:t>
            </w:r>
          </w:p>
        </w:tc>
        <w:tc>
          <w:tcPr>
            <w:tcW w:w="1118" w:type="dxa"/>
            <w:tcBorders>
              <w:top w:val="nil"/>
              <w:left w:val="nil"/>
              <w:bottom w:val="single" w:sz="4" w:space="0" w:color="auto"/>
              <w:right w:val="single" w:sz="4" w:space="0" w:color="auto"/>
            </w:tcBorders>
            <w:shd w:val="clear" w:color="000000" w:fill="FFFFFF"/>
            <w:noWrap/>
            <w:vAlign w:val="bottom"/>
            <w:hideMark/>
          </w:tcPr>
          <w:p w14:paraId="4C73EC3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713,9</w:t>
            </w:r>
          </w:p>
        </w:tc>
        <w:tc>
          <w:tcPr>
            <w:tcW w:w="1257" w:type="dxa"/>
            <w:tcBorders>
              <w:top w:val="nil"/>
              <w:left w:val="nil"/>
              <w:bottom w:val="single" w:sz="4" w:space="0" w:color="auto"/>
              <w:right w:val="single" w:sz="4" w:space="0" w:color="auto"/>
            </w:tcBorders>
            <w:shd w:val="clear" w:color="000000" w:fill="FFFFFF"/>
            <w:noWrap/>
            <w:vAlign w:val="bottom"/>
            <w:hideMark/>
          </w:tcPr>
          <w:p w14:paraId="163ACE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207,3</w:t>
            </w:r>
          </w:p>
        </w:tc>
        <w:tc>
          <w:tcPr>
            <w:tcW w:w="1384" w:type="dxa"/>
            <w:tcBorders>
              <w:top w:val="nil"/>
              <w:left w:val="nil"/>
              <w:bottom w:val="single" w:sz="4" w:space="0" w:color="auto"/>
              <w:right w:val="single" w:sz="4" w:space="0" w:color="auto"/>
            </w:tcBorders>
            <w:shd w:val="clear" w:color="000000" w:fill="FFFFFF"/>
            <w:noWrap/>
            <w:vAlign w:val="bottom"/>
            <w:hideMark/>
          </w:tcPr>
          <w:p w14:paraId="691A9FD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506,6</w:t>
            </w:r>
          </w:p>
        </w:tc>
        <w:tc>
          <w:tcPr>
            <w:tcW w:w="1134" w:type="dxa"/>
            <w:tcBorders>
              <w:top w:val="nil"/>
              <w:left w:val="nil"/>
              <w:bottom w:val="single" w:sz="4" w:space="0" w:color="auto"/>
              <w:right w:val="single" w:sz="4" w:space="0" w:color="auto"/>
            </w:tcBorders>
            <w:shd w:val="clear" w:color="000000" w:fill="FFFFFF"/>
            <w:noWrap/>
            <w:vAlign w:val="bottom"/>
            <w:hideMark/>
          </w:tcPr>
          <w:p w14:paraId="3D732A9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117,3</w:t>
            </w:r>
          </w:p>
        </w:tc>
        <w:tc>
          <w:tcPr>
            <w:tcW w:w="1277" w:type="dxa"/>
            <w:tcBorders>
              <w:top w:val="nil"/>
              <w:left w:val="nil"/>
              <w:bottom w:val="single" w:sz="4" w:space="0" w:color="auto"/>
              <w:right w:val="single" w:sz="4" w:space="0" w:color="auto"/>
            </w:tcBorders>
            <w:shd w:val="clear" w:color="000000" w:fill="FFFFFF"/>
            <w:noWrap/>
            <w:vAlign w:val="bottom"/>
            <w:hideMark/>
          </w:tcPr>
          <w:p w14:paraId="0635A5C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851,5</w:t>
            </w:r>
          </w:p>
        </w:tc>
        <w:tc>
          <w:tcPr>
            <w:tcW w:w="1040" w:type="dxa"/>
            <w:tcBorders>
              <w:top w:val="nil"/>
              <w:left w:val="nil"/>
              <w:bottom w:val="single" w:sz="4" w:space="0" w:color="auto"/>
              <w:right w:val="single" w:sz="4" w:space="0" w:color="auto"/>
            </w:tcBorders>
            <w:shd w:val="clear" w:color="000000" w:fill="FFFFFF"/>
            <w:noWrap/>
            <w:vAlign w:val="bottom"/>
            <w:hideMark/>
          </w:tcPr>
          <w:p w14:paraId="532531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10,5</w:t>
            </w:r>
          </w:p>
        </w:tc>
        <w:tc>
          <w:tcPr>
            <w:tcW w:w="1087" w:type="dxa"/>
            <w:tcBorders>
              <w:top w:val="nil"/>
              <w:left w:val="nil"/>
              <w:bottom w:val="single" w:sz="4" w:space="0" w:color="auto"/>
              <w:right w:val="single" w:sz="4" w:space="0" w:color="auto"/>
            </w:tcBorders>
            <w:shd w:val="clear" w:color="000000" w:fill="FFFFFF"/>
            <w:noWrap/>
            <w:vAlign w:val="bottom"/>
            <w:hideMark/>
          </w:tcPr>
          <w:p w14:paraId="54F88C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51,3</w:t>
            </w:r>
          </w:p>
        </w:tc>
        <w:tc>
          <w:tcPr>
            <w:tcW w:w="1040" w:type="dxa"/>
            <w:tcBorders>
              <w:top w:val="nil"/>
              <w:left w:val="nil"/>
              <w:bottom w:val="single" w:sz="4" w:space="0" w:color="auto"/>
              <w:right w:val="single" w:sz="4" w:space="0" w:color="auto"/>
            </w:tcBorders>
            <w:shd w:val="clear" w:color="000000" w:fill="FFFFFF"/>
            <w:noWrap/>
            <w:vAlign w:val="bottom"/>
            <w:hideMark/>
          </w:tcPr>
          <w:p w14:paraId="5E231D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45,0</w:t>
            </w:r>
          </w:p>
        </w:tc>
        <w:tc>
          <w:tcPr>
            <w:tcW w:w="1226" w:type="dxa"/>
            <w:tcBorders>
              <w:top w:val="nil"/>
              <w:left w:val="nil"/>
              <w:bottom w:val="single" w:sz="4" w:space="0" w:color="auto"/>
              <w:right w:val="single" w:sz="4" w:space="0" w:color="auto"/>
            </w:tcBorders>
            <w:shd w:val="clear" w:color="000000" w:fill="FFFFFF"/>
            <w:noWrap/>
            <w:vAlign w:val="bottom"/>
            <w:hideMark/>
          </w:tcPr>
          <w:p w14:paraId="041D8B1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8D28CA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20F665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Mинерални бани</w:t>
            </w:r>
          </w:p>
        </w:tc>
        <w:tc>
          <w:tcPr>
            <w:tcW w:w="1911" w:type="dxa"/>
            <w:tcBorders>
              <w:top w:val="nil"/>
              <w:left w:val="nil"/>
              <w:bottom w:val="single" w:sz="4" w:space="0" w:color="auto"/>
              <w:right w:val="single" w:sz="4" w:space="0" w:color="auto"/>
            </w:tcBorders>
            <w:shd w:val="clear" w:color="000000" w:fill="FFFFFF"/>
            <w:noWrap/>
            <w:vAlign w:val="bottom"/>
            <w:hideMark/>
          </w:tcPr>
          <w:p w14:paraId="13D6E39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3 111,4</w:t>
            </w:r>
          </w:p>
        </w:tc>
        <w:tc>
          <w:tcPr>
            <w:tcW w:w="1118" w:type="dxa"/>
            <w:tcBorders>
              <w:top w:val="nil"/>
              <w:left w:val="nil"/>
              <w:bottom w:val="single" w:sz="4" w:space="0" w:color="auto"/>
              <w:right w:val="single" w:sz="4" w:space="0" w:color="auto"/>
            </w:tcBorders>
            <w:shd w:val="clear" w:color="000000" w:fill="FFFFFF"/>
            <w:noWrap/>
            <w:vAlign w:val="bottom"/>
            <w:hideMark/>
          </w:tcPr>
          <w:p w14:paraId="35E6D2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852,9</w:t>
            </w:r>
          </w:p>
        </w:tc>
        <w:tc>
          <w:tcPr>
            <w:tcW w:w="1257" w:type="dxa"/>
            <w:tcBorders>
              <w:top w:val="nil"/>
              <w:left w:val="nil"/>
              <w:bottom w:val="single" w:sz="4" w:space="0" w:color="auto"/>
              <w:right w:val="single" w:sz="4" w:space="0" w:color="auto"/>
            </w:tcBorders>
            <w:shd w:val="clear" w:color="000000" w:fill="FFFFFF"/>
            <w:noWrap/>
            <w:vAlign w:val="bottom"/>
            <w:hideMark/>
          </w:tcPr>
          <w:p w14:paraId="731728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215,7</w:t>
            </w:r>
          </w:p>
        </w:tc>
        <w:tc>
          <w:tcPr>
            <w:tcW w:w="1384" w:type="dxa"/>
            <w:tcBorders>
              <w:top w:val="nil"/>
              <w:left w:val="nil"/>
              <w:bottom w:val="single" w:sz="4" w:space="0" w:color="auto"/>
              <w:right w:val="single" w:sz="4" w:space="0" w:color="auto"/>
            </w:tcBorders>
            <w:shd w:val="clear" w:color="000000" w:fill="FFFFFF"/>
            <w:noWrap/>
            <w:vAlign w:val="bottom"/>
            <w:hideMark/>
          </w:tcPr>
          <w:p w14:paraId="5A6692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637,2</w:t>
            </w:r>
          </w:p>
        </w:tc>
        <w:tc>
          <w:tcPr>
            <w:tcW w:w="1134" w:type="dxa"/>
            <w:tcBorders>
              <w:top w:val="nil"/>
              <w:left w:val="nil"/>
              <w:bottom w:val="single" w:sz="4" w:space="0" w:color="auto"/>
              <w:right w:val="single" w:sz="4" w:space="0" w:color="auto"/>
            </w:tcBorders>
            <w:shd w:val="clear" w:color="000000" w:fill="FFFFFF"/>
            <w:noWrap/>
            <w:vAlign w:val="bottom"/>
            <w:hideMark/>
          </w:tcPr>
          <w:p w14:paraId="2C0253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99,7</w:t>
            </w:r>
          </w:p>
        </w:tc>
        <w:tc>
          <w:tcPr>
            <w:tcW w:w="1277" w:type="dxa"/>
            <w:tcBorders>
              <w:top w:val="nil"/>
              <w:left w:val="nil"/>
              <w:bottom w:val="single" w:sz="4" w:space="0" w:color="auto"/>
              <w:right w:val="single" w:sz="4" w:space="0" w:color="auto"/>
            </w:tcBorders>
            <w:shd w:val="clear" w:color="000000" w:fill="FFFFFF"/>
            <w:noWrap/>
            <w:vAlign w:val="bottom"/>
            <w:hideMark/>
          </w:tcPr>
          <w:p w14:paraId="7044E52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1 801,4</w:t>
            </w:r>
          </w:p>
        </w:tc>
        <w:tc>
          <w:tcPr>
            <w:tcW w:w="1040" w:type="dxa"/>
            <w:tcBorders>
              <w:top w:val="nil"/>
              <w:left w:val="nil"/>
              <w:bottom w:val="single" w:sz="4" w:space="0" w:color="auto"/>
              <w:right w:val="single" w:sz="4" w:space="0" w:color="auto"/>
            </w:tcBorders>
            <w:shd w:val="clear" w:color="000000" w:fill="FFFFFF"/>
            <w:noWrap/>
            <w:vAlign w:val="bottom"/>
            <w:hideMark/>
          </w:tcPr>
          <w:p w14:paraId="1E182F9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25,2</w:t>
            </w:r>
          </w:p>
        </w:tc>
        <w:tc>
          <w:tcPr>
            <w:tcW w:w="1087" w:type="dxa"/>
            <w:tcBorders>
              <w:top w:val="nil"/>
              <w:left w:val="nil"/>
              <w:bottom w:val="single" w:sz="4" w:space="0" w:color="auto"/>
              <w:right w:val="single" w:sz="4" w:space="0" w:color="auto"/>
            </w:tcBorders>
            <w:shd w:val="clear" w:color="000000" w:fill="FFFFFF"/>
            <w:noWrap/>
            <w:vAlign w:val="bottom"/>
            <w:hideMark/>
          </w:tcPr>
          <w:p w14:paraId="20E651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231,0</w:t>
            </w:r>
          </w:p>
        </w:tc>
        <w:tc>
          <w:tcPr>
            <w:tcW w:w="1040" w:type="dxa"/>
            <w:tcBorders>
              <w:top w:val="nil"/>
              <w:left w:val="nil"/>
              <w:bottom w:val="single" w:sz="4" w:space="0" w:color="auto"/>
              <w:right w:val="single" w:sz="4" w:space="0" w:color="auto"/>
            </w:tcBorders>
            <w:shd w:val="clear" w:color="000000" w:fill="FFFFFF"/>
            <w:noWrap/>
            <w:vAlign w:val="bottom"/>
            <w:hideMark/>
          </w:tcPr>
          <w:p w14:paraId="3EC9DF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101,2</w:t>
            </w:r>
          </w:p>
        </w:tc>
        <w:tc>
          <w:tcPr>
            <w:tcW w:w="1226" w:type="dxa"/>
            <w:tcBorders>
              <w:top w:val="nil"/>
              <w:left w:val="nil"/>
              <w:bottom w:val="single" w:sz="4" w:space="0" w:color="auto"/>
              <w:right w:val="single" w:sz="4" w:space="0" w:color="auto"/>
            </w:tcBorders>
            <w:shd w:val="clear" w:color="000000" w:fill="FFFFFF"/>
            <w:noWrap/>
            <w:vAlign w:val="bottom"/>
            <w:hideMark/>
          </w:tcPr>
          <w:p w14:paraId="6192D3C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276D63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06A879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Cвиленград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31E134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14 470,1</w:t>
            </w:r>
          </w:p>
        </w:tc>
        <w:tc>
          <w:tcPr>
            <w:tcW w:w="1118" w:type="dxa"/>
            <w:tcBorders>
              <w:top w:val="nil"/>
              <w:left w:val="nil"/>
              <w:bottom w:val="single" w:sz="4" w:space="0" w:color="auto"/>
              <w:right w:val="single" w:sz="4" w:space="0" w:color="auto"/>
            </w:tcBorders>
            <w:shd w:val="clear" w:color="000000" w:fill="FFFFFF"/>
            <w:noWrap/>
            <w:vAlign w:val="bottom"/>
            <w:hideMark/>
          </w:tcPr>
          <w:p w14:paraId="279C82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1 346,0</w:t>
            </w:r>
          </w:p>
        </w:tc>
        <w:tc>
          <w:tcPr>
            <w:tcW w:w="1257" w:type="dxa"/>
            <w:tcBorders>
              <w:top w:val="nil"/>
              <w:left w:val="nil"/>
              <w:bottom w:val="single" w:sz="4" w:space="0" w:color="auto"/>
              <w:right w:val="single" w:sz="4" w:space="0" w:color="auto"/>
            </w:tcBorders>
            <w:shd w:val="clear" w:color="000000" w:fill="FFFFFF"/>
            <w:noWrap/>
            <w:vAlign w:val="bottom"/>
            <w:hideMark/>
          </w:tcPr>
          <w:p w14:paraId="3A394AF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278,0</w:t>
            </w:r>
          </w:p>
        </w:tc>
        <w:tc>
          <w:tcPr>
            <w:tcW w:w="1384" w:type="dxa"/>
            <w:tcBorders>
              <w:top w:val="nil"/>
              <w:left w:val="nil"/>
              <w:bottom w:val="single" w:sz="4" w:space="0" w:color="auto"/>
              <w:right w:val="single" w:sz="4" w:space="0" w:color="auto"/>
            </w:tcBorders>
            <w:shd w:val="clear" w:color="000000" w:fill="FFFFFF"/>
            <w:noWrap/>
            <w:vAlign w:val="bottom"/>
            <w:hideMark/>
          </w:tcPr>
          <w:p w14:paraId="42FE905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1 068,0</w:t>
            </w:r>
          </w:p>
        </w:tc>
        <w:tc>
          <w:tcPr>
            <w:tcW w:w="1134" w:type="dxa"/>
            <w:tcBorders>
              <w:top w:val="nil"/>
              <w:left w:val="nil"/>
              <w:bottom w:val="single" w:sz="4" w:space="0" w:color="auto"/>
              <w:right w:val="single" w:sz="4" w:space="0" w:color="auto"/>
            </w:tcBorders>
            <w:shd w:val="clear" w:color="000000" w:fill="FFFFFF"/>
            <w:noWrap/>
            <w:vAlign w:val="bottom"/>
            <w:hideMark/>
          </w:tcPr>
          <w:p w14:paraId="3AF36D6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190,9</w:t>
            </w:r>
          </w:p>
        </w:tc>
        <w:tc>
          <w:tcPr>
            <w:tcW w:w="1277" w:type="dxa"/>
            <w:tcBorders>
              <w:top w:val="nil"/>
              <w:left w:val="nil"/>
              <w:bottom w:val="single" w:sz="4" w:space="0" w:color="auto"/>
              <w:right w:val="single" w:sz="4" w:space="0" w:color="auto"/>
            </w:tcBorders>
            <w:shd w:val="clear" w:color="000000" w:fill="FFFFFF"/>
            <w:noWrap/>
            <w:vAlign w:val="bottom"/>
            <w:hideMark/>
          </w:tcPr>
          <w:p w14:paraId="27B923E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9 528,2</w:t>
            </w:r>
          </w:p>
        </w:tc>
        <w:tc>
          <w:tcPr>
            <w:tcW w:w="1040" w:type="dxa"/>
            <w:tcBorders>
              <w:top w:val="nil"/>
              <w:left w:val="nil"/>
              <w:bottom w:val="single" w:sz="4" w:space="0" w:color="auto"/>
              <w:right w:val="single" w:sz="4" w:space="0" w:color="auto"/>
            </w:tcBorders>
            <w:shd w:val="clear" w:color="000000" w:fill="FFFFFF"/>
            <w:noWrap/>
            <w:vAlign w:val="bottom"/>
            <w:hideMark/>
          </w:tcPr>
          <w:p w14:paraId="04A2DE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766,8</w:t>
            </w:r>
          </w:p>
        </w:tc>
        <w:tc>
          <w:tcPr>
            <w:tcW w:w="1087" w:type="dxa"/>
            <w:tcBorders>
              <w:top w:val="nil"/>
              <w:left w:val="nil"/>
              <w:bottom w:val="single" w:sz="4" w:space="0" w:color="auto"/>
              <w:right w:val="single" w:sz="4" w:space="0" w:color="auto"/>
            </w:tcBorders>
            <w:shd w:val="clear" w:color="000000" w:fill="FFFFFF"/>
            <w:noWrap/>
            <w:vAlign w:val="bottom"/>
            <w:hideMark/>
          </w:tcPr>
          <w:p w14:paraId="773944E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2 213,2</w:t>
            </w:r>
          </w:p>
        </w:tc>
        <w:tc>
          <w:tcPr>
            <w:tcW w:w="1040" w:type="dxa"/>
            <w:tcBorders>
              <w:top w:val="nil"/>
              <w:left w:val="nil"/>
              <w:bottom w:val="single" w:sz="4" w:space="0" w:color="auto"/>
              <w:right w:val="single" w:sz="4" w:space="0" w:color="auto"/>
            </w:tcBorders>
            <w:shd w:val="clear" w:color="000000" w:fill="FFFFFF"/>
            <w:noWrap/>
            <w:vAlign w:val="bottom"/>
            <w:hideMark/>
          </w:tcPr>
          <w:p w14:paraId="6B15A88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425,0</w:t>
            </w:r>
          </w:p>
        </w:tc>
        <w:tc>
          <w:tcPr>
            <w:tcW w:w="1226" w:type="dxa"/>
            <w:tcBorders>
              <w:top w:val="nil"/>
              <w:left w:val="nil"/>
              <w:bottom w:val="single" w:sz="4" w:space="0" w:color="auto"/>
              <w:right w:val="single" w:sz="4" w:space="0" w:color="auto"/>
            </w:tcBorders>
            <w:shd w:val="clear" w:color="000000" w:fill="FFFFFF"/>
            <w:noWrap/>
            <w:vAlign w:val="bottom"/>
            <w:hideMark/>
          </w:tcPr>
          <w:p w14:paraId="38EE8B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D7B7009"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40527D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Cимеоновград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24D73D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5 494,8</w:t>
            </w:r>
          </w:p>
        </w:tc>
        <w:tc>
          <w:tcPr>
            <w:tcW w:w="1118" w:type="dxa"/>
            <w:tcBorders>
              <w:top w:val="nil"/>
              <w:left w:val="nil"/>
              <w:bottom w:val="single" w:sz="4" w:space="0" w:color="auto"/>
              <w:right w:val="single" w:sz="4" w:space="0" w:color="auto"/>
            </w:tcBorders>
            <w:shd w:val="clear" w:color="000000" w:fill="FFFFFF"/>
            <w:noWrap/>
            <w:vAlign w:val="bottom"/>
            <w:hideMark/>
          </w:tcPr>
          <w:p w14:paraId="7059670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848,8</w:t>
            </w:r>
          </w:p>
        </w:tc>
        <w:tc>
          <w:tcPr>
            <w:tcW w:w="1257" w:type="dxa"/>
            <w:tcBorders>
              <w:top w:val="nil"/>
              <w:left w:val="nil"/>
              <w:bottom w:val="single" w:sz="4" w:space="0" w:color="auto"/>
              <w:right w:val="single" w:sz="4" w:space="0" w:color="auto"/>
            </w:tcBorders>
            <w:shd w:val="clear" w:color="000000" w:fill="FFFFFF"/>
            <w:noWrap/>
            <w:vAlign w:val="bottom"/>
            <w:hideMark/>
          </w:tcPr>
          <w:p w14:paraId="30D286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161,6</w:t>
            </w:r>
          </w:p>
        </w:tc>
        <w:tc>
          <w:tcPr>
            <w:tcW w:w="1384" w:type="dxa"/>
            <w:tcBorders>
              <w:top w:val="nil"/>
              <w:left w:val="nil"/>
              <w:bottom w:val="single" w:sz="4" w:space="0" w:color="auto"/>
              <w:right w:val="single" w:sz="4" w:space="0" w:color="auto"/>
            </w:tcBorders>
            <w:shd w:val="clear" w:color="000000" w:fill="FFFFFF"/>
            <w:noWrap/>
            <w:vAlign w:val="bottom"/>
            <w:hideMark/>
          </w:tcPr>
          <w:p w14:paraId="1787924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687,2</w:t>
            </w:r>
          </w:p>
        </w:tc>
        <w:tc>
          <w:tcPr>
            <w:tcW w:w="1134" w:type="dxa"/>
            <w:tcBorders>
              <w:top w:val="nil"/>
              <w:left w:val="nil"/>
              <w:bottom w:val="single" w:sz="4" w:space="0" w:color="auto"/>
              <w:right w:val="single" w:sz="4" w:space="0" w:color="auto"/>
            </w:tcBorders>
            <w:shd w:val="clear" w:color="000000" w:fill="FFFFFF"/>
            <w:noWrap/>
            <w:vAlign w:val="bottom"/>
            <w:hideMark/>
          </w:tcPr>
          <w:p w14:paraId="47032E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103,2</w:t>
            </w:r>
          </w:p>
        </w:tc>
        <w:tc>
          <w:tcPr>
            <w:tcW w:w="1277" w:type="dxa"/>
            <w:tcBorders>
              <w:top w:val="nil"/>
              <w:left w:val="nil"/>
              <w:bottom w:val="single" w:sz="4" w:space="0" w:color="auto"/>
              <w:right w:val="single" w:sz="4" w:space="0" w:color="auto"/>
            </w:tcBorders>
            <w:shd w:val="clear" w:color="000000" w:fill="FFFFFF"/>
            <w:noWrap/>
            <w:vAlign w:val="bottom"/>
            <w:hideMark/>
          </w:tcPr>
          <w:p w14:paraId="6028DC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3 628,8</w:t>
            </w:r>
          </w:p>
        </w:tc>
        <w:tc>
          <w:tcPr>
            <w:tcW w:w="1040" w:type="dxa"/>
            <w:tcBorders>
              <w:top w:val="nil"/>
              <w:left w:val="nil"/>
              <w:bottom w:val="single" w:sz="4" w:space="0" w:color="auto"/>
              <w:right w:val="single" w:sz="4" w:space="0" w:color="auto"/>
            </w:tcBorders>
            <w:shd w:val="clear" w:color="000000" w:fill="FFFFFF"/>
            <w:noWrap/>
            <w:vAlign w:val="bottom"/>
            <w:hideMark/>
          </w:tcPr>
          <w:p w14:paraId="1AAA7C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333,1</w:t>
            </w:r>
          </w:p>
        </w:tc>
        <w:tc>
          <w:tcPr>
            <w:tcW w:w="1087" w:type="dxa"/>
            <w:tcBorders>
              <w:top w:val="nil"/>
              <w:left w:val="nil"/>
              <w:bottom w:val="single" w:sz="4" w:space="0" w:color="auto"/>
              <w:right w:val="single" w:sz="4" w:space="0" w:color="auto"/>
            </w:tcBorders>
            <w:shd w:val="clear" w:color="000000" w:fill="FFFFFF"/>
            <w:noWrap/>
            <w:vAlign w:val="bottom"/>
            <w:hideMark/>
          </w:tcPr>
          <w:p w14:paraId="197C317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401,1</w:t>
            </w:r>
          </w:p>
        </w:tc>
        <w:tc>
          <w:tcPr>
            <w:tcW w:w="1040" w:type="dxa"/>
            <w:tcBorders>
              <w:top w:val="nil"/>
              <w:left w:val="nil"/>
              <w:bottom w:val="single" w:sz="4" w:space="0" w:color="auto"/>
              <w:right w:val="single" w:sz="4" w:space="0" w:color="auto"/>
            </w:tcBorders>
            <w:shd w:val="clear" w:color="000000" w:fill="FFFFFF"/>
            <w:noWrap/>
            <w:vAlign w:val="bottom"/>
            <w:hideMark/>
          </w:tcPr>
          <w:p w14:paraId="4C834BB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179,8</w:t>
            </w:r>
          </w:p>
        </w:tc>
        <w:tc>
          <w:tcPr>
            <w:tcW w:w="1226" w:type="dxa"/>
            <w:tcBorders>
              <w:top w:val="nil"/>
              <w:left w:val="nil"/>
              <w:bottom w:val="single" w:sz="4" w:space="0" w:color="auto"/>
              <w:right w:val="single" w:sz="4" w:space="0" w:color="auto"/>
            </w:tcBorders>
            <w:shd w:val="clear" w:color="000000" w:fill="FFFFFF"/>
            <w:noWrap/>
            <w:vAlign w:val="bottom"/>
            <w:hideMark/>
          </w:tcPr>
          <w:p w14:paraId="63FBC9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7EA00F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385D9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Cтамболово</w:t>
            </w:r>
          </w:p>
        </w:tc>
        <w:tc>
          <w:tcPr>
            <w:tcW w:w="1911" w:type="dxa"/>
            <w:tcBorders>
              <w:top w:val="nil"/>
              <w:left w:val="nil"/>
              <w:bottom w:val="single" w:sz="4" w:space="0" w:color="auto"/>
              <w:right w:val="single" w:sz="4" w:space="0" w:color="auto"/>
            </w:tcBorders>
            <w:shd w:val="clear" w:color="000000" w:fill="FFFFFF"/>
            <w:noWrap/>
            <w:vAlign w:val="bottom"/>
            <w:hideMark/>
          </w:tcPr>
          <w:p w14:paraId="11020A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3 759,3</w:t>
            </w:r>
          </w:p>
        </w:tc>
        <w:tc>
          <w:tcPr>
            <w:tcW w:w="1118" w:type="dxa"/>
            <w:tcBorders>
              <w:top w:val="nil"/>
              <w:left w:val="nil"/>
              <w:bottom w:val="single" w:sz="4" w:space="0" w:color="auto"/>
              <w:right w:val="single" w:sz="4" w:space="0" w:color="auto"/>
            </w:tcBorders>
            <w:shd w:val="clear" w:color="000000" w:fill="FFFFFF"/>
            <w:noWrap/>
            <w:vAlign w:val="bottom"/>
            <w:hideMark/>
          </w:tcPr>
          <w:p w14:paraId="16683F6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1 345,7</w:t>
            </w:r>
          </w:p>
        </w:tc>
        <w:tc>
          <w:tcPr>
            <w:tcW w:w="1257" w:type="dxa"/>
            <w:tcBorders>
              <w:top w:val="nil"/>
              <w:left w:val="nil"/>
              <w:bottom w:val="single" w:sz="4" w:space="0" w:color="auto"/>
              <w:right w:val="single" w:sz="4" w:space="0" w:color="auto"/>
            </w:tcBorders>
            <w:shd w:val="clear" w:color="000000" w:fill="FFFFFF"/>
            <w:noWrap/>
            <w:vAlign w:val="bottom"/>
            <w:hideMark/>
          </w:tcPr>
          <w:p w14:paraId="3855B20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446,4</w:t>
            </w:r>
          </w:p>
        </w:tc>
        <w:tc>
          <w:tcPr>
            <w:tcW w:w="1384" w:type="dxa"/>
            <w:tcBorders>
              <w:top w:val="nil"/>
              <w:left w:val="nil"/>
              <w:bottom w:val="single" w:sz="4" w:space="0" w:color="auto"/>
              <w:right w:val="single" w:sz="4" w:space="0" w:color="auto"/>
            </w:tcBorders>
            <w:shd w:val="clear" w:color="000000" w:fill="FFFFFF"/>
            <w:noWrap/>
            <w:vAlign w:val="bottom"/>
            <w:hideMark/>
          </w:tcPr>
          <w:p w14:paraId="4A9AAA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899,3</w:t>
            </w:r>
          </w:p>
        </w:tc>
        <w:tc>
          <w:tcPr>
            <w:tcW w:w="1134" w:type="dxa"/>
            <w:tcBorders>
              <w:top w:val="nil"/>
              <w:left w:val="nil"/>
              <w:bottom w:val="single" w:sz="4" w:space="0" w:color="auto"/>
              <w:right w:val="single" w:sz="4" w:space="0" w:color="auto"/>
            </w:tcBorders>
            <w:shd w:val="clear" w:color="000000" w:fill="FFFFFF"/>
            <w:noWrap/>
            <w:vAlign w:val="bottom"/>
            <w:hideMark/>
          </w:tcPr>
          <w:p w14:paraId="2A975D8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111,5</w:t>
            </w:r>
          </w:p>
        </w:tc>
        <w:tc>
          <w:tcPr>
            <w:tcW w:w="1277" w:type="dxa"/>
            <w:tcBorders>
              <w:top w:val="nil"/>
              <w:left w:val="nil"/>
              <w:bottom w:val="single" w:sz="4" w:space="0" w:color="auto"/>
              <w:right w:val="single" w:sz="4" w:space="0" w:color="auto"/>
            </w:tcBorders>
            <w:shd w:val="clear" w:color="000000" w:fill="FFFFFF"/>
            <w:noWrap/>
            <w:vAlign w:val="bottom"/>
            <w:hideMark/>
          </w:tcPr>
          <w:p w14:paraId="0BEBE2D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1 937,4</w:t>
            </w:r>
          </w:p>
        </w:tc>
        <w:tc>
          <w:tcPr>
            <w:tcW w:w="1040" w:type="dxa"/>
            <w:tcBorders>
              <w:top w:val="nil"/>
              <w:left w:val="nil"/>
              <w:bottom w:val="single" w:sz="4" w:space="0" w:color="auto"/>
              <w:right w:val="single" w:sz="4" w:space="0" w:color="auto"/>
            </w:tcBorders>
            <w:shd w:val="clear" w:color="000000" w:fill="FFFFFF"/>
            <w:noWrap/>
            <w:vAlign w:val="bottom"/>
            <w:hideMark/>
          </w:tcPr>
          <w:p w14:paraId="7369B0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41,4</w:t>
            </w:r>
          </w:p>
        </w:tc>
        <w:tc>
          <w:tcPr>
            <w:tcW w:w="1087" w:type="dxa"/>
            <w:tcBorders>
              <w:top w:val="nil"/>
              <w:left w:val="nil"/>
              <w:bottom w:val="single" w:sz="4" w:space="0" w:color="auto"/>
              <w:right w:val="single" w:sz="4" w:space="0" w:color="auto"/>
            </w:tcBorders>
            <w:shd w:val="clear" w:color="000000" w:fill="FFFFFF"/>
            <w:noWrap/>
            <w:vAlign w:val="bottom"/>
            <w:hideMark/>
          </w:tcPr>
          <w:p w14:paraId="389AEA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210,9</w:t>
            </w:r>
          </w:p>
        </w:tc>
        <w:tc>
          <w:tcPr>
            <w:tcW w:w="1040" w:type="dxa"/>
            <w:tcBorders>
              <w:top w:val="nil"/>
              <w:left w:val="nil"/>
              <w:bottom w:val="single" w:sz="4" w:space="0" w:color="auto"/>
              <w:right w:val="single" w:sz="4" w:space="0" w:color="auto"/>
            </w:tcBorders>
            <w:shd w:val="clear" w:color="000000" w:fill="FFFFFF"/>
            <w:noWrap/>
            <w:vAlign w:val="bottom"/>
            <w:hideMark/>
          </w:tcPr>
          <w:p w14:paraId="2A13CE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112,4</w:t>
            </w:r>
          </w:p>
        </w:tc>
        <w:tc>
          <w:tcPr>
            <w:tcW w:w="1226" w:type="dxa"/>
            <w:tcBorders>
              <w:top w:val="nil"/>
              <w:left w:val="nil"/>
              <w:bottom w:val="single" w:sz="4" w:space="0" w:color="auto"/>
              <w:right w:val="single" w:sz="4" w:space="0" w:color="auto"/>
            </w:tcBorders>
            <w:shd w:val="clear" w:color="000000" w:fill="FFFFFF"/>
            <w:noWrap/>
            <w:vAlign w:val="bottom"/>
            <w:hideMark/>
          </w:tcPr>
          <w:p w14:paraId="54E4C86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B63340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7332DB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Tополовград</w:t>
            </w:r>
          </w:p>
        </w:tc>
        <w:tc>
          <w:tcPr>
            <w:tcW w:w="1911" w:type="dxa"/>
            <w:tcBorders>
              <w:top w:val="nil"/>
              <w:left w:val="nil"/>
              <w:bottom w:val="single" w:sz="4" w:space="0" w:color="auto"/>
              <w:right w:val="single" w:sz="4" w:space="0" w:color="auto"/>
            </w:tcBorders>
            <w:shd w:val="clear" w:color="000000" w:fill="FFFFFF"/>
            <w:noWrap/>
            <w:vAlign w:val="bottom"/>
            <w:hideMark/>
          </w:tcPr>
          <w:p w14:paraId="216D8B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6 945,2</w:t>
            </w:r>
          </w:p>
        </w:tc>
        <w:tc>
          <w:tcPr>
            <w:tcW w:w="1118" w:type="dxa"/>
            <w:tcBorders>
              <w:top w:val="nil"/>
              <w:left w:val="nil"/>
              <w:bottom w:val="single" w:sz="4" w:space="0" w:color="auto"/>
              <w:right w:val="single" w:sz="4" w:space="0" w:color="auto"/>
            </w:tcBorders>
            <w:shd w:val="clear" w:color="000000" w:fill="FFFFFF"/>
            <w:noWrap/>
            <w:vAlign w:val="bottom"/>
            <w:hideMark/>
          </w:tcPr>
          <w:p w14:paraId="028381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939,3</w:t>
            </w:r>
          </w:p>
        </w:tc>
        <w:tc>
          <w:tcPr>
            <w:tcW w:w="1257" w:type="dxa"/>
            <w:tcBorders>
              <w:top w:val="nil"/>
              <w:left w:val="nil"/>
              <w:bottom w:val="single" w:sz="4" w:space="0" w:color="auto"/>
              <w:right w:val="single" w:sz="4" w:space="0" w:color="auto"/>
            </w:tcBorders>
            <w:shd w:val="clear" w:color="000000" w:fill="FFFFFF"/>
            <w:noWrap/>
            <w:vAlign w:val="bottom"/>
            <w:hideMark/>
          </w:tcPr>
          <w:p w14:paraId="09FD53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266,1</w:t>
            </w:r>
          </w:p>
        </w:tc>
        <w:tc>
          <w:tcPr>
            <w:tcW w:w="1384" w:type="dxa"/>
            <w:tcBorders>
              <w:top w:val="nil"/>
              <w:left w:val="nil"/>
              <w:bottom w:val="single" w:sz="4" w:space="0" w:color="auto"/>
              <w:right w:val="single" w:sz="4" w:space="0" w:color="auto"/>
            </w:tcBorders>
            <w:shd w:val="clear" w:color="000000" w:fill="FFFFFF"/>
            <w:noWrap/>
            <w:vAlign w:val="bottom"/>
            <w:hideMark/>
          </w:tcPr>
          <w:p w14:paraId="567B71D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673,2</w:t>
            </w:r>
          </w:p>
        </w:tc>
        <w:tc>
          <w:tcPr>
            <w:tcW w:w="1134" w:type="dxa"/>
            <w:tcBorders>
              <w:top w:val="nil"/>
              <w:left w:val="nil"/>
              <w:bottom w:val="single" w:sz="4" w:space="0" w:color="auto"/>
              <w:right w:val="single" w:sz="4" w:space="0" w:color="auto"/>
            </w:tcBorders>
            <w:shd w:val="clear" w:color="000000" w:fill="FFFFFF"/>
            <w:noWrap/>
            <w:vAlign w:val="bottom"/>
            <w:hideMark/>
          </w:tcPr>
          <w:p w14:paraId="58CBFE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131,1</w:t>
            </w:r>
          </w:p>
        </w:tc>
        <w:tc>
          <w:tcPr>
            <w:tcW w:w="1277" w:type="dxa"/>
            <w:tcBorders>
              <w:top w:val="nil"/>
              <w:left w:val="nil"/>
              <w:bottom w:val="single" w:sz="4" w:space="0" w:color="auto"/>
              <w:right w:val="single" w:sz="4" w:space="0" w:color="auto"/>
            </w:tcBorders>
            <w:shd w:val="clear" w:color="000000" w:fill="FFFFFF"/>
            <w:noWrap/>
            <w:vAlign w:val="bottom"/>
            <w:hideMark/>
          </w:tcPr>
          <w:p w14:paraId="24F8BD4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4 029,4</w:t>
            </w:r>
          </w:p>
        </w:tc>
        <w:tc>
          <w:tcPr>
            <w:tcW w:w="1040" w:type="dxa"/>
            <w:tcBorders>
              <w:top w:val="nil"/>
              <w:left w:val="nil"/>
              <w:bottom w:val="single" w:sz="4" w:space="0" w:color="auto"/>
              <w:right w:val="single" w:sz="4" w:space="0" w:color="auto"/>
            </w:tcBorders>
            <w:shd w:val="clear" w:color="000000" w:fill="FFFFFF"/>
            <w:noWrap/>
            <w:vAlign w:val="bottom"/>
            <w:hideMark/>
          </w:tcPr>
          <w:p w14:paraId="758229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124,9</w:t>
            </w:r>
          </w:p>
        </w:tc>
        <w:tc>
          <w:tcPr>
            <w:tcW w:w="1087" w:type="dxa"/>
            <w:tcBorders>
              <w:top w:val="nil"/>
              <w:left w:val="nil"/>
              <w:bottom w:val="single" w:sz="4" w:space="0" w:color="auto"/>
              <w:right w:val="single" w:sz="4" w:space="0" w:color="auto"/>
            </w:tcBorders>
            <w:shd w:val="clear" w:color="000000" w:fill="FFFFFF"/>
            <w:noWrap/>
            <w:vAlign w:val="bottom"/>
            <w:hideMark/>
          </w:tcPr>
          <w:p w14:paraId="1D6FC2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1 450,8</w:t>
            </w:r>
          </w:p>
        </w:tc>
        <w:tc>
          <w:tcPr>
            <w:tcW w:w="1040" w:type="dxa"/>
            <w:tcBorders>
              <w:top w:val="nil"/>
              <w:left w:val="nil"/>
              <w:bottom w:val="single" w:sz="4" w:space="0" w:color="auto"/>
              <w:right w:val="single" w:sz="4" w:space="0" w:color="auto"/>
            </w:tcBorders>
            <w:shd w:val="clear" w:color="000000" w:fill="FFFFFF"/>
            <w:noWrap/>
            <w:vAlign w:val="bottom"/>
            <w:hideMark/>
          </w:tcPr>
          <w:p w14:paraId="637C22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269,7</w:t>
            </w:r>
          </w:p>
        </w:tc>
        <w:tc>
          <w:tcPr>
            <w:tcW w:w="1226" w:type="dxa"/>
            <w:tcBorders>
              <w:top w:val="nil"/>
              <w:left w:val="nil"/>
              <w:bottom w:val="single" w:sz="4" w:space="0" w:color="auto"/>
              <w:right w:val="single" w:sz="4" w:space="0" w:color="auto"/>
            </w:tcBorders>
            <w:shd w:val="clear" w:color="000000" w:fill="FFFFFF"/>
            <w:noWrap/>
            <w:vAlign w:val="bottom"/>
            <w:hideMark/>
          </w:tcPr>
          <w:p w14:paraId="2C45C35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BE7F9E8"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7CFA11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Xарманли</w:t>
            </w:r>
          </w:p>
        </w:tc>
        <w:tc>
          <w:tcPr>
            <w:tcW w:w="1911" w:type="dxa"/>
            <w:tcBorders>
              <w:top w:val="nil"/>
              <w:left w:val="nil"/>
              <w:bottom w:val="single" w:sz="4" w:space="0" w:color="auto"/>
              <w:right w:val="single" w:sz="4" w:space="0" w:color="auto"/>
            </w:tcBorders>
            <w:shd w:val="clear" w:color="000000" w:fill="FFFFFF"/>
            <w:noWrap/>
            <w:vAlign w:val="bottom"/>
            <w:hideMark/>
          </w:tcPr>
          <w:p w14:paraId="73640A8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13 187,9</w:t>
            </w:r>
          </w:p>
        </w:tc>
        <w:tc>
          <w:tcPr>
            <w:tcW w:w="1118" w:type="dxa"/>
            <w:tcBorders>
              <w:top w:val="nil"/>
              <w:left w:val="nil"/>
              <w:bottom w:val="single" w:sz="4" w:space="0" w:color="auto"/>
              <w:right w:val="single" w:sz="4" w:space="0" w:color="auto"/>
            </w:tcBorders>
            <w:shd w:val="clear" w:color="000000" w:fill="FFFFFF"/>
            <w:noWrap/>
            <w:vAlign w:val="bottom"/>
            <w:hideMark/>
          </w:tcPr>
          <w:p w14:paraId="5FF4E42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1 640,7</w:t>
            </w:r>
          </w:p>
        </w:tc>
        <w:tc>
          <w:tcPr>
            <w:tcW w:w="1257" w:type="dxa"/>
            <w:tcBorders>
              <w:top w:val="nil"/>
              <w:left w:val="nil"/>
              <w:bottom w:val="single" w:sz="4" w:space="0" w:color="auto"/>
              <w:right w:val="single" w:sz="4" w:space="0" w:color="auto"/>
            </w:tcBorders>
            <w:shd w:val="clear" w:color="000000" w:fill="FFFFFF"/>
            <w:noWrap/>
            <w:vAlign w:val="bottom"/>
            <w:hideMark/>
          </w:tcPr>
          <w:p w14:paraId="50E0FF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389,0</w:t>
            </w:r>
          </w:p>
        </w:tc>
        <w:tc>
          <w:tcPr>
            <w:tcW w:w="1384" w:type="dxa"/>
            <w:tcBorders>
              <w:top w:val="nil"/>
              <w:left w:val="nil"/>
              <w:bottom w:val="single" w:sz="4" w:space="0" w:color="auto"/>
              <w:right w:val="single" w:sz="4" w:space="0" w:color="auto"/>
            </w:tcBorders>
            <w:shd w:val="clear" w:color="000000" w:fill="FFFFFF"/>
            <w:noWrap/>
            <w:vAlign w:val="bottom"/>
            <w:hideMark/>
          </w:tcPr>
          <w:p w14:paraId="62BFB42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1 251,7</w:t>
            </w:r>
          </w:p>
        </w:tc>
        <w:tc>
          <w:tcPr>
            <w:tcW w:w="1134" w:type="dxa"/>
            <w:tcBorders>
              <w:top w:val="nil"/>
              <w:left w:val="nil"/>
              <w:bottom w:val="single" w:sz="4" w:space="0" w:color="auto"/>
              <w:right w:val="single" w:sz="4" w:space="0" w:color="auto"/>
            </w:tcBorders>
            <w:shd w:val="clear" w:color="000000" w:fill="FFFFFF"/>
            <w:noWrap/>
            <w:vAlign w:val="bottom"/>
            <w:hideMark/>
          </w:tcPr>
          <w:p w14:paraId="6F6F02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169,0</w:t>
            </w:r>
          </w:p>
        </w:tc>
        <w:tc>
          <w:tcPr>
            <w:tcW w:w="1277" w:type="dxa"/>
            <w:tcBorders>
              <w:top w:val="nil"/>
              <w:left w:val="nil"/>
              <w:bottom w:val="single" w:sz="4" w:space="0" w:color="auto"/>
              <w:right w:val="single" w:sz="4" w:space="0" w:color="auto"/>
            </w:tcBorders>
            <w:shd w:val="clear" w:color="000000" w:fill="FFFFFF"/>
            <w:noWrap/>
            <w:vAlign w:val="bottom"/>
            <w:hideMark/>
          </w:tcPr>
          <w:p w14:paraId="10BAFE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8 986,6</w:t>
            </w:r>
          </w:p>
        </w:tc>
        <w:tc>
          <w:tcPr>
            <w:tcW w:w="1040" w:type="dxa"/>
            <w:tcBorders>
              <w:top w:val="nil"/>
              <w:left w:val="nil"/>
              <w:bottom w:val="single" w:sz="4" w:space="0" w:color="auto"/>
              <w:right w:val="single" w:sz="4" w:space="0" w:color="auto"/>
            </w:tcBorders>
            <w:shd w:val="clear" w:color="000000" w:fill="FFFFFF"/>
            <w:noWrap/>
            <w:vAlign w:val="bottom"/>
            <w:hideMark/>
          </w:tcPr>
          <w:p w14:paraId="70B9EF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318,8</w:t>
            </w:r>
          </w:p>
        </w:tc>
        <w:tc>
          <w:tcPr>
            <w:tcW w:w="1087" w:type="dxa"/>
            <w:tcBorders>
              <w:top w:val="nil"/>
              <w:left w:val="nil"/>
              <w:bottom w:val="single" w:sz="4" w:space="0" w:color="auto"/>
              <w:right w:val="single" w:sz="4" w:space="0" w:color="auto"/>
            </w:tcBorders>
            <w:shd w:val="clear" w:color="000000" w:fill="FFFFFF"/>
            <w:noWrap/>
            <w:vAlign w:val="bottom"/>
            <w:hideMark/>
          </w:tcPr>
          <w:p w14:paraId="281624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1 701,3</w:t>
            </w:r>
          </w:p>
        </w:tc>
        <w:tc>
          <w:tcPr>
            <w:tcW w:w="1040" w:type="dxa"/>
            <w:tcBorders>
              <w:top w:val="nil"/>
              <w:left w:val="nil"/>
              <w:bottom w:val="single" w:sz="4" w:space="0" w:color="auto"/>
              <w:right w:val="single" w:sz="4" w:space="0" w:color="auto"/>
            </w:tcBorders>
            <w:shd w:val="clear" w:color="000000" w:fill="FFFFFF"/>
            <w:noWrap/>
            <w:vAlign w:val="bottom"/>
            <w:hideMark/>
          </w:tcPr>
          <w:p w14:paraId="7483A9C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371,5</w:t>
            </w:r>
          </w:p>
        </w:tc>
        <w:tc>
          <w:tcPr>
            <w:tcW w:w="1226" w:type="dxa"/>
            <w:tcBorders>
              <w:top w:val="nil"/>
              <w:left w:val="nil"/>
              <w:bottom w:val="single" w:sz="4" w:space="0" w:color="auto"/>
              <w:right w:val="single" w:sz="4" w:space="0" w:color="auto"/>
            </w:tcBorders>
            <w:shd w:val="clear" w:color="000000" w:fill="FFFFFF"/>
            <w:noWrap/>
            <w:vAlign w:val="bottom"/>
            <w:hideMark/>
          </w:tcPr>
          <w:p w14:paraId="7A16131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92AB0FF"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D6AFFF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Xасково</w:t>
            </w:r>
          </w:p>
        </w:tc>
        <w:tc>
          <w:tcPr>
            <w:tcW w:w="1911" w:type="dxa"/>
            <w:tcBorders>
              <w:top w:val="nil"/>
              <w:left w:val="nil"/>
              <w:bottom w:val="single" w:sz="4" w:space="0" w:color="auto"/>
              <w:right w:val="single" w:sz="4" w:space="0" w:color="auto"/>
            </w:tcBorders>
            <w:shd w:val="clear" w:color="000000" w:fill="FFFFFF"/>
            <w:noWrap/>
            <w:vAlign w:val="bottom"/>
            <w:hideMark/>
          </w:tcPr>
          <w:p w14:paraId="1CE97F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51 434,3</w:t>
            </w:r>
          </w:p>
        </w:tc>
        <w:tc>
          <w:tcPr>
            <w:tcW w:w="1118" w:type="dxa"/>
            <w:tcBorders>
              <w:top w:val="nil"/>
              <w:left w:val="nil"/>
              <w:bottom w:val="single" w:sz="4" w:space="0" w:color="auto"/>
              <w:right w:val="single" w:sz="4" w:space="0" w:color="auto"/>
            </w:tcBorders>
            <w:shd w:val="clear" w:color="000000" w:fill="FFFFFF"/>
            <w:noWrap/>
            <w:vAlign w:val="bottom"/>
            <w:hideMark/>
          </w:tcPr>
          <w:p w14:paraId="44BB8F3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3 721,7</w:t>
            </w:r>
          </w:p>
        </w:tc>
        <w:tc>
          <w:tcPr>
            <w:tcW w:w="1257" w:type="dxa"/>
            <w:tcBorders>
              <w:top w:val="nil"/>
              <w:left w:val="nil"/>
              <w:bottom w:val="single" w:sz="4" w:space="0" w:color="auto"/>
              <w:right w:val="single" w:sz="4" w:space="0" w:color="auto"/>
            </w:tcBorders>
            <w:shd w:val="clear" w:color="000000" w:fill="FFFFFF"/>
            <w:noWrap/>
            <w:vAlign w:val="bottom"/>
            <w:hideMark/>
          </w:tcPr>
          <w:p w14:paraId="6A719F4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609,8</w:t>
            </w:r>
          </w:p>
        </w:tc>
        <w:tc>
          <w:tcPr>
            <w:tcW w:w="1384" w:type="dxa"/>
            <w:tcBorders>
              <w:top w:val="nil"/>
              <w:left w:val="nil"/>
              <w:bottom w:val="single" w:sz="4" w:space="0" w:color="auto"/>
              <w:right w:val="single" w:sz="4" w:space="0" w:color="auto"/>
            </w:tcBorders>
            <w:shd w:val="clear" w:color="000000" w:fill="FFFFFF"/>
            <w:noWrap/>
            <w:vAlign w:val="bottom"/>
            <w:hideMark/>
          </w:tcPr>
          <w:p w14:paraId="23F905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3 111,9</w:t>
            </w:r>
          </w:p>
        </w:tc>
        <w:tc>
          <w:tcPr>
            <w:tcW w:w="1134" w:type="dxa"/>
            <w:tcBorders>
              <w:top w:val="nil"/>
              <w:left w:val="nil"/>
              <w:bottom w:val="single" w:sz="4" w:space="0" w:color="auto"/>
              <w:right w:val="single" w:sz="4" w:space="0" w:color="auto"/>
            </w:tcBorders>
            <w:shd w:val="clear" w:color="000000" w:fill="FFFFFF"/>
            <w:noWrap/>
            <w:vAlign w:val="bottom"/>
            <w:hideMark/>
          </w:tcPr>
          <w:p w14:paraId="235684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283,1</w:t>
            </w:r>
          </w:p>
        </w:tc>
        <w:tc>
          <w:tcPr>
            <w:tcW w:w="1277" w:type="dxa"/>
            <w:tcBorders>
              <w:top w:val="nil"/>
              <w:left w:val="nil"/>
              <w:bottom w:val="single" w:sz="4" w:space="0" w:color="auto"/>
              <w:right w:val="single" w:sz="4" w:space="0" w:color="auto"/>
            </w:tcBorders>
            <w:shd w:val="clear" w:color="000000" w:fill="FFFFFF"/>
            <w:noWrap/>
            <w:vAlign w:val="bottom"/>
            <w:hideMark/>
          </w:tcPr>
          <w:p w14:paraId="492BEEB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37 113,9</w:t>
            </w:r>
          </w:p>
        </w:tc>
        <w:tc>
          <w:tcPr>
            <w:tcW w:w="1040" w:type="dxa"/>
            <w:tcBorders>
              <w:top w:val="nil"/>
              <w:left w:val="nil"/>
              <w:bottom w:val="single" w:sz="4" w:space="0" w:color="auto"/>
              <w:right w:val="single" w:sz="4" w:space="0" w:color="auto"/>
            </w:tcBorders>
            <w:shd w:val="clear" w:color="000000" w:fill="FFFFFF"/>
            <w:noWrap/>
            <w:vAlign w:val="bottom"/>
            <w:hideMark/>
          </w:tcPr>
          <w:p w14:paraId="357263A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1 611,9</w:t>
            </w:r>
          </w:p>
        </w:tc>
        <w:tc>
          <w:tcPr>
            <w:tcW w:w="1087" w:type="dxa"/>
            <w:tcBorders>
              <w:top w:val="nil"/>
              <w:left w:val="nil"/>
              <w:bottom w:val="single" w:sz="4" w:space="0" w:color="auto"/>
              <w:right w:val="single" w:sz="4" w:space="0" w:color="auto"/>
            </w:tcBorders>
            <w:shd w:val="clear" w:color="000000" w:fill="FFFFFF"/>
            <w:noWrap/>
            <w:vAlign w:val="bottom"/>
            <w:hideMark/>
          </w:tcPr>
          <w:p w14:paraId="006526A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6 677,2</w:t>
            </w:r>
          </w:p>
        </w:tc>
        <w:tc>
          <w:tcPr>
            <w:tcW w:w="1040" w:type="dxa"/>
            <w:tcBorders>
              <w:top w:val="nil"/>
              <w:left w:val="nil"/>
              <w:bottom w:val="single" w:sz="4" w:space="0" w:color="auto"/>
              <w:right w:val="single" w:sz="4" w:space="0" w:color="auto"/>
            </w:tcBorders>
            <w:shd w:val="clear" w:color="000000" w:fill="FFFFFF"/>
            <w:noWrap/>
            <w:vAlign w:val="bottom"/>
            <w:hideMark/>
          </w:tcPr>
          <w:p w14:paraId="438999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2 026,5</w:t>
            </w:r>
          </w:p>
        </w:tc>
        <w:tc>
          <w:tcPr>
            <w:tcW w:w="1226" w:type="dxa"/>
            <w:tcBorders>
              <w:top w:val="nil"/>
              <w:left w:val="nil"/>
              <w:bottom w:val="single" w:sz="4" w:space="0" w:color="auto"/>
              <w:right w:val="single" w:sz="4" w:space="0" w:color="auto"/>
            </w:tcBorders>
            <w:shd w:val="clear" w:color="000000" w:fill="FFFFFF"/>
            <w:noWrap/>
            <w:vAlign w:val="bottom"/>
            <w:hideMark/>
          </w:tcPr>
          <w:p w14:paraId="10C38DF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39A247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5D5062C"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485A902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55596E5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62EB5D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7A6AB85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6B2EDAD6"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7F8E400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F3BF36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09F4ED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4489E8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0F7202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E30E1FA"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B765D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ШУМЕН</w:t>
            </w:r>
          </w:p>
        </w:tc>
        <w:tc>
          <w:tcPr>
            <w:tcW w:w="1911" w:type="dxa"/>
            <w:tcBorders>
              <w:top w:val="nil"/>
              <w:left w:val="nil"/>
              <w:bottom w:val="single" w:sz="4" w:space="0" w:color="auto"/>
              <w:right w:val="single" w:sz="4" w:space="0" w:color="auto"/>
            </w:tcBorders>
            <w:shd w:val="clear" w:color="000000" w:fill="FFFFFF"/>
            <w:noWrap/>
            <w:vAlign w:val="bottom"/>
            <w:hideMark/>
          </w:tcPr>
          <w:p w14:paraId="76DF51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703F6F3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4C9A3BE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3F95CF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2071661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3965AC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C9DAD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18104D5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47478F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4351A4E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E11010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45A116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Велики Преслав</w:t>
            </w:r>
          </w:p>
        </w:tc>
        <w:tc>
          <w:tcPr>
            <w:tcW w:w="1911" w:type="dxa"/>
            <w:tcBorders>
              <w:top w:val="nil"/>
              <w:left w:val="nil"/>
              <w:bottom w:val="single" w:sz="4" w:space="0" w:color="auto"/>
              <w:right w:val="single" w:sz="4" w:space="0" w:color="auto"/>
            </w:tcBorders>
            <w:shd w:val="clear" w:color="000000" w:fill="FFFFFF"/>
            <w:noWrap/>
            <w:vAlign w:val="bottom"/>
            <w:hideMark/>
          </w:tcPr>
          <w:p w14:paraId="2E5A979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7 523,2</w:t>
            </w:r>
          </w:p>
        </w:tc>
        <w:tc>
          <w:tcPr>
            <w:tcW w:w="1118" w:type="dxa"/>
            <w:tcBorders>
              <w:top w:val="nil"/>
              <w:left w:val="nil"/>
              <w:bottom w:val="single" w:sz="4" w:space="0" w:color="auto"/>
              <w:right w:val="single" w:sz="4" w:space="0" w:color="auto"/>
            </w:tcBorders>
            <w:shd w:val="clear" w:color="000000" w:fill="FFFFFF"/>
            <w:noWrap/>
            <w:vAlign w:val="bottom"/>
            <w:hideMark/>
          </w:tcPr>
          <w:p w14:paraId="6476BA1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1 044,2</w:t>
            </w:r>
          </w:p>
        </w:tc>
        <w:tc>
          <w:tcPr>
            <w:tcW w:w="1257" w:type="dxa"/>
            <w:tcBorders>
              <w:top w:val="nil"/>
              <w:left w:val="nil"/>
              <w:bottom w:val="single" w:sz="4" w:space="0" w:color="auto"/>
              <w:right w:val="single" w:sz="4" w:space="0" w:color="auto"/>
            </w:tcBorders>
            <w:shd w:val="clear" w:color="000000" w:fill="FFFFFF"/>
            <w:noWrap/>
            <w:vAlign w:val="bottom"/>
            <w:hideMark/>
          </w:tcPr>
          <w:p w14:paraId="39CE320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219,0</w:t>
            </w:r>
          </w:p>
        </w:tc>
        <w:tc>
          <w:tcPr>
            <w:tcW w:w="1384" w:type="dxa"/>
            <w:tcBorders>
              <w:top w:val="nil"/>
              <w:left w:val="nil"/>
              <w:bottom w:val="single" w:sz="4" w:space="0" w:color="auto"/>
              <w:right w:val="single" w:sz="4" w:space="0" w:color="auto"/>
            </w:tcBorders>
            <w:shd w:val="clear" w:color="000000" w:fill="FFFFFF"/>
            <w:noWrap/>
            <w:vAlign w:val="bottom"/>
            <w:hideMark/>
          </w:tcPr>
          <w:p w14:paraId="366285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825,2</w:t>
            </w:r>
          </w:p>
        </w:tc>
        <w:tc>
          <w:tcPr>
            <w:tcW w:w="1134" w:type="dxa"/>
            <w:tcBorders>
              <w:top w:val="nil"/>
              <w:left w:val="nil"/>
              <w:bottom w:val="single" w:sz="4" w:space="0" w:color="auto"/>
              <w:right w:val="single" w:sz="4" w:space="0" w:color="auto"/>
            </w:tcBorders>
            <w:shd w:val="clear" w:color="000000" w:fill="FFFFFF"/>
            <w:noWrap/>
            <w:vAlign w:val="bottom"/>
            <w:hideMark/>
          </w:tcPr>
          <w:p w14:paraId="7C99C7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129,7</w:t>
            </w:r>
          </w:p>
        </w:tc>
        <w:tc>
          <w:tcPr>
            <w:tcW w:w="1277" w:type="dxa"/>
            <w:tcBorders>
              <w:top w:val="nil"/>
              <w:left w:val="nil"/>
              <w:bottom w:val="single" w:sz="4" w:space="0" w:color="auto"/>
              <w:right w:val="single" w:sz="4" w:space="0" w:color="auto"/>
            </w:tcBorders>
            <w:shd w:val="clear" w:color="000000" w:fill="FFFFFF"/>
            <w:noWrap/>
            <w:vAlign w:val="bottom"/>
            <w:hideMark/>
          </w:tcPr>
          <w:p w14:paraId="329235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3 482,6</w:t>
            </w:r>
          </w:p>
        </w:tc>
        <w:tc>
          <w:tcPr>
            <w:tcW w:w="1040" w:type="dxa"/>
            <w:tcBorders>
              <w:top w:val="nil"/>
              <w:left w:val="nil"/>
              <w:bottom w:val="single" w:sz="4" w:space="0" w:color="auto"/>
              <w:right w:val="single" w:sz="4" w:space="0" w:color="auto"/>
            </w:tcBorders>
            <w:shd w:val="clear" w:color="000000" w:fill="FFFFFF"/>
            <w:noWrap/>
            <w:vAlign w:val="bottom"/>
            <w:hideMark/>
          </w:tcPr>
          <w:p w14:paraId="2E1A398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344,2</w:t>
            </w:r>
          </w:p>
        </w:tc>
        <w:tc>
          <w:tcPr>
            <w:tcW w:w="1087" w:type="dxa"/>
            <w:tcBorders>
              <w:top w:val="nil"/>
              <w:left w:val="nil"/>
              <w:bottom w:val="single" w:sz="4" w:space="0" w:color="auto"/>
              <w:right w:val="single" w:sz="4" w:space="0" w:color="auto"/>
            </w:tcBorders>
            <w:shd w:val="clear" w:color="000000" w:fill="FFFFFF"/>
            <w:noWrap/>
            <w:vAlign w:val="bottom"/>
            <w:hideMark/>
          </w:tcPr>
          <w:p w14:paraId="3F1CB57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1 837,0</w:t>
            </w:r>
          </w:p>
        </w:tc>
        <w:tc>
          <w:tcPr>
            <w:tcW w:w="1040" w:type="dxa"/>
            <w:tcBorders>
              <w:top w:val="nil"/>
              <w:left w:val="nil"/>
              <w:bottom w:val="single" w:sz="4" w:space="0" w:color="auto"/>
              <w:right w:val="single" w:sz="4" w:space="0" w:color="auto"/>
            </w:tcBorders>
            <w:shd w:val="clear" w:color="000000" w:fill="FFFFFF"/>
            <w:noWrap/>
            <w:vAlign w:val="bottom"/>
            <w:hideMark/>
          </w:tcPr>
          <w:p w14:paraId="4B6AB1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685,5</w:t>
            </w:r>
          </w:p>
        </w:tc>
        <w:tc>
          <w:tcPr>
            <w:tcW w:w="1226" w:type="dxa"/>
            <w:tcBorders>
              <w:top w:val="nil"/>
              <w:left w:val="nil"/>
              <w:bottom w:val="single" w:sz="4" w:space="0" w:color="auto"/>
              <w:right w:val="single" w:sz="4" w:space="0" w:color="auto"/>
            </w:tcBorders>
            <w:shd w:val="clear" w:color="000000" w:fill="FFFFFF"/>
            <w:noWrap/>
            <w:vAlign w:val="bottom"/>
            <w:hideMark/>
          </w:tcPr>
          <w:p w14:paraId="573602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9512F2F"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D608DF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lastRenderedPageBreak/>
              <w:t>Bенец</w:t>
            </w:r>
          </w:p>
        </w:tc>
        <w:tc>
          <w:tcPr>
            <w:tcW w:w="1911" w:type="dxa"/>
            <w:tcBorders>
              <w:top w:val="nil"/>
              <w:left w:val="nil"/>
              <w:bottom w:val="single" w:sz="4" w:space="0" w:color="auto"/>
              <w:right w:val="single" w:sz="4" w:space="0" w:color="auto"/>
            </w:tcBorders>
            <w:shd w:val="clear" w:color="000000" w:fill="FFFFFF"/>
            <w:noWrap/>
            <w:vAlign w:val="bottom"/>
            <w:hideMark/>
          </w:tcPr>
          <w:p w14:paraId="7C33B15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3 721,7</w:t>
            </w:r>
          </w:p>
        </w:tc>
        <w:tc>
          <w:tcPr>
            <w:tcW w:w="1118" w:type="dxa"/>
            <w:tcBorders>
              <w:top w:val="nil"/>
              <w:left w:val="nil"/>
              <w:bottom w:val="single" w:sz="4" w:space="0" w:color="auto"/>
              <w:right w:val="single" w:sz="4" w:space="0" w:color="auto"/>
            </w:tcBorders>
            <w:shd w:val="clear" w:color="000000" w:fill="FFFFFF"/>
            <w:noWrap/>
            <w:vAlign w:val="bottom"/>
            <w:hideMark/>
          </w:tcPr>
          <w:p w14:paraId="6628659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1 056,1</w:t>
            </w:r>
          </w:p>
        </w:tc>
        <w:tc>
          <w:tcPr>
            <w:tcW w:w="1257" w:type="dxa"/>
            <w:tcBorders>
              <w:top w:val="nil"/>
              <w:left w:val="nil"/>
              <w:bottom w:val="single" w:sz="4" w:space="0" w:color="auto"/>
              <w:right w:val="single" w:sz="4" w:space="0" w:color="auto"/>
            </w:tcBorders>
            <w:shd w:val="clear" w:color="000000" w:fill="FFFFFF"/>
            <w:noWrap/>
            <w:vAlign w:val="bottom"/>
            <w:hideMark/>
          </w:tcPr>
          <w:p w14:paraId="36CE819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245,9</w:t>
            </w:r>
          </w:p>
        </w:tc>
        <w:tc>
          <w:tcPr>
            <w:tcW w:w="1384" w:type="dxa"/>
            <w:tcBorders>
              <w:top w:val="nil"/>
              <w:left w:val="nil"/>
              <w:bottom w:val="single" w:sz="4" w:space="0" w:color="auto"/>
              <w:right w:val="single" w:sz="4" w:space="0" w:color="auto"/>
            </w:tcBorders>
            <w:shd w:val="clear" w:color="000000" w:fill="FFFFFF"/>
            <w:noWrap/>
            <w:vAlign w:val="bottom"/>
            <w:hideMark/>
          </w:tcPr>
          <w:p w14:paraId="2B4D49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810,2</w:t>
            </w:r>
          </w:p>
        </w:tc>
        <w:tc>
          <w:tcPr>
            <w:tcW w:w="1134" w:type="dxa"/>
            <w:tcBorders>
              <w:top w:val="nil"/>
              <w:left w:val="nil"/>
              <w:bottom w:val="single" w:sz="4" w:space="0" w:color="auto"/>
              <w:right w:val="single" w:sz="4" w:space="0" w:color="auto"/>
            </w:tcBorders>
            <w:shd w:val="clear" w:color="000000" w:fill="FFFFFF"/>
            <w:noWrap/>
            <w:vAlign w:val="bottom"/>
            <w:hideMark/>
          </w:tcPr>
          <w:p w14:paraId="4EFB4C5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97,4</w:t>
            </w:r>
          </w:p>
        </w:tc>
        <w:tc>
          <w:tcPr>
            <w:tcW w:w="1277" w:type="dxa"/>
            <w:tcBorders>
              <w:top w:val="nil"/>
              <w:left w:val="nil"/>
              <w:bottom w:val="single" w:sz="4" w:space="0" w:color="auto"/>
              <w:right w:val="single" w:sz="4" w:space="0" w:color="auto"/>
            </w:tcBorders>
            <w:shd w:val="clear" w:color="000000" w:fill="FFFFFF"/>
            <w:noWrap/>
            <w:vAlign w:val="bottom"/>
            <w:hideMark/>
          </w:tcPr>
          <w:p w14:paraId="19AC2E7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2 107,3</w:t>
            </w:r>
          </w:p>
        </w:tc>
        <w:tc>
          <w:tcPr>
            <w:tcW w:w="1040" w:type="dxa"/>
            <w:tcBorders>
              <w:top w:val="nil"/>
              <w:left w:val="nil"/>
              <w:bottom w:val="single" w:sz="4" w:space="0" w:color="auto"/>
              <w:right w:val="single" w:sz="4" w:space="0" w:color="auto"/>
            </w:tcBorders>
            <w:shd w:val="clear" w:color="000000" w:fill="FFFFFF"/>
            <w:noWrap/>
            <w:vAlign w:val="bottom"/>
            <w:hideMark/>
          </w:tcPr>
          <w:p w14:paraId="7D7EB5E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57,4</w:t>
            </w:r>
          </w:p>
        </w:tc>
        <w:tc>
          <w:tcPr>
            <w:tcW w:w="1087" w:type="dxa"/>
            <w:tcBorders>
              <w:top w:val="nil"/>
              <w:left w:val="nil"/>
              <w:bottom w:val="single" w:sz="4" w:space="0" w:color="auto"/>
              <w:right w:val="single" w:sz="4" w:space="0" w:color="auto"/>
            </w:tcBorders>
            <w:shd w:val="clear" w:color="000000" w:fill="FFFFFF"/>
            <w:noWrap/>
            <w:vAlign w:val="bottom"/>
            <w:hideMark/>
          </w:tcPr>
          <w:p w14:paraId="0114A39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246,1</w:t>
            </w:r>
          </w:p>
        </w:tc>
        <w:tc>
          <w:tcPr>
            <w:tcW w:w="1040" w:type="dxa"/>
            <w:tcBorders>
              <w:top w:val="nil"/>
              <w:left w:val="nil"/>
              <w:bottom w:val="single" w:sz="4" w:space="0" w:color="auto"/>
              <w:right w:val="single" w:sz="4" w:space="0" w:color="auto"/>
            </w:tcBorders>
            <w:shd w:val="clear" w:color="000000" w:fill="FFFFFF"/>
            <w:noWrap/>
            <w:vAlign w:val="bottom"/>
            <w:hideMark/>
          </w:tcPr>
          <w:p w14:paraId="0FD41DA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157,4</w:t>
            </w:r>
          </w:p>
        </w:tc>
        <w:tc>
          <w:tcPr>
            <w:tcW w:w="1226" w:type="dxa"/>
            <w:tcBorders>
              <w:top w:val="nil"/>
              <w:left w:val="nil"/>
              <w:bottom w:val="single" w:sz="4" w:space="0" w:color="auto"/>
              <w:right w:val="single" w:sz="4" w:space="0" w:color="auto"/>
            </w:tcBorders>
            <w:shd w:val="clear" w:color="000000" w:fill="FFFFFF"/>
            <w:noWrap/>
            <w:vAlign w:val="bottom"/>
            <w:hideMark/>
          </w:tcPr>
          <w:p w14:paraId="5781CAE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13D21E0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A8BEF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Bърбица</w:t>
            </w:r>
          </w:p>
        </w:tc>
        <w:tc>
          <w:tcPr>
            <w:tcW w:w="1911" w:type="dxa"/>
            <w:tcBorders>
              <w:top w:val="nil"/>
              <w:left w:val="nil"/>
              <w:bottom w:val="single" w:sz="4" w:space="0" w:color="auto"/>
              <w:right w:val="single" w:sz="4" w:space="0" w:color="auto"/>
            </w:tcBorders>
            <w:shd w:val="clear" w:color="000000" w:fill="FFFFFF"/>
            <w:noWrap/>
            <w:vAlign w:val="bottom"/>
            <w:hideMark/>
          </w:tcPr>
          <w:p w14:paraId="55738C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5 320,4</w:t>
            </w:r>
          </w:p>
        </w:tc>
        <w:tc>
          <w:tcPr>
            <w:tcW w:w="1118" w:type="dxa"/>
            <w:tcBorders>
              <w:top w:val="nil"/>
              <w:left w:val="nil"/>
              <w:bottom w:val="single" w:sz="4" w:space="0" w:color="auto"/>
              <w:right w:val="single" w:sz="4" w:space="0" w:color="auto"/>
            </w:tcBorders>
            <w:shd w:val="clear" w:color="000000" w:fill="FFFFFF"/>
            <w:noWrap/>
            <w:vAlign w:val="bottom"/>
            <w:hideMark/>
          </w:tcPr>
          <w:p w14:paraId="4CD00BB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1 122,1</w:t>
            </w:r>
          </w:p>
        </w:tc>
        <w:tc>
          <w:tcPr>
            <w:tcW w:w="1257" w:type="dxa"/>
            <w:tcBorders>
              <w:top w:val="nil"/>
              <w:left w:val="nil"/>
              <w:bottom w:val="single" w:sz="4" w:space="0" w:color="auto"/>
              <w:right w:val="single" w:sz="4" w:space="0" w:color="auto"/>
            </w:tcBorders>
            <w:shd w:val="clear" w:color="000000" w:fill="FFFFFF"/>
            <w:noWrap/>
            <w:vAlign w:val="bottom"/>
            <w:hideMark/>
          </w:tcPr>
          <w:p w14:paraId="645F1CA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289,7</w:t>
            </w:r>
          </w:p>
        </w:tc>
        <w:tc>
          <w:tcPr>
            <w:tcW w:w="1384" w:type="dxa"/>
            <w:tcBorders>
              <w:top w:val="nil"/>
              <w:left w:val="nil"/>
              <w:bottom w:val="single" w:sz="4" w:space="0" w:color="auto"/>
              <w:right w:val="single" w:sz="4" w:space="0" w:color="auto"/>
            </w:tcBorders>
            <w:shd w:val="clear" w:color="000000" w:fill="FFFFFF"/>
            <w:noWrap/>
            <w:vAlign w:val="bottom"/>
            <w:hideMark/>
          </w:tcPr>
          <w:p w14:paraId="2FDB78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832,4</w:t>
            </w:r>
          </w:p>
        </w:tc>
        <w:tc>
          <w:tcPr>
            <w:tcW w:w="1134" w:type="dxa"/>
            <w:tcBorders>
              <w:top w:val="nil"/>
              <w:left w:val="nil"/>
              <w:bottom w:val="single" w:sz="4" w:space="0" w:color="auto"/>
              <w:right w:val="single" w:sz="4" w:space="0" w:color="auto"/>
            </w:tcBorders>
            <w:shd w:val="clear" w:color="000000" w:fill="FFFFFF"/>
            <w:noWrap/>
            <w:vAlign w:val="bottom"/>
            <w:hideMark/>
          </w:tcPr>
          <w:p w14:paraId="11B54E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123,2</w:t>
            </w:r>
          </w:p>
        </w:tc>
        <w:tc>
          <w:tcPr>
            <w:tcW w:w="1277" w:type="dxa"/>
            <w:tcBorders>
              <w:top w:val="nil"/>
              <w:left w:val="nil"/>
              <w:bottom w:val="single" w:sz="4" w:space="0" w:color="auto"/>
              <w:right w:val="single" w:sz="4" w:space="0" w:color="auto"/>
            </w:tcBorders>
            <w:shd w:val="clear" w:color="000000" w:fill="FFFFFF"/>
            <w:noWrap/>
            <w:vAlign w:val="bottom"/>
            <w:hideMark/>
          </w:tcPr>
          <w:p w14:paraId="737F0CF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3 758,4</w:t>
            </w:r>
          </w:p>
        </w:tc>
        <w:tc>
          <w:tcPr>
            <w:tcW w:w="1040" w:type="dxa"/>
            <w:tcBorders>
              <w:top w:val="nil"/>
              <w:left w:val="nil"/>
              <w:bottom w:val="single" w:sz="4" w:space="0" w:color="auto"/>
              <w:right w:val="single" w:sz="4" w:space="0" w:color="auto"/>
            </w:tcBorders>
            <w:shd w:val="clear" w:color="000000" w:fill="FFFFFF"/>
            <w:noWrap/>
            <w:vAlign w:val="bottom"/>
            <w:hideMark/>
          </w:tcPr>
          <w:p w14:paraId="6C20BF2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85,0</w:t>
            </w:r>
          </w:p>
        </w:tc>
        <w:tc>
          <w:tcPr>
            <w:tcW w:w="1087" w:type="dxa"/>
            <w:tcBorders>
              <w:top w:val="nil"/>
              <w:left w:val="nil"/>
              <w:bottom w:val="single" w:sz="4" w:space="0" w:color="auto"/>
              <w:right w:val="single" w:sz="4" w:space="0" w:color="auto"/>
            </w:tcBorders>
            <w:shd w:val="clear" w:color="000000" w:fill="FFFFFF"/>
            <w:noWrap/>
            <w:vAlign w:val="bottom"/>
            <w:hideMark/>
          </w:tcPr>
          <w:p w14:paraId="3F517B1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130,5</w:t>
            </w:r>
          </w:p>
        </w:tc>
        <w:tc>
          <w:tcPr>
            <w:tcW w:w="1040" w:type="dxa"/>
            <w:tcBorders>
              <w:top w:val="nil"/>
              <w:left w:val="nil"/>
              <w:bottom w:val="single" w:sz="4" w:space="0" w:color="auto"/>
              <w:right w:val="single" w:sz="4" w:space="0" w:color="auto"/>
            </w:tcBorders>
            <w:shd w:val="clear" w:color="000000" w:fill="FFFFFF"/>
            <w:noWrap/>
            <w:vAlign w:val="bottom"/>
            <w:hideMark/>
          </w:tcPr>
          <w:p w14:paraId="33EC89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101,2</w:t>
            </w:r>
          </w:p>
        </w:tc>
        <w:tc>
          <w:tcPr>
            <w:tcW w:w="1226" w:type="dxa"/>
            <w:tcBorders>
              <w:top w:val="nil"/>
              <w:left w:val="nil"/>
              <w:bottom w:val="single" w:sz="4" w:space="0" w:color="auto"/>
              <w:right w:val="single" w:sz="4" w:space="0" w:color="auto"/>
            </w:tcBorders>
            <w:shd w:val="clear" w:color="000000" w:fill="FFFFFF"/>
            <w:noWrap/>
            <w:vAlign w:val="bottom"/>
            <w:hideMark/>
          </w:tcPr>
          <w:p w14:paraId="1454C9E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15C6EC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ED7939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Kаолиново</w:t>
            </w:r>
          </w:p>
        </w:tc>
        <w:tc>
          <w:tcPr>
            <w:tcW w:w="1911" w:type="dxa"/>
            <w:tcBorders>
              <w:top w:val="nil"/>
              <w:left w:val="nil"/>
              <w:bottom w:val="single" w:sz="4" w:space="0" w:color="auto"/>
              <w:right w:val="single" w:sz="4" w:space="0" w:color="auto"/>
            </w:tcBorders>
            <w:shd w:val="clear" w:color="000000" w:fill="FFFFFF"/>
            <w:noWrap/>
            <w:vAlign w:val="bottom"/>
            <w:hideMark/>
          </w:tcPr>
          <w:p w14:paraId="2F46E5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6 669,2</w:t>
            </w:r>
          </w:p>
        </w:tc>
        <w:tc>
          <w:tcPr>
            <w:tcW w:w="1118" w:type="dxa"/>
            <w:tcBorders>
              <w:top w:val="nil"/>
              <w:left w:val="nil"/>
              <w:bottom w:val="single" w:sz="4" w:space="0" w:color="auto"/>
              <w:right w:val="single" w:sz="4" w:space="0" w:color="auto"/>
            </w:tcBorders>
            <w:shd w:val="clear" w:color="000000" w:fill="FFFFFF"/>
            <w:noWrap/>
            <w:vAlign w:val="bottom"/>
            <w:hideMark/>
          </w:tcPr>
          <w:p w14:paraId="4DDB3B2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1 361,0</w:t>
            </w:r>
          </w:p>
        </w:tc>
        <w:tc>
          <w:tcPr>
            <w:tcW w:w="1257" w:type="dxa"/>
            <w:tcBorders>
              <w:top w:val="nil"/>
              <w:left w:val="nil"/>
              <w:bottom w:val="single" w:sz="4" w:space="0" w:color="auto"/>
              <w:right w:val="single" w:sz="4" w:space="0" w:color="auto"/>
            </w:tcBorders>
            <w:shd w:val="clear" w:color="000000" w:fill="FFFFFF"/>
            <w:noWrap/>
            <w:vAlign w:val="bottom"/>
            <w:hideMark/>
          </w:tcPr>
          <w:p w14:paraId="6E79B4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282,9</w:t>
            </w:r>
          </w:p>
        </w:tc>
        <w:tc>
          <w:tcPr>
            <w:tcW w:w="1384" w:type="dxa"/>
            <w:tcBorders>
              <w:top w:val="nil"/>
              <w:left w:val="nil"/>
              <w:bottom w:val="single" w:sz="4" w:space="0" w:color="auto"/>
              <w:right w:val="single" w:sz="4" w:space="0" w:color="auto"/>
            </w:tcBorders>
            <w:shd w:val="clear" w:color="000000" w:fill="FFFFFF"/>
            <w:noWrap/>
            <w:vAlign w:val="bottom"/>
            <w:hideMark/>
          </w:tcPr>
          <w:p w14:paraId="4E0FFCC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1 078,1</w:t>
            </w:r>
          </w:p>
        </w:tc>
        <w:tc>
          <w:tcPr>
            <w:tcW w:w="1134" w:type="dxa"/>
            <w:tcBorders>
              <w:top w:val="nil"/>
              <w:left w:val="nil"/>
              <w:bottom w:val="single" w:sz="4" w:space="0" w:color="auto"/>
              <w:right w:val="single" w:sz="4" w:space="0" w:color="auto"/>
            </w:tcBorders>
            <w:shd w:val="clear" w:color="000000" w:fill="FFFFFF"/>
            <w:noWrap/>
            <w:vAlign w:val="bottom"/>
            <w:hideMark/>
          </w:tcPr>
          <w:p w14:paraId="566064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131,7</w:t>
            </w:r>
          </w:p>
        </w:tc>
        <w:tc>
          <w:tcPr>
            <w:tcW w:w="1277" w:type="dxa"/>
            <w:tcBorders>
              <w:top w:val="nil"/>
              <w:left w:val="nil"/>
              <w:bottom w:val="single" w:sz="4" w:space="0" w:color="auto"/>
              <w:right w:val="single" w:sz="4" w:space="0" w:color="auto"/>
            </w:tcBorders>
            <w:shd w:val="clear" w:color="000000" w:fill="FFFFFF"/>
            <w:noWrap/>
            <w:vAlign w:val="bottom"/>
            <w:hideMark/>
          </w:tcPr>
          <w:p w14:paraId="4AF22F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4 827,2</w:t>
            </w:r>
          </w:p>
        </w:tc>
        <w:tc>
          <w:tcPr>
            <w:tcW w:w="1040" w:type="dxa"/>
            <w:tcBorders>
              <w:top w:val="nil"/>
              <w:left w:val="nil"/>
              <w:bottom w:val="single" w:sz="4" w:space="0" w:color="auto"/>
              <w:right w:val="single" w:sz="4" w:space="0" w:color="auto"/>
            </w:tcBorders>
            <w:shd w:val="clear" w:color="000000" w:fill="FFFFFF"/>
            <w:noWrap/>
            <w:vAlign w:val="bottom"/>
            <w:hideMark/>
          </w:tcPr>
          <w:p w14:paraId="481EF6C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98,9</w:t>
            </w:r>
          </w:p>
        </w:tc>
        <w:tc>
          <w:tcPr>
            <w:tcW w:w="1087" w:type="dxa"/>
            <w:tcBorders>
              <w:top w:val="nil"/>
              <w:left w:val="nil"/>
              <w:bottom w:val="single" w:sz="4" w:space="0" w:color="auto"/>
              <w:right w:val="single" w:sz="4" w:space="0" w:color="auto"/>
            </w:tcBorders>
            <w:shd w:val="clear" w:color="000000" w:fill="FFFFFF"/>
            <w:noWrap/>
            <w:vAlign w:val="bottom"/>
            <w:hideMark/>
          </w:tcPr>
          <w:p w14:paraId="66EDE6D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149,2</w:t>
            </w:r>
          </w:p>
        </w:tc>
        <w:tc>
          <w:tcPr>
            <w:tcW w:w="1040" w:type="dxa"/>
            <w:tcBorders>
              <w:top w:val="nil"/>
              <w:left w:val="nil"/>
              <w:bottom w:val="single" w:sz="4" w:space="0" w:color="auto"/>
              <w:right w:val="single" w:sz="4" w:space="0" w:color="auto"/>
            </w:tcBorders>
            <w:shd w:val="clear" w:color="000000" w:fill="FFFFFF"/>
            <w:noWrap/>
            <w:vAlign w:val="bottom"/>
            <w:hideMark/>
          </w:tcPr>
          <w:p w14:paraId="4FBDA8E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101,2</w:t>
            </w:r>
          </w:p>
        </w:tc>
        <w:tc>
          <w:tcPr>
            <w:tcW w:w="1226" w:type="dxa"/>
            <w:tcBorders>
              <w:top w:val="nil"/>
              <w:left w:val="nil"/>
              <w:bottom w:val="single" w:sz="4" w:space="0" w:color="auto"/>
              <w:right w:val="single" w:sz="4" w:space="0" w:color="auto"/>
            </w:tcBorders>
            <w:shd w:val="clear" w:color="000000" w:fill="FFFFFF"/>
            <w:noWrap/>
            <w:vAlign w:val="bottom"/>
            <w:hideMark/>
          </w:tcPr>
          <w:p w14:paraId="3A06C91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12F163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21203A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Kаспичан</w:t>
            </w:r>
          </w:p>
        </w:tc>
        <w:tc>
          <w:tcPr>
            <w:tcW w:w="1911" w:type="dxa"/>
            <w:tcBorders>
              <w:top w:val="nil"/>
              <w:left w:val="nil"/>
              <w:bottom w:val="single" w:sz="4" w:space="0" w:color="auto"/>
              <w:right w:val="single" w:sz="4" w:space="0" w:color="auto"/>
            </w:tcBorders>
            <w:shd w:val="clear" w:color="000000" w:fill="FFFFFF"/>
            <w:noWrap/>
            <w:vAlign w:val="bottom"/>
            <w:hideMark/>
          </w:tcPr>
          <w:p w14:paraId="4823358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5 383,9</w:t>
            </w:r>
          </w:p>
        </w:tc>
        <w:tc>
          <w:tcPr>
            <w:tcW w:w="1118" w:type="dxa"/>
            <w:tcBorders>
              <w:top w:val="nil"/>
              <w:left w:val="nil"/>
              <w:bottom w:val="single" w:sz="4" w:space="0" w:color="auto"/>
              <w:right w:val="single" w:sz="4" w:space="0" w:color="auto"/>
            </w:tcBorders>
            <w:shd w:val="clear" w:color="000000" w:fill="FFFFFF"/>
            <w:noWrap/>
            <w:vAlign w:val="bottom"/>
            <w:hideMark/>
          </w:tcPr>
          <w:p w14:paraId="09CA1CD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810,6</w:t>
            </w:r>
          </w:p>
        </w:tc>
        <w:tc>
          <w:tcPr>
            <w:tcW w:w="1257" w:type="dxa"/>
            <w:tcBorders>
              <w:top w:val="nil"/>
              <w:left w:val="nil"/>
              <w:bottom w:val="single" w:sz="4" w:space="0" w:color="auto"/>
              <w:right w:val="single" w:sz="4" w:space="0" w:color="auto"/>
            </w:tcBorders>
            <w:shd w:val="clear" w:color="000000" w:fill="FFFFFF"/>
            <w:noWrap/>
            <w:vAlign w:val="bottom"/>
            <w:hideMark/>
          </w:tcPr>
          <w:p w14:paraId="29C0596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168,5</w:t>
            </w:r>
          </w:p>
        </w:tc>
        <w:tc>
          <w:tcPr>
            <w:tcW w:w="1384" w:type="dxa"/>
            <w:tcBorders>
              <w:top w:val="nil"/>
              <w:left w:val="nil"/>
              <w:bottom w:val="single" w:sz="4" w:space="0" w:color="auto"/>
              <w:right w:val="single" w:sz="4" w:space="0" w:color="auto"/>
            </w:tcBorders>
            <w:shd w:val="clear" w:color="000000" w:fill="FFFFFF"/>
            <w:noWrap/>
            <w:vAlign w:val="bottom"/>
            <w:hideMark/>
          </w:tcPr>
          <w:p w14:paraId="5333090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642,1</w:t>
            </w:r>
          </w:p>
        </w:tc>
        <w:tc>
          <w:tcPr>
            <w:tcW w:w="1134" w:type="dxa"/>
            <w:tcBorders>
              <w:top w:val="nil"/>
              <w:left w:val="nil"/>
              <w:bottom w:val="single" w:sz="4" w:space="0" w:color="auto"/>
              <w:right w:val="single" w:sz="4" w:space="0" w:color="auto"/>
            </w:tcBorders>
            <w:shd w:val="clear" w:color="000000" w:fill="FFFFFF"/>
            <w:noWrap/>
            <w:vAlign w:val="bottom"/>
            <w:hideMark/>
          </w:tcPr>
          <w:p w14:paraId="67EE435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135,9</w:t>
            </w:r>
          </w:p>
        </w:tc>
        <w:tc>
          <w:tcPr>
            <w:tcW w:w="1277" w:type="dxa"/>
            <w:tcBorders>
              <w:top w:val="nil"/>
              <w:left w:val="nil"/>
              <w:bottom w:val="single" w:sz="4" w:space="0" w:color="auto"/>
              <w:right w:val="single" w:sz="4" w:space="0" w:color="auto"/>
            </w:tcBorders>
            <w:shd w:val="clear" w:color="000000" w:fill="FFFFFF"/>
            <w:noWrap/>
            <w:vAlign w:val="bottom"/>
            <w:hideMark/>
          </w:tcPr>
          <w:p w14:paraId="3A9AF6E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3 159,9</w:t>
            </w:r>
          </w:p>
        </w:tc>
        <w:tc>
          <w:tcPr>
            <w:tcW w:w="1040" w:type="dxa"/>
            <w:tcBorders>
              <w:top w:val="nil"/>
              <w:left w:val="nil"/>
              <w:bottom w:val="single" w:sz="4" w:space="0" w:color="auto"/>
              <w:right w:val="single" w:sz="4" w:space="0" w:color="auto"/>
            </w:tcBorders>
            <w:shd w:val="clear" w:color="000000" w:fill="FFFFFF"/>
            <w:noWrap/>
            <w:vAlign w:val="bottom"/>
            <w:hideMark/>
          </w:tcPr>
          <w:p w14:paraId="65FE53D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137,1</w:t>
            </w:r>
          </w:p>
        </w:tc>
        <w:tc>
          <w:tcPr>
            <w:tcW w:w="1087" w:type="dxa"/>
            <w:tcBorders>
              <w:top w:val="nil"/>
              <w:left w:val="nil"/>
              <w:bottom w:val="single" w:sz="4" w:space="0" w:color="auto"/>
              <w:right w:val="single" w:sz="4" w:space="0" w:color="auto"/>
            </w:tcBorders>
            <w:shd w:val="clear" w:color="000000" w:fill="FFFFFF"/>
            <w:noWrap/>
            <w:vAlign w:val="bottom"/>
            <w:hideMark/>
          </w:tcPr>
          <w:p w14:paraId="68E2E5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915,6</w:t>
            </w:r>
          </w:p>
        </w:tc>
        <w:tc>
          <w:tcPr>
            <w:tcW w:w="1040" w:type="dxa"/>
            <w:tcBorders>
              <w:top w:val="nil"/>
              <w:left w:val="nil"/>
              <w:bottom w:val="single" w:sz="4" w:space="0" w:color="auto"/>
              <w:right w:val="single" w:sz="4" w:space="0" w:color="auto"/>
            </w:tcBorders>
            <w:shd w:val="clear" w:color="000000" w:fill="FFFFFF"/>
            <w:noWrap/>
            <w:vAlign w:val="bottom"/>
            <w:hideMark/>
          </w:tcPr>
          <w:p w14:paraId="63875DC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224,8</w:t>
            </w:r>
          </w:p>
        </w:tc>
        <w:tc>
          <w:tcPr>
            <w:tcW w:w="1226" w:type="dxa"/>
            <w:tcBorders>
              <w:top w:val="nil"/>
              <w:left w:val="nil"/>
              <w:bottom w:val="single" w:sz="4" w:space="0" w:color="auto"/>
              <w:right w:val="single" w:sz="4" w:space="0" w:color="auto"/>
            </w:tcBorders>
            <w:shd w:val="clear" w:color="000000" w:fill="FFFFFF"/>
            <w:noWrap/>
            <w:vAlign w:val="bottom"/>
            <w:hideMark/>
          </w:tcPr>
          <w:p w14:paraId="5B25B8C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66DC87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67521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Hикола Kозлево</w:t>
            </w:r>
          </w:p>
        </w:tc>
        <w:tc>
          <w:tcPr>
            <w:tcW w:w="1911" w:type="dxa"/>
            <w:tcBorders>
              <w:top w:val="nil"/>
              <w:left w:val="nil"/>
              <w:bottom w:val="single" w:sz="4" w:space="0" w:color="auto"/>
              <w:right w:val="single" w:sz="4" w:space="0" w:color="auto"/>
            </w:tcBorders>
            <w:shd w:val="clear" w:color="000000" w:fill="FFFFFF"/>
            <w:noWrap/>
            <w:vAlign w:val="bottom"/>
            <w:hideMark/>
          </w:tcPr>
          <w:p w14:paraId="269FFC5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4 748,8</w:t>
            </w:r>
          </w:p>
        </w:tc>
        <w:tc>
          <w:tcPr>
            <w:tcW w:w="1118" w:type="dxa"/>
            <w:tcBorders>
              <w:top w:val="nil"/>
              <w:left w:val="nil"/>
              <w:bottom w:val="single" w:sz="4" w:space="0" w:color="auto"/>
              <w:right w:val="single" w:sz="4" w:space="0" w:color="auto"/>
            </w:tcBorders>
            <w:shd w:val="clear" w:color="000000" w:fill="FFFFFF"/>
            <w:noWrap/>
            <w:vAlign w:val="bottom"/>
            <w:hideMark/>
          </w:tcPr>
          <w:p w14:paraId="62A14BA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873,6</w:t>
            </w:r>
          </w:p>
        </w:tc>
        <w:tc>
          <w:tcPr>
            <w:tcW w:w="1257" w:type="dxa"/>
            <w:tcBorders>
              <w:top w:val="nil"/>
              <w:left w:val="nil"/>
              <w:bottom w:val="single" w:sz="4" w:space="0" w:color="auto"/>
              <w:right w:val="single" w:sz="4" w:space="0" w:color="auto"/>
            </w:tcBorders>
            <w:shd w:val="clear" w:color="000000" w:fill="FFFFFF"/>
            <w:noWrap/>
            <w:vAlign w:val="bottom"/>
            <w:hideMark/>
          </w:tcPr>
          <w:p w14:paraId="60E05DF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200,4</w:t>
            </w:r>
          </w:p>
        </w:tc>
        <w:tc>
          <w:tcPr>
            <w:tcW w:w="1384" w:type="dxa"/>
            <w:tcBorders>
              <w:top w:val="nil"/>
              <w:left w:val="nil"/>
              <w:bottom w:val="single" w:sz="4" w:space="0" w:color="auto"/>
              <w:right w:val="single" w:sz="4" w:space="0" w:color="auto"/>
            </w:tcBorders>
            <w:shd w:val="clear" w:color="000000" w:fill="FFFFFF"/>
            <w:noWrap/>
            <w:vAlign w:val="bottom"/>
            <w:hideMark/>
          </w:tcPr>
          <w:p w14:paraId="1A82E40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673,2</w:t>
            </w:r>
          </w:p>
        </w:tc>
        <w:tc>
          <w:tcPr>
            <w:tcW w:w="1134" w:type="dxa"/>
            <w:tcBorders>
              <w:top w:val="nil"/>
              <w:left w:val="nil"/>
              <w:bottom w:val="single" w:sz="4" w:space="0" w:color="auto"/>
              <w:right w:val="single" w:sz="4" w:space="0" w:color="auto"/>
            </w:tcBorders>
            <w:shd w:val="clear" w:color="000000" w:fill="FFFFFF"/>
            <w:noWrap/>
            <w:vAlign w:val="bottom"/>
            <w:hideMark/>
          </w:tcPr>
          <w:p w14:paraId="2A733C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128,0</w:t>
            </w:r>
          </w:p>
        </w:tc>
        <w:tc>
          <w:tcPr>
            <w:tcW w:w="1277" w:type="dxa"/>
            <w:tcBorders>
              <w:top w:val="nil"/>
              <w:left w:val="nil"/>
              <w:bottom w:val="single" w:sz="4" w:space="0" w:color="auto"/>
              <w:right w:val="single" w:sz="4" w:space="0" w:color="auto"/>
            </w:tcBorders>
            <w:shd w:val="clear" w:color="000000" w:fill="FFFFFF"/>
            <w:noWrap/>
            <w:vAlign w:val="bottom"/>
            <w:hideMark/>
          </w:tcPr>
          <w:p w14:paraId="21EEB24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3 395,8</w:t>
            </w:r>
          </w:p>
        </w:tc>
        <w:tc>
          <w:tcPr>
            <w:tcW w:w="1040" w:type="dxa"/>
            <w:tcBorders>
              <w:top w:val="nil"/>
              <w:left w:val="nil"/>
              <w:bottom w:val="single" w:sz="4" w:space="0" w:color="auto"/>
              <w:right w:val="single" w:sz="4" w:space="0" w:color="auto"/>
            </w:tcBorders>
            <w:shd w:val="clear" w:color="000000" w:fill="FFFFFF"/>
            <w:noWrap/>
            <w:vAlign w:val="bottom"/>
            <w:hideMark/>
          </w:tcPr>
          <w:p w14:paraId="5D38F79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76,4</w:t>
            </w:r>
          </w:p>
        </w:tc>
        <w:tc>
          <w:tcPr>
            <w:tcW w:w="1087" w:type="dxa"/>
            <w:tcBorders>
              <w:top w:val="nil"/>
              <w:left w:val="nil"/>
              <w:bottom w:val="single" w:sz="4" w:space="0" w:color="auto"/>
              <w:right w:val="single" w:sz="4" w:space="0" w:color="auto"/>
            </w:tcBorders>
            <w:shd w:val="clear" w:color="000000" w:fill="FFFFFF"/>
            <w:noWrap/>
            <w:vAlign w:val="bottom"/>
            <w:hideMark/>
          </w:tcPr>
          <w:p w14:paraId="6D7E90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83,9</w:t>
            </w:r>
          </w:p>
        </w:tc>
        <w:tc>
          <w:tcPr>
            <w:tcW w:w="1040" w:type="dxa"/>
            <w:tcBorders>
              <w:top w:val="nil"/>
              <w:left w:val="nil"/>
              <w:bottom w:val="single" w:sz="4" w:space="0" w:color="auto"/>
              <w:right w:val="single" w:sz="4" w:space="0" w:color="auto"/>
            </w:tcBorders>
            <w:shd w:val="clear" w:color="000000" w:fill="FFFFFF"/>
            <w:noWrap/>
            <w:vAlign w:val="bottom"/>
            <w:hideMark/>
          </w:tcPr>
          <w:p w14:paraId="2B73BCC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121D3B0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75A020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CAF75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Hови пазар</w:t>
            </w:r>
          </w:p>
        </w:tc>
        <w:tc>
          <w:tcPr>
            <w:tcW w:w="1911" w:type="dxa"/>
            <w:tcBorders>
              <w:top w:val="nil"/>
              <w:left w:val="nil"/>
              <w:bottom w:val="single" w:sz="4" w:space="0" w:color="auto"/>
              <w:right w:val="single" w:sz="4" w:space="0" w:color="auto"/>
            </w:tcBorders>
            <w:shd w:val="clear" w:color="000000" w:fill="FFFFFF"/>
            <w:noWrap/>
            <w:vAlign w:val="bottom"/>
            <w:hideMark/>
          </w:tcPr>
          <w:p w14:paraId="323CE47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13 582,7</w:t>
            </w:r>
          </w:p>
        </w:tc>
        <w:tc>
          <w:tcPr>
            <w:tcW w:w="1118" w:type="dxa"/>
            <w:tcBorders>
              <w:top w:val="nil"/>
              <w:left w:val="nil"/>
              <w:bottom w:val="single" w:sz="4" w:space="0" w:color="auto"/>
              <w:right w:val="single" w:sz="4" w:space="0" w:color="auto"/>
            </w:tcBorders>
            <w:shd w:val="clear" w:color="000000" w:fill="FFFFFF"/>
            <w:noWrap/>
            <w:vAlign w:val="bottom"/>
            <w:hideMark/>
          </w:tcPr>
          <w:p w14:paraId="6516291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1 270,4</w:t>
            </w:r>
          </w:p>
        </w:tc>
        <w:tc>
          <w:tcPr>
            <w:tcW w:w="1257" w:type="dxa"/>
            <w:tcBorders>
              <w:top w:val="nil"/>
              <w:left w:val="nil"/>
              <w:bottom w:val="single" w:sz="4" w:space="0" w:color="auto"/>
              <w:right w:val="single" w:sz="4" w:space="0" w:color="auto"/>
            </w:tcBorders>
            <w:shd w:val="clear" w:color="000000" w:fill="FFFFFF"/>
            <w:noWrap/>
            <w:vAlign w:val="bottom"/>
            <w:hideMark/>
          </w:tcPr>
          <w:p w14:paraId="1E33FCA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259,5</w:t>
            </w:r>
          </w:p>
        </w:tc>
        <w:tc>
          <w:tcPr>
            <w:tcW w:w="1384" w:type="dxa"/>
            <w:tcBorders>
              <w:top w:val="nil"/>
              <w:left w:val="nil"/>
              <w:bottom w:val="single" w:sz="4" w:space="0" w:color="auto"/>
              <w:right w:val="single" w:sz="4" w:space="0" w:color="auto"/>
            </w:tcBorders>
            <w:shd w:val="clear" w:color="000000" w:fill="FFFFFF"/>
            <w:noWrap/>
            <w:vAlign w:val="bottom"/>
            <w:hideMark/>
          </w:tcPr>
          <w:p w14:paraId="4B6F5DB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1 010,9</w:t>
            </w:r>
          </w:p>
        </w:tc>
        <w:tc>
          <w:tcPr>
            <w:tcW w:w="1134" w:type="dxa"/>
            <w:tcBorders>
              <w:top w:val="nil"/>
              <w:left w:val="nil"/>
              <w:bottom w:val="single" w:sz="4" w:space="0" w:color="auto"/>
              <w:right w:val="single" w:sz="4" w:space="0" w:color="auto"/>
            </w:tcBorders>
            <w:shd w:val="clear" w:color="000000" w:fill="FFFFFF"/>
            <w:noWrap/>
            <w:vAlign w:val="bottom"/>
            <w:hideMark/>
          </w:tcPr>
          <w:p w14:paraId="0A6B1C4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151,2</w:t>
            </w:r>
          </w:p>
        </w:tc>
        <w:tc>
          <w:tcPr>
            <w:tcW w:w="1277" w:type="dxa"/>
            <w:tcBorders>
              <w:top w:val="nil"/>
              <w:left w:val="nil"/>
              <w:bottom w:val="single" w:sz="4" w:space="0" w:color="auto"/>
              <w:right w:val="single" w:sz="4" w:space="0" w:color="auto"/>
            </w:tcBorders>
            <w:shd w:val="clear" w:color="000000" w:fill="FFFFFF"/>
            <w:noWrap/>
            <w:vAlign w:val="bottom"/>
            <w:hideMark/>
          </w:tcPr>
          <w:p w14:paraId="4A28D8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7 889,5</w:t>
            </w:r>
          </w:p>
        </w:tc>
        <w:tc>
          <w:tcPr>
            <w:tcW w:w="1040" w:type="dxa"/>
            <w:tcBorders>
              <w:top w:val="nil"/>
              <w:left w:val="nil"/>
              <w:bottom w:val="single" w:sz="4" w:space="0" w:color="auto"/>
              <w:right w:val="single" w:sz="4" w:space="0" w:color="auto"/>
            </w:tcBorders>
            <w:shd w:val="clear" w:color="000000" w:fill="FFFFFF"/>
            <w:noWrap/>
            <w:vAlign w:val="bottom"/>
            <w:hideMark/>
          </w:tcPr>
          <w:p w14:paraId="1BF6AD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461,0</w:t>
            </w:r>
          </w:p>
        </w:tc>
        <w:tc>
          <w:tcPr>
            <w:tcW w:w="1087" w:type="dxa"/>
            <w:tcBorders>
              <w:top w:val="nil"/>
              <w:left w:val="nil"/>
              <w:bottom w:val="single" w:sz="4" w:space="0" w:color="auto"/>
              <w:right w:val="single" w:sz="4" w:space="0" w:color="auto"/>
            </w:tcBorders>
            <w:shd w:val="clear" w:color="000000" w:fill="FFFFFF"/>
            <w:noWrap/>
            <w:vAlign w:val="bottom"/>
            <w:hideMark/>
          </w:tcPr>
          <w:p w14:paraId="6164CB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3 529,6</w:t>
            </w:r>
          </w:p>
        </w:tc>
        <w:tc>
          <w:tcPr>
            <w:tcW w:w="1040" w:type="dxa"/>
            <w:tcBorders>
              <w:top w:val="nil"/>
              <w:left w:val="nil"/>
              <w:bottom w:val="single" w:sz="4" w:space="0" w:color="auto"/>
              <w:right w:val="single" w:sz="4" w:space="0" w:color="auto"/>
            </w:tcBorders>
            <w:shd w:val="clear" w:color="000000" w:fill="FFFFFF"/>
            <w:noWrap/>
            <w:vAlign w:val="bottom"/>
            <w:hideMark/>
          </w:tcPr>
          <w:p w14:paraId="72D7597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281,0</w:t>
            </w:r>
          </w:p>
        </w:tc>
        <w:tc>
          <w:tcPr>
            <w:tcW w:w="1226" w:type="dxa"/>
            <w:tcBorders>
              <w:top w:val="nil"/>
              <w:left w:val="nil"/>
              <w:bottom w:val="single" w:sz="4" w:space="0" w:color="auto"/>
              <w:right w:val="single" w:sz="4" w:space="0" w:color="auto"/>
            </w:tcBorders>
            <w:shd w:val="clear" w:color="000000" w:fill="FFFFFF"/>
            <w:noWrap/>
            <w:vAlign w:val="bottom"/>
            <w:hideMark/>
          </w:tcPr>
          <w:p w14:paraId="4A9092B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3295F8B"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30D78B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Cмядово</w:t>
            </w:r>
          </w:p>
        </w:tc>
        <w:tc>
          <w:tcPr>
            <w:tcW w:w="1911" w:type="dxa"/>
            <w:tcBorders>
              <w:top w:val="nil"/>
              <w:left w:val="nil"/>
              <w:bottom w:val="single" w:sz="4" w:space="0" w:color="auto"/>
              <w:right w:val="single" w:sz="4" w:space="0" w:color="auto"/>
            </w:tcBorders>
            <w:shd w:val="clear" w:color="000000" w:fill="FFFFFF"/>
            <w:noWrap/>
            <w:vAlign w:val="bottom"/>
            <w:hideMark/>
          </w:tcPr>
          <w:p w14:paraId="76DC4BE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7 159,2</w:t>
            </w:r>
          </w:p>
        </w:tc>
        <w:tc>
          <w:tcPr>
            <w:tcW w:w="1118" w:type="dxa"/>
            <w:tcBorders>
              <w:top w:val="nil"/>
              <w:left w:val="nil"/>
              <w:bottom w:val="single" w:sz="4" w:space="0" w:color="auto"/>
              <w:right w:val="single" w:sz="4" w:space="0" w:color="auto"/>
            </w:tcBorders>
            <w:shd w:val="clear" w:color="000000" w:fill="FFFFFF"/>
            <w:noWrap/>
            <w:vAlign w:val="bottom"/>
            <w:hideMark/>
          </w:tcPr>
          <w:p w14:paraId="7C58FE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758,8</w:t>
            </w:r>
          </w:p>
        </w:tc>
        <w:tc>
          <w:tcPr>
            <w:tcW w:w="1257" w:type="dxa"/>
            <w:tcBorders>
              <w:top w:val="nil"/>
              <w:left w:val="nil"/>
              <w:bottom w:val="single" w:sz="4" w:space="0" w:color="auto"/>
              <w:right w:val="single" w:sz="4" w:space="0" w:color="auto"/>
            </w:tcBorders>
            <w:shd w:val="clear" w:color="000000" w:fill="FFFFFF"/>
            <w:noWrap/>
            <w:vAlign w:val="bottom"/>
            <w:hideMark/>
          </w:tcPr>
          <w:p w14:paraId="7D1B66E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173,5</w:t>
            </w:r>
          </w:p>
        </w:tc>
        <w:tc>
          <w:tcPr>
            <w:tcW w:w="1384" w:type="dxa"/>
            <w:tcBorders>
              <w:top w:val="nil"/>
              <w:left w:val="nil"/>
              <w:bottom w:val="single" w:sz="4" w:space="0" w:color="auto"/>
              <w:right w:val="single" w:sz="4" w:space="0" w:color="auto"/>
            </w:tcBorders>
            <w:shd w:val="clear" w:color="000000" w:fill="FFFFFF"/>
            <w:noWrap/>
            <w:vAlign w:val="bottom"/>
            <w:hideMark/>
          </w:tcPr>
          <w:p w14:paraId="1F47771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585,3</w:t>
            </w:r>
          </w:p>
        </w:tc>
        <w:tc>
          <w:tcPr>
            <w:tcW w:w="1134" w:type="dxa"/>
            <w:tcBorders>
              <w:top w:val="nil"/>
              <w:left w:val="nil"/>
              <w:bottom w:val="single" w:sz="4" w:space="0" w:color="auto"/>
              <w:right w:val="single" w:sz="4" w:space="0" w:color="auto"/>
            </w:tcBorders>
            <w:shd w:val="clear" w:color="000000" w:fill="FFFFFF"/>
            <w:noWrap/>
            <w:vAlign w:val="bottom"/>
            <w:hideMark/>
          </w:tcPr>
          <w:p w14:paraId="13AFCE9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135,0</w:t>
            </w:r>
          </w:p>
        </w:tc>
        <w:tc>
          <w:tcPr>
            <w:tcW w:w="1277" w:type="dxa"/>
            <w:tcBorders>
              <w:top w:val="nil"/>
              <w:left w:val="nil"/>
              <w:bottom w:val="single" w:sz="4" w:space="0" w:color="auto"/>
              <w:right w:val="single" w:sz="4" w:space="0" w:color="auto"/>
            </w:tcBorders>
            <w:shd w:val="clear" w:color="000000" w:fill="FFFFFF"/>
            <w:noWrap/>
            <w:vAlign w:val="bottom"/>
            <w:hideMark/>
          </w:tcPr>
          <w:p w14:paraId="5A94997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2 291,1</w:t>
            </w:r>
          </w:p>
        </w:tc>
        <w:tc>
          <w:tcPr>
            <w:tcW w:w="1040" w:type="dxa"/>
            <w:tcBorders>
              <w:top w:val="nil"/>
              <w:left w:val="nil"/>
              <w:bottom w:val="single" w:sz="4" w:space="0" w:color="auto"/>
              <w:right w:val="single" w:sz="4" w:space="0" w:color="auto"/>
            </w:tcBorders>
            <w:shd w:val="clear" w:color="000000" w:fill="FFFFFF"/>
            <w:noWrap/>
            <w:vAlign w:val="bottom"/>
            <w:hideMark/>
          </w:tcPr>
          <w:p w14:paraId="11D16A8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92,2</w:t>
            </w:r>
          </w:p>
        </w:tc>
        <w:tc>
          <w:tcPr>
            <w:tcW w:w="1087" w:type="dxa"/>
            <w:tcBorders>
              <w:top w:val="nil"/>
              <w:left w:val="nil"/>
              <w:bottom w:val="single" w:sz="4" w:space="0" w:color="auto"/>
              <w:right w:val="single" w:sz="4" w:space="0" w:color="auto"/>
            </w:tcBorders>
            <w:shd w:val="clear" w:color="000000" w:fill="FFFFFF"/>
            <w:noWrap/>
            <w:vAlign w:val="bottom"/>
            <w:hideMark/>
          </w:tcPr>
          <w:p w14:paraId="29F0FBF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3 691,0</w:t>
            </w:r>
          </w:p>
        </w:tc>
        <w:tc>
          <w:tcPr>
            <w:tcW w:w="1040" w:type="dxa"/>
            <w:tcBorders>
              <w:top w:val="nil"/>
              <w:left w:val="nil"/>
              <w:bottom w:val="single" w:sz="4" w:space="0" w:color="auto"/>
              <w:right w:val="single" w:sz="4" w:space="0" w:color="auto"/>
            </w:tcBorders>
            <w:shd w:val="clear" w:color="000000" w:fill="FFFFFF"/>
            <w:noWrap/>
            <w:vAlign w:val="bottom"/>
            <w:hideMark/>
          </w:tcPr>
          <w:p w14:paraId="1CFEDF5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191,1</w:t>
            </w:r>
          </w:p>
        </w:tc>
        <w:tc>
          <w:tcPr>
            <w:tcW w:w="1226" w:type="dxa"/>
            <w:tcBorders>
              <w:top w:val="nil"/>
              <w:left w:val="nil"/>
              <w:bottom w:val="single" w:sz="4" w:space="0" w:color="auto"/>
              <w:right w:val="single" w:sz="4" w:space="0" w:color="auto"/>
            </w:tcBorders>
            <w:shd w:val="clear" w:color="000000" w:fill="FFFFFF"/>
            <w:noWrap/>
            <w:vAlign w:val="bottom"/>
            <w:hideMark/>
          </w:tcPr>
          <w:p w14:paraId="78C9DCD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C2BDFA6"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1543500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Xитрино</w:t>
            </w:r>
          </w:p>
        </w:tc>
        <w:tc>
          <w:tcPr>
            <w:tcW w:w="1911" w:type="dxa"/>
            <w:tcBorders>
              <w:top w:val="nil"/>
              <w:left w:val="nil"/>
              <w:bottom w:val="single" w:sz="4" w:space="0" w:color="auto"/>
              <w:right w:val="single" w:sz="4" w:space="0" w:color="auto"/>
            </w:tcBorders>
            <w:shd w:val="clear" w:color="000000" w:fill="FFFFFF"/>
            <w:noWrap/>
            <w:vAlign w:val="bottom"/>
            <w:hideMark/>
          </w:tcPr>
          <w:p w14:paraId="52630CF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2 996,0</w:t>
            </w:r>
          </w:p>
        </w:tc>
        <w:tc>
          <w:tcPr>
            <w:tcW w:w="1118" w:type="dxa"/>
            <w:tcBorders>
              <w:top w:val="nil"/>
              <w:left w:val="nil"/>
              <w:bottom w:val="single" w:sz="4" w:space="0" w:color="auto"/>
              <w:right w:val="single" w:sz="4" w:space="0" w:color="auto"/>
            </w:tcBorders>
            <w:shd w:val="clear" w:color="000000" w:fill="FFFFFF"/>
            <w:noWrap/>
            <w:vAlign w:val="bottom"/>
            <w:hideMark/>
          </w:tcPr>
          <w:p w14:paraId="3CF53E7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1 178,2</w:t>
            </w:r>
          </w:p>
        </w:tc>
        <w:tc>
          <w:tcPr>
            <w:tcW w:w="1257" w:type="dxa"/>
            <w:tcBorders>
              <w:top w:val="nil"/>
              <w:left w:val="nil"/>
              <w:bottom w:val="single" w:sz="4" w:space="0" w:color="auto"/>
              <w:right w:val="single" w:sz="4" w:space="0" w:color="auto"/>
            </w:tcBorders>
            <w:shd w:val="clear" w:color="000000" w:fill="FFFFFF"/>
            <w:noWrap/>
            <w:vAlign w:val="bottom"/>
            <w:hideMark/>
          </w:tcPr>
          <w:p w14:paraId="27693F4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358,9</w:t>
            </w:r>
          </w:p>
        </w:tc>
        <w:tc>
          <w:tcPr>
            <w:tcW w:w="1384" w:type="dxa"/>
            <w:tcBorders>
              <w:top w:val="nil"/>
              <w:left w:val="nil"/>
              <w:bottom w:val="single" w:sz="4" w:space="0" w:color="auto"/>
              <w:right w:val="single" w:sz="4" w:space="0" w:color="auto"/>
            </w:tcBorders>
            <w:shd w:val="clear" w:color="000000" w:fill="FFFFFF"/>
            <w:noWrap/>
            <w:vAlign w:val="bottom"/>
            <w:hideMark/>
          </w:tcPr>
          <w:p w14:paraId="0BAE6D6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819,3</w:t>
            </w:r>
          </w:p>
        </w:tc>
        <w:tc>
          <w:tcPr>
            <w:tcW w:w="1134" w:type="dxa"/>
            <w:tcBorders>
              <w:top w:val="nil"/>
              <w:left w:val="nil"/>
              <w:bottom w:val="single" w:sz="4" w:space="0" w:color="auto"/>
              <w:right w:val="single" w:sz="4" w:space="0" w:color="auto"/>
            </w:tcBorders>
            <w:shd w:val="clear" w:color="000000" w:fill="FFFFFF"/>
            <w:noWrap/>
            <w:vAlign w:val="bottom"/>
            <w:hideMark/>
          </w:tcPr>
          <w:p w14:paraId="3DA7C8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98,7</w:t>
            </w:r>
          </w:p>
        </w:tc>
        <w:tc>
          <w:tcPr>
            <w:tcW w:w="1277" w:type="dxa"/>
            <w:tcBorders>
              <w:top w:val="nil"/>
              <w:left w:val="nil"/>
              <w:bottom w:val="single" w:sz="4" w:space="0" w:color="auto"/>
              <w:right w:val="single" w:sz="4" w:space="0" w:color="auto"/>
            </w:tcBorders>
            <w:shd w:val="clear" w:color="000000" w:fill="FFFFFF"/>
            <w:noWrap/>
            <w:vAlign w:val="bottom"/>
            <w:hideMark/>
          </w:tcPr>
          <w:p w14:paraId="68C8BB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1 376,1</w:t>
            </w:r>
          </w:p>
        </w:tc>
        <w:tc>
          <w:tcPr>
            <w:tcW w:w="1040" w:type="dxa"/>
            <w:tcBorders>
              <w:top w:val="nil"/>
              <w:left w:val="nil"/>
              <w:bottom w:val="single" w:sz="4" w:space="0" w:color="auto"/>
              <w:right w:val="single" w:sz="4" w:space="0" w:color="auto"/>
            </w:tcBorders>
            <w:shd w:val="clear" w:color="000000" w:fill="FFFFFF"/>
            <w:noWrap/>
            <w:vAlign w:val="bottom"/>
            <w:hideMark/>
          </w:tcPr>
          <w:p w14:paraId="77DC76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23,3</w:t>
            </w:r>
          </w:p>
        </w:tc>
        <w:tc>
          <w:tcPr>
            <w:tcW w:w="1087" w:type="dxa"/>
            <w:tcBorders>
              <w:top w:val="nil"/>
              <w:left w:val="nil"/>
              <w:bottom w:val="single" w:sz="4" w:space="0" w:color="auto"/>
              <w:right w:val="single" w:sz="4" w:space="0" w:color="auto"/>
            </w:tcBorders>
            <w:shd w:val="clear" w:color="000000" w:fill="FFFFFF"/>
            <w:noWrap/>
            <w:vAlign w:val="bottom"/>
            <w:hideMark/>
          </w:tcPr>
          <w:p w14:paraId="5FAB11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139,8</w:t>
            </w:r>
          </w:p>
        </w:tc>
        <w:tc>
          <w:tcPr>
            <w:tcW w:w="1040" w:type="dxa"/>
            <w:tcBorders>
              <w:top w:val="nil"/>
              <w:left w:val="nil"/>
              <w:bottom w:val="single" w:sz="4" w:space="0" w:color="auto"/>
              <w:right w:val="single" w:sz="4" w:space="0" w:color="auto"/>
            </w:tcBorders>
            <w:shd w:val="clear" w:color="000000" w:fill="FFFFFF"/>
            <w:noWrap/>
            <w:vAlign w:val="bottom"/>
            <w:hideMark/>
          </w:tcPr>
          <w:p w14:paraId="40CCDC8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179,9</w:t>
            </w:r>
          </w:p>
        </w:tc>
        <w:tc>
          <w:tcPr>
            <w:tcW w:w="1226" w:type="dxa"/>
            <w:tcBorders>
              <w:top w:val="nil"/>
              <w:left w:val="nil"/>
              <w:bottom w:val="single" w:sz="4" w:space="0" w:color="auto"/>
              <w:right w:val="single" w:sz="4" w:space="0" w:color="auto"/>
            </w:tcBorders>
            <w:shd w:val="clear" w:color="000000" w:fill="FFFFFF"/>
            <w:noWrap/>
            <w:vAlign w:val="bottom"/>
            <w:hideMark/>
          </w:tcPr>
          <w:p w14:paraId="0E3541D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346905E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A2FB78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Шумен</w:t>
            </w:r>
          </w:p>
        </w:tc>
        <w:tc>
          <w:tcPr>
            <w:tcW w:w="1911" w:type="dxa"/>
            <w:tcBorders>
              <w:top w:val="nil"/>
              <w:left w:val="nil"/>
              <w:bottom w:val="single" w:sz="4" w:space="0" w:color="auto"/>
              <w:right w:val="single" w:sz="4" w:space="0" w:color="auto"/>
            </w:tcBorders>
            <w:shd w:val="clear" w:color="000000" w:fill="FFFFFF"/>
            <w:noWrap/>
            <w:vAlign w:val="bottom"/>
            <w:hideMark/>
          </w:tcPr>
          <w:p w14:paraId="03A06F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59 425,8</w:t>
            </w:r>
          </w:p>
        </w:tc>
        <w:tc>
          <w:tcPr>
            <w:tcW w:w="1118" w:type="dxa"/>
            <w:tcBorders>
              <w:top w:val="nil"/>
              <w:left w:val="nil"/>
              <w:bottom w:val="single" w:sz="4" w:space="0" w:color="auto"/>
              <w:right w:val="single" w:sz="4" w:space="0" w:color="auto"/>
            </w:tcBorders>
            <w:shd w:val="clear" w:color="000000" w:fill="FFFFFF"/>
            <w:noWrap/>
            <w:vAlign w:val="bottom"/>
            <w:hideMark/>
          </w:tcPr>
          <w:p w14:paraId="3CEE5A2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3 459,3</w:t>
            </w:r>
          </w:p>
        </w:tc>
        <w:tc>
          <w:tcPr>
            <w:tcW w:w="1257" w:type="dxa"/>
            <w:tcBorders>
              <w:top w:val="nil"/>
              <w:left w:val="nil"/>
              <w:bottom w:val="single" w:sz="4" w:space="0" w:color="auto"/>
              <w:right w:val="single" w:sz="4" w:space="0" w:color="auto"/>
            </w:tcBorders>
            <w:shd w:val="clear" w:color="000000" w:fill="FFFFFF"/>
            <w:noWrap/>
            <w:vAlign w:val="bottom"/>
            <w:hideMark/>
          </w:tcPr>
          <w:p w14:paraId="1F04561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439,8</w:t>
            </w:r>
          </w:p>
        </w:tc>
        <w:tc>
          <w:tcPr>
            <w:tcW w:w="1384" w:type="dxa"/>
            <w:tcBorders>
              <w:top w:val="nil"/>
              <w:left w:val="nil"/>
              <w:bottom w:val="single" w:sz="4" w:space="0" w:color="auto"/>
              <w:right w:val="single" w:sz="4" w:space="0" w:color="auto"/>
            </w:tcBorders>
            <w:shd w:val="clear" w:color="000000" w:fill="FFFFFF"/>
            <w:noWrap/>
            <w:vAlign w:val="bottom"/>
            <w:hideMark/>
          </w:tcPr>
          <w:p w14:paraId="0468843C"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3 019,5</w:t>
            </w:r>
          </w:p>
        </w:tc>
        <w:tc>
          <w:tcPr>
            <w:tcW w:w="1134" w:type="dxa"/>
            <w:tcBorders>
              <w:top w:val="nil"/>
              <w:left w:val="nil"/>
              <w:bottom w:val="single" w:sz="4" w:space="0" w:color="auto"/>
              <w:right w:val="single" w:sz="4" w:space="0" w:color="auto"/>
            </w:tcBorders>
            <w:shd w:val="clear" w:color="000000" w:fill="FFFFFF"/>
            <w:noWrap/>
            <w:vAlign w:val="bottom"/>
            <w:hideMark/>
          </w:tcPr>
          <w:p w14:paraId="38A5A24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278,8</w:t>
            </w:r>
          </w:p>
        </w:tc>
        <w:tc>
          <w:tcPr>
            <w:tcW w:w="1277" w:type="dxa"/>
            <w:tcBorders>
              <w:top w:val="nil"/>
              <w:left w:val="nil"/>
              <w:bottom w:val="single" w:sz="4" w:space="0" w:color="auto"/>
              <w:right w:val="single" w:sz="4" w:space="0" w:color="auto"/>
            </w:tcBorders>
            <w:shd w:val="clear" w:color="000000" w:fill="FFFFFF"/>
            <w:noWrap/>
            <w:vAlign w:val="bottom"/>
            <w:hideMark/>
          </w:tcPr>
          <w:p w14:paraId="454F454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38 839,6</w:t>
            </w:r>
          </w:p>
        </w:tc>
        <w:tc>
          <w:tcPr>
            <w:tcW w:w="1040" w:type="dxa"/>
            <w:tcBorders>
              <w:top w:val="nil"/>
              <w:left w:val="nil"/>
              <w:bottom w:val="single" w:sz="4" w:space="0" w:color="auto"/>
              <w:right w:val="single" w:sz="4" w:space="0" w:color="auto"/>
            </w:tcBorders>
            <w:shd w:val="clear" w:color="000000" w:fill="FFFFFF"/>
            <w:noWrap/>
            <w:vAlign w:val="bottom"/>
            <w:hideMark/>
          </w:tcPr>
          <w:p w14:paraId="0D21733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5 163,2</w:t>
            </w:r>
          </w:p>
        </w:tc>
        <w:tc>
          <w:tcPr>
            <w:tcW w:w="1087" w:type="dxa"/>
            <w:tcBorders>
              <w:top w:val="nil"/>
              <w:left w:val="nil"/>
              <w:bottom w:val="single" w:sz="4" w:space="0" w:color="auto"/>
              <w:right w:val="single" w:sz="4" w:space="0" w:color="auto"/>
            </w:tcBorders>
            <w:shd w:val="clear" w:color="000000" w:fill="FFFFFF"/>
            <w:noWrap/>
            <w:vAlign w:val="bottom"/>
            <w:hideMark/>
          </w:tcPr>
          <w:p w14:paraId="574D9DD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8 058,6</w:t>
            </w:r>
          </w:p>
        </w:tc>
        <w:tc>
          <w:tcPr>
            <w:tcW w:w="1040" w:type="dxa"/>
            <w:tcBorders>
              <w:top w:val="nil"/>
              <w:left w:val="nil"/>
              <w:bottom w:val="single" w:sz="4" w:space="0" w:color="auto"/>
              <w:right w:val="single" w:sz="4" w:space="0" w:color="auto"/>
            </w:tcBorders>
            <w:shd w:val="clear" w:color="000000" w:fill="FFFFFF"/>
            <w:noWrap/>
            <w:vAlign w:val="bottom"/>
            <w:hideMark/>
          </w:tcPr>
          <w:p w14:paraId="57ADC01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3 626,3</w:t>
            </w:r>
          </w:p>
        </w:tc>
        <w:tc>
          <w:tcPr>
            <w:tcW w:w="1226" w:type="dxa"/>
            <w:tcBorders>
              <w:top w:val="nil"/>
              <w:left w:val="nil"/>
              <w:bottom w:val="single" w:sz="4" w:space="0" w:color="auto"/>
              <w:right w:val="single" w:sz="4" w:space="0" w:color="auto"/>
            </w:tcBorders>
            <w:shd w:val="clear" w:color="000000" w:fill="FFFFFF"/>
            <w:noWrap/>
            <w:vAlign w:val="bottom"/>
            <w:hideMark/>
          </w:tcPr>
          <w:p w14:paraId="3FAEEA8D"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514D0BE"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C145139" w14:textId="77777777" w:rsidR="00761800" w:rsidRPr="00761800" w:rsidRDefault="00761800" w:rsidP="00761800">
            <w:pPr>
              <w:rPr>
                <w:rFonts w:ascii="Times New Roman" w:hAnsi="Times New Roman"/>
                <w:sz w:val="22"/>
                <w:szCs w:val="22"/>
                <w:u w:val="single"/>
                <w:lang w:eastAsia="bg-BG"/>
              </w:rPr>
            </w:pPr>
          </w:p>
        </w:tc>
        <w:tc>
          <w:tcPr>
            <w:tcW w:w="1911" w:type="dxa"/>
            <w:tcBorders>
              <w:top w:val="nil"/>
              <w:left w:val="nil"/>
              <w:bottom w:val="single" w:sz="4" w:space="0" w:color="auto"/>
              <w:right w:val="single" w:sz="4" w:space="0" w:color="auto"/>
            </w:tcBorders>
            <w:shd w:val="clear" w:color="000000" w:fill="FFFFFF"/>
            <w:noWrap/>
            <w:vAlign w:val="bottom"/>
            <w:hideMark/>
          </w:tcPr>
          <w:p w14:paraId="727CDD8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3B4BA4D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5FFF9E7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6C6E938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691E24D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4477352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C3DE63E"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5DB6954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408A1DA3"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0D9FC35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5021553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4A98EC74"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ОБЛАСТ ЯМБОЛ</w:t>
            </w:r>
          </w:p>
        </w:tc>
        <w:tc>
          <w:tcPr>
            <w:tcW w:w="1911" w:type="dxa"/>
            <w:tcBorders>
              <w:top w:val="nil"/>
              <w:left w:val="nil"/>
              <w:bottom w:val="single" w:sz="4" w:space="0" w:color="auto"/>
              <w:right w:val="single" w:sz="4" w:space="0" w:color="auto"/>
            </w:tcBorders>
            <w:shd w:val="clear" w:color="000000" w:fill="FFFFFF"/>
            <w:noWrap/>
            <w:vAlign w:val="bottom"/>
            <w:hideMark/>
          </w:tcPr>
          <w:p w14:paraId="67B3F96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7E73C76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57" w:type="dxa"/>
            <w:tcBorders>
              <w:top w:val="nil"/>
              <w:left w:val="nil"/>
              <w:bottom w:val="single" w:sz="4" w:space="0" w:color="auto"/>
              <w:right w:val="single" w:sz="4" w:space="0" w:color="auto"/>
            </w:tcBorders>
            <w:shd w:val="clear" w:color="000000" w:fill="FFFFFF"/>
            <w:noWrap/>
            <w:vAlign w:val="bottom"/>
            <w:hideMark/>
          </w:tcPr>
          <w:p w14:paraId="3AB56BD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384" w:type="dxa"/>
            <w:tcBorders>
              <w:top w:val="nil"/>
              <w:left w:val="nil"/>
              <w:bottom w:val="single" w:sz="4" w:space="0" w:color="auto"/>
              <w:right w:val="single" w:sz="4" w:space="0" w:color="auto"/>
            </w:tcBorders>
            <w:shd w:val="clear" w:color="000000" w:fill="FFFFFF"/>
            <w:noWrap/>
            <w:vAlign w:val="bottom"/>
            <w:hideMark/>
          </w:tcPr>
          <w:p w14:paraId="5CF81F5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35D7BBA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77" w:type="dxa"/>
            <w:tcBorders>
              <w:top w:val="nil"/>
              <w:left w:val="nil"/>
              <w:bottom w:val="single" w:sz="4" w:space="0" w:color="auto"/>
              <w:right w:val="single" w:sz="4" w:space="0" w:color="auto"/>
            </w:tcBorders>
            <w:shd w:val="clear" w:color="000000" w:fill="FFFFFF"/>
            <w:noWrap/>
            <w:vAlign w:val="bottom"/>
            <w:hideMark/>
          </w:tcPr>
          <w:p w14:paraId="3045D39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01D372B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87" w:type="dxa"/>
            <w:tcBorders>
              <w:top w:val="nil"/>
              <w:left w:val="nil"/>
              <w:bottom w:val="single" w:sz="4" w:space="0" w:color="auto"/>
              <w:right w:val="single" w:sz="4" w:space="0" w:color="auto"/>
            </w:tcBorders>
            <w:shd w:val="clear" w:color="000000" w:fill="FFFFFF"/>
            <w:noWrap/>
            <w:vAlign w:val="bottom"/>
            <w:hideMark/>
          </w:tcPr>
          <w:p w14:paraId="27E3CF89"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699D8F7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226" w:type="dxa"/>
            <w:tcBorders>
              <w:top w:val="nil"/>
              <w:left w:val="nil"/>
              <w:bottom w:val="single" w:sz="4" w:space="0" w:color="auto"/>
              <w:right w:val="single" w:sz="4" w:space="0" w:color="auto"/>
            </w:tcBorders>
            <w:shd w:val="clear" w:color="000000" w:fill="FFFFFF"/>
            <w:noWrap/>
            <w:vAlign w:val="bottom"/>
            <w:hideMark/>
          </w:tcPr>
          <w:p w14:paraId="5C94B645"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02437E55"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29CE6117"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xml:space="preserve">Болярово          </w:t>
            </w:r>
          </w:p>
        </w:tc>
        <w:tc>
          <w:tcPr>
            <w:tcW w:w="1911" w:type="dxa"/>
            <w:tcBorders>
              <w:top w:val="nil"/>
              <w:left w:val="nil"/>
              <w:bottom w:val="single" w:sz="4" w:space="0" w:color="auto"/>
              <w:right w:val="single" w:sz="4" w:space="0" w:color="auto"/>
            </w:tcBorders>
            <w:shd w:val="clear" w:color="000000" w:fill="FFFFFF"/>
            <w:noWrap/>
            <w:vAlign w:val="bottom"/>
            <w:hideMark/>
          </w:tcPr>
          <w:p w14:paraId="6D6F87D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5 429,3</w:t>
            </w:r>
          </w:p>
        </w:tc>
        <w:tc>
          <w:tcPr>
            <w:tcW w:w="1118" w:type="dxa"/>
            <w:tcBorders>
              <w:top w:val="nil"/>
              <w:left w:val="nil"/>
              <w:bottom w:val="single" w:sz="4" w:space="0" w:color="auto"/>
              <w:right w:val="single" w:sz="4" w:space="0" w:color="auto"/>
            </w:tcBorders>
            <w:shd w:val="clear" w:color="000000" w:fill="FFFFFF"/>
            <w:noWrap/>
            <w:vAlign w:val="bottom"/>
            <w:hideMark/>
          </w:tcPr>
          <w:p w14:paraId="6ABB572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782,5</w:t>
            </w:r>
          </w:p>
        </w:tc>
        <w:tc>
          <w:tcPr>
            <w:tcW w:w="1257" w:type="dxa"/>
            <w:tcBorders>
              <w:top w:val="nil"/>
              <w:left w:val="nil"/>
              <w:bottom w:val="single" w:sz="4" w:space="0" w:color="auto"/>
              <w:right w:val="single" w:sz="4" w:space="0" w:color="auto"/>
            </w:tcBorders>
            <w:shd w:val="clear" w:color="000000" w:fill="FFFFFF"/>
            <w:noWrap/>
            <w:vAlign w:val="bottom"/>
            <w:hideMark/>
          </w:tcPr>
          <w:p w14:paraId="300BBD1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308,2</w:t>
            </w:r>
          </w:p>
        </w:tc>
        <w:tc>
          <w:tcPr>
            <w:tcW w:w="1384" w:type="dxa"/>
            <w:tcBorders>
              <w:top w:val="nil"/>
              <w:left w:val="nil"/>
              <w:bottom w:val="single" w:sz="4" w:space="0" w:color="auto"/>
              <w:right w:val="single" w:sz="4" w:space="0" w:color="auto"/>
            </w:tcBorders>
            <w:shd w:val="clear" w:color="000000" w:fill="FFFFFF"/>
            <w:noWrap/>
            <w:vAlign w:val="bottom"/>
            <w:hideMark/>
          </w:tcPr>
          <w:p w14:paraId="4D6255ED"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474,3</w:t>
            </w:r>
          </w:p>
        </w:tc>
        <w:tc>
          <w:tcPr>
            <w:tcW w:w="1134" w:type="dxa"/>
            <w:tcBorders>
              <w:top w:val="nil"/>
              <w:left w:val="nil"/>
              <w:bottom w:val="single" w:sz="4" w:space="0" w:color="auto"/>
              <w:right w:val="single" w:sz="4" w:space="0" w:color="auto"/>
            </w:tcBorders>
            <w:shd w:val="clear" w:color="000000" w:fill="FFFFFF"/>
            <w:noWrap/>
            <w:vAlign w:val="bottom"/>
            <w:hideMark/>
          </w:tcPr>
          <w:p w14:paraId="508749E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148,3</w:t>
            </w:r>
          </w:p>
        </w:tc>
        <w:tc>
          <w:tcPr>
            <w:tcW w:w="1277" w:type="dxa"/>
            <w:tcBorders>
              <w:top w:val="nil"/>
              <w:left w:val="nil"/>
              <w:bottom w:val="single" w:sz="4" w:space="0" w:color="auto"/>
              <w:right w:val="single" w:sz="4" w:space="0" w:color="auto"/>
            </w:tcBorders>
            <w:shd w:val="clear" w:color="000000" w:fill="FFFFFF"/>
            <w:noWrap/>
            <w:vAlign w:val="bottom"/>
            <w:hideMark/>
          </w:tcPr>
          <w:p w14:paraId="7129FBF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1 380,1</w:t>
            </w:r>
          </w:p>
        </w:tc>
        <w:tc>
          <w:tcPr>
            <w:tcW w:w="1040" w:type="dxa"/>
            <w:tcBorders>
              <w:top w:val="nil"/>
              <w:left w:val="nil"/>
              <w:bottom w:val="single" w:sz="4" w:space="0" w:color="auto"/>
              <w:right w:val="single" w:sz="4" w:space="0" w:color="auto"/>
            </w:tcBorders>
            <w:shd w:val="clear" w:color="000000" w:fill="FFFFFF"/>
            <w:noWrap/>
            <w:vAlign w:val="bottom"/>
            <w:hideMark/>
          </w:tcPr>
          <w:p w14:paraId="72B48B5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32,5</w:t>
            </w:r>
          </w:p>
        </w:tc>
        <w:tc>
          <w:tcPr>
            <w:tcW w:w="1087" w:type="dxa"/>
            <w:tcBorders>
              <w:top w:val="nil"/>
              <w:left w:val="nil"/>
              <w:bottom w:val="single" w:sz="4" w:space="0" w:color="auto"/>
              <w:right w:val="single" w:sz="4" w:space="0" w:color="auto"/>
            </w:tcBorders>
            <w:shd w:val="clear" w:color="000000" w:fill="FFFFFF"/>
            <w:noWrap/>
            <w:vAlign w:val="bottom"/>
            <w:hideMark/>
          </w:tcPr>
          <w:p w14:paraId="1352B3F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2 928,5</w:t>
            </w:r>
          </w:p>
        </w:tc>
        <w:tc>
          <w:tcPr>
            <w:tcW w:w="1040" w:type="dxa"/>
            <w:tcBorders>
              <w:top w:val="nil"/>
              <w:left w:val="nil"/>
              <w:bottom w:val="single" w:sz="4" w:space="0" w:color="auto"/>
              <w:right w:val="single" w:sz="4" w:space="0" w:color="auto"/>
            </w:tcBorders>
            <w:shd w:val="clear" w:color="000000" w:fill="FFFFFF"/>
            <w:noWrap/>
            <w:vAlign w:val="bottom"/>
            <w:hideMark/>
          </w:tcPr>
          <w:p w14:paraId="66CEF4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157,4</w:t>
            </w:r>
          </w:p>
        </w:tc>
        <w:tc>
          <w:tcPr>
            <w:tcW w:w="1226" w:type="dxa"/>
            <w:tcBorders>
              <w:top w:val="nil"/>
              <w:left w:val="nil"/>
              <w:bottom w:val="single" w:sz="4" w:space="0" w:color="auto"/>
              <w:right w:val="single" w:sz="4" w:space="0" w:color="auto"/>
            </w:tcBorders>
            <w:shd w:val="clear" w:color="000000" w:fill="FFFFFF"/>
            <w:noWrap/>
            <w:vAlign w:val="bottom"/>
            <w:hideMark/>
          </w:tcPr>
          <w:p w14:paraId="2C84EB4C"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657E4037"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2522D6F"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Eлхово</w:t>
            </w:r>
          </w:p>
        </w:tc>
        <w:tc>
          <w:tcPr>
            <w:tcW w:w="1911" w:type="dxa"/>
            <w:tcBorders>
              <w:top w:val="nil"/>
              <w:left w:val="nil"/>
              <w:bottom w:val="single" w:sz="4" w:space="0" w:color="auto"/>
              <w:right w:val="single" w:sz="4" w:space="0" w:color="auto"/>
            </w:tcBorders>
            <w:shd w:val="clear" w:color="000000" w:fill="FFFFFF"/>
            <w:noWrap/>
            <w:vAlign w:val="bottom"/>
            <w:hideMark/>
          </w:tcPr>
          <w:p w14:paraId="55A6021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8 932,8</w:t>
            </w:r>
          </w:p>
        </w:tc>
        <w:tc>
          <w:tcPr>
            <w:tcW w:w="1118" w:type="dxa"/>
            <w:tcBorders>
              <w:top w:val="nil"/>
              <w:left w:val="nil"/>
              <w:bottom w:val="single" w:sz="4" w:space="0" w:color="auto"/>
              <w:right w:val="single" w:sz="4" w:space="0" w:color="auto"/>
            </w:tcBorders>
            <w:shd w:val="clear" w:color="000000" w:fill="FFFFFF"/>
            <w:noWrap/>
            <w:vAlign w:val="bottom"/>
            <w:hideMark/>
          </w:tcPr>
          <w:p w14:paraId="5CAC475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1 134,6</w:t>
            </w:r>
          </w:p>
        </w:tc>
        <w:tc>
          <w:tcPr>
            <w:tcW w:w="1257" w:type="dxa"/>
            <w:tcBorders>
              <w:top w:val="nil"/>
              <w:left w:val="nil"/>
              <w:bottom w:val="single" w:sz="4" w:space="0" w:color="auto"/>
              <w:right w:val="single" w:sz="4" w:space="0" w:color="auto"/>
            </w:tcBorders>
            <w:shd w:val="clear" w:color="000000" w:fill="FFFFFF"/>
            <w:noWrap/>
            <w:vAlign w:val="bottom"/>
            <w:hideMark/>
          </w:tcPr>
          <w:p w14:paraId="583993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311,6</w:t>
            </w:r>
          </w:p>
        </w:tc>
        <w:tc>
          <w:tcPr>
            <w:tcW w:w="1384" w:type="dxa"/>
            <w:tcBorders>
              <w:top w:val="nil"/>
              <w:left w:val="nil"/>
              <w:bottom w:val="single" w:sz="4" w:space="0" w:color="auto"/>
              <w:right w:val="single" w:sz="4" w:space="0" w:color="auto"/>
            </w:tcBorders>
            <w:shd w:val="clear" w:color="000000" w:fill="FFFFFF"/>
            <w:noWrap/>
            <w:vAlign w:val="bottom"/>
            <w:hideMark/>
          </w:tcPr>
          <w:p w14:paraId="33DE2B8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823,0</w:t>
            </w:r>
          </w:p>
        </w:tc>
        <w:tc>
          <w:tcPr>
            <w:tcW w:w="1134" w:type="dxa"/>
            <w:tcBorders>
              <w:top w:val="nil"/>
              <w:left w:val="nil"/>
              <w:bottom w:val="single" w:sz="4" w:space="0" w:color="auto"/>
              <w:right w:val="single" w:sz="4" w:space="0" w:color="auto"/>
            </w:tcBorders>
            <w:shd w:val="clear" w:color="000000" w:fill="FFFFFF"/>
            <w:noWrap/>
            <w:vAlign w:val="bottom"/>
            <w:hideMark/>
          </w:tcPr>
          <w:p w14:paraId="6D382FA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153,4</w:t>
            </w:r>
          </w:p>
        </w:tc>
        <w:tc>
          <w:tcPr>
            <w:tcW w:w="1277" w:type="dxa"/>
            <w:tcBorders>
              <w:top w:val="nil"/>
              <w:left w:val="nil"/>
              <w:bottom w:val="single" w:sz="4" w:space="0" w:color="auto"/>
              <w:right w:val="single" w:sz="4" w:space="0" w:color="auto"/>
            </w:tcBorders>
            <w:shd w:val="clear" w:color="000000" w:fill="FFFFFF"/>
            <w:noWrap/>
            <w:vAlign w:val="bottom"/>
            <w:hideMark/>
          </w:tcPr>
          <w:p w14:paraId="1F883B0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5 809,6</w:t>
            </w:r>
          </w:p>
        </w:tc>
        <w:tc>
          <w:tcPr>
            <w:tcW w:w="1040" w:type="dxa"/>
            <w:tcBorders>
              <w:top w:val="nil"/>
              <w:left w:val="nil"/>
              <w:bottom w:val="single" w:sz="4" w:space="0" w:color="auto"/>
              <w:right w:val="single" w:sz="4" w:space="0" w:color="auto"/>
            </w:tcBorders>
            <w:shd w:val="clear" w:color="000000" w:fill="FFFFFF"/>
            <w:noWrap/>
            <w:vAlign w:val="bottom"/>
            <w:hideMark/>
          </w:tcPr>
          <w:p w14:paraId="484D926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176,1</w:t>
            </w:r>
          </w:p>
        </w:tc>
        <w:tc>
          <w:tcPr>
            <w:tcW w:w="1087" w:type="dxa"/>
            <w:tcBorders>
              <w:top w:val="nil"/>
              <w:left w:val="nil"/>
              <w:bottom w:val="single" w:sz="4" w:space="0" w:color="auto"/>
              <w:right w:val="single" w:sz="4" w:space="0" w:color="auto"/>
            </w:tcBorders>
            <w:shd w:val="clear" w:color="000000" w:fill="FFFFFF"/>
            <w:noWrap/>
            <w:vAlign w:val="bottom"/>
            <w:hideMark/>
          </w:tcPr>
          <w:p w14:paraId="62F5390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1 257,7</w:t>
            </w:r>
          </w:p>
        </w:tc>
        <w:tc>
          <w:tcPr>
            <w:tcW w:w="1040" w:type="dxa"/>
            <w:tcBorders>
              <w:top w:val="nil"/>
              <w:left w:val="nil"/>
              <w:bottom w:val="single" w:sz="4" w:space="0" w:color="auto"/>
              <w:right w:val="single" w:sz="4" w:space="0" w:color="auto"/>
            </w:tcBorders>
            <w:shd w:val="clear" w:color="000000" w:fill="FFFFFF"/>
            <w:noWrap/>
            <w:vAlign w:val="bottom"/>
            <w:hideMark/>
          </w:tcPr>
          <w:p w14:paraId="7498A3D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401,4</w:t>
            </w:r>
          </w:p>
        </w:tc>
        <w:tc>
          <w:tcPr>
            <w:tcW w:w="1226" w:type="dxa"/>
            <w:tcBorders>
              <w:top w:val="nil"/>
              <w:left w:val="nil"/>
              <w:bottom w:val="single" w:sz="4" w:space="0" w:color="auto"/>
              <w:right w:val="single" w:sz="4" w:space="0" w:color="auto"/>
            </w:tcBorders>
            <w:shd w:val="clear" w:color="000000" w:fill="FFFFFF"/>
            <w:noWrap/>
            <w:vAlign w:val="bottom"/>
            <w:hideMark/>
          </w:tcPr>
          <w:p w14:paraId="1ED17B9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2D31491D"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37727651"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Cтралджа</w:t>
            </w:r>
          </w:p>
        </w:tc>
        <w:tc>
          <w:tcPr>
            <w:tcW w:w="1911" w:type="dxa"/>
            <w:tcBorders>
              <w:top w:val="nil"/>
              <w:left w:val="nil"/>
              <w:bottom w:val="single" w:sz="4" w:space="0" w:color="auto"/>
              <w:right w:val="single" w:sz="4" w:space="0" w:color="auto"/>
            </w:tcBorders>
            <w:shd w:val="clear" w:color="000000" w:fill="FFFFFF"/>
            <w:noWrap/>
            <w:vAlign w:val="bottom"/>
            <w:hideMark/>
          </w:tcPr>
          <w:p w14:paraId="3D31D053"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7 757,7</w:t>
            </w:r>
          </w:p>
        </w:tc>
        <w:tc>
          <w:tcPr>
            <w:tcW w:w="1118" w:type="dxa"/>
            <w:tcBorders>
              <w:top w:val="nil"/>
              <w:left w:val="nil"/>
              <w:bottom w:val="single" w:sz="4" w:space="0" w:color="auto"/>
              <w:right w:val="single" w:sz="4" w:space="0" w:color="auto"/>
            </w:tcBorders>
            <w:shd w:val="clear" w:color="000000" w:fill="FFFFFF"/>
            <w:noWrap/>
            <w:vAlign w:val="bottom"/>
            <w:hideMark/>
          </w:tcPr>
          <w:p w14:paraId="3B11E44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1 102,8</w:t>
            </w:r>
          </w:p>
        </w:tc>
        <w:tc>
          <w:tcPr>
            <w:tcW w:w="1257" w:type="dxa"/>
            <w:tcBorders>
              <w:top w:val="nil"/>
              <w:left w:val="nil"/>
              <w:bottom w:val="single" w:sz="4" w:space="0" w:color="auto"/>
              <w:right w:val="single" w:sz="4" w:space="0" w:color="auto"/>
            </w:tcBorders>
            <w:shd w:val="clear" w:color="000000" w:fill="FFFFFF"/>
            <w:noWrap/>
            <w:vAlign w:val="bottom"/>
            <w:hideMark/>
          </w:tcPr>
          <w:p w14:paraId="386E853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357,1</w:t>
            </w:r>
          </w:p>
        </w:tc>
        <w:tc>
          <w:tcPr>
            <w:tcW w:w="1384" w:type="dxa"/>
            <w:tcBorders>
              <w:top w:val="nil"/>
              <w:left w:val="nil"/>
              <w:bottom w:val="single" w:sz="4" w:space="0" w:color="auto"/>
              <w:right w:val="single" w:sz="4" w:space="0" w:color="auto"/>
            </w:tcBorders>
            <w:shd w:val="clear" w:color="000000" w:fill="FFFFFF"/>
            <w:noWrap/>
            <w:vAlign w:val="bottom"/>
            <w:hideMark/>
          </w:tcPr>
          <w:p w14:paraId="02F9E65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745,7</w:t>
            </w:r>
          </w:p>
        </w:tc>
        <w:tc>
          <w:tcPr>
            <w:tcW w:w="1134" w:type="dxa"/>
            <w:tcBorders>
              <w:top w:val="nil"/>
              <w:left w:val="nil"/>
              <w:bottom w:val="single" w:sz="4" w:space="0" w:color="auto"/>
              <w:right w:val="single" w:sz="4" w:space="0" w:color="auto"/>
            </w:tcBorders>
            <w:shd w:val="clear" w:color="000000" w:fill="FFFFFF"/>
            <w:noWrap/>
            <w:vAlign w:val="bottom"/>
            <w:hideMark/>
          </w:tcPr>
          <w:p w14:paraId="4805D9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135,6</w:t>
            </w:r>
          </w:p>
        </w:tc>
        <w:tc>
          <w:tcPr>
            <w:tcW w:w="1277" w:type="dxa"/>
            <w:tcBorders>
              <w:top w:val="nil"/>
              <w:left w:val="nil"/>
              <w:bottom w:val="single" w:sz="4" w:space="0" w:color="auto"/>
              <w:right w:val="single" w:sz="4" w:space="0" w:color="auto"/>
            </w:tcBorders>
            <w:shd w:val="clear" w:color="000000" w:fill="FFFFFF"/>
            <w:noWrap/>
            <w:vAlign w:val="bottom"/>
            <w:hideMark/>
          </w:tcPr>
          <w:p w14:paraId="236FBA9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4 618,9</w:t>
            </w:r>
          </w:p>
        </w:tc>
        <w:tc>
          <w:tcPr>
            <w:tcW w:w="1040" w:type="dxa"/>
            <w:tcBorders>
              <w:top w:val="nil"/>
              <w:left w:val="nil"/>
              <w:bottom w:val="single" w:sz="4" w:space="0" w:color="auto"/>
              <w:right w:val="single" w:sz="4" w:space="0" w:color="auto"/>
            </w:tcBorders>
            <w:shd w:val="clear" w:color="000000" w:fill="FFFFFF"/>
            <w:noWrap/>
            <w:vAlign w:val="bottom"/>
            <w:hideMark/>
          </w:tcPr>
          <w:p w14:paraId="1057325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166,0</w:t>
            </w:r>
          </w:p>
        </w:tc>
        <w:tc>
          <w:tcPr>
            <w:tcW w:w="1087" w:type="dxa"/>
            <w:tcBorders>
              <w:top w:val="nil"/>
              <w:left w:val="nil"/>
              <w:bottom w:val="single" w:sz="4" w:space="0" w:color="auto"/>
              <w:right w:val="single" w:sz="4" w:space="0" w:color="auto"/>
            </w:tcBorders>
            <w:shd w:val="clear" w:color="000000" w:fill="FFFFFF"/>
            <w:noWrap/>
            <w:vAlign w:val="bottom"/>
            <w:hideMark/>
          </w:tcPr>
          <w:p w14:paraId="7C32FF8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1 374,7</w:t>
            </w:r>
          </w:p>
        </w:tc>
        <w:tc>
          <w:tcPr>
            <w:tcW w:w="1040" w:type="dxa"/>
            <w:tcBorders>
              <w:top w:val="nil"/>
              <w:left w:val="nil"/>
              <w:bottom w:val="single" w:sz="4" w:space="0" w:color="auto"/>
              <w:right w:val="single" w:sz="4" w:space="0" w:color="auto"/>
            </w:tcBorders>
            <w:shd w:val="clear" w:color="000000" w:fill="FFFFFF"/>
            <w:noWrap/>
            <w:vAlign w:val="bottom"/>
            <w:hideMark/>
          </w:tcPr>
          <w:p w14:paraId="4B80F82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359,7</w:t>
            </w:r>
          </w:p>
        </w:tc>
        <w:tc>
          <w:tcPr>
            <w:tcW w:w="1226" w:type="dxa"/>
            <w:tcBorders>
              <w:top w:val="nil"/>
              <w:left w:val="nil"/>
              <w:bottom w:val="single" w:sz="4" w:space="0" w:color="auto"/>
              <w:right w:val="single" w:sz="4" w:space="0" w:color="auto"/>
            </w:tcBorders>
            <w:shd w:val="clear" w:color="000000" w:fill="FFFFFF"/>
            <w:noWrap/>
            <w:vAlign w:val="bottom"/>
            <w:hideMark/>
          </w:tcPr>
          <w:p w14:paraId="2DBC55B8"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4E6E4EA3"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56CEAC22"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„Tунджа”</w:t>
            </w:r>
          </w:p>
        </w:tc>
        <w:tc>
          <w:tcPr>
            <w:tcW w:w="1911" w:type="dxa"/>
            <w:tcBorders>
              <w:top w:val="nil"/>
              <w:left w:val="nil"/>
              <w:bottom w:val="single" w:sz="4" w:space="0" w:color="auto"/>
              <w:right w:val="single" w:sz="4" w:space="0" w:color="auto"/>
            </w:tcBorders>
            <w:shd w:val="clear" w:color="000000" w:fill="FFFFFF"/>
            <w:noWrap/>
            <w:vAlign w:val="bottom"/>
            <w:hideMark/>
          </w:tcPr>
          <w:p w14:paraId="51AE82F2"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11 182,4</w:t>
            </w:r>
          </w:p>
        </w:tc>
        <w:tc>
          <w:tcPr>
            <w:tcW w:w="1118" w:type="dxa"/>
            <w:tcBorders>
              <w:top w:val="nil"/>
              <w:left w:val="nil"/>
              <w:bottom w:val="single" w:sz="4" w:space="0" w:color="auto"/>
              <w:right w:val="single" w:sz="4" w:space="0" w:color="auto"/>
            </w:tcBorders>
            <w:shd w:val="clear" w:color="000000" w:fill="FFFFFF"/>
            <w:noWrap/>
            <w:vAlign w:val="bottom"/>
            <w:hideMark/>
          </w:tcPr>
          <w:p w14:paraId="2EE25BA7"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1 706,7</w:t>
            </w:r>
          </w:p>
        </w:tc>
        <w:tc>
          <w:tcPr>
            <w:tcW w:w="1257" w:type="dxa"/>
            <w:tcBorders>
              <w:top w:val="nil"/>
              <w:left w:val="nil"/>
              <w:bottom w:val="single" w:sz="4" w:space="0" w:color="auto"/>
              <w:right w:val="single" w:sz="4" w:space="0" w:color="auto"/>
            </w:tcBorders>
            <w:shd w:val="clear" w:color="000000" w:fill="FFFFFF"/>
            <w:noWrap/>
            <w:vAlign w:val="bottom"/>
            <w:hideMark/>
          </w:tcPr>
          <w:p w14:paraId="3CE2D21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727,7</w:t>
            </w:r>
          </w:p>
        </w:tc>
        <w:tc>
          <w:tcPr>
            <w:tcW w:w="1384" w:type="dxa"/>
            <w:tcBorders>
              <w:top w:val="nil"/>
              <w:left w:val="nil"/>
              <w:bottom w:val="single" w:sz="4" w:space="0" w:color="auto"/>
              <w:right w:val="single" w:sz="4" w:space="0" w:color="auto"/>
            </w:tcBorders>
            <w:shd w:val="clear" w:color="000000" w:fill="FFFFFF"/>
            <w:noWrap/>
            <w:vAlign w:val="bottom"/>
            <w:hideMark/>
          </w:tcPr>
          <w:p w14:paraId="64A172B9"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979,0</w:t>
            </w:r>
          </w:p>
        </w:tc>
        <w:tc>
          <w:tcPr>
            <w:tcW w:w="1134" w:type="dxa"/>
            <w:tcBorders>
              <w:top w:val="nil"/>
              <w:left w:val="nil"/>
              <w:bottom w:val="single" w:sz="4" w:space="0" w:color="auto"/>
              <w:right w:val="single" w:sz="4" w:space="0" w:color="auto"/>
            </w:tcBorders>
            <w:shd w:val="clear" w:color="000000" w:fill="FFFFFF"/>
            <w:noWrap/>
            <w:vAlign w:val="bottom"/>
            <w:hideMark/>
          </w:tcPr>
          <w:p w14:paraId="20BB04E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170,7</w:t>
            </w:r>
          </w:p>
        </w:tc>
        <w:tc>
          <w:tcPr>
            <w:tcW w:w="1277" w:type="dxa"/>
            <w:tcBorders>
              <w:top w:val="nil"/>
              <w:left w:val="nil"/>
              <w:bottom w:val="single" w:sz="4" w:space="0" w:color="auto"/>
              <w:right w:val="single" w:sz="4" w:space="0" w:color="auto"/>
            </w:tcBorders>
            <w:shd w:val="clear" w:color="000000" w:fill="FFFFFF"/>
            <w:noWrap/>
            <w:vAlign w:val="bottom"/>
            <w:hideMark/>
          </w:tcPr>
          <w:p w14:paraId="41B859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6 776,0</w:t>
            </w:r>
          </w:p>
        </w:tc>
        <w:tc>
          <w:tcPr>
            <w:tcW w:w="1040" w:type="dxa"/>
            <w:tcBorders>
              <w:top w:val="nil"/>
              <w:left w:val="nil"/>
              <w:bottom w:val="single" w:sz="4" w:space="0" w:color="auto"/>
              <w:right w:val="single" w:sz="4" w:space="0" w:color="auto"/>
            </w:tcBorders>
            <w:shd w:val="clear" w:color="000000" w:fill="FFFFFF"/>
            <w:noWrap/>
            <w:vAlign w:val="bottom"/>
            <w:hideMark/>
          </w:tcPr>
          <w:p w14:paraId="584C85D0"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290,4</w:t>
            </w:r>
          </w:p>
        </w:tc>
        <w:tc>
          <w:tcPr>
            <w:tcW w:w="1087" w:type="dxa"/>
            <w:tcBorders>
              <w:top w:val="nil"/>
              <w:left w:val="nil"/>
              <w:bottom w:val="single" w:sz="4" w:space="0" w:color="auto"/>
              <w:right w:val="single" w:sz="4" w:space="0" w:color="auto"/>
            </w:tcBorders>
            <w:shd w:val="clear" w:color="000000" w:fill="FFFFFF"/>
            <w:noWrap/>
            <w:vAlign w:val="bottom"/>
            <w:hideMark/>
          </w:tcPr>
          <w:p w14:paraId="0AB67221"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1 496,7</w:t>
            </w:r>
          </w:p>
        </w:tc>
        <w:tc>
          <w:tcPr>
            <w:tcW w:w="1040" w:type="dxa"/>
            <w:tcBorders>
              <w:top w:val="nil"/>
              <w:left w:val="nil"/>
              <w:bottom w:val="single" w:sz="4" w:space="0" w:color="auto"/>
              <w:right w:val="single" w:sz="4" w:space="0" w:color="auto"/>
            </w:tcBorders>
            <w:shd w:val="clear" w:color="000000" w:fill="FFFFFF"/>
            <w:noWrap/>
            <w:vAlign w:val="bottom"/>
            <w:hideMark/>
          </w:tcPr>
          <w:p w14:paraId="14450F3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741,9</w:t>
            </w:r>
          </w:p>
        </w:tc>
        <w:tc>
          <w:tcPr>
            <w:tcW w:w="1226" w:type="dxa"/>
            <w:tcBorders>
              <w:top w:val="nil"/>
              <w:left w:val="nil"/>
              <w:bottom w:val="single" w:sz="4" w:space="0" w:color="auto"/>
              <w:right w:val="single" w:sz="4" w:space="0" w:color="auto"/>
            </w:tcBorders>
            <w:shd w:val="clear" w:color="000000" w:fill="FFFFFF"/>
            <w:noWrap/>
            <w:vAlign w:val="bottom"/>
            <w:hideMark/>
          </w:tcPr>
          <w:p w14:paraId="38667A4B"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E465802" w14:textId="77777777" w:rsidTr="00406B4D">
        <w:trPr>
          <w:trHeight w:val="300"/>
        </w:trPr>
        <w:tc>
          <w:tcPr>
            <w:tcW w:w="2835" w:type="dxa"/>
            <w:tcBorders>
              <w:top w:val="nil"/>
              <w:left w:val="single" w:sz="4" w:space="0" w:color="auto"/>
              <w:bottom w:val="single" w:sz="4" w:space="0" w:color="auto"/>
              <w:right w:val="single" w:sz="4" w:space="0" w:color="auto"/>
            </w:tcBorders>
            <w:shd w:val="clear" w:color="000000" w:fill="FFFFFF"/>
            <w:noWrap/>
            <w:vAlign w:val="bottom"/>
            <w:hideMark/>
          </w:tcPr>
          <w:p w14:paraId="78CB905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Ямбол</w:t>
            </w:r>
          </w:p>
        </w:tc>
        <w:tc>
          <w:tcPr>
            <w:tcW w:w="1911" w:type="dxa"/>
            <w:tcBorders>
              <w:top w:val="nil"/>
              <w:left w:val="nil"/>
              <w:bottom w:val="single" w:sz="4" w:space="0" w:color="auto"/>
              <w:right w:val="single" w:sz="4" w:space="0" w:color="auto"/>
            </w:tcBorders>
            <w:shd w:val="clear" w:color="000000" w:fill="FFFFFF"/>
            <w:noWrap/>
            <w:vAlign w:val="bottom"/>
            <w:hideMark/>
          </w:tcPr>
          <w:p w14:paraId="346C49BF"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44 328,1</w:t>
            </w:r>
          </w:p>
        </w:tc>
        <w:tc>
          <w:tcPr>
            <w:tcW w:w="1118" w:type="dxa"/>
            <w:tcBorders>
              <w:top w:val="nil"/>
              <w:left w:val="nil"/>
              <w:bottom w:val="single" w:sz="4" w:space="0" w:color="auto"/>
              <w:right w:val="single" w:sz="4" w:space="0" w:color="auto"/>
            </w:tcBorders>
            <w:shd w:val="clear" w:color="000000" w:fill="FFFFFF"/>
            <w:noWrap/>
            <w:vAlign w:val="bottom"/>
            <w:hideMark/>
          </w:tcPr>
          <w:p w14:paraId="3955E1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2 643,7</w:t>
            </w:r>
          </w:p>
        </w:tc>
        <w:tc>
          <w:tcPr>
            <w:tcW w:w="1257" w:type="dxa"/>
            <w:tcBorders>
              <w:top w:val="nil"/>
              <w:left w:val="nil"/>
              <w:bottom w:val="single" w:sz="4" w:space="0" w:color="auto"/>
              <w:right w:val="single" w:sz="4" w:space="0" w:color="auto"/>
            </w:tcBorders>
            <w:shd w:val="clear" w:color="000000" w:fill="FFFFFF"/>
            <w:noWrap/>
            <w:vAlign w:val="bottom"/>
            <w:hideMark/>
          </w:tcPr>
          <w:p w14:paraId="2EB6FA68"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47,2</w:t>
            </w:r>
          </w:p>
        </w:tc>
        <w:tc>
          <w:tcPr>
            <w:tcW w:w="1384" w:type="dxa"/>
            <w:tcBorders>
              <w:top w:val="nil"/>
              <w:left w:val="nil"/>
              <w:bottom w:val="single" w:sz="4" w:space="0" w:color="auto"/>
              <w:right w:val="single" w:sz="4" w:space="0" w:color="auto"/>
            </w:tcBorders>
            <w:shd w:val="clear" w:color="000000" w:fill="FFFFFF"/>
            <w:noWrap/>
            <w:vAlign w:val="bottom"/>
            <w:hideMark/>
          </w:tcPr>
          <w:p w14:paraId="3CB12466"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2 596,5</w:t>
            </w:r>
          </w:p>
        </w:tc>
        <w:tc>
          <w:tcPr>
            <w:tcW w:w="1134" w:type="dxa"/>
            <w:tcBorders>
              <w:top w:val="nil"/>
              <w:left w:val="nil"/>
              <w:bottom w:val="single" w:sz="4" w:space="0" w:color="auto"/>
              <w:right w:val="single" w:sz="4" w:space="0" w:color="auto"/>
            </w:tcBorders>
            <w:shd w:val="clear" w:color="000000" w:fill="FFFFFF"/>
            <w:noWrap/>
            <w:vAlign w:val="bottom"/>
            <w:hideMark/>
          </w:tcPr>
          <w:p w14:paraId="72CE34DE"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243,1</w:t>
            </w:r>
          </w:p>
        </w:tc>
        <w:tc>
          <w:tcPr>
            <w:tcW w:w="1277" w:type="dxa"/>
            <w:tcBorders>
              <w:top w:val="nil"/>
              <w:left w:val="nil"/>
              <w:bottom w:val="single" w:sz="4" w:space="0" w:color="auto"/>
              <w:right w:val="single" w:sz="4" w:space="0" w:color="auto"/>
            </w:tcBorders>
            <w:shd w:val="clear" w:color="000000" w:fill="FFFFFF"/>
            <w:noWrap/>
            <w:vAlign w:val="bottom"/>
            <w:hideMark/>
          </w:tcPr>
          <w:p w14:paraId="6BCF245A"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31 411,3</w:t>
            </w:r>
          </w:p>
        </w:tc>
        <w:tc>
          <w:tcPr>
            <w:tcW w:w="1040" w:type="dxa"/>
            <w:tcBorders>
              <w:top w:val="nil"/>
              <w:left w:val="nil"/>
              <w:bottom w:val="single" w:sz="4" w:space="0" w:color="auto"/>
              <w:right w:val="single" w:sz="4" w:space="0" w:color="auto"/>
            </w:tcBorders>
            <w:shd w:val="clear" w:color="000000" w:fill="FFFFFF"/>
            <w:noWrap/>
            <w:vAlign w:val="bottom"/>
            <w:hideMark/>
          </w:tcPr>
          <w:p w14:paraId="04B28CB5"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2 345,9</w:t>
            </w:r>
          </w:p>
        </w:tc>
        <w:tc>
          <w:tcPr>
            <w:tcW w:w="1087" w:type="dxa"/>
            <w:tcBorders>
              <w:top w:val="nil"/>
              <w:left w:val="nil"/>
              <w:bottom w:val="single" w:sz="4" w:space="0" w:color="auto"/>
              <w:right w:val="single" w:sz="4" w:space="0" w:color="auto"/>
            </w:tcBorders>
            <w:shd w:val="clear" w:color="000000" w:fill="FFFFFF"/>
            <w:noWrap/>
            <w:vAlign w:val="bottom"/>
            <w:hideMark/>
          </w:tcPr>
          <w:p w14:paraId="50CCA08B"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5 972,2</w:t>
            </w:r>
          </w:p>
        </w:tc>
        <w:tc>
          <w:tcPr>
            <w:tcW w:w="1040" w:type="dxa"/>
            <w:tcBorders>
              <w:top w:val="nil"/>
              <w:left w:val="nil"/>
              <w:bottom w:val="single" w:sz="4" w:space="0" w:color="auto"/>
              <w:right w:val="single" w:sz="4" w:space="0" w:color="auto"/>
            </w:tcBorders>
            <w:shd w:val="clear" w:color="000000" w:fill="FFFFFF"/>
            <w:noWrap/>
            <w:vAlign w:val="bottom"/>
            <w:hideMark/>
          </w:tcPr>
          <w:p w14:paraId="5537D574" w14:textId="77777777" w:rsidR="00761800" w:rsidRPr="00761800" w:rsidRDefault="00761800" w:rsidP="00761800">
            <w:pPr>
              <w:jc w:val="right"/>
              <w:rPr>
                <w:rFonts w:ascii="Times New Roman" w:hAnsi="Times New Roman"/>
                <w:sz w:val="22"/>
                <w:szCs w:val="22"/>
                <w:lang w:eastAsia="bg-BG"/>
              </w:rPr>
            </w:pPr>
            <w:r w:rsidRPr="00761800">
              <w:rPr>
                <w:rFonts w:ascii="Times New Roman" w:hAnsi="Times New Roman"/>
                <w:sz w:val="22"/>
                <w:szCs w:val="22"/>
                <w:lang w:eastAsia="bg-BG"/>
              </w:rPr>
              <w:t>1 711,9</w:t>
            </w:r>
          </w:p>
        </w:tc>
        <w:tc>
          <w:tcPr>
            <w:tcW w:w="1226" w:type="dxa"/>
            <w:tcBorders>
              <w:top w:val="nil"/>
              <w:left w:val="nil"/>
              <w:bottom w:val="single" w:sz="4" w:space="0" w:color="auto"/>
              <w:right w:val="single" w:sz="4" w:space="0" w:color="auto"/>
            </w:tcBorders>
            <w:shd w:val="clear" w:color="000000" w:fill="FFFFFF"/>
            <w:noWrap/>
            <w:vAlign w:val="bottom"/>
            <w:hideMark/>
          </w:tcPr>
          <w:p w14:paraId="5A049EA0"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r>
      <w:tr w:rsidR="00761800" w:rsidRPr="00761800" w14:paraId="7768BC50" w14:textId="77777777" w:rsidTr="00406B4D">
        <w:trPr>
          <w:trHeight w:val="315"/>
        </w:trPr>
        <w:tc>
          <w:tcPr>
            <w:tcW w:w="2835" w:type="dxa"/>
            <w:tcBorders>
              <w:top w:val="nil"/>
              <w:left w:val="single" w:sz="4" w:space="0" w:color="auto"/>
              <w:bottom w:val="nil"/>
              <w:right w:val="single" w:sz="4" w:space="0" w:color="auto"/>
            </w:tcBorders>
            <w:shd w:val="clear" w:color="000000" w:fill="FFFFFF"/>
            <w:noWrap/>
            <w:vAlign w:val="bottom"/>
            <w:hideMark/>
          </w:tcPr>
          <w:p w14:paraId="6BAB368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911" w:type="dxa"/>
            <w:tcBorders>
              <w:top w:val="nil"/>
              <w:left w:val="nil"/>
              <w:bottom w:val="double" w:sz="6" w:space="0" w:color="auto"/>
              <w:right w:val="nil"/>
            </w:tcBorders>
            <w:shd w:val="clear" w:color="000000" w:fill="FFFFFF"/>
            <w:noWrap/>
            <w:vAlign w:val="bottom"/>
            <w:hideMark/>
          </w:tcPr>
          <w:p w14:paraId="2258490A" w14:textId="77777777" w:rsidR="00761800" w:rsidRPr="00761800" w:rsidRDefault="00761800" w:rsidP="00761800">
            <w:pPr>
              <w:rPr>
                <w:rFonts w:ascii="Times New Roman" w:hAnsi="Times New Roman"/>
                <w:sz w:val="22"/>
                <w:szCs w:val="22"/>
                <w:lang w:eastAsia="bg-BG"/>
              </w:rPr>
            </w:pPr>
            <w:r w:rsidRPr="00761800">
              <w:rPr>
                <w:rFonts w:ascii="Times New Roman" w:hAnsi="Times New Roman"/>
                <w:sz w:val="22"/>
                <w:szCs w:val="22"/>
                <w:lang w:eastAsia="bg-BG"/>
              </w:rPr>
              <w:t> </w:t>
            </w:r>
          </w:p>
        </w:tc>
        <w:tc>
          <w:tcPr>
            <w:tcW w:w="1118" w:type="dxa"/>
            <w:tcBorders>
              <w:top w:val="nil"/>
              <w:left w:val="nil"/>
              <w:bottom w:val="double" w:sz="6" w:space="0" w:color="auto"/>
              <w:right w:val="nil"/>
            </w:tcBorders>
            <w:shd w:val="clear" w:color="000000" w:fill="FFFFFF"/>
            <w:noWrap/>
            <w:vAlign w:val="bottom"/>
            <w:hideMark/>
          </w:tcPr>
          <w:p w14:paraId="2FF6D6AE"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257" w:type="dxa"/>
            <w:tcBorders>
              <w:top w:val="nil"/>
              <w:left w:val="nil"/>
              <w:bottom w:val="double" w:sz="6" w:space="0" w:color="auto"/>
              <w:right w:val="nil"/>
            </w:tcBorders>
            <w:shd w:val="clear" w:color="000000" w:fill="FFFFFF"/>
            <w:noWrap/>
            <w:vAlign w:val="bottom"/>
            <w:hideMark/>
          </w:tcPr>
          <w:p w14:paraId="2B96A715"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384" w:type="dxa"/>
            <w:tcBorders>
              <w:top w:val="nil"/>
              <w:left w:val="nil"/>
              <w:bottom w:val="double" w:sz="6" w:space="0" w:color="auto"/>
              <w:right w:val="nil"/>
            </w:tcBorders>
            <w:shd w:val="clear" w:color="000000" w:fill="FFFFFF"/>
            <w:noWrap/>
            <w:vAlign w:val="bottom"/>
            <w:hideMark/>
          </w:tcPr>
          <w:p w14:paraId="4D948A40"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134" w:type="dxa"/>
            <w:tcBorders>
              <w:top w:val="nil"/>
              <w:left w:val="nil"/>
              <w:bottom w:val="double" w:sz="6" w:space="0" w:color="auto"/>
              <w:right w:val="nil"/>
            </w:tcBorders>
            <w:shd w:val="clear" w:color="000000" w:fill="FFFFFF"/>
            <w:noWrap/>
            <w:vAlign w:val="bottom"/>
            <w:hideMark/>
          </w:tcPr>
          <w:p w14:paraId="568886E0"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277" w:type="dxa"/>
            <w:tcBorders>
              <w:top w:val="nil"/>
              <w:left w:val="nil"/>
              <w:bottom w:val="double" w:sz="6" w:space="0" w:color="auto"/>
              <w:right w:val="nil"/>
            </w:tcBorders>
            <w:shd w:val="clear" w:color="000000" w:fill="FFFFFF"/>
            <w:noWrap/>
            <w:vAlign w:val="bottom"/>
            <w:hideMark/>
          </w:tcPr>
          <w:p w14:paraId="4EAB201B"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040" w:type="dxa"/>
            <w:tcBorders>
              <w:top w:val="nil"/>
              <w:left w:val="nil"/>
              <w:bottom w:val="double" w:sz="6" w:space="0" w:color="auto"/>
              <w:right w:val="nil"/>
            </w:tcBorders>
            <w:shd w:val="clear" w:color="000000" w:fill="FFFFFF"/>
            <w:noWrap/>
            <w:vAlign w:val="bottom"/>
            <w:hideMark/>
          </w:tcPr>
          <w:p w14:paraId="15FB98C2"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087" w:type="dxa"/>
            <w:tcBorders>
              <w:top w:val="nil"/>
              <w:left w:val="nil"/>
              <w:bottom w:val="double" w:sz="6" w:space="0" w:color="auto"/>
              <w:right w:val="nil"/>
            </w:tcBorders>
            <w:shd w:val="clear" w:color="000000" w:fill="FFFFFF"/>
            <w:noWrap/>
            <w:vAlign w:val="bottom"/>
            <w:hideMark/>
          </w:tcPr>
          <w:p w14:paraId="702001FF"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040" w:type="dxa"/>
            <w:tcBorders>
              <w:top w:val="nil"/>
              <w:left w:val="nil"/>
              <w:bottom w:val="double" w:sz="6" w:space="0" w:color="auto"/>
              <w:right w:val="nil"/>
            </w:tcBorders>
            <w:shd w:val="clear" w:color="000000" w:fill="FFFFFF"/>
            <w:noWrap/>
            <w:vAlign w:val="bottom"/>
            <w:hideMark/>
          </w:tcPr>
          <w:p w14:paraId="16F98455"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c>
          <w:tcPr>
            <w:tcW w:w="1226" w:type="dxa"/>
            <w:tcBorders>
              <w:top w:val="nil"/>
              <w:left w:val="nil"/>
              <w:bottom w:val="double" w:sz="6" w:space="0" w:color="auto"/>
              <w:right w:val="single" w:sz="4" w:space="0" w:color="auto"/>
            </w:tcBorders>
            <w:shd w:val="clear" w:color="000000" w:fill="FFFFFF"/>
            <w:noWrap/>
            <w:vAlign w:val="bottom"/>
            <w:hideMark/>
          </w:tcPr>
          <w:p w14:paraId="7D566B8B"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 </w:t>
            </w:r>
          </w:p>
        </w:tc>
      </w:tr>
      <w:tr w:rsidR="00761800" w:rsidRPr="00761800" w14:paraId="7CEC85A7" w14:textId="77777777" w:rsidTr="00406B4D">
        <w:trPr>
          <w:trHeight w:val="330"/>
        </w:trPr>
        <w:tc>
          <w:tcPr>
            <w:tcW w:w="2835" w:type="dxa"/>
            <w:tcBorders>
              <w:top w:val="double" w:sz="6" w:space="0" w:color="auto"/>
              <w:left w:val="single" w:sz="4" w:space="0" w:color="auto"/>
              <w:bottom w:val="double" w:sz="6" w:space="0" w:color="auto"/>
              <w:right w:val="single" w:sz="4" w:space="0" w:color="auto"/>
            </w:tcBorders>
            <w:shd w:val="clear" w:color="000000" w:fill="FFFFFF"/>
            <w:noWrap/>
            <w:vAlign w:val="bottom"/>
            <w:hideMark/>
          </w:tcPr>
          <w:p w14:paraId="080D3CFB" w14:textId="77777777" w:rsidR="00761800" w:rsidRPr="00761800" w:rsidRDefault="00761800" w:rsidP="00761800">
            <w:pPr>
              <w:rPr>
                <w:rFonts w:ascii="Times New Roman" w:hAnsi="Times New Roman"/>
                <w:b/>
                <w:bCs/>
                <w:sz w:val="22"/>
                <w:szCs w:val="22"/>
                <w:lang w:eastAsia="bg-BG"/>
              </w:rPr>
            </w:pPr>
            <w:r w:rsidRPr="00761800">
              <w:rPr>
                <w:rFonts w:ascii="Times New Roman" w:hAnsi="Times New Roman"/>
                <w:b/>
                <w:bCs/>
                <w:sz w:val="22"/>
                <w:szCs w:val="22"/>
                <w:lang w:eastAsia="bg-BG"/>
              </w:rPr>
              <w:t>ВСИЧКО:</w:t>
            </w:r>
          </w:p>
        </w:tc>
        <w:tc>
          <w:tcPr>
            <w:tcW w:w="1911" w:type="dxa"/>
            <w:tcBorders>
              <w:top w:val="nil"/>
              <w:left w:val="nil"/>
              <w:bottom w:val="double" w:sz="6" w:space="0" w:color="auto"/>
              <w:right w:val="single" w:sz="4" w:space="0" w:color="auto"/>
            </w:tcBorders>
            <w:shd w:val="clear" w:color="000000" w:fill="FFFFFF"/>
            <w:noWrap/>
            <w:vAlign w:val="bottom"/>
            <w:hideMark/>
          </w:tcPr>
          <w:p w14:paraId="7EE91CA8"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4 351 706,0</w:t>
            </w:r>
          </w:p>
        </w:tc>
        <w:tc>
          <w:tcPr>
            <w:tcW w:w="1118" w:type="dxa"/>
            <w:tcBorders>
              <w:top w:val="nil"/>
              <w:left w:val="nil"/>
              <w:bottom w:val="double" w:sz="6" w:space="0" w:color="auto"/>
              <w:right w:val="single" w:sz="4" w:space="0" w:color="auto"/>
            </w:tcBorders>
            <w:shd w:val="clear" w:color="000000" w:fill="FFFFFF"/>
            <w:noWrap/>
            <w:vAlign w:val="bottom"/>
            <w:hideMark/>
          </w:tcPr>
          <w:p w14:paraId="4FFD5111"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412 337,5</w:t>
            </w:r>
          </w:p>
        </w:tc>
        <w:tc>
          <w:tcPr>
            <w:tcW w:w="1257" w:type="dxa"/>
            <w:tcBorders>
              <w:top w:val="nil"/>
              <w:left w:val="nil"/>
              <w:bottom w:val="double" w:sz="6" w:space="0" w:color="auto"/>
              <w:right w:val="single" w:sz="4" w:space="0" w:color="auto"/>
            </w:tcBorders>
            <w:shd w:val="clear" w:color="000000" w:fill="FFFFFF"/>
            <w:noWrap/>
            <w:vAlign w:val="bottom"/>
            <w:hideMark/>
          </w:tcPr>
          <w:p w14:paraId="441BD2B7"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74 496,3</w:t>
            </w:r>
          </w:p>
        </w:tc>
        <w:tc>
          <w:tcPr>
            <w:tcW w:w="1384" w:type="dxa"/>
            <w:tcBorders>
              <w:top w:val="nil"/>
              <w:left w:val="nil"/>
              <w:bottom w:val="double" w:sz="6" w:space="0" w:color="auto"/>
              <w:right w:val="single" w:sz="4" w:space="0" w:color="auto"/>
            </w:tcBorders>
            <w:shd w:val="clear" w:color="000000" w:fill="FFFFFF"/>
            <w:noWrap/>
            <w:vAlign w:val="bottom"/>
            <w:hideMark/>
          </w:tcPr>
          <w:p w14:paraId="7A6F92A4"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337 841,2</w:t>
            </w:r>
          </w:p>
        </w:tc>
        <w:tc>
          <w:tcPr>
            <w:tcW w:w="1134" w:type="dxa"/>
            <w:tcBorders>
              <w:top w:val="nil"/>
              <w:left w:val="nil"/>
              <w:bottom w:val="double" w:sz="6" w:space="0" w:color="auto"/>
              <w:right w:val="single" w:sz="4" w:space="0" w:color="auto"/>
            </w:tcBorders>
            <w:shd w:val="clear" w:color="000000" w:fill="FFFFFF"/>
            <w:noWrap/>
            <w:vAlign w:val="bottom"/>
            <w:hideMark/>
          </w:tcPr>
          <w:p w14:paraId="25598774"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50 058,7</w:t>
            </w:r>
          </w:p>
        </w:tc>
        <w:tc>
          <w:tcPr>
            <w:tcW w:w="1277" w:type="dxa"/>
            <w:tcBorders>
              <w:top w:val="nil"/>
              <w:left w:val="nil"/>
              <w:bottom w:val="double" w:sz="6" w:space="0" w:color="auto"/>
              <w:right w:val="single" w:sz="4" w:space="0" w:color="auto"/>
            </w:tcBorders>
            <w:shd w:val="clear" w:color="000000" w:fill="FFFFFF"/>
            <w:noWrap/>
            <w:vAlign w:val="bottom"/>
            <w:hideMark/>
          </w:tcPr>
          <w:p w14:paraId="76AE39F0"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2 914 850,5</w:t>
            </w:r>
          </w:p>
        </w:tc>
        <w:tc>
          <w:tcPr>
            <w:tcW w:w="1040" w:type="dxa"/>
            <w:tcBorders>
              <w:top w:val="nil"/>
              <w:left w:val="nil"/>
              <w:bottom w:val="double" w:sz="6" w:space="0" w:color="auto"/>
              <w:right w:val="single" w:sz="4" w:space="0" w:color="auto"/>
            </w:tcBorders>
            <w:shd w:val="clear" w:color="000000" w:fill="FFFFFF"/>
            <w:noWrap/>
            <w:vAlign w:val="bottom"/>
            <w:hideMark/>
          </w:tcPr>
          <w:p w14:paraId="14F1B35C"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205 036,4</w:t>
            </w:r>
          </w:p>
        </w:tc>
        <w:tc>
          <w:tcPr>
            <w:tcW w:w="1087" w:type="dxa"/>
            <w:tcBorders>
              <w:top w:val="nil"/>
              <w:left w:val="nil"/>
              <w:bottom w:val="double" w:sz="6" w:space="0" w:color="auto"/>
              <w:right w:val="single" w:sz="4" w:space="0" w:color="auto"/>
            </w:tcBorders>
            <w:shd w:val="clear" w:color="000000" w:fill="FFFFFF"/>
            <w:noWrap/>
            <w:vAlign w:val="bottom"/>
            <w:hideMark/>
          </w:tcPr>
          <w:p w14:paraId="177A9DFA"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610 923,7</w:t>
            </w:r>
          </w:p>
        </w:tc>
        <w:tc>
          <w:tcPr>
            <w:tcW w:w="1040" w:type="dxa"/>
            <w:tcBorders>
              <w:top w:val="nil"/>
              <w:left w:val="nil"/>
              <w:bottom w:val="double" w:sz="6" w:space="0" w:color="auto"/>
              <w:right w:val="single" w:sz="4" w:space="0" w:color="auto"/>
            </w:tcBorders>
            <w:shd w:val="clear" w:color="auto" w:fill="auto"/>
            <w:noWrap/>
            <w:vAlign w:val="bottom"/>
            <w:hideMark/>
          </w:tcPr>
          <w:p w14:paraId="560B3338"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156 338,3</w:t>
            </w:r>
          </w:p>
        </w:tc>
        <w:tc>
          <w:tcPr>
            <w:tcW w:w="1226" w:type="dxa"/>
            <w:tcBorders>
              <w:top w:val="nil"/>
              <w:left w:val="nil"/>
              <w:bottom w:val="double" w:sz="6" w:space="0" w:color="auto"/>
              <w:right w:val="single" w:sz="4" w:space="0" w:color="auto"/>
            </w:tcBorders>
            <w:shd w:val="clear" w:color="000000" w:fill="FFFFFF"/>
            <w:noWrap/>
            <w:vAlign w:val="bottom"/>
            <w:hideMark/>
          </w:tcPr>
          <w:p w14:paraId="06B8DC6A" w14:textId="77777777" w:rsidR="00761800" w:rsidRPr="00761800" w:rsidRDefault="00761800" w:rsidP="00761800">
            <w:pPr>
              <w:jc w:val="right"/>
              <w:rPr>
                <w:rFonts w:ascii="Times New Roman" w:hAnsi="Times New Roman"/>
                <w:b/>
                <w:bCs/>
                <w:sz w:val="22"/>
                <w:szCs w:val="22"/>
                <w:lang w:eastAsia="bg-BG"/>
              </w:rPr>
            </w:pPr>
            <w:r w:rsidRPr="00761800">
              <w:rPr>
                <w:rFonts w:ascii="Times New Roman" w:hAnsi="Times New Roman"/>
                <w:b/>
                <w:bCs/>
                <w:sz w:val="22"/>
                <w:szCs w:val="22"/>
                <w:lang w:eastAsia="bg-BG"/>
              </w:rPr>
              <w:t>2 160,9</w:t>
            </w:r>
          </w:p>
        </w:tc>
      </w:tr>
    </w:tbl>
    <w:p w14:paraId="18D04BE2" w14:textId="77777777" w:rsidR="00761800" w:rsidRPr="00761800" w:rsidRDefault="00761800" w:rsidP="00761800">
      <w:pPr>
        <w:spacing w:before="120"/>
        <w:ind w:left="68"/>
        <w:jc w:val="both"/>
        <w:rPr>
          <w:rFonts w:ascii="Times New Roman" w:hAnsi="Times New Roman"/>
          <w:sz w:val="22"/>
          <w:szCs w:val="22"/>
          <w:lang w:eastAsia="bg-BG"/>
        </w:rPr>
      </w:pPr>
      <w:r w:rsidRPr="00761800">
        <w:rPr>
          <w:rFonts w:ascii="Times New Roman" w:hAnsi="Times New Roman"/>
          <w:b/>
          <w:bCs/>
          <w:sz w:val="22"/>
          <w:szCs w:val="22"/>
          <w:lang w:eastAsia="bg-BG"/>
        </w:rPr>
        <w:t xml:space="preserve">Чл. 53. </w:t>
      </w:r>
      <w:r w:rsidRPr="00761800">
        <w:rPr>
          <w:rFonts w:ascii="Times New Roman" w:hAnsi="Times New Roman"/>
          <w:sz w:val="22"/>
          <w:szCs w:val="22"/>
          <w:lang w:eastAsia="bg-BG"/>
        </w:rPr>
        <w:t>Разчетите за финансиране на капиталовите разходи на общините, одобрени с решение на общинския съвет, се представят в Министерството на финансите при условия и по ред, определени от министъра на финансите, и се публикуват на интернет страниците на общините.</w:t>
      </w:r>
    </w:p>
    <w:p w14:paraId="09FBEC74" w14:textId="77777777" w:rsidR="00761800" w:rsidRPr="00761800" w:rsidRDefault="00761800" w:rsidP="00761800">
      <w:pPr>
        <w:spacing w:before="120"/>
        <w:ind w:left="68"/>
        <w:jc w:val="both"/>
        <w:rPr>
          <w:rFonts w:ascii="Times New Roman" w:hAnsi="Times New Roman"/>
          <w:sz w:val="22"/>
          <w:szCs w:val="22"/>
          <w:lang w:eastAsia="bg-BG"/>
        </w:rPr>
      </w:pPr>
      <w:r w:rsidRPr="00761800">
        <w:rPr>
          <w:rFonts w:ascii="Times New Roman" w:hAnsi="Times New Roman"/>
          <w:b/>
          <w:bCs/>
          <w:sz w:val="22"/>
          <w:szCs w:val="22"/>
          <w:lang w:eastAsia="bg-BG"/>
        </w:rPr>
        <w:t xml:space="preserve">Чл. 54. </w:t>
      </w:r>
      <w:r w:rsidRPr="00761800">
        <w:rPr>
          <w:rFonts w:ascii="Times New Roman" w:hAnsi="Times New Roman"/>
          <w:sz w:val="22"/>
          <w:szCs w:val="22"/>
          <w:lang w:eastAsia="bg-BG"/>
        </w:rPr>
        <w:t>(1) Годишният размер на общата субсидия за делегираните от държавата дейности по чл. 51, т. 1 за общините се разпределя по тримесечия, както следва:</w:t>
      </w:r>
    </w:p>
    <w:p w14:paraId="20AADF55" w14:textId="77777777" w:rsidR="00761800" w:rsidRPr="00761800" w:rsidRDefault="00761800" w:rsidP="00761800">
      <w:pPr>
        <w:tabs>
          <w:tab w:val="left" w:pos="10970"/>
        </w:tabs>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t xml:space="preserve"> 1. първо тримесечие - 30 на сто;</w:t>
      </w:r>
    </w:p>
    <w:p w14:paraId="56467467" w14:textId="77777777" w:rsidR="00761800" w:rsidRPr="00761800" w:rsidRDefault="00761800" w:rsidP="00761800">
      <w:pPr>
        <w:tabs>
          <w:tab w:val="left" w:pos="10970"/>
        </w:tabs>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t xml:space="preserve"> 2. второ тримесечие - 25 на сто;</w:t>
      </w:r>
    </w:p>
    <w:p w14:paraId="67EC79EB" w14:textId="77777777" w:rsidR="00761800" w:rsidRPr="00761800" w:rsidRDefault="00761800" w:rsidP="00761800">
      <w:pPr>
        <w:tabs>
          <w:tab w:val="left" w:pos="10970"/>
        </w:tabs>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t xml:space="preserve"> 3. трето тримесечие - 20 на сто;</w:t>
      </w:r>
    </w:p>
    <w:p w14:paraId="760E18CA" w14:textId="77777777" w:rsidR="00761800" w:rsidRPr="00761800" w:rsidRDefault="00761800" w:rsidP="00761800">
      <w:pPr>
        <w:tabs>
          <w:tab w:val="left" w:pos="10970"/>
        </w:tabs>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t xml:space="preserve"> 4. четвърто тримесечие - 25 на сто.</w:t>
      </w:r>
    </w:p>
    <w:p w14:paraId="15D9F738" w14:textId="77777777" w:rsidR="00761800" w:rsidRPr="00761800" w:rsidRDefault="00761800" w:rsidP="00761800">
      <w:pPr>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t>(2) Целевата субсидия за капиталови разходи по чл. 51, т. 1 се предоставя на общините до 5-о число на текущия месец въз основа на заявки на общините, при условията и по реда, определени от министъра на финансите по чл. 53.</w:t>
      </w:r>
    </w:p>
    <w:p w14:paraId="65EDE04E" w14:textId="77777777" w:rsidR="00761800" w:rsidRPr="00761800" w:rsidRDefault="00761800" w:rsidP="00761800">
      <w:pPr>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lastRenderedPageBreak/>
        <w:t>(3) При предоставянето на общата изравнителна субсидия по чл. 51, т. 1 се изчислява разликата между полагащите се средства съгласно чл. 51, т. 1 и предоставените до 31 юли 2026 г. средства. Когато разликата е положителна, средствата се предоставят на общините ежемесечно до 5-о число на текущия месец на равни части за периода от август до декември, а когато е отрицателна, се възстановяват в централния бюджет или се прихващат по реда на чл. 106 от Закона за публичните финанси.</w:t>
      </w:r>
    </w:p>
    <w:p w14:paraId="71C2FCAE" w14:textId="77777777" w:rsidR="00761800" w:rsidRPr="00761800" w:rsidRDefault="00761800" w:rsidP="00761800">
      <w:pPr>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t>(4) При предоставянето на средствата за зимно поддържане и снегопочистване по чл. 51, т. 1 се изчислява разликата между полагащите се средства съгласно чл. 51, т. 1 и предоставените до 31 юли 2026 г. средства. Когато разликата е положителна, средствата се предоставят на общините ежемесечно до 5-о число на текущия месец на равни части за периода от септември до декември, а когато е отрицателна, се възстановяват в държавния бюджет.</w:t>
      </w:r>
    </w:p>
    <w:p w14:paraId="60649213" w14:textId="77777777" w:rsidR="00761800" w:rsidRPr="00761800" w:rsidRDefault="00761800" w:rsidP="00761800">
      <w:pPr>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t>(5) Общата субсидия за делегираните от държавата дейности се предоставя ежемесечно до 5-о число на текущия месец в размер една трета от тримесечното разпределение по ал. 1.</w:t>
      </w:r>
    </w:p>
    <w:p w14:paraId="0D44CE47" w14:textId="77777777" w:rsidR="00761800" w:rsidRPr="00761800" w:rsidRDefault="00761800" w:rsidP="00761800">
      <w:pPr>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t>(6) При предоставянето на субсидията за делегираните от държавата дейности по ал. 1 и 5 след 1 август 2026 г. се изчислява разликата между полагащите се средства съгласно ал. 1 и 5 и чл. 51, т. 1 и предоставените до 31 юли 2026 г. средства. Когато разликата е положителна, средствата се предоставят на общините, а когато е отрицателна, същите се прихващат от подлежащите на предоставяне средства за същия вид трансфер.</w:t>
      </w:r>
    </w:p>
    <w:p w14:paraId="23AA386F" w14:textId="77777777" w:rsidR="00761800" w:rsidRPr="00761800" w:rsidRDefault="00761800" w:rsidP="00761800">
      <w:pPr>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t>(7) Средствата за трансфери за други целеви разходи за местни дейности по чл. 51, т. 2 са предназначени за достигане на минималната работна заплата за 2026 г. в местните дейности. Разпределението на средствата по общини е на база относителния дял на разходите за заплати и възнаграждения на конкретната община в съответната функция в местните дейности спрямо общия им размер във функцията и съобразно теглото на всяка функция, определено чрез относителния дял на броя персонал на минимална работна заплата за всяка функция в местни дейности спрямо общия брой персонал на минимална работна заплата в местни дейности по данни от отчета за касово изпълнение на бюджета на общината към 31 декември 2024 г. и справката за натурални показатели към него.</w:t>
      </w:r>
    </w:p>
    <w:p w14:paraId="5443CE78" w14:textId="77777777" w:rsidR="00761800" w:rsidRPr="00761800" w:rsidRDefault="00761800" w:rsidP="00761800">
      <w:pPr>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t>(8) При предоставянето на трансфера за други целеви разходи за местни дейности по чл. 51, т. 2 се изчислява разликата между полагащите се средства съгласно чл. 51, т. 2 и предоставените до 31 юли 2026 г. средства. Когато разликата е положителна, средствата се предоставят ежемесечно до 5-о число на текущия месец на равни части за периода от август до декември, а когато е отрицателна, се възстановяват в централния бюджет или се прихващат по реда на чл. 106 от Закона за публичните финанси.</w:t>
      </w:r>
    </w:p>
    <w:p w14:paraId="4854AAC2" w14:textId="77777777" w:rsidR="00761800" w:rsidRPr="00761800" w:rsidRDefault="00761800" w:rsidP="00761800">
      <w:pPr>
        <w:spacing w:before="120"/>
        <w:ind w:left="68"/>
        <w:jc w:val="both"/>
        <w:rPr>
          <w:rFonts w:ascii="Times New Roman" w:hAnsi="Times New Roman"/>
          <w:sz w:val="22"/>
          <w:szCs w:val="22"/>
          <w:lang w:eastAsia="bg-BG"/>
        </w:rPr>
      </w:pPr>
      <w:r w:rsidRPr="00761800">
        <w:rPr>
          <w:rFonts w:ascii="Times New Roman" w:hAnsi="Times New Roman"/>
          <w:b/>
          <w:bCs/>
          <w:sz w:val="22"/>
          <w:szCs w:val="22"/>
          <w:lang w:eastAsia="bg-BG"/>
        </w:rPr>
        <w:t>Чл. 55.</w:t>
      </w:r>
      <w:r w:rsidRPr="00761800">
        <w:rPr>
          <w:rFonts w:ascii="Times New Roman" w:hAnsi="Times New Roman"/>
          <w:sz w:val="22"/>
          <w:szCs w:val="22"/>
          <w:lang w:eastAsia="bg-BG"/>
        </w:rPr>
        <w:t xml:space="preserve"> (1) Целевата субсидия за капиталови разходи по чл. 51, т. 1 може да бъде трансформирана в трансфер за други целеви разходи на общината за извършване на неотложни текущи ремонти на общински пътища, на улична мрежа, на сгради - публична общинска собственост, и за извършване на разходи по почистване на речни легла за осигуряване на нормалната им проводимост в урбанизираните територии по ред и условия, определени с постановлението за изпълнението на държавния бюджет на Република България за 2026 г.</w:t>
      </w:r>
    </w:p>
    <w:p w14:paraId="7327B428" w14:textId="77777777" w:rsidR="00761800" w:rsidRPr="00761800" w:rsidRDefault="00761800" w:rsidP="00761800">
      <w:pPr>
        <w:spacing w:before="120"/>
        <w:ind w:left="68"/>
        <w:jc w:val="both"/>
        <w:rPr>
          <w:rFonts w:ascii="Times New Roman" w:hAnsi="Times New Roman"/>
          <w:sz w:val="22"/>
          <w:szCs w:val="22"/>
          <w:lang w:eastAsia="bg-BG"/>
        </w:rPr>
      </w:pPr>
      <w:r w:rsidRPr="00761800">
        <w:rPr>
          <w:rFonts w:ascii="Times New Roman" w:hAnsi="Times New Roman"/>
          <w:sz w:val="22"/>
          <w:szCs w:val="22"/>
          <w:lang w:eastAsia="bg-BG"/>
        </w:rPr>
        <w:t>(2) В рамките на бюджетните взаимоотношения на общината с централния бюджет произтичащите от ал. 1 промени се извършват от министъра на финансите по предложение на кмета на общината въз основа на решение на общинския съвет.</w:t>
      </w:r>
    </w:p>
    <w:p w14:paraId="5537610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56.</w:t>
      </w:r>
      <w:r w:rsidRPr="00761800">
        <w:rPr>
          <w:rFonts w:ascii="Times New Roman" w:eastAsia="Calibri" w:hAnsi="Times New Roman"/>
          <w:sz w:val="22"/>
          <w:szCs w:val="22"/>
        </w:rPr>
        <w:t xml:space="preserve"> (1) В 10-дневен срок от обнародването на постановлението за изпълнението на държавния бюджет на Република България за 2026 г. в „Държавен вестник“ бюджетните организации, чиито бюджети са част от държавния бюджет, публикуват на интернет страницата си утвърдените им бюджети, както и програмните формати на бюджетите си при спазване на изискванията на Закона за защита на класифицираната информация.</w:t>
      </w:r>
    </w:p>
    <w:p w14:paraId="48917AF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(2) Първостепенните разпоредители с бюджет са отговорни и контролират процеса по публикуване от второстепенните им разпоредители с бюджет на информация или на документи на интернет страницата им, когато това е предвидено в този закон или в Закона за публичните финанси.</w:t>
      </w:r>
    </w:p>
    <w:p w14:paraId="10265B0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57.</w:t>
      </w:r>
      <w:r w:rsidRPr="00761800">
        <w:rPr>
          <w:rFonts w:ascii="Times New Roman" w:eastAsia="Calibri" w:hAnsi="Times New Roman"/>
          <w:sz w:val="22"/>
          <w:szCs w:val="22"/>
        </w:rPr>
        <w:t xml:space="preserve"> Утвърждава обща годишна квота за предоставяне на ваучери за храна на електронен носител по Закона за корпоративното подоходно облагане в размер на 818 067 009,91 евро.</w:t>
      </w:r>
    </w:p>
    <w:p w14:paraId="2A7DD49C" w14:textId="77777777" w:rsidR="00761800" w:rsidRPr="00761800" w:rsidRDefault="00761800" w:rsidP="00761800">
      <w:pPr>
        <w:spacing w:after="120"/>
        <w:jc w:val="both"/>
        <w:rPr>
          <w:rFonts w:ascii="Times New Roman" w:eastAsia="Calibri" w:hAnsi="Times New Roman"/>
          <w:b/>
          <w:sz w:val="22"/>
          <w:szCs w:val="22"/>
        </w:rPr>
      </w:pPr>
      <w:r w:rsidRPr="00761800">
        <w:rPr>
          <w:rFonts w:ascii="Times New Roman" w:eastAsia="Calibri" w:hAnsi="Times New Roman"/>
          <w:b/>
          <w:sz w:val="22"/>
          <w:szCs w:val="22"/>
        </w:rPr>
        <w:t>Чл. 58.</w:t>
      </w:r>
      <w:r w:rsidRPr="00761800">
        <w:rPr>
          <w:rFonts w:ascii="Times New Roman" w:eastAsia="Calibri" w:hAnsi="Times New Roman"/>
          <w:sz w:val="22"/>
          <w:szCs w:val="22"/>
        </w:rPr>
        <w:t xml:space="preserve"> Определя до 72 590 588 евро общ размер на сумата, подлежаща за възстановяване на земеделските стопани от акциза за газьола съгласно чл. 47б от Закона за подпомагане на земеделските производители, в това число еднократна допълнителна отстъпка съгласно Решение № 305 на Министерския съвет от 2026 г. за одобряване на Програма за еднократна допълнителна отстъпка от стойността на акциза, използван в селското стопанство по Схема за държавна помощ „помощ под формата на отстъпка от стойността на акциза върху газьола, използван в първичното селскостопанско производство” в размер на 21 461 400 евро.</w:t>
      </w:r>
      <w:r w:rsidRPr="00761800">
        <w:rPr>
          <w:rFonts w:ascii="Times New Roman" w:eastAsia="Calibri" w:hAnsi="Times New Roman"/>
          <w:b/>
          <w:sz w:val="22"/>
          <w:szCs w:val="22"/>
        </w:rPr>
        <w:t xml:space="preserve"> </w:t>
      </w:r>
    </w:p>
    <w:p w14:paraId="385234B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59.</w:t>
      </w:r>
      <w:r w:rsidRPr="00761800">
        <w:rPr>
          <w:rFonts w:ascii="Times New Roman" w:eastAsia="Calibri" w:hAnsi="Times New Roman"/>
          <w:sz w:val="22"/>
          <w:szCs w:val="22"/>
        </w:rPr>
        <w:t xml:space="preserve"> Минималният размер на основната заплата за най-ниската длъжност, предвидена за заемане от държавен служител по чл. 68 от Закона за държавния служител, за 2026 г. е 620,20 евро.</w:t>
      </w:r>
    </w:p>
    <w:p w14:paraId="44BC6A3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60.</w:t>
      </w:r>
      <w:r w:rsidRPr="00761800">
        <w:rPr>
          <w:rFonts w:ascii="Times New Roman" w:eastAsia="Calibri" w:hAnsi="Times New Roman"/>
          <w:sz w:val="22"/>
          <w:szCs w:val="22"/>
        </w:rPr>
        <w:t xml:space="preserve"> Базата за определяне размера на основното месечно възнаграждение за най-ниската длъжност на лицата по чл. 71, ал. 2 и чл. 73, ал. 2 от Закона за Държавна агенция „Национална сигурност“ и по чл. 64, ал. 2 от Закона за Държавна агенция „Разузнаване“ е 384 евро от 1 януари 2026 г.</w:t>
      </w:r>
    </w:p>
    <w:p w14:paraId="0B43290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61.</w:t>
      </w:r>
      <w:r w:rsidRPr="00761800">
        <w:rPr>
          <w:rFonts w:ascii="Times New Roman" w:eastAsia="Calibri" w:hAnsi="Times New Roman"/>
          <w:sz w:val="22"/>
          <w:szCs w:val="22"/>
        </w:rPr>
        <w:t xml:space="preserve"> (1) Средномесечният доход по чл. 4 от Закона за семейни помощи за деца за 2026 г. е:</w:t>
      </w:r>
    </w:p>
    <w:p w14:paraId="2A8AC19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от 1 януари до 31 юли – 439,71 евро;</w:t>
      </w:r>
    </w:p>
    <w:p w14:paraId="2831D74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от 1 август – 466 евро.</w:t>
      </w:r>
    </w:p>
    <w:p w14:paraId="1B1DCB8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Средномесечният доход по чл. 4а, ал. 2, т. 1 от Закона за семейни помощи за деца за 2026 г. е:</w:t>
      </w:r>
    </w:p>
    <w:p w14:paraId="61163EC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от 1 януари до 31 юли – 388,58 евро;</w:t>
      </w:r>
    </w:p>
    <w:p w14:paraId="2D743E3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от 1 август – 415 евро.</w:t>
      </w:r>
    </w:p>
    <w:p w14:paraId="5F84054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Средномесечният доход по чл. 4а, ал. 2, т. 2 от Закона за семейни помощи за деца за 2026 г. е:</w:t>
      </w:r>
    </w:p>
    <w:p w14:paraId="66CC005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от 1 януари до 31 юли – от 388,59 евро до 439,71 евро включително;</w:t>
      </w:r>
    </w:p>
    <w:p w14:paraId="3B36BBC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от 1 август – от 415,01 евро до 466 евро включително.</w:t>
      </w:r>
    </w:p>
    <w:p w14:paraId="3DCE08B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Размерът на месечните помощи за отглеждане на дете по чл. 7, ал. 1 от Закона за семейни помощи за деца за 2026 г. за семействата със средномесечен доход на член от семейството за предходните 12 месеца, по-нисък или равен на дохода по ал. 2, е, както следва:</w:t>
      </w:r>
    </w:p>
    <w:p w14:paraId="243175B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за семейство с едно дете – 25,57 евро;</w:t>
      </w:r>
    </w:p>
    <w:p w14:paraId="187E363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 семейство с две деца – 56,25 евро;</w:t>
      </w:r>
    </w:p>
    <w:p w14:paraId="3CF2A70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3. за семейство с три деца – 84,37 евро; </w:t>
      </w:r>
    </w:p>
    <w:p w14:paraId="43FFC47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4. за семейство с четири деца – 89,48 евро, като за всяко следващо дете в семейството помощта за семейството расте с 10,23 евро.</w:t>
      </w:r>
    </w:p>
    <w:p w14:paraId="461FDC4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Размерът на месечните помощи за отглеждане на дете по чл. 7, ал. 1 от Закона за семейни помощи за деца за 2026 г. за семействата със средномесечен доход на член от семейството за предходните 12 месеца съгласно ал. 3 е 80 на сто от размера на помощта, определен в ал. 4.</w:t>
      </w:r>
    </w:p>
    <w:p w14:paraId="4F5320C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(6) Размерът на месечната помощ за отглеждане на дете по чл. 7, ал. 2 от Закона за семейни помощи за деца за 2026 г. се определя и изплаща в размера по ал. 4, т. 1.</w:t>
      </w:r>
    </w:p>
    <w:p w14:paraId="431C817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(7) Размерът на месечната помощ за отглеждане на близнаци по чл. 7, ал. 6 от Закона за семейни помощи за деца е 38,35 евро.</w:t>
      </w:r>
    </w:p>
    <w:p w14:paraId="379F03D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(8) Размерът на еднократната помощ при бременност по чл. 5а, ал. 1 от Закона за семейни помощи за деца за 2026 г. е 115,04 евро.</w:t>
      </w:r>
    </w:p>
    <w:p w14:paraId="6A638B5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(9) Размерът на еднократната помощ при раждане на живо дете по чл. 6, ал. 1 от Закона за семейни помощи за деца за 2026 г. е, както следва:</w:t>
      </w:r>
    </w:p>
    <w:p w14:paraId="07E4D3C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за първо дете – 191,74 евро;</w:t>
      </w:r>
    </w:p>
    <w:p w14:paraId="709D775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 второ дете – 460,17 евро;</w:t>
      </w:r>
    </w:p>
    <w:p w14:paraId="63F7728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за трето дете – 230,09 евро;</w:t>
      </w:r>
    </w:p>
    <w:p w14:paraId="26F2B5D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за четвърто и всяко следващо дете - 153,39 евро.</w:t>
      </w:r>
    </w:p>
    <w:p w14:paraId="48369D1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(10) Размерът на допълнителната еднократна помощ за дете с установени трайни увреждания 50 и над 50 на сто до навършване на двегодишна възраст по чл. 6, ал. 6 от Закона за семейни помощи за деца за 2026 г. е 51,13 евро.</w:t>
      </w:r>
    </w:p>
    <w:p w14:paraId="72349C9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(11) Размерът на еднократната помощ при осиновяване на дете по чл. 6б, ал. 1 от Закона за семейни помощи за деца се определя и изплаща в размера по ал. 9, т. 1.</w:t>
      </w:r>
    </w:p>
    <w:p w14:paraId="67676F7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(12) Размерът на месечните помощи за отглеждане на дете до навършване на една година по чл. 8, ал. 1 от Закона за семейни помощи за деца за 2026 г. е 102,26 евро.</w:t>
      </w:r>
    </w:p>
    <w:p w14:paraId="062D28B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(13) Размерът на еднократната помощ за отглеждане на близнаци по чл. 6а, ал. 1 от Закона за семейни помощи за деца за 2026 г. е 613,55 евро</w:t>
      </w:r>
      <w:r w:rsidRPr="00761800">
        <w:rPr>
          <w:rFonts w:ascii="Calibri" w:eastAsia="Calibri" w:hAnsi="Calibri"/>
          <w:sz w:val="22"/>
          <w:szCs w:val="22"/>
        </w:rPr>
        <w:t xml:space="preserve"> </w:t>
      </w:r>
      <w:r w:rsidRPr="00761800">
        <w:rPr>
          <w:rFonts w:ascii="Times New Roman" w:eastAsia="Calibri" w:hAnsi="Times New Roman"/>
          <w:sz w:val="22"/>
          <w:szCs w:val="22"/>
        </w:rPr>
        <w:t>за всяко дете.</w:t>
      </w:r>
    </w:p>
    <w:p w14:paraId="0D7EC1B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(14) Размерът на еднократната помощ за отглеждане на дете от майка (осиновителка) студентка, учаща в редовна форма на обучение, по чл. 8в, ал. 1 от Закона за семейни помощи за деца за 2026 г. е 1 472,52 евро.</w:t>
      </w:r>
    </w:p>
    <w:p w14:paraId="52D9E11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(15) Размерът на месечната помощ за отглеждане на дете с трайно увреждане по чл. 8д от Закона за семейни помощи за деца за родители (осиновители), семейства на роднини или близки и доброволни приемни семейства, при които са настанени деца с трайни увреждания, за 2026 г. е, както следва:</w:t>
      </w:r>
    </w:p>
    <w:p w14:paraId="0B9D333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за дете с определени 90 и над 90 на сто вид и степен на увреждане или степен на трайно намалена работоспособност - 603,33 евро;</w:t>
      </w:r>
    </w:p>
    <w:p w14:paraId="28C32C4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 дете с определени от 70 до 90 на сто вид и степен на увреждане или степен на трайно намалена работоспособност – 291,44 евро;</w:t>
      </w:r>
    </w:p>
    <w:p w14:paraId="6286BBC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3. за дете с определени от 50 до 70 на сто вид и степен на увреждане или степен на трайно намалена работоспособност – 230,09 евро.</w:t>
      </w:r>
    </w:p>
    <w:p w14:paraId="65DF3B5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(16) Размерът на месечната помощ за отглеждане на дете с трайно увреждане по чл. 8д от Закона за семейни помощи за деца за професионални приемни семейства, при които са настанени деца с трайни увреждания, за 2026 г. е, както следва:</w:t>
      </w:r>
    </w:p>
    <w:p w14:paraId="3FF3E48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за дете с определени 90 и над 90 на сто вид и степен на увреждане или степен на трайно намалена работоспособност – 317,00 евро;</w:t>
      </w:r>
    </w:p>
    <w:p w14:paraId="0A92CEC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 дете с определени от 70 до 90 на сто вид и степен на увреждане или степен на трайно намалена работоспособност – 270,99 евро;</w:t>
      </w:r>
    </w:p>
    <w:p w14:paraId="3D14A4C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за дете с определени от 50 до 70 на сто вид и степен на увреждане или степен на трайно намалена работоспособност – 230,09 евро.</w:t>
      </w:r>
    </w:p>
    <w:p w14:paraId="5C024E5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(17) Размерът на месечната помощ за дете без право на наследствена пенсия от починал родител по чл. 8е, ал. 1 от Закона за семейни помощи за деца за 2026 г. е 76,70 евро.</w:t>
      </w:r>
    </w:p>
    <w:p w14:paraId="5F85517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(18) Размерът на еднократната помощ за ученици по чл. 10а от Закона за семейни помощи за деца за учебната 2026 – 2027 г. е 153,39 евро.</w:t>
      </w:r>
    </w:p>
    <w:p w14:paraId="189298C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(19) Размерът на еднократната помощ за ученици, записани в осми клас, по чл. 10б от Закона за семейни помощи за деца за учебната 2026 – 2027 г. е 153,39 евро.</w:t>
      </w:r>
    </w:p>
    <w:p w14:paraId="4AFC92C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(20) Целевата помощ по чл. 12а, ал. 1 от Закона за социално подпомагане за посрещане на коледните празници е 50 евро.</w:t>
      </w:r>
    </w:p>
    <w:p w14:paraId="5698309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(21) Размерът на обезщетенията по чл. 230, ал. 1 и чл. 231, ал. 1 от Закона за отбраната и въоръжените сили на Република България за 2026 г. е 174 евро.</w:t>
      </w:r>
    </w:p>
    <w:p w14:paraId="278BF4B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62.</w:t>
      </w:r>
      <w:r w:rsidRPr="00761800">
        <w:rPr>
          <w:rFonts w:ascii="Times New Roman" w:eastAsia="Calibri" w:hAnsi="Times New Roman"/>
          <w:sz w:val="22"/>
          <w:szCs w:val="22"/>
        </w:rPr>
        <w:t xml:space="preserve"> Максималният размер на държавните парични награди по чл. 3, ал. 1 от Закона за награждаване на лица за особени заслуги към българската държава и нацията е, както следва:</w:t>
      </w:r>
    </w:p>
    <w:p w14:paraId="3F3788E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за наградата по чл. 3, ал. 1, т. 1 – до 357,90 евро;</w:t>
      </w:r>
    </w:p>
    <w:p w14:paraId="508C459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 наградата по чл. 3, ал. 1, т. 2 – до 357,90 евро;</w:t>
      </w:r>
    </w:p>
    <w:p w14:paraId="3056576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за наградата по чл. 3, ал. 1, т. 3 – до 2 556,46 евро.</w:t>
      </w:r>
    </w:p>
    <w:p w14:paraId="7B63979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xml:space="preserve">Чл. 63. </w:t>
      </w:r>
      <w:r w:rsidRPr="00761800">
        <w:rPr>
          <w:rFonts w:ascii="Times New Roman" w:eastAsia="Calibri" w:hAnsi="Times New Roman"/>
          <w:sz w:val="22"/>
          <w:szCs w:val="22"/>
        </w:rPr>
        <w:t>Размерът на държавната субсидия за един получен действителен глас по чл. 26, ал. 1 от Закона за политическите партии за 2026 г. е, както следва:</w:t>
      </w:r>
    </w:p>
    <w:p w14:paraId="36BBEDF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от 1 януари до 29 април – 4,09 евро;</w:t>
      </w:r>
    </w:p>
    <w:p w14:paraId="62A4589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от 30 април до 31 декември – 3,00 евро.</w:t>
      </w:r>
    </w:p>
    <w:p w14:paraId="55E8A15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64.</w:t>
      </w:r>
      <w:r w:rsidRPr="00761800">
        <w:rPr>
          <w:rFonts w:ascii="Times New Roman" w:eastAsia="Calibri" w:hAnsi="Times New Roman"/>
          <w:sz w:val="22"/>
          <w:szCs w:val="22"/>
        </w:rPr>
        <w:t xml:space="preserve"> Максималният размер на присъдената издръжка, която се изплаща от държавата по чл. 152, ал. 1 от Семейния кодекс, за 2026 г. е 51,2 евро.</w:t>
      </w:r>
    </w:p>
    <w:p w14:paraId="5881FDF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65.</w:t>
      </w:r>
      <w:r w:rsidRPr="00761800">
        <w:rPr>
          <w:rFonts w:ascii="Times New Roman" w:eastAsia="Calibri" w:hAnsi="Times New Roman"/>
          <w:sz w:val="22"/>
          <w:szCs w:val="22"/>
        </w:rPr>
        <w:t xml:space="preserve"> Минималният размер на фискалния резерв към 31 декември 2026 г. е в размер на 2,6 млрд. евро.</w:t>
      </w:r>
    </w:p>
    <w:p w14:paraId="0DF9B10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66.</w:t>
      </w:r>
      <w:r w:rsidRPr="00761800">
        <w:rPr>
          <w:rFonts w:ascii="Times New Roman" w:eastAsia="Calibri" w:hAnsi="Times New Roman"/>
          <w:sz w:val="22"/>
          <w:szCs w:val="22"/>
        </w:rPr>
        <w:t xml:space="preserve"> Максималният размер на държавния дълг към края на 2026 г. не може да надвишава 37,7 млрд. евро.</w:t>
      </w:r>
    </w:p>
    <w:p w14:paraId="3F08EC0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lastRenderedPageBreak/>
        <w:t>Чл. 67.</w:t>
      </w:r>
      <w:r w:rsidRPr="00761800">
        <w:rPr>
          <w:rFonts w:ascii="Times New Roman" w:eastAsia="Calibri" w:hAnsi="Times New Roman"/>
          <w:sz w:val="22"/>
          <w:szCs w:val="22"/>
        </w:rPr>
        <w:t xml:space="preserve"> (1) Максималният размер на новия държавен дълг, който може да бъде поет през годината по реда на Закона за държавния дълг, е 10,1 млрд. евро, в това число заем в размер до 3 261,7 млн. евро за получаване на финансова подкрепа по линия на инструмента „Мерки за сигурността на Европа (SAFE) чрез укрепване на европейската отбранителна промишленост“.</w:t>
      </w:r>
    </w:p>
    <w:p w14:paraId="5454836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В рамките на ограничението по ал. 1 Министерският съвет може да поема външен държавен дълг по средносрочната програма за емитиране на дълг на международните пазари (включително след промяната ѝ съгласно ал. 6), създадена с Договора за дилърство между Република България в качеството на Емитент и Ситигруп Глобъл Маркетс Лимитид, Ейч Ес Би Си Банк Пи Ел Си, Сосиете Женерал и Уникредит Банк АГ в качеството на Организатори и Дилъри относно Глобална средносрочна програма на Република България за издаване на облигации на стойност 8 000 000 000 евро, Договора за агентство между Република България в качеството на Емитент и Ситибанк Н. А., клон Лондон, в качеството на Фискален агент, Платежен агент, Агент по замяната, Агент по прехвърлянето и Агент за изчисляване, и Ситигруп Глобъл Маркетс Дойчланд АГ в качеството на Регистратор, Платежен агент и Агент по прехвърлянето относно Глобална средносрочна програма на Република България за издаване на облигации на стойност 8 000 000 000 евро, и Акта за поемане на задължения от Република България в качеството на Емитент относно Глобална средносрочна програма на Република България за издаване на облигации на стойност 8 000 000 000 евро, подписани на 6 февруари 2015 г. (ратифицирани със закон – ДВ, бр. 16 от 2015 г.) (ДВ, бр. 25 от 2015 г.), с максимален съвкупен номинален обем на облигациите, които могат да бъдат издадени по програмата, увеличен от 8 000 000 000 евро на 10 000 000 000 евро в изпълнение на чл. 68, ал. 4 от Закона за държавния бюджет на Република България за 2020 г., увеличен от 10 000 000 000 евро на 12 000 000 000 евро в изпълнение на чл. 68, ал. 5 от Закона за държавния бюджет на Република България за 2022 г., увеличен от 12 000 000 000 евро на 14 000 000 000 евро в изпълнение на чл. 69, ал. 5 от Закона за държавния бюджет на Република България за 2023 г., увеличен от 14 000 000 000 евро на 20 000 000 000 евро в изпълнение на чл. 69, ал. 6 от Закона за държавния бюджет на Република България за 2024 г., увеличен от 20 000 000 000 евро на 27 000 000 000 евро в изпълнение на чл. 70, ал. 9 от Закона за държавния бюджет на Република България за 2025 г. и увеличен от 27 000 000 000 евро на 30 800 000 000 евро в изпълнение на чл. 3а, ал.3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както и външен държавен дълг чрез заеми по инструменти на Европейския съюз и от международни финансови институции, включително за финансиране на проекти и програми.</w:t>
      </w:r>
    </w:p>
    <w:p w14:paraId="494176E8" w14:textId="77777777" w:rsidR="00761800" w:rsidRPr="00761800" w:rsidRDefault="00761800" w:rsidP="00761800">
      <w:pPr>
        <w:spacing w:after="120"/>
        <w:jc w:val="both"/>
        <w:rPr>
          <w:rFonts w:ascii="Times New Roman" w:eastAsia="Calibri" w:hAnsi="Times New Roman"/>
          <w:b/>
          <w:sz w:val="22"/>
          <w:szCs w:val="22"/>
          <w:u w:val="single"/>
        </w:rPr>
      </w:pPr>
      <w:r w:rsidRPr="00761800">
        <w:rPr>
          <w:rFonts w:ascii="Times New Roman" w:eastAsia="Calibri" w:hAnsi="Times New Roman"/>
          <w:sz w:val="22"/>
          <w:szCs w:val="22"/>
        </w:rPr>
        <w:t xml:space="preserve">(3) В рамките на ограничението по ал. 1 Министерският съвет може да проведе преговори и да сключи с Европейската комисия споразумение за заем в размер до 3 261,7 млн. евро за получаване на финансова подкрепа под формата на заем по линия на инструмента „Мерки за сигурността на Европа (SAFE) чрез укрепване на европейската отбранителна промишленост“, при условие за последваща ратификация. </w:t>
      </w:r>
    </w:p>
    <w:p w14:paraId="6F7B8B7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В рамките на ограничението по ал. 1 Министерският съвет може да поема държавен дълг за финансиране на програми и инструменти за финансова стабилизация, включително за предоставяне на заемно финансиране на Единния фонд за преструктуриране в рамките на Единния механизъм за преструктуриране на кредитни институции и някои инвестиционни посредници.</w:t>
      </w:r>
    </w:p>
    <w:p w14:paraId="71A2C86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В рамките на ограничението по ал. 1 Министерският съвет може да поема държавен дълг за специфични програми за капитализация на търговски дружества с държавно участие в капитала в сферите на сектор ВиК, земеделието, регионалното развитие, спорта, здравеопазването, енергетиката, икономиката, индустрията и иновациите.</w:t>
      </w:r>
    </w:p>
    <w:p w14:paraId="0CEFAFE1" w14:textId="77777777" w:rsidR="00761800" w:rsidRPr="00761800" w:rsidRDefault="00761800" w:rsidP="00761800">
      <w:pPr>
        <w:spacing w:after="120"/>
        <w:jc w:val="both"/>
        <w:rPr>
          <w:rFonts w:ascii="Times New Roman" w:eastAsia="Calibri" w:hAnsi="Times New Roman"/>
          <w:b/>
          <w:sz w:val="22"/>
          <w:szCs w:val="22"/>
          <w:u w:val="single"/>
        </w:rPr>
      </w:pPr>
      <w:r w:rsidRPr="00761800">
        <w:rPr>
          <w:rFonts w:ascii="Times New Roman" w:eastAsia="Calibri" w:hAnsi="Times New Roman"/>
          <w:sz w:val="22"/>
          <w:szCs w:val="22"/>
        </w:rPr>
        <w:t xml:space="preserve">(6) В изпълнение на чл. 12, ал. 3 от Договора за създаване на Европейския механизъм за стабилност между Кралство Белгия, Федерална република Германия, Република Естония, Ирландия, Република Гърция, Кралство Испания, Френската република, Република Хърватия, Италианската </w:t>
      </w:r>
      <w:r w:rsidRPr="00761800">
        <w:rPr>
          <w:rFonts w:ascii="Times New Roman" w:eastAsia="Calibri" w:hAnsi="Times New Roman"/>
          <w:sz w:val="22"/>
          <w:szCs w:val="22"/>
        </w:rPr>
        <w:lastRenderedPageBreak/>
        <w:t>република, Република Кипър, Република Латвия, Република Литва, Великото херцогство Люксембург, Малта, Кралство Нидерландия, Република Австрия, Португалската република, Република Словения, Словашката република и Република Финландия (ратифициран със закон - ДВ, бр. 48 от 2026 г.) Министерският съвет предприема действия за промени в средносрочната програма за емитиране на дълг на международните пазари по ал. 2, при условие за последваща ратификация.</w:t>
      </w:r>
    </w:p>
    <w:p w14:paraId="623AF9B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68.</w:t>
      </w:r>
      <w:r w:rsidRPr="00761800">
        <w:rPr>
          <w:rFonts w:ascii="Times New Roman" w:eastAsia="Calibri" w:hAnsi="Times New Roman"/>
          <w:sz w:val="22"/>
          <w:szCs w:val="22"/>
        </w:rPr>
        <w:t xml:space="preserve"> (1) За целите на касовото управление и плащанията на бюджетните организации освен дълга по чл. 67, ал. 1 може да се поема държавен дълг, който се изплаща до края на текущата бюджетна година, при условие че не се увеличава държавният дълг към края на годината.</w:t>
      </w:r>
    </w:p>
    <w:p w14:paraId="0B8ADD6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 оптимизиране на обслужването на държавния дълг министърът на финансите може:</w:t>
      </w:r>
    </w:p>
    <w:p w14:paraId="695CEF9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да емитира освен дълга по чл. 67, ал. 1 държавни ценни книжа за обратно изкупуване на вътрешни и външни задължения на страната, при условие че не се увеличава държавният дълг към края на годината;</w:t>
      </w:r>
    </w:p>
    <w:p w14:paraId="2D615E8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да сключва договори за намаляване на риска при рефинансиране и изглаждане на матуритетната структура на дълга, при условие че в резултат на това не се увеличава номиналната стойност на дълга;</w:t>
      </w:r>
    </w:p>
    <w:p w14:paraId="0B73807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да сключва договори за валутни и лихвени суапови операции;</w:t>
      </w:r>
    </w:p>
    <w:p w14:paraId="6914038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да изплаща предсрочно задължения по държавния дълг.</w:t>
      </w:r>
    </w:p>
    <w:p w14:paraId="3FD8825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69.</w:t>
      </w:r>
      <w:r w:rsidRPr="00761800">
        <w:rPr>
          <w:rFonts w:ascii="Times New Roman" w:eastAsia="Calibri" w:hAnsi="Times New Roman"/>
          <w:sz w:val="22"/>
          <w:szCs w:val="22"/>
        </w:rPr>
        <w:t xml:space="preserve"> (1) Максималният размер на новите държавни гаранции, които могат да бъдат поети по реда на Закона за държавния дълг през 2026 г., е до 2 020 млн. евро.</w:t>
      </w:r>
    </w:p>
    <w:p w14:paraId="700D798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В рамките на текущата бюджетна година Министерският съвет може да издава нови държавни гаранции, респективно при споразумения за държавни гаранции с международни финансови организации или чуждестранни лица, да ги одобрява и предлага на Народното събрание за ратифициране, както следва:</w:t>
      </w:r>
    </w:p>
    <w:p w14:paraId="4FFC312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по заемни споразумения на „Булгартрансгаз“ ЕАД в размер до 192 299 056 евро или тяхната равностойност в друга валута за финансиране на инвестиционен проект „Разширение на газопреносната инфраструктура на „Булгартрансгаз“ ЕАД във връзка с инициативата Вертикален коридор на газопреносните оператори на България, Гърция, Румъния, Унгария, Словакия, Украйна и Молдова“, осигуряваща възможност за пренос на допълнителни обеми природен газ, при спазване на законодателството в областта на държавните помощи, чрез реализация на следните инвестиционни проекти:</w:t>
      </w:r>
    </w:p>
    <w:p w14:paraId="18F6311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 „Повишаване на капацитета за пренос на природен газ в точка на междусистемно свързване Кулата/Сидирокастро в посока от Гърция към България“;</w:t>
      </w:r>
    </w:p>
    <w:p w14:paraId="37C5C7E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б) „Повишаване на капацитета за пренос на природен газ в точка на междусистемно свързване Негру Вода/Кардам в посока от България към Румъния“;</w:t>
      </w:r>
    </w:p>
    <w:p w14:paraId="3992912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в) „Довеждаща газопреносна инфраструктура с високо налягане за захранване на потребители в Източномаришкия регион“;</w:t>
      </w:r>
    </w:p>
    <w:p w14:paraId="46D773C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2. по нови заемни споразумения за инвестиции на „Булгартрансгаз“ ЕАД по проект от общ интерес 6.20.2 „Разширение на капацитета на ПГХ „Чирен“ в размер до 207 586 411 евро или тяхната равностойност в друга валута при спазване на условията в решението на ЕК по дело за държавна помощ SA.106120 (2023/N) – Bulgaria State guarantee to Bulgartransgaz EAD for expansion of the capacity of the Chiren natural gas storage facility;</w:t>
      </w:r>
    </w:p>
    <w:p w14:paraId="5280DD9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по нови заемни споразумения на „Национална електрическа компания“ ЕАД за финансиране на инвестиционен проект „Модернизация и рехабилитация на ПАВЕЦ „Чаира“ – в размер до 79 250 242 евро или тяхната равностойност в друга валута, при спазване на законодателството в областта на държавните помощи;</w:t>
      </w:r>
    </w:p>
    <w:p w14:paraId="34C1332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по нови заемни споразумения на „Национална електрическа компания“ ЕАД във връзка с финансиране на проект „Увеличаване обема на долния изравнител на ПАВЕЦ „Чаира“ с изграждането на язовир „Яденица“ и реверсивен напорен тунел за връзка с язовир „Чаира“ – в размер до 38 346 891 евро или тяхната равностойност в друга валута, при спазване на законодателството в областта на държавните помощи;</w:t>
      </w:r>
    </w:p>
    <w:p w14:paraId="72D46EC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по нови заемни споразумения на АЕЦ „Козлодуй – Нови мощности“ ЕАД във връзка с финансиране на проект „Изграждане на нова ядрена мощност от най-ново поколение на площадката на АЕЦ „Козлодуй“ (7 блок) – в размер до 1 500 417 089 евро или тяхната равностойност в друга валута, при спазване на законодателството в областта на държавните помощи.</w:t>
      </w:r>
    </w:p>
    <w:p w14:paraId="5AABB68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70.</w:t>
      </w:r>
      <w:r w:rsidRPr="00761800">
        <w:rPr>
          <w:rFonts w:ascii="Times New Roman" w:eastAsia="Calibri" w:hAnsi="Times New Roman"/>
          <w:sz w:val="22"/>
          <w:szCs w:val="22"/>
        </w:rPr>
        <w:t xml:space="preserve"> (1) Максималният размер на гаранциите по чл. 37, ал. 1, т. 4 от Закона за публичните финанси е до 15,4 млн. евро.</w:t>
      </w:r>
    </w:p>
    <w:p w14:paraId="0886C6F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В рамките на текущата бюджетна година Министерският съвет може да издава държавни гаранции по Закона за кредитиране на студенти и докторанти – в общ размер до 15,4 млн. евро.</w:t>
      </w:r>
    </w:p>
    <w:p w14:paraId="358ADA3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71.</w:t>
      </w:r>
      <w:r w:rsidRPr="00761800">
        <w:rPr>
          <w:rFonts w:ascii="Times New Roman" w:eastAsia="Calibri" w:hAnsi="Times New Roman"/>
          <w:sz w:val="22"/>
          <w:szCs w:val="22"/>
        </w:rPr>
        <w:t xml:space="preserve"> Максималният размер на новите държавни гаранции, които могат да бъдат издадени по реда на чл. 69 и 70, е до 2 040 млн. евро.</w:t>
      </w:r>
    </w:p>
    <w:p w14:paraId="2AE2B24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72.</w:t>
      </w:r>
      <w:r w:rsidRPr="00761800">
        <w:rPr>
          <w:rFonts w:ascii="Times New Roman" w:eastAsia="Calibri" w:hAnsi="Times New Roman"/>
          <w:sz w:val="22"/>
          <w:szCs w:val="22"/>
        </w:rPr>
        <w:t xml:space="preserve"> За 2026 г. приходите, разходите, включително за сметка на националното съфинансиране, както и елементите на финансирането, свързани с държавните инвестиционни заеми и държавните инвестиционни заеми с краен бенефициент – търговско дружество, администрирани и управлявани от разпоредители с бюджет по държавния бюджет, са планирани по централния бюджет. Общият лимит на разходите е в размер до 5 746,2 хил. евро.</w:t>
      </w:r>
    </w:p>
    <w:p w14:paraId="55DDDAA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73.</w:t>
      </w:r>
      <w:r w:rsidRPr="00761800">
        <w:rPr>
          <w:rFonts w:ascii="Times New Roman" w:eastAsia="Calibri" w:hAnsi="Times New Roman"/>
          <w:sz w:val="22"/>
          <w:szCs w:val="22"/>
        </w:rPr>
        <w:t xml:space="preserve"> (1) В случаите, когато на основание чл. 109 и 110 от Закона за публичните финанси се одобряват промени на показатели по отделните бюджетни програми по бюджетите на първостепенните разпоредители с бюджет, които прилагат програмен формат на бюджет, свързани с увеличение на администрираните разходи, за които с постановлението за изпълнението на държавния бюджет на Република България за 2026 г. не са утвърдени администрирани разходни параграфи, с акта за одобряване на промените се създават администрирани разходни параграфи и се посочва размерът на сумите по тях.</w:t>
      </w:r>
    </w:p>
    <w:p w14:paraId="3B1B285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С промени по бюджетите на първостепенните разпоредители с бюджет по ал. 1, извършвани на основание чл. 112, ал. 2 и 3 от Закона за публичните финанси, могат да се създават нови администрирани разходни параграфи извън утвърдените с постановлението за изпълнението на държавния бюджет на Република България за 2026 г. или вече създадените по реда на ал. 1 само след предварително съгласуване с министъра на финансите или с оправомощено от него лице.</w:t>
      </w:r>
    </w:p>
    <w:p w14:paraId="1BE7775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xml:space="preserve">Чл. 74. </w:t>
      </w:r>
      <w:r w:rsidRPr="00761800">
        <w:rPr>
          <w:rFonts w:ascii="Times New Roman" w:eastAsia="Calibri" w:hAnsi="Times New Roman"/>
          <w:sz w:val="22"/>
          <w:szCs w:val="22"/>
        </w:rPr>
        <w:t>Считано от 1 август 2026 г. индивидуалните основни месечни заплати на  всички държавни служители по Закона за държавния служител и на заетите по Закона за съдебната власт се определят така, че същите, намалени със задължителните осигурителни вноски за сметка на осигуреното лице и дължимия данък, да не са по-ниски от получаваните към 31 юли 2026 г. индивидуални основни месечни заплати, намалени с дължимия данък.</w:t>
      </w:r>
    </w:p>
    <w:p w14:paraId="19DAD18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lastRenderedPageBreak/>
        <w:t>Чл. 75.</w:t>
      </w:r>
      <w:r w:rsidRPr="00761800">
        <w:rPr>
          <w:rFonts w:ascii="Times New Roman" w:eastAsia="Calibri" w:hAnsi="Times New Roman"/>
          <w:sz w:val="22"/>
          <w:szCs w:val="22"/>
        </w:rPr>
        <w:t xml:space="preserve"> (1) Разходите за персонал, утвърдени по чл. 4 – 47, се извършват до определения размер с изключение на делегираните бюджети.</w:t>
      </w:r>
    </w:p>
    <w:p w14:paraId="7AA4D7F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Промени на разходите за персонал могат да се извършват само с акт на Министерския съвет при структурни промени, в т. ч. при изплащане на обезщетения, свързани с прекратяване на трудови или служебни правоотношения, в случаите по чл. 74, за дейности в условията на миграционен натиск, за подготовката и произвеждането на избори съгласно Изборния кодекс, както и при компенсирани промени между бюджети.</w:t>
      </w:r>
    </w:p>
    <w:p w14:paraId="20FF351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Икономията на разходите за персонал може да се използва текущо или с натрупване за изплащането на допълнителни възнаграждения за постигнати резултати и дължимите за тях осигурителни вноски и/или за други разходи. При необходимост първостепенните разпоредители с бюджет по държавния бюджет извършват съответните вътрешнокомпенсирани промени по бюджетите си и уведомяват министъра на финансите.</w:t>
      </w:r>
    </w:p>
    <w:p w14:paraId="79A3A88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Алинеи 1 и 2 не се прилагат по отношение на увеличение на разходите за персонал за сметка на:</w:t>
      </w:r>
    </w:p>
    <w:p w14:paraId="1684938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получени средства от помощи и дарения;</w:t>
      </w:r>
    </w:p>
    <w:p w14:paraId="771CE8F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вътрешно преструктуриране на разходите за социално-битово и културно обслужване на персонала и за допълнителни плащания по чл. 71, ал. 3, чл. 75 и 76 от Закона за дипломатическата служба с характер на плащания за персонала и свързаните с тях осигурителни вноски и данъци;</w:t>
      </w:r>
    </w:p>
    <w:p w14:paraId="2B22A27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получени трансфери от други бюджети, които не са част от държавния бюджет;</w:t>
      </w:r>
    </w:p>
    <w:p w14:paraId="6ABFEC4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получени трансфери от бюджети по държавния бюджет в годишен размер на увеличението до 1 млн. евро;</w:t>
      </w:r>
    </w:p>
    <w:p w14:paraId="5FD81DF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средства по програми за развитие на предучилищното и училищното образование, по национални програми за развитие на държавните висши училища и изпълнение на дейности по Националната стратегия за развитие на научните изследвания в Република България 2017 – 2030 г.;</w:t>
      </w:r>
    </w:p>
    <w:p w14:paraId="01031D4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6. разходи за изпълнение на Националния план за действие по заетостта и за възнаграждения на приемните семейства по Закона за закрила на детето;</w:t>
      </w:r>
    </w:p>
    <w:p w14:paraId="6F85C56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7. проекти, финансирани със средства, инструменти и механизми от Европейския съюз;</w:t>
      </w:r>
    </w:p>
    <w:p w14:paraId="79F350F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8. вътрешно преструктуриране на разходите за случаите, когато разпоредителите с бюджет изпълняват международни договори и програми през текущата година, в т. ч. по официална помощ за развитие и хуманитарна помощ;</w:t>
      </w:r>
    </w:p>
    <w:p w14:paraId="0675266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9. разходи от резерва за предотвратяване, овладяване и преодоляване на последиците от бедствия по чл. 1, ал. 2, раздел ІІ, т. 5.1 при участие в спасителни и/или неотложни аварийно-възстановителни дейности.</w:t>
      </w:r>
    </w:p>
    <w:p w14:paraId="574F638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Промените по ал. 4, т. 1 – 8, с изключение за самостоятелните бюджети, се извършват от министъра на финансите по реда на чл. 110 от Закона за публичните финанси, а промените по ал. 3, т. 9 – по реда на чл. 109 от Закона за публичните финанси.</w:t>
      </w:r>
    </w:p>
    <w:p w14:paraId="1BAA4CF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76.</w:t>
      </w:r>
      <w:r w:rsidRPr="00761800">
        <w:rPr>
          <w:rFonts w:ascii="Times New Roman" w:eastAsia="Calibri" w:hAnsi="Times New Roman"/>
          <w:sz w:val="22"/>
          <w:szCs w:val="22"/>
        </w:rPr>
        <w:t xml:space="preserve"> (1) Едноличните държавни органи, техните заместници и председателите, заместник-председателите и членовете на колегиални държавни органи не получават допълнително възнаграждение за постигнати резултати.</w:t>
      </w:r>
    </w:p>
    <w:p w14:paraId="6F589E6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На лицата, които получават основно месечно възнаграждение от бюджета на съответната администрация, не се изплаща възнаграждение за участие в заседания на органи, съвети, комитети, комисии, работни или експертни групи и други, когато участието е във връзка с изпълнението на служебните им задължения, освен ако в акт на Народното събрание не е определено друго.</w:t>
      </w:r>
    </w:p>
    <w:p w14:paraId="35C12E4E" w14:textId="77777777" w:rsidR="00761800" w:rsidRPr="00761800" w:rsidRDefault="00761800" w:rsidP="00761800">
      <w:pPr>
        <w:spacing w:after="120"/>
        <w:jc w:val="both"/>
        <w:rPr>
          <w:rFonts w:ascii="Times New Roman" w:eastAsia="Calibri" w:hAnsi="Times New Roman"/>
          <w:sz w:val="22"/>
          <w:szCs w:val="22"/>
        </w:rPr>
      </w:pPr>
    </w:p>
    <w:p w14:paraId="4F1A475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77.</w:t>
      </w:r>
      <w:r w:rsidRPr="00761800">
        <w:rPr>
          <w:rFonts w:ascii="Times New Roman" w:eastAsia="Calibri" w:hAnsi="Times New Roman"/>
          <w:sz w:val="22"/>
          <w:szCs w:val="22"/>
        </w:rPr>
        <w:t xml:space="preserve"> Всички промени по бюджетите на първостепенните разпоредители с бюджет се извършват текущо, но не по-късно от 31 декември 2026 г. Във връзка с годишното счетоводно приключване и изготвянето на отчетите за касовото изпълнение промени по реда на чл. 110, 112 и 113 от Закона за публичните финанси могат да се извършват и до 28 февруари 2027 г.</w:t>
      </w:r>
    </w:p>
    <w:p w14:paraId="3E30C39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78.</w:t>
      </w:r>
      <w:r w:rsidRPr="00761800">
        <w:rPr>
          <w:rFonts w:ascii="Times New Roman" w:eastAsia="Calibri" w:hAnsi="Times New Roman"/>
          <w:sz w:val="22"/>
          <w:szCs w:val="22"/>
        </w:rPr>
        <w:t xml:space="preserve"> Бюджетните организации, настанени в сгради – собственост на държавата или на общините, не заплащат наеми.</w:t>
      </w:r>
    </w:p>
    <w:p w14:paraId="6FCCDEB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shd w:val="clear" w:color="auto" w:fill="FFFFFF"/>
        </w:rPr>
        <w:t>Чл. 79.</w:t>
      </w:r>
      <w:r w:rsidRPr="00761800">
        <w:rPr>
          <w:rFonts w:ascii="Times New Roman" w:eastAsia="Calibri" w:hAnsi="Times New Roman"/>
          <w:sz w:val="22"/>
          <w:szCs w:val="22"/>
          <w:shd w:val="clear" w:color="auto" w:fill="FFFFFF"/>
        </w:rPr>
        <w:t xml:space="preserve"> (1)</w:t>
      </w:r>
      <w:r w:rsidRPr="00761800">
        <w:rPr>
          <w:rFonts w:ascii="Times New Roman" w:eastAsia="Calibri" w:hAnsi="Times New Roman"/>
          <w:b/>
          <w:sz w:val="22"/>
          <w:szCs w:val="22"/>
          <w:shd w:val="clear" w:color="auto" w:fill="FFFFFF"/>
        </w:rPr>
        <w:t xml:space="preserve"> </w:t>
      </w:r>
      <w:r w:rsidRPr="00761800">
        <w:rPr>
          <w:rFonts w:ascii="Times New Roman" w:eastAsia="Calibri" w:hAnsi="Times New Roman"/>
          <w:sz w:val="22"/>
          <w:szCs w:val="22"/>
          <w:shd w:val="clear" w:color="auto" w:fill="FFFFFF"/>
        </w:rPr>
        <w:t>Определя сметките за средствата от Европейския съюз, за които през 2026 г. Министерският съвет утвърждава годишни разчети, както следва:</w:t>
      </w:r>
    </w:p>
    <w:p w14:paraId="2188B7F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shd w:val="clear" w:color="auto" w:fill="FFFFFF"/>
        </w:rPr>
        <w:t>1. сметка за средствата от Европейския съюз на Националния фонд;</w:t>
      </w:r>
    </w:p>
    <w:p w14:paraId="150591D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сметка за средствата от Европейския съюз на Държавен фонд „Земеделие“.</w:t>
      </w:r>
    </w:p>
    <w:p w14:paraId="11B981B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shd w:val="clear" w:color="auto" w:fill="FFFFFF"/>
        </w:rPr>
        <w:t>(2) Актуализиране на разчетите по сметката по ал. 1, т. 1 се извършва от Министерския съвет по предложение на министъра на финансите след 30 ноември 2026 г. при съществено влошаване на бюджетното й салдо.</w:t>
      </w:r>
    </w:p>
    <w:p w14:paraId="14B0EB7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shd w:val="clear" w:color="auto" w:fill="FFFFFF"/>
        </w:rPr>
        <w:t>(3) Актуализиране на разчетите по сметката по ал. 1, т. 2 се извършва от Министерския съвет по предложение на министъра на земеделието и храните съгласувано с министъра на финансите след 30 ноември 2026 г. при влошаване на бюджетното й салдо.</w:t>
      </w:r>
    </w:p>
    <w:p w14:paraId="62462CB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shd w:val="clear" w:color="auto" w:fill="FFFFFF"/>
        </w:rPr>
        <w:t>(4) Министърът на финансите може да извършва компенсирани промени по утвърдените годишни разчети на сметките по ал. 1, т. 1 и 2 при запазване на тяхното бюджетно салдо.</w:t>
      </w:r>
    </w:p>
    <w:p w14:paraId="392E455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(5) </w:t>
      </w:r>
      <w:r w:rsidRPr="00761800">
        <w:rPr>
          <w:rFonts w:ascii="Times New Roman" w:eastAsia="Calibri" w:hAnsi="Times New Roman"/>
          <w:sz w:val="22"/>
          <w:szCs w:val="22"/>
          <w:shd w:val="clear" w:color="auto" w:fill="FFFFFF"/>
        </w:rPr>
        <w:t>Предвидените трансфери от централния бюджет за сметките за средства от Европейския съюз по ал. 1, акумулираните средства от такива трансфери от предходни години, както и останалите приложими за тези сметки форми за финансиране съгласно </w:t>
      </w:r>
      <w:r w:rsidRPr="00761800">
        <w:rPr>
          <w:rFonts w:ascii="Times New Roman" w:eastAsia="Calibri" w:hAnsi="Times New Roman"/>
          <w:sz w:val="22"/>
          <w:szCs w:val="22"/>
        </w:rPr>
        <w:t>чл. 17, ал. 4 от Закона за публичните финанси</w:t>
      </w:r>
      <w:r w:rsidRPr="00761800">
        <w:rPr>
          <w:rFonts w:ascii="Times New Roman" w:eastAsia="Calibri" w:hAnsi="Times New Roman"/>
          <w:sz w:val="22"/>
          <w:szCs w:val="22"/>
          <w:shd w:val="clear" w:color="auto" w:fill="FFFFFF"/>
        </w:rPr>
        <w:t> се използват за финансиране на плащания, свързани с функциите и дейността на Националния фонд и на Държавен фонд „Земеделие“ – Разплащателната агенция, включително и за покриване на суми и/или тяхното възстановяване на европейските фондове, произтичащи от недопустими разходи, финансови корекции, прихващания и възстановявания на суми, осигуряване на финансирания за авансиране на плащания над бюджетите по оперативни програми от програмен период 2014 – 2020, предоставяне на временни безлихвени заеми по чл. 104, ал. 1, т. 2 и чл. 142, ал. 1 от Закона за публичните финанси, както и за акумулиране на средства по тези сметки, разполагаеми за плащания за следващи години.</w:t>
      </w:r>
    </w:p>
    <w:p w14:paraId="3F26104A" w14:textId="77777777" w:rsidR="00761800" w:rsidRPr="00761800" w:rsidRDefault="00761800" w:rsidP="00761800">
      <w:pPr>
        <w:spacing w:after="120"/>
        <w:jc w:val="both"/>
        <w:rPr>
          <w:rFonts w:ascii="Times New Roman" w:eastAsia="Calibri" w:hAnsi="Times New Roman"/>
          <w:b/>
          <w:sz w:val="22"/>
          <w:szCs w:val="22"/>
          <w:shd w:val="clear" w:color="auto" w:fill="FFFFFF"/>
        </w:rPr>
      </w:pPr>
      <w:r w:rsidRPr="00761800">
        <w:rPr>
          <w:rFonts w:ascii="Times New Roman" w:eastAsia="Calibri" w:hAnsi="Times New Roman"/>
          <w:sz w:val="22"/>
          <w:szCs w:val="22"/>
          <w:shd w:val="clear" w:color="auto" w:fill="FFFFFF"/>
        </w:rPr>
        <w:t>(6) В сметката по ал. 1, т. 1 се включват разходи в размер на 92 880 хил. евро за временен безлихвен заем на Министерството на транспорта и съобщенията за плащания по доставка на 23 броя едноетажни нулевоемисионни електрически мотрисни влака по договор за възлагане на обществена поръчка за доставка с предмет „Доставка на 35 броя едноетажни нулевоемисионни електрически мотрисни влака, с капацитет от минимум 200 седящи места, поддръжка за срок от 15 години и обучение на персонал“.</w:t>
      </w:r>
    </w:p>
    <w:p w14:paraId="324BB4E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shd w:val="clear" w:color="auto" w:fill="FFFFFF"/>
        </w:rPr>
        <w:t>Чл. 80.</w:t>
      </w:r>
      <w:r w:rsidRPr="00761800">
        <w:rPr>
          <w:rFonts w:ascii="Times New Roman" w:eastAsia="Calibri" w:hAnsi="Times New Roman"/>
          <w:sz w:val="22"/>
          <w:szCs w:val="22"/>
          <w:shd w:val="clear" w:color="auto" w:fill="FFFFFF"/>
        </w:rPr>
        <w:t xml:space="preserve"> (1) Разходите за инвестиции от Националния план за възстановяване и устойчивост, отчетени като изпълнени към Европейската комисия в искане за плащане и включени в чл. 79, ал. 1, т. 1, могат да се разплащат до 31 декември 2026 г.</w:t>
      </w:r>
    </w:p>
    <w:p w14:paraId="1D671F5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shd w:val="clear" w:color="auto" w:fill="FFFFFF"/>
        </w:rPr>
        <w:t>(2) Алинея 1 се прилага само за инвестиции, по които обществените поръчки са стартирали преди 1 юли 2026 г., и за инвестиции, по които не се прилага Законът за обществените поръчки и договорите между крайните получатели и изпълнителите са сключени преди 1 юли 2026 г.</w:t>
      </w:r>
    </w:p>
    <w:p w14:paraId="1829186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shd w:val="clear" w:color="auto" w:fill="FFFFFF"/>
        </w:rPr>
        <w:lastRenderedPageBreak/>
        <w:t>(3)</w:t>
      </w:r>
      <w:r w:rsidRPr="00761800">
        <w:rPr>
          <w:rFonts w:ascii="Times New Roman" w:eastAsia="Calibri" w:hAnsi="Times New Roman"/>
          <w:b/>
          <w:sz w:val="22"/>
          <w:szCs w:val="22"/>
          <w:shd w:val="clear" w:color="auto" w:fill="FFFFFF"/>
        </w:rPr>
        <w:t xml:space="preserve"> </w:t>
      </w:r>
      <w:r w:rsidRPr="00761800">
        <w:rPr>
          <w:rFonts w:ascii="Times New Roman" w:eastAsia="Calibri" w:hAnsi="Times New Roman"/>
          <w:sz w:val="22"/>
          <w:szCs w:val="22"/>
          <w:shd w:val="clear" w:color="auto" w:fill="FFFFFF"/>
        </w:rPr>
        <w:t>Платените средства по инвестиции, отпаднали от Националния план за възстановяване и устойчивост с решение на Европейския съвет за изменение и финансиране със средства от Механизма за възстановяване и устойчивост, се отписват от разходите по Националния план за възстановяване и устойчивост за сметка на трансфера по чл. 1, ал. 2, раздел III, т. 1.4.</w:t>
      </w:r>
    </w:p>
    <w:p w14:paraId="7B9A072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shd w:val="clear" w:color="auto" w:fill="FFFFFF"/>
        </w:rPr>
        <w:t>Чл. 81.</w:t>
      </w:r>
      <w:r w:rsidRPr="00761800">
        <w:rPr>
          <w:rFonts w:ascii="Times New Roman" w:eastAsia="Calibri" w:hAnsi="Times New Roman"/>
          <w:sz w:val="22"/>
          <w:szCs w:val="22"/>
          <w:shd w:val="clear" w:color="auto" w:fill="FFFFFF"/>
        </w:rPr>
        <w:t xml:space="preserve"> (1) Националното съфинансиране на средствата от помощта, предоставена на Република България от Европейския съюз и от други донори по Европейския фонд за регионално развитие, Европейския социален фонд/Европейския социален фонд плюс, Кохезионния фонд, Механизма за възстановяване и устойчивост,</w:t>
      </w:r>
      <w:r w:rsidRPr="00761800">
        <w:rPr>
          <w:rFonts w:ascii="Times New Roman" w:eastAsia="Calibri" w:hAnsi="Times New Roman"/>
          <w:sz w:val="22"/>
          <w:szCs w:val="22"/>
        </w:rPr>
        <w:t xml:space="preserve"> Социалния фонд за климата</w:t>
      </w:r>
      <w:r w:rsidRPr="00761800">
        <w:rPr>
          <w:rFonts w:ascii="Times New Roman" w:eastAsia="Calibri" w:hAnsi="Times New Roman"/>
          <w:sz w:val="22"/>
          <w:szCs w:val="22"/>
          <w:shd w:val="clear" w:color="auto" w:fill="FFFFFF"/>
        </w:rPr>
        <w:t>, Инициативата за младежка заетост, Фонда за европейско подпомагане на най-нуждаещите се лица на Европейския съюз, Фонда за справедлив преход, програмите за трансгранично сътрудничество по външни граници на Европейския съюз, Финансовия механизъм на Европейското икономическо пространство, Норвежкия финансов механизъм и втората Швейцарско-Българска програма за сътрудничество, се включва в трансфера по </w:t>
      </w:r>
      <w:r w:rsidRPr="00761800">
        <w:rPr>
          <w:rFonts w:ascii="Times New Roman" w:eastAsia="Calibri" w:hAnsi="Times New Roman"/>
          <w:sz w:val="22"/>
          <w:szCs w:val="22"/>
        </w:rPr>
        <w:t>чл. 1, ал. 2, раздел III, т. 1.4.</w:t>
      </w:r>
    </w:p>
    <w:p w14:paraId="5F12286E" w14:textId="77777777" w:rsidR="00761800" w:rsidRPr="00761800" w:rsidRDefault="00761800" w:rsidP="00761800">
      <w:pPr>
        <w:spacing w:after="120"/>
        <w:jc w:val="both"/>
        <w:rPr>
          <w:rFonts w:ascii="Times New Roman" w:eastAsia="Calibri" w:hAnsi="Times New Roman"/>
          <w:b/>
          <w:sz w:val="22"/>
          <w:szCs w:val="22"/>
        </w:rPr>
      </w:pPr>
      <w:r w:rsidRPr="00761800">
        <w:rPr>
          <w:rFonts w:ascii="Times New Roman" w:eastAsia="Calibri" w:hAnsi="Times New Roman"/>
          <w:sz w:val="22"/>
          <w:szCs w:val="22"/>
        </w:rPr>
        <w:t>(2) Националното съфинансиране на средствата от помощта, предоставена на Република България от Европейския съюз по Европейския фонд за гарантиране на земеделието, Европейския земеделски фонд за развитие на селските райони, Европейския фонд за морско дело и рибарство, Европейския фонд за рибарство и Европейския фонд за морско дело, рибарство и аквакултури, се включва в трансфера по чл. 1, ал. 2, раздел ІІІ, т. 1.5.</w:t>
      </w:r>
    </w:p>
    <w:p w14:paraId="56A5F121"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(3) В трансфера по чл. 1, ал. 2, раздел III, т. 1.4 се включват и средства за национално публично съфинансиране по Механизма за възстановяване и устойчивост.</w:t>
      </w:r>
    </w:p>
    <w:p w14:paraId="372071C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82.</w:t>
      </w:r>
      <w:r w:rsidRPr="00761800">
        <w:rPr>
          <w:rFonts w:ascii="Times New Roman" w:eastAsia="Calibri" w:hAnsi="Times New Roman"/>
          <w:sz w:val="22"/>
          <w:szCs w:val="22"/>
        </w:rPr>
        <w:t xml:space="preserve"> (1) Когато по одобрени проекти данък върху добавената стойност е финансиран като разход от разпоредители с бюджет, за частта, за която възниква право на приспадане на данъчен кредит по реда на Закона за данък върху добавената стойност, сумата се връща на разпоредителя с бюджет, който е финансирал разхода, от този разпоредител с бюджет, който е получил финансирането, в срок до края на месеца, следващ месеца, през който правото на данъчен кредит е упражнено. За невъзстановените в срок суми се дължи лихва за забава съгласно Закона за лихвите върху данъци, такси и други подобни държавни вземания.</w:t>
      </w:r>
    </w:p>
    <w:p w14:paraId="72B9C39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Вземанията по ал. 1 са публични и се събират по реда на Данъчно-осигурителния процесуален кодекс.</w:t>
      </w:r>
    </w:p>
    <w:p w14:paraId="5B928CEB" w14:textId="77777777" w:rsidR="00761800" w:rsidRPr="00761800" w:rsidRDefault="00761800" w:rsidP="00761800">
      <w:pPr>
        <w:spacing w:after="120"/>
        <w:jc w:val="both"/>
        <w:rPr>
          <w:rFonts w:ascii="Times New Roman" w:eastAsia="Calibri" w:hAnsi="Times New Roman"/>
          <w:b/>
          <w:sz w:val="22"/>
          <w:szCs w:val="22"/>
        </w:rPr>
      </w:pPr>
      <w:r w:rsidRPr="00761800">
        <w:rPr>
          <w:rFonts w:ascii="Times New Roman" w:eastAsia="Calibri" w:hAnsi="Times New Roman"/>
          <w:b/>
          <w:sz w:val="22"/>
          <w:szCs w:val="22"/>
        </w:rPr>
        <w:t>Чл. 83.</w:t>
      </w:r>
      <w:r w:rsidRPr="00761800">
        <w:rPr>
          <w:rFonts w:ascii="Times New Roman" w:eastAsia="Calibri" w:hAnsi="Times New Roman"/>
          <w:sz w:val="22"/>
          <w:szCs w:val="22"/>
        </w:rPr>
        <w:t xml:space="preserve"> (1) Държавен фонд „Земеделие“ извършва плащания за финансиране на разходи за данък върху добавената стойност на общини по одобрени за подпомагане проекти по Програмата за развитие на селските райони за периода 2014 – 2020 г. и Стратегическия план за развитие на земеделието и селските райони на Република България за периода 2023 – 2027 г. и по Програмата за морско дело, рибарство и аквакултури за периода 2021 – 2027 г. въз основа на подадено от бенефициентите искане за плащане съгласно реда и условията за това, определени от изпълнителния директор на Държавен фонд „Земеделие“.</w:t>
      </w:r>
    </w:p>
    <w:p w14:paraId="2034EB6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(2) Общините са длъжни в срок до 10 дни от постъпването на финансовите средства по ал. 1 по банковата сметка за средства от Европейския съюз да ги преведат по сметките на съответния доставчик на услуга, стока или строителство по одобрения проект, като в същия срок представят пред Държавен фонд „Земеделие“ доказателства за извършеното плащане в случаите на междинно или окончателно искане. При неизпълнение на задължението по изречение първо общините дължат възстановяване на Държавен фонд „Земеделие“ на изплатените финансови средства заедно със законната лихва считано от изтичането на 10-дневния срок. В случаите, когато преди постъпване на средствата по ал. 1 общините са финансирали разходи за данък върху добавената стойност по сключени договори със съответния доставчик на услуга, стока или строителство по одобрения проект </w:t>
      </w:r>
      <w:r w:rsidRPr="00761800">
        <w:rPr>
          <w:rFonts w:ascii="Times New Roman" w:eastAsia="Calibri" w:hAnsi="Times New Roman"/>
          <w:sz w:val="22"/>
          <w:szCs w:val="22"/>
        </w:rPr>
        <w:lastRenderedPageBreak/>
        <w:t>с временно свободните средства по бюджета на общината, ползваният бюджетен ресурс се възстановява с постъпилите средства по банковата сметка за средства от Европейския съюз.</w:t>
      </w:r>
    </w:p>
    <w:p w14:paraId="2938056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Разход, финансиран по ал. 1, за данък, за който възниква право на приспадане на данъчен кредит по реда на Закона за данък върху добавената стойност, подлежи на възстановяване от общината на Държавен фонд „Земеделие“ по реда на чл. 82.</w:t>
      </w:r>
    </w:p>
    <w:p w14:paraId="6533BCE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В случаите, когато изплатена по одобрения проект безвъзмездна финансова помощ подлежи на възстановяване, общината възстановява на Държавен фонд „Земеделие“ и предоставените по ал. 1 финансови средства в размер, съответстващ на размера на подлежащата на възстановяване финансова помощ по проекта, заедно със законната лихва съгласно Закона за лихвите върху данъци, такси и други подобни държавни вземания.</w:t>
      </w:r>
    </w:p>
    <w:p w14:paraId="0CE288C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Вземанията по ал. 2, 3 и 4 са публични и се събират по реда на Данъчно-осигурителния процесуален кодекс. Вземанията по ал. 4 се установяват от Държавен фонд „Земеделие“, а по Програмата за морско дело, рибарство и аквакултури за периода 2021 – 2027 г. – от управляващия орган, с акта, с който по основание и размер се определя размерът на подлежащата на възстановяване финансова помощ по проекта.</w:t>
      </w:r>
    </w:p>
    <w:p w14:paraId="69A680E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84.</w:t>
      </w:r>
      <w:r w:rsidRPr="00761800">
        <w:rPr>
          <w:rFonts w:ascii="Times New Roman" w:eastAsia="Calibri" w:hAnsi="Times New Roman"/>
          <w:sz w:val="22"/>
          <w:szCs w:val="22"/>
        </w:rPr>
        <w:t xml:space="preserve"> Управляващите органи на оперативните програми служебно отписват вземанията по определените финансови корекции за разходи, както и по надплатени, недължимо платени или неправомерно получени или неправомерно усвоени суми за вече верифицирани и изплатени от управляващите органи разходи, извършени в рамките на национални програми за компенсиране на небитовите крайни клиенти на електрическа енергия по договорите за безвъзмездна финансова помощ, сключени с Фонд „Сигурност на електроенергийната система“ през програмен период 2014 – 2020 г. Вземанията се отписват след влизането в сила на решенията на управляващите органи, ведно с дължимите лихви, ако е приложимо.</w:t>
      </w:r>
    </w:p>
    <w:p w14:paraId="33ACF23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85.</w:t>
      </w:r>
      <w:r w:rsidRPr="00761800">
        <w:rPr>
          <w:rFonts w:ascii="Times New Roman" w:eastAsia="Calibri" w:hAnsi="Times New Roman"/>
          <w:sz w:val="22"/>
          <w:szCs w:val="22"/>
        </w:rPr>
        <w:t xml:space="preserve"> Неусвоените средства към 31 декември 2025 г. по бюджетите на общините от трансфери за компенсиране на разходите в изпълнение на чл. 283, ал. 12 от Закона за предучилищното и училищното образование може да се разходват през 2026 г. за същата цел, като при остатък – той се възстановява в държавния бюджет в срок до 15 август 2026 г.</w:t>
      </w:r>
    </w:p>
    <w:p w14:paraId="0CD60ED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86.</w:t>
      </w:r>
      <w:r w:rsidRPr="00761800">
        <w:rPr>
          <w:rFonts w:ascii="Times New Roman" w:eastAsia="Calibri" w:hAnsi="Times New Roman"/>
          <w:sz w:val="22"/>
          <w:szCs w:val="22"/>
        </w:rPr>
        <w:t xml:space="preserve"> (1) Неусвоените до обнародването на закона в „Държавен вестник“ средства по бюджетите на общините от трансфери за други целеви разходи, постъпили към 31 декември 2024 г. на основание актове на Министерския съвет, се възстановяват в централния бюджет не по-късно от 15 август 2026 г.</w:t>
      </w:r>
    </w:p>
    <w:p w14:paraId="0B0316AF" w14:textId="77777777" w:rsidR="00761800" w:rsidRPr="00761800" w:rsidRDefault="00761800" w:rsidP="00761800">
      <w:pPr>
        <w:spacing w:after="120"/>
        <w:jc w:val="both"/>
        <w:rPr>
          <w:rFonts w:ascii="Times New Roman" w:eastAsia="Calibri" w:hAnsi="Times New Roman"/>
          <w:b/>
          <w:sz w:val="22"/>
          <w:szCs w:val="22"/>
        </w:rPr>
      </w:pPr>
      <w:r w:rsidRPr="00761800">
        <w:rPr>
          <w:rFonts w:ascii="Times New Roman" w:eastAsia="Calibri" w:hAnsi="Times New Roman"/>
          <w:sz w:val="22"/>
          <w:szCs w:val="22"/>
        </w:rPr>
        <w:t xml:space="preserve">(2) Неусвоените до обнародването на закона в „Държавен вестник“ средства от общините от одобрени за финансиране трансфери за други целеви разходи, постъпили през 2026 г. на основание актове на Министерския съвет, за които </w:t>
      </w:r>
      <w:r w:rsidRPr="00761800">
        <w:rPr>
          <w:rFonts w:ascii="Times New Roman" w:eastAsia="Calibri" w:hAnsi="Times New Roman"/>
          <w:sz w:val="22"/>
          <w:szCs w:val="22"/>
          <w:shd w:val="clear" w:color="auto" w:fill="FFFFFF"/>
        </w:rPr>
        <w:t xml:space="preserve">към 1 юли 2026 г. </w:t>
      </w:r>
      <w:r w:rsidRPr="00761800">
        <w:rPr>
          <w:rFonts w:ascii="Times New Roman" w:eastAsia="Calibri" w:hAnsi="Times New Roman"/>
          <w:sz w:val="22"/>
          <w:szCs w:val="22"/>
        </w:rPr>
        <w:t>ня</w:t>
      </w:r>
      <w:r w:rsidRPr="00761800">
        <w:rPr>
          <w:rFonts w:ascii="Times New Roman" w:eastAsia="Calibri" w:hAnsi="Times New Roman"/>
          <w:sz w:val="22"/>
          <w:szCs w:val="22"/>
          <w:shd w:val="clear" w:color="auto" w:fill="FFFFFF"/>
        </w:rPr>
        <w:t xml:space="preserve">ма обявена поръчка по Закона за обществените поръчки и/или няма сключен договор с изпълнител и/или няма подписан протокол за откриване на строителна площадка и за определяне на строителна линия и ниво, съгласно приложения № 2 и 2а към чл. 7, ал. 3, т. 2 от Наредба № 3 от 2003 г. на министъра на регионалното развитие и благоустройството за съставяне на актове и протоколи по време на строителството (обн., ДВ, бр. 72 от 2003 г.; изм., бр. 37 от 2004 г., бр. 29 от 2006 г., бр. 98 от 2012 г., бр. 65 от 2016 г. и бр. 56 от 2017 г.), </w:t>
      </w:r>
      <w:r w:rsidRPr="00761800">
        <w:rPr>
          <w:rFonts w:ascii="Times New Roman" w:eastAsia="Calibri" w:hAnsi="Times New Roman"/>
          <w:sz w:val="22"/>
          <w:szCs w:val="22"/>
        </w:rPr>
        <w:t>се възстановяват в централния бюджет не по-късно от 15 август 2026 г.</w:t>
      </w:r>
    </w:p>
    <w:p w14:paraId="1089F83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87.</w:t>
      </w:r>
      <w:r w:rsidRPr="00761800">
        <w:rPr>
          <w:rFonts w:ascii="Times New Roman" w:eastAsia="Calibri" w:hAnsi="Times New Roman"/>
          <w:sz w:val="22"/>
          <w:szCs w:val="22"/>
        </w:rPr>
        <w:t xml:space="preserve"> Неусвоените към 31 декември 2025 г. средства по бюджетите на общините от трансфера за зимно поддържане и снегопочистване на общинските пътища, постъпили през предходни години, може да се разходват през 2026 г. за дейностите по зимно поддържане и снегопочистване на общинските пътища съгласно съответната наредба за поддържане и текущ ремонт на пътищата по чл. 36 от Закона за пътищата, както и за придобиване на дълготрайни материални активи за снегопочистване на територията на общината по решения на общинските съвети и за материали за обезопасяване срещу хлъзгане.</w:t>
      </w:r>
    </w:p>
    <w:p w14:paraId="18050CA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lastRenderedPageBreak/>
        <w:t>Чл. 88.</w:t>
      </w:r>
      <w:r w:rsidRPr="00761800">
        <w:rPr>
          <w:rFonts w:ascii="Times New Roman" w:eastAsia="Calibri" w:hAnsi="Times New Roman"/>
          <w:sz w:val="22"/>
          <w:szCs w:val="22"/>
        </w:rPr>
        <w:t xml:space="preserve"> Неусвоените към 31 декември 2025 г. средства по бюджетите на общините, постъпили към 31 декември 2024 г. от резерва за предотвратяване, овладяване и преодоляване на последиците от бедствия, се възстановяват не по-късно от 15 август 2026 г. по отделно открита банкова сметка на централния бюджет на името на Главна дирекция „Пожарна безопасност и защита на населението“ на Министерството на вътрешните работи в Българската народна банка, с изключение на обекти, за които към 31 декември 2025 г. е сключен договор с изпълнител. Операциите и наличностите по тази сметка се отразяват в отчетността на централния бюджет и не се включват в бюджета на Министерството на вътрешните работи.</w:t>
      </w:r>
    </w:p>
    <w:p w14:paraId="14C27FD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89.</w:t>
      </w:r>
      <w:r w:rsidRPr="00761800">
        <w:rPr>
          <w:rFonts w:ascii="Times New Roman" w:eastAsia="Calibri" w:hAnsi="Times New Roman"/>
          <w:sz w:val="22"/>
          <w:szCs w:val="22"/>
        </w:rPr>
        <w:t xml:space="preserve"> (1) Неусвоените към 31 декември 2025 г. средства по бюджетите на общините от трансфери за други целеви разходи, постъпили по реда на чл. 57 от Закона за държавния бюджет на Република България за 2024 г., се възстановяват в централния бюджет не по-късно от 15 август 2026 г.</w:t>
      </w:r>
    </w:p>
    <w:p w14:paraId="04AF1E8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 (2) Неусвоените към 31 декември 2025 г. средства по бюджетите на общините от трансфери по чл. 52, ал. 1, т. 1, буква „а“ от Закона за публичните финанси, постъпили през предходни години, с изключение на тези във функция „Образование“, могат да се разходват по решение на общинския съвет за делегираните от държавата дейности във всички функции, в т. ч. за капиталови разходи, ако това не противоречи на условията, определени в нормативния акт, с който са одобрени.</w:t>
      </w:r>
    </w:p>
    <w:p w14:paraId="4D33804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Неусвоените към 31 декември 2025 г. средства по бюджетите на общините от трансфери по чл. 52, ал. 1, т. 1, буква „а“ от Закона за публичните финанси, постъпили през предходни години във функция „Образование“, могат да се разходват за същите цели, както и за капиталови разходи, ако това не противоречи на условията, определени в нормативния акт, с който са одобрени.</w:t>
      </w:r>
    </w:p>
    <w:p w14:paraId="4BCC1B9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90.</w:t>
      </w:r>
      <w:r w:rsidRPr="00761800">
        <w:rPr>
          <w:rFonts w:ascii="Times New Roman" w:eastAsia="Calibri" w:hAnsi="Times New Roman"/>
          <w:sz w:val="22"/>
          <w:szCs w:val="22"/>
        </w:rPr>
        <w:t xml:space="preserve"> (1) За общини с финансови затруднения се считат и общините, за които при изпълнение на проекти, финансирани със средства от Европейския съюз, наличните към края на 2025 г. просрочени задължения към доставчици в отчетна група сметки за средства от Европейския съюз надвишават 50 на сто от отчетените към края на 2025 г. разходи по бюджета на общината, независимо дали са налице условията по чл. 130а, ал. 1 от Закона за публичните финанси.</w:t>
      </w:r>
    </w:p>
    <w:p w14:paraId="704AA7B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 общините по ал. 1 се прилагат разпоредбите на глава осма „а“ от Закона за публичните финанси.</w:t>
      </w:r>
    </w:p>
    <w:p w14:paraId="7B105AE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91.</w:t>
      </w:r>
      <w:r w:rsidRPr="00761800">
        <w:rPr>
          <w:rFonts w:ascii="Times New Roman" w:eastAsia="Calibri" w:hAnsi="Times New Roman"/>
          <w:sz w:val="22"/>
          <w:szCs w:val="22"/>
        </w:rPr>
        <w:t xml:space="preserve"> Неусвоените средства към 31 декември 2025 г. по бюджетите на общините от трансфери за компенсиране на разходите в изпълнение на чл. 119, ал. 5 от Закона за здравето може да се разходват през 2026 г. за същата цел, като при остатък, той се възстановява в държавния бюджет в срок до 15 август 2026 г.</w:t>
      </w:r>
    </w:p>
    <w:p w14:paraId="3D7D8C0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92.</w:t>
      </w:r>
      <w:r w:rsidRPr="00761800">
        <w:rPr>
          <w:rFonts w:ascii="Times New Roman" w:eastAsia="Calibri" w:hAnsi="Times New Roman"/>
          <w:sz w:val="22"/>
          <w:szCs w:val="22"/>
        </w:rPr>
        <w:t xml:space="preserve"> (1) Годишният размер на плащанията за 2026 г. за всяка община по дългосрочни договори с гарантиран резултат (ЕСКО договори), дългосрочни договори за изграждане на съоръжения за производство и съхранение на електрическа енергия за собствени нужди в случаите, в които разходите, свързани с придобиването и експлоатацията на съоръженията, не надвишават установените в резултат на тези дейности икономии от разходи за закупуване на електрическа енергия и реализирания приход от продажба и обмен на електрическа енергия (договори за съоръжения за производство и съхранение на електрическа енергия), и по заеми, предоставени им от финансови посредници в изпълнение на финансов инструмент, управляван от „Фонд мениджър на финансови инструменти в България“ ЕАД, не се включва в общия годишен размер на плащанията по общинския дълг за съответната община при определяне на съотношението и при прилагане на ограничението по чл. 32, ал. 1 от Закона за публичните финанси.</w:t>
      </w:r>
    </w:p>
    <w:p w14:paraId="147165C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 (2) Алинея 1 не се прилага при установени от контролен орган нарушения при сключването на ЕСКО договорите, договорите за съоръжения за производство и съхранение на електрическа енергия и/или при установяване на негативно въздействие на тези договори върху параметрите на разходите на общините.</w:t>
      </w:r>
    </w:p>
    <w:p w14:paraId="5D5A1B1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(3) Плащанията през 2026 г. по главницата на съществуващ дълг със средства от нов дълг не се включват в ограничението по чл. 32, ал. 1 от Закона за публичните финанси.</w:t>
      </w:r>
    </w:p>
    <w:p w14:paraId="64CF44F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При прилагане на ограничението по чл. 32, ал. 1 от Закона за публичните финанси се включват извършените плащания по главницата на банкови заеми тип овърдрафт/револвиращи кредити.</w:t>
      </w:r>
    </w:p>
    <w:p w14:paraId="7E955CE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През 2026 г. общините може да поемат дълг извън ограниченията по чл. 32, ал. 1 от Закона за публичните финанси чрез заеми, предоставени им от финансови посредници в изпълнение на финансов инструмент, управляван от „Фонд мениджър на финансови инструменти в България“ – ЕАД, като годишният размер на плащанията на общината за всяка година по всички видове заеми без тези по ал. 3 и по чл. 32, ал. 5 от Закона за публичните финанси и без плащанията по ЕСКО договорите по ал. 1 не може да надвишава 25 на сто от средногодишния размер на собствените приходи и общата изравнителна субсидия за последните три години, изчислен на базата на данни от годишните отчети за изпълнението на бюджета на общината.</w:t>
      </w:r>
    </w:p>
    <w:p w14:paraId="43199AA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93.</w:t>
      </w:r>
      <w:r w:rsidRPr="00761800">
        <w:rPr>
          <w:rFonts w:ascii="Times New Roman" w:eastAsia="Calibri" w:hAnsi="Times New Roman"/>
          <w:sz w:val="22"/>
          <w:szCs w:val="22"/>
        </w:rPr>
        <w:t xml:space="preserve"> За 2026 г. при изчисляване на ограничението по чл. 94, ал. 3, т. 2 от Закона за публичните финанси не се включват ангажименти за разходи по сключени договори от общината за:</w:t>
      </w:r>
    </w:p>
    <w:p w14:paraId="484DD97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извършвани от общината услуги по чл. 62 от Закона за местните данъци и такси;</w:t>
      </w:r>
    </w:p>
    <w:p w14:paraId="6D9BC4C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сметка на трансферите от централния бюджет по чл. 52, ал. 1, т. 1, буква „г“ от Закона за публичните финанси;</w:t>
      </w:r>
    </w:p>
    <w:p w14:paraId="0BD8E26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изпълнение на приоритетни проекти по Инвестиционната програма за общински проекти, определени с акта на Министерския съвет по чл. 113, ал. 1.</w:t>
      </w:r>
    </w:p>
    <w:p w14:paraId="1A71863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94.</w:t>
      </w:r>
      <w:r w:rsidRPr="00761800">
        <w:rPr>
          <w:rFonts w:ascii="Times New Roman" w:eastAsia="Calibri" w:hAnsi="Times New Roman"/>
          <w:sz w:val="22"/>
          <w:szCs w:val="22"/>
        </w:rPr>
        <w:t xml:space="preserve"> За 2025 г. и 2026 г. при изчисляване на ограничението по чл. 94, ал. 3, т. 1 от Закона за публичните финанси не се включват задължения за разходи по сключени договори от общината за изпълнение на приоритетни проекти по Инвестиционната програма за общински проекти по приложение № 3 към чл. 113 от Закона за държавния бюджет на Република България за 2025 г. и по проекти, определени с акта на Министерския съвет по чл. 113, ал. 1.</w:t>
      </w:r>
    </w:p>
    <w:p w14:paraId="1036EA2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95.</w:t>
      </w:r>
      <w:r w:rsidRPr="00761800">
        <w:rPr>
          <w:rFonts w:ascii="Times New Roman" w:eastAsia="Calibri" w:hAnsi="Times New Roman"/>
          <w:sz w:val="22"/>
          <w:szCs w:val="22"/>
        </w:rPr>
        <w:t xml:space="preserve"> Ограничението на чл. 130а, ал. 1, т. 2, 3 и 4 от Закона за публичните финанси за 2025 и 2026 г. не се прилага за задълженията за разходи и ангажиментите за разходи и просрочените задължения по сключени договори от общината за изпълнение на приоритетни проекти по Инвестиционната програма за общински проекти по приложение № 3 към 113 от Закона за държавния бюджет на Република България за 2025 г. и по проекти, определени с акта на Министерския съвет по чл. 113, ал. 1.</w:t>
      </w:r>
    </w:p>
    <w:p w14:paraId="25C1FC3D" w14:textId="77777777" w:rsidR="00761800" w:rsidRPr="00761800" w:rsidRDefault="00761800" w:rsidP="00761800">
      <w:pPr>
        <w:spacing w:after="120"/>
        <w:jc w:val="both"/>
        <w:rPr>
          <w:rFonts w:ascii="Times New Roman" w:eastAsia="Calibri" w:hAnsi="Times New Roman"/>
          <w:b/>
          <w:sz w:val="22"/>
          <w:szCs w:val="22"/>
        </w:rPr>
      </w:pPr>
      <w:r w:rsidRPr="00761800">
        <w:rPr>
          <w:rFonts w:ascii="Times New Roman" w:eastAsia="Calibri" w:hAnsi="Times New Roman"/>
          <w:b/>
          <w:sz w:val="22"/>
          <w:szCs w:val="22"/>
        </w:rPr>
        <w:t xml:space="preserve">Чл. 96. </w:t>
      </w:r>
      <w:r w:rsidRPr="00761800">
        <w:rPr>
          <w:rFonts w:ascii="Times New Roman" w:eastAsia="Calibri" w:hAnsi="Times New Roman"/>
          <w:sz w:val="22"/>
          <w:szCs w:val="22"/>
        </w:rPr>
        <w:t>Оценката по чл. 130д, ал. 1 от Закона за публичните финанси и анализът на дейността и финансовото състояние на общината по чл. 63 от Закона за местното самоуправление и местната администрация се извършва в срок до два месеца след обнародването на закона в „Държавен вестник“.</w:t>
      </w:r>
    </w:p>
    <w:p w14:paraId="1DF685B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97.</w:t>
      </w:r>
      <w:r w:rsidRPr="00761800">
        <w:rPr>
          <w:rFonts w:ascii="Times New Roman" w:eastAsia="Calibri" w:hAnsi="Times New Roman"/>
          <w:sz w:val="22"/>
          <w:szCs w:val="22"/>
        </w:rPr>
        <w:t xml:space="preserve"> За унифициране на счетоводните процеси във всички общини кметовете задължително въвеждат Интегрирана финансово-информационна система за общините съгласно одобрения от министъра на финансите план за нейното внедряване. Кметовете на общини, включени в плана за 2026 г., оказват съдействие на изпълнителя на проекта за въвеждането на системата.</w:t>
      </w:r>
    </w:p>
    <w:p w14:paraId="15751B0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98.</w:t>
      </w:r>
      <w:r w:rsidRPr="00761800">
        <w:rPr>
          <w:rFonts w:ascii="Times New Roman" w:eastAsia="Calibri" w:hAnsi="Times New Roman"/>
          <w:sz w:val="22"/>
          <w:szCs w:val="22"/>
        </w:rPr>
        <w:t xml:space="preserve"> (1) Размерът на средствата за представителни разходи за кметовете в общините не може да бъде по-голям от 3 на сто от общия годишен размер на разходите за издръжка за дейност „Общинска администрация“.</w:t>
      </w:r>
    </w:p>
    <w:p w14:paraId="489B531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(2) Размерът на средствата за представителни разходи за общинските съвети не може да бъде по-голям от 1,5 на сто от общия годишен размер на разходите за издръжка за дейност „Общинска администрация“.</w:t>
      </w:r>
    </w:p>
    <w:p w14:paraId="09D0120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99.</w:t>
      </w:r>
      <w:r w:rsidRPr="00761800">
        <w:rPr>
          <w:rFonts w:ascii="Times New Roman" w:eastAsia="Calibri" w:hAnsi="Times New Roman"/>
          <w:sz w:val="22"/>
          <w:szCs w:val="22"/>
        </w:rPr>
        <w:t xml:space="preserve"> По реда на чл. 106 от Закона за публичните финанси може да се прихващат и дължимите лихви по чл. 105, ал. 1 от същия закон.</w:t>
      </w:r>
    </w:p>
    <w:p w14:paraId="0E5104A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100.</w:t>
      </w:r>
      <w:r w:rsidRPr="00761800">
        <w:rPr>
          <w:rFonts w:ascii="Calibri" w:eastAsia="Calibri" w:hAnsi="Calibri"/>
          <w:sz w:val="22"/>
          <w:szCs w:val="22"/>
        </w:rPr>
        <w:t xml:space="preserve"> </w:t>
      </w:r>
      <w:r w:rsidRPr="00761800">
        <w:rPr>
          <w:rFonts w:ascii="Times New Roman" w:eastAsia="Calibri" w:hAnsi="Times New Roman"/>
          <w:sz w:val="22"/>
          <w:szCs w:val="22"/>
        </w:rPr>
        <w:t>Кметовете на общините изпращат месечно разпределение на плащанията, които ще се финансират от преходните остатъци по бюджет на общината за 2026 г. след приемането на бюджета от общинския съвет, за информация на министъра на финансите във формат, определен от министъра на финансите.</w:t>
      </w:r>
    </w:p>
    <w:p w14:paraId="552CD15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101.</w:t>
      </w:r>
      <w:r w:rsidRPr="00761800">
        <w:rPr>
          <w:rFonts w:ascii="Times New Roman" w:eastAsia="Calibri" w:hAnsi="Times New Roman"/>
          <w:sz w:val="22"/>
          <w:szCs w:val="22"/>
        </w:rPr>
        <w:t xml:space="preserve"> (1) Кметовете на общините да предприемат спешни действия в рамките на своите правомощия за организиране на дейностите по издаване на ревизионни актове или актове за установяване на задължения по чл. 107 от Данъчно-осигурителния процесуален кодекс от общинските органи по приходите и за предприемане на последващи действия в случаите на неплатени непогасени по давност задължения за минали години (недобори) на задължените лица за данък върху недвижимите имоти, данък върху превозните средства и такса за битови отпадъци на стойност над 375 евро за всеки вид</w:t>
      </w:r>
      <w:r w:rsidRPr="00761800">
        <w:rPr>
          <w:rFonts w:ascii="Calibri" w:eastAsia="Calibri" w:hAnsi="Calibri"/>
          <w:sz w:val="22"/>
          <w:szCs w:val="22"/>
        </w:rPr>
        <w:t xml:space="preserve"> </w:t>
      </w:r>
      <w:r w:rsidRPr="00761800">
        <w:rPr>
          <w:rFonts w:ascii="Times New Roman" w:eastAsia="Calibri" w:hAnsi="Times New Roman"/>
          <w:sz w:val="22"/>
          <w:szCs w:val="22"/>
        </w:rPr>
        <w:t>задължение.</w:t>
      </w:r>
    </w:p>
    <w:p w14:paraId="3367B97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В срок до 15-о число на месеца, следващ всяко тримесечие, кметовете на общините представят в Министерството на финансите информация във връзка с наличието на неплатени непогасени по давност задължения за минали години по ал. 1 и издадените за тях актове по ред, определен от министъра на финансите, ведно с извлечение от информационната система за администриране на местни данъци и такси в общината, декларация за верността на данните и други документи, относими към изпратената информация.</w:t>
      </w:r>
    </w:p>
    <w:p w14:paraId="2D41FEC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102.</w:t>
      </w:r>
      <w:r w:rsidRPr="00761800">
        <w:rPr>
          <w:rFonts w:ascii="Times New Roman" w:eastAsia="Calibri" w:hAnsi="Times New Roman"/>
          <w:sz w:val="22"/>
          <w:szCs w:val="22"/>
        </w:rPr>
        <w:t xml:space="preserve"> (1) Акционерните дружества с над 50 на сто държавно участие в капитала и дружествата, които те контролират, в които размерът на средствата на Фонд „Резервен“ е достигнал или е надхвърлил една десета част от капитала или определената от устава по-голяма част, при приключване на финансовата 2025 г. не правят отчисления за Фонд „Резервен“.</w:t>
      </w:r>
    </w:p>
    <w:p w14:paraId="57D863F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Акционерните дружества по ал. 1, в които средствата на Фонд „Резервен“ са в размер, по-малък от посочения в ал. 1, при приключване на финансовата 2025 г. правят отчисления за фонда в размер на една десета част от реализираната печалба, а когато така определените отчисления биха довели до превишаване на определения размер на Фонд „Резервен“, правят отчисления в размер, съответстващ на средствата, необходими за неговото попълване.</w:t>
      </w:r>
    </w:p>
    <w:p w14:paraId="237F2F9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103.</w:t>
      </w:r>
      <w:r w:rsidRPr="00761800">
        <w:rPr>
          <w:rFonts w:ascii="Times New Roman" w:eastAsia="Calibri" w:hAnsi="Times New Roman"/>
          <w:sz w:val="22"/>
          <w:szCs w:val="22"/>
        </w:rPr>
        <w:t xml:space="preserve"> Публичните предприятия – акционерни дружества, може да изплащат 6-месечен (междинен) дивидент през 2026 г., на базата на 6-месечен финансов отчет към 30 юни 2026 г., при съответно прилагане на чл. 247а от Търговския закон.</w:t>
      </w:r>
    </w:p>
    <w:p w14:paraId="6151137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104.</w:t>
      </w:r>
      <w:r w:rsidRPr="00761800">
        <w:rPr>
          <w:rFonts w:ascii="Times New Roman" w:eastAsia="Calibri" w:hAnsi="Times New Roman"/>
          <w:sz w:val="22"/>
          <w:szCs w:val="22"/>
        </w:rPr>
        <w:t xml:space="preserve"> (1) Държавните и общинските предприятия и едноличните търговски дружества с държавно, съответно с общинско участие, както и дъщерните им дружества, които са тяхна еднолична собственост, отдали под наем предоставените им застроени или незастроени недвижими имоти, дължат вноска в размер 50 на сто от получения наем в държавния бюджет, а общинските – в общинския бюджет.</w:t>
      </w:r>
    </w:p>
    <w:p w14:paraId="7E656A4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Алинея 1 не се прилага за юридически лица, когато при тяхното образуване или преобразуване имуществото, което те отдават под наем, е предоставено за извършване на дейности, свързани с отдаването под наем.</w:t>
      </w:r>
    </w:p>
    <w:p w14:paraId="13AA93F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Държавните или общинските лечебни заведения – еднолични търговски дружества, както и лечебните заведения – търговски дружества със смесено държавно и общинско участие в капитала, прилагат чл. 105 от Закона за лечебните заведения.</w:t>
      </w:r>
    </w:p>
    <w:p w14:paraId="11FB158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(4) Вноските по ал. 1 се внасят от държавните предприятия и едноличните търговски дружества с държавно участие в капитала, както и дъщерните им дружества, които са тяхна еднолична собственост, в 10-дневен срок от всяко получаване на суми по наемния договор по сметка за приходите по централния бюджет на Националната агенция за приходите.</w:t>
      </w:r>
    </w:p>
    <w:p w14:paraId="687537E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Вноските по ал. 1 се внасят от общинските предприятия и едноличните търговски дружества с общинско участие в капитала, както и дъщерните им дружества, които са тяхна еднолична собственост, в 10-дневен срок от всяко получаване на суми по наемния договор по сметката за приходите на общината, която има участие в съответното общинско предприятие или дружество.</w:t>
      </w:r>
    </w:p>
    <w:p w14:paraId="73EF6A2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(6) Вноските по ал. 1, дължими към държавния бюджет, се установяват и събират от Националната агенция за приходите по реда на Данъчно-осигурителния процесуален кодекс.</w:t>
      </w:r>
    </w:p>
    <w:p w14:paraId="42C8E31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(7) Вноските по ал. 1, дължими към общинския бюджет, се установяват и събират от органите на общинската администрация по реда на Данъчно-осигурителния процесуален кодекс.</w:t>
      </w:r>
    </w:p>
    <w:p w14:paraId="2FBDB42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105.</w:t>
      </w:r>
      <w:r w:rsidRPr="00761800">
        <w:rPr>
          <w:rFonts w:ascii="Times New Roman" w:eastAsia="Calibri" w:hAnsi="Times New Roman"/>
          <w:sz w:val="22"/>
          <w:szCs w:val="22"/>
        </w:rPr>
        <w:t xml:space="preserve"> (1) Целево предоставяните средства от държавния бюджет на нефинансовите предприятия за субсидии, компенсации и капиталови трансфери за възложени от държавата дейности и услуги не могат да се използват за обезпечения.</w:t>
      </w:r>
    </w:p>
    <w:p w14:paraId="1BB586E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Средствата по ал. 1 не може да се използват и за принудително погасяване на публични и частни държавни вземания, както и на вземания на трети лица.</w:t>
      </w:r>
    </w:p>
    <w:p w14:paraId="1E05F98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Неправомерно получени или неправомерно усвоени средства по ал. 1 може да се прихващат в пълен размер с подлежащи на отпускане такива средства.</w:t>
      </w:r>
    </w:p>
    <w:p w14:paraId="6641A7A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Алинеи 1 – 3 се прилагат и когато средствата за субсидии, компенсации и капиталови трансфери за възложени от държавата дейности и услуги на нефинансовите предприятия се предоставят от държавния бюджет чрез бюджетите на общините.</w:t>
      </w:r>
    </w:p>
    <w:p w14:paraId="7FCA5B3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106.</w:t>
      </w:r>
      <w:r w:rsidRPr="00761800">
        <w:rPr>
          <w:rFonts w:ascii="Times New Roman" w:eastAsia="Calibri" w:hAnsi="Times New Roman"/>
          <w:sz w:val="22"/>
          <w:szCs w:val="22"/>
        </w:rPr>
        <w:t xml:space="preserve"> (1) Средствата за юридическите лица с нестопанска цел по бюджетите на първостепенните разпоредители с бюджет се предоставят за:</w:t>
      </w:r>
    </w:p>
    <w:p w14:paraId="1119E56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дейности с неикономически характер;</w:t>
      </w:r>
    </w:p>
    <w:p w14:paraId="2982A90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дейности с икономически характер при съобразяване с правилата в областта на държавните помощи и чл. 21 от Закона за публичните финанси.</w:t>
      </w:r>
    </w:p>
    <w:p w14:paraId="149AB6F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В случаите, когато лицата по ал. 1 извършват стопанска и нестопанска дейност, са задължени да разграничат видовете си дейности така, че да е налице фактическо или финансово-счетоводно обособяване на съответните дейности, и да поддържат отделно счетоводно отчитане на стопанската и нестопанската дейност по отношение на активите, пасивите, приходите и разходите, свързани с тези дейности.</w:t>
      </w:r>
    </w:p>
    <w:p w14:paraId="0E69607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107.</w:t>
      </w:r>
      <w:r w:rsidRPr="00761800">
        <w:rPr>
          <w:rFonts w:ascii="Times New Roman" w:eastAsia="Calibri" w:hAnsi="Times New Roman"/>
          <w:sz w:val="22"/>
          <w:szCs w:val="22"/>
        </w:rPr>
        <w:t xml:space="preserve"> (1) При прилагане през 2026 г. на чл. 156 от Закона за публичните финанси министърът на финансите може да включи съответните лица в схемата за централизирано разплащане по чл. 159 – 161 от Закона за публичните финанси на осигурителни вноски и данъците върху доходите на физическите лица по реда на ал. 2 и в определени от него срокове.</w:t>
      </w:r>
    </w:p>
    <w:p w14:paraId="7BA6AD6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(2) Министърът на финансите определя начина на включване на съответните лица на основата на принципите и правилата на схемата за централизирано разплащане по Закона за публичните финанси, включително и чрез прилагане на подход на превеждане на дължимите суми по сметка на съответния първостепенен разпоредител с бюджет.</w:t>
      </w:r>
    </w:p>
    <w:p w14:paraId="4457A2D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При прилагане на подход на превеждане на дължимите от лицата по ал. 1 суми по сметка на съответния първостепенен разпоредител с бюджет те се превеждат месечно, до 25-о число на месеца, следващ месеца, за който се отнасят.</w:t>
      </w:r>
    </w:p>
    <w:p w14:paraId="710EB1C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Наличните на датата на включване в схемата за централизирано разплащане по Закона за публичните финанси задължения на лицата по ал. 1 за осигурителни вноски и данъци върху доходите на физически лица, попадащи в схемата, се декларират и превеждат по сметки на Националната агенция за приходите по досегашния ред.</w:t>
      </w:r>
    </w:p>
    <w:p w14:paraId="5BC7D8F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Алинеи 2 – 4 се прилагат и за включените към 31 декември 2025 г. в схемата за централизирано разплащане по чл. 159 – 161 от Закона за публичните финанси лица по чл. 156 от Закона за публичните финанси.</w:t>
      </w:r>
    </w:p>
    <w:p w14:paraId="1CDA7CE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(6) Министърът на финансите дава указания по прилагането на ал. 1 – 5.</w:t>
      </w:r>
    </w:p>
    <w:p w14:paraId="04F589B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108.</w:t>
      </w:r>
      <w:r w:rsidRPr="00761800">
        <w:rPr>
          <w:rFonts w:ascii="Times New Roman" w:eastAsia="Calibri" w:hAnsi="Times New Roman"/>
          <w:sz w:val="22"/>
          <w:szCs w:val="22"/>
        </w:rPr>
        <w:t xml:space="preserve"> „Фонд мениджър на финансови инструменти в България“ – ЕАД, може да открива депозитни сметки по чл. 154, ал. 20 от Закона за публичните финанси, включително и за целите на предоставяне на гаранции в изпълнение на финансови инструменти, управлявани от фонда.</w:t>
      </w:r>
    </w:p>
    <w:p w14:paraId="5AB14AB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109.</w:t>
      </w:r>
      <w:r w:rsidRPr="00761800">
        <w:rPr>
          <w:rFonts w:ascii="Times New Roman" w:eastAsia="Calibri" w:hAnsi="Times New Roman"/>
          <w:sz w:val="22"/>
          <w:szCs w:val="22"/>
        </w:rPr>
        <w:t xml:space="preserve"> Министерският съвет може да одобрява допълнителни разходи/трансфери и/или увеличение на показателите по чл. 86, ал. 2, т. 5 и 6 от Закона за публичните финанси за бюджетите на първостепенните разпоредители с бюджет за сметка на икономии на разходи и/или трансфери по бюджетите на други първостепенни разпоредители с бюджет по държавния бюджет за подготовката и произвеждането на избори съгласно Изборния кодекс, за финансиране на дейности по оказване на хуманитарна помощ на живеещите в Украйна български граждани и българи с украинско гражданство, за предоставяне на хуманитарна помощ за Украйна, както и за извършване на разходи за справяне с последствията от военни действия.</w:t>
      </w:r>
    </w:p>
    <w:p w14:paraId="5E8BED0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110.</w:t>
      </w:r>
      <w:r w:rsidRPr="00761800">
        <w:rPr>
          <w:rFonts w:ascii="Times New Roman" w:eastAsia="Calibri" w:hAnsi="Times New Roman"/>
          <w:sz w:val="22"/>
          <w:szCs w:val="22"/>
        </w:rPr>
        <w:t xml:space="preserve"> (1) Определя Програма за приоритетни стратегически инвестиционни проекти с национално финансиране за периода 2026-2028 г. с отговорни институции съгласно приложение № 2.</w:t>
      </w:r>
    </w:p>
    <w:p w14:paraId="3911E9C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Средствата за капиталови разходи през 2026 г. за финансово обезпечаване на проектите по ал. 1 са в рамките на утвърдените с този закон капиталови разходи по бюджетите на първостепенните разпоредители с бюджет за 2026 г.</w:t>
      </w:r>
    </w:p>
    <w:p w14:paraId="7F418FB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Допуска се преразпределение на сумите между проектите по ал. 1 в рамките на разходите по ал. 2, като при необходимост се извършват съответните промени по реда на Закона за публичните финанси.</w:t>
      </w:r>
    </w:p>
    <w:p w14:paraId="113444D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111.</w:t>
      </w:r>
      <w:r w:rsidRPr="00761800">
        <w:rPr>
          <w:rFonts w:ascii="Times New Roman" w:eastAsia="Calibri" w:hAnsi="Times New Roman"/>
          <w:sz w:val="22"/>
          <w:szCs w:val="22"/>
        </w:rPr>
        <w:t xml:space="preserve"> Икономии от капиталовите разходи, утвърдени по чл. 5, 6 и чл. 8 – 47, не могат да бъдат използвани за текущи разходи, освен за разходи за издръжка, свързани със стратегически инвестиционни проекти и с проекти в областта на електронното управление и информационните и комуникационните технологии, и не по-рано от 30 септември 2026 г. – за текущ ремонт.</w:t>
      </w:r>
    </w:p>
    <w:p w14:paraId="1D40C2D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112.</w:t>
      </w:r>
      <w:r w:rsidRPr="00761800">
        <w:rPr>
          <w:rFonts w:ascii="Times New Roman" w:eastAsia="Calibri" w:hAnsi="Times New Roman"/>
          <w:sz w:val="22"/>
          <w:szCs w:val="22"/>
        </w:rPr>
        <w:t xml:space="preserve"> (1) В рамките на разчетените капиталови разходи по бюджетите си за 2026 г. първостепенните разпоредители с бюджет по чл. 2 – 47 приоритетно разплащат задължения за капиталови разходи по инвестиционни проекти от минали години или за капиталови разходи в условия на аварийност.</w:t>
      </w:r>
    </w:p>
    <w:p w14:paraId="587FA5C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(2) Задължения за капиталови разходи по инвестиционни проекти от минали години или за капиталови разходи в условия на аварийност могат да се разплащат и за сметка на икономии от капиталови разходи на други първостепенни разпоредители с бюджет по реда на чл. 110, ал. 4 от Закона за публичните финанси.</w:t>
      </w:r>
    </w:p>
    <w:p w14:paraId="340847F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Ангажименти за разходи за приоритетните стратегически инвестиционни проекти по чл. 110, ал. 1 се поемат в рамките на разчетените капиталови разходи в средносрочната бюджетна прогноза за съответния първостепенен разпоредител с бюджет за периода 2026 – 2028 г.</w:t>
      </w:r>
    </w:p>
    <w:p w14:paraId="3CBDCC2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Не се допуска извършването на разходи от първостепенните разпоредители с бюджет със средства от държавния бюджет за придобиване или за ползване чрез нови договори за лизинг на моторни превозни средства – леки автомобили (за превозване на пътници, в които броят на местата за сядане без мястото на водача не превишава 8), освен такива със специален режим на движение.</w:t>
      </w:r>
    </w:p>
    <w:p w14:paraId="584E1D48"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b/>
          <w:sz w:val="22"/>
          <w:szCs w:val="22"/>
          <w:shd w:val="clear" w:color="auto" w:fill="FFFFFF"/>
        </w:rPr>
        <w:t>Чл. 113.</w:t>
      </w:r>
      <w:r w:rsidRPr="00761800">
        <w:rPr>
          <w:rFonts w:ascii="Times New Roman" w:eastAsia="Calibri" w:hAnsi="Times New Roman"/>
          <w:sz w:val="22"/>
          <w:szCs w:val="22"/>
          <w:shd w:val="clear" w:color="auto" w:fill="FFFFFF"/>
        </w:rPr>
        <w:t xml:space="preserve"> (1) Министерският съвет по предложение на министъра на регионалното развитие и благоустройството определя проекти от Инвестиционната програма за общински проекти, с определена прогнозна стойност в колона „Прогнозна стойност на проекта за 2025 г. (хил. лева)“ на приложение № 3 към чл. 113 от Закона за държавния бюджет на Република България за 2025 г., за които са изпълнени едновременно следните условия:</w:t>
      </w:r>
    </w:p>
    <w:p w14:paraId="47C62B92"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1. споразумението между министъра на регионалното развитие и благоустройството и кмета на общината е сключено към 31 декември 2025 г. при спазване на законодателството по държавните помощи;</w:t>
      </w:r>
    </w:p>
    <w:p w14:paraId="188266C5"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 xml:space="preserve">2. към 1 юли 2026 г. има обявена поръчка по Закона за обществените поръчки и/или има сключен договор с изпълнител и/или има подписан протокол за откриване на строителна площадка и за определяне на строителна линия и ниво съгласно приложения № 2 и 2а към чл. 7, ал. 3, т. 2 от Наредба № 3 от 2003 г. за съставяне на актове и протоколи по време на строителството; </w:t>
      </w:r>
    </w:p>
    <w:p w14:paraId="5DAD482A"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3. няма възможност за осигуряване на финансиране по програми, съфинансирани от Европейските фондове при споделено управление, което се удостоверява от съответните управляващи органи.</w:t>
      </w:r>
    </w:p>
    <w:p w14:paraId="5BB660BA"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(2) Общата максимална стойност на разходите, които се заплащат чрез Българската банка за развитие през 2026 г. по проекти, определени по ал. 1, е в годишен размер до 460,2 млн. евро.</w:t>
      </w:r>
    </w:p>
    <w:p w14:paraId="7EA9A7DE"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(3) Финансирането на проектите, определени по ал. 1, се извършва при условия и по ред, определени с акт на Министерския съвет по предложение на министъра на регионалното развитие и благоустройството, както следва:</w:t>
      </w:r>
    </w:p>
    <w:p w14:paraId="4D99E9DB"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1. чрез разплащане от Българската банка за развитие - до изчерпване на одобрения ресурс по ал. 2;</w:t>
      </w:r>
    </w:p>
    <w:p w14:paraId="24AD5A4A"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2. чрез бюджета на Министерството на регионалното развитие и благоустройството за сметка на предоставени средства от централния бюджет по реда на чл. 109, ал. 3 от Закона за публичните финанси - до размера на определените в централния бюджет средства за тази цел в размер до 600,0 млн. евро.</w:t>
      </w:r>
    </w:p>
    <w:p w14:paraId="296D99A8"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(4) Извън случаите по ал. 3, определените по ал. 1 проекти могат да се финансират и от общините със собствени средства, целева субсидия за капиталови разходи, както и със заемни средства.</w:t>
      </w:r>
    </w:p>
    <w:p w14:paraId="6CAC9486"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lastRenderedPageBreak/>
        <w:t>(5) В случай че определен по ал. 1 проект е допустим за финансиране по програма, съфинансирана от Европейските фондове при споделено управление, след получаване на уведомление от управляващия орган съответната община следва да кандидатства за предоставяне на безвъзмездна финансова помощ.</w:t>
      </w:r>
    </w:p>
    <w:p w14:paraId="33CAD85C"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(6) При предоставяне на финансиране по съответната програма извършените разходи от държавния бюджет се възстановяват по бюджета на Министерството на регионалното развитие и благоустройство при условия и по ред, определени с акт на Министерския съвет.</w:t>
      </w:r>
    </w:p>
    <w:p w14:paraId="07DB08AF"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(7) Общината следва да подаде писмено заявление за предоставяне на безвъзмездна финансова помощ по съответната програма след получаване на уведомлението по ал. 5, освен когато е налице основателна причина, писмено удостоверена от съответната община и потвърдена от управляващия орган. При неподаване на заявление извън случаите по изречение първо Министерството на регионалното развитие и благоустройството не извършва последващи дължими плащания по проекта със средства от държавния бюджет.</w:t>
      </w:r>
    </w:p>
    <w:p w14:paraId="78E8CB15"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(8) Когато по определени по ал. 1 проекти, за които има сключено споразумение между министъра на регионалното развитие и благоустройството и кметовете на общините, данъкът върху добавената стойност е финансиран като разход по тях, за частта, за която възниква право на приспадане на данъчен кредит по реда на Закона за данък върху добавената стойност, сумата се възстановява от общината в централния бюджет в срок до 20 декември 2026 г. За невъзстановените в този срок суми се дължи лихва за забава съгласно Закона за лихвите върху данъци, такси и други подобни държавни вземания.</w:t>
      </w:r>
    </w:p>
    <w:p w14:paraId="15C3D699" w14:textId="77777777" w:rsidR="00761800" w:rsidRPr="00761800" w:rsidRDefault="00761800" w:rsidP="00761800">
      <w:pPr>
        <w:spacing w:after="120"/>
        <w:jc w:val="both"/>
        <w:rPr>
          <w:rFonts w:ascii="Times New Roman" w:eastAsia="Calibri" w:hAnsi="Times New Roman"/>
          <w:sz w:val="22"/>
          <w:szCs w:val="22"/>
          <w:shd w:val="clear" w:color="auto" w:fill="FFFFFF"/>
        </w:rPr>
      </w:pPr>
      <w:r w:rsidRPr="00761800">
        <w:rPr>
          <w:rFonts w:ascii="Times New Roman" w:eastAsia="Calibri" w:hAnsi="Times New Roman"/>
          <w:sz w:val="22"/>
          <w:szCs w:val="22"/>
          <w:shd w:val="clear" w:color="auto" w:fill="FFFFFF"/>
        </w:rPr>
        <w:t>(9) Алинея 8 се прилага само за проекти, финансирани по реда на ал. 3.</w:t>
      </w:r>
    </w:p>
    <w:p w14:paraId="150C69B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114.</w:t>
      </w:r>
      <w:r w:rsidRPr="00761800">
        <w:rPr>
          <w:rFonts w:ascii="Times New Roman" w:eastAsia="Calibri" w:hAnsi="Times New Roman"/>
          <w:sz w:val="22"/>
          <w:szCs w:val="22"/>
        </w:rPr>
        <w:t xml:space="preserve"> (1) Бюджетните организации преустановяват планирането, разходването и трансферирането на средства от бюджетите си за организиране, провеждане и обезпечаване на празнични, развлекателни и спортни прояви за служителите си, в това число коледни, новогодишни тържества и други прояви с неслужебен характер.</w:t>
      </w:r>
    </w:p>
    <w:p w14:paraId="183FC1C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Преустановява се провеждането на работни срещи, оперативни и други съвещания, семинари и обучения на служители на бюджетните организации извън предоставените им за управление административни сгради и помещения, освен в случаите на:</w:t>
      </w:r>
    </w:p>
    <w:p w14:paraId="60F8FF2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международни събития, произтичащи от двустранни или многостранни ангажименти, както и свързани с международни организации;</w:t>
      </w:r>
    </w:p>
    <w:p w14:paraId="4B604BB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събития, изцяло финансирани от международни програми и проекти, по които организацията е бенефициент, доколкото разходът е изрично заложен като допустим в одобрения бюджет на програмата или проекта;</w:t>
      </w:r>
    </w:p>
    <w:p w14:paraId="4844695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обучения, организирани от публични обучителни институции.</w:t>
      </w:r>
    </w:p>
    <w:p w14:paraId="038A169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Извън случаите по ал. 2, всички междуведомствени и вътрешни работни съвещания, координационни и други срещи на служители се провеждат единствено в дигитална среда (онлайн) чрез използване на наличната ведомствена инфраструктура.</w:t>
      </w:r>
    </w:p>
    <w:p w14:paraId="639216A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Чл. 115.</w:t>
      </w:r>
      <w:r w:rsidRPr="00761800">
        <w:rPr>
          <w:rFonts w:ascii="Times New Roman" w:eastAsia="Calibri" w:hAnsi="Times New Roman"/>
          <w:sz w:val="22"/>
          <w:szCs w:val="22"/>
        </w:rPr>
        <w:t xml:space="preserve"> Министърът на финансите изготвя и внася за одобряване от Министерския съвет проект на решение за бюджетната процедура за 2027 г. по съставянето на проекта на държавния бюджет за 2027 г., като средносрочна бюджетна прогноза за периода 2027-2029 г. не се изготвя.</w:t>
      </w:r>
    </w:p>
    <w:p w14:paraId="767B85B7" w14:textId="77777777" w:rsidR="00761800" w:rsidRPr="00761800" w:rsidRDefault="00761800" w:rsidP="00761800">
      <w:pPr>
        <w:spacing w:after="120"/>
        <w:jc w:val="center"/>
        <w:rPr>
          <w:rFonts w:ascii="Times New Roman" w:eastAsia="Calibri" w:hAnsi="Times New Roman"/>
          <w:b/>
          <w:sz w:val="22"/>
          <w:szCs w:val="22"/>
        </w:rPr>
      </w:pPr>
    </w:p>
    <w:p w14:paraId="7BC5AC25" w14:textId="77777777" w:rsidR="00761800" w:rsidRPr="00761800" w:rsidRDefault="00761800" w:rsidP="00761800">
      <w:pPr>
        <w:spacing w:after="120"/>
        <w:jc w:val="center"/>
        <w:rPr>
          <w:rFonts w:ascii="Times New Roman" w:eastAsia="Calibri" w:hAnsi="Times New Roman"/>
          <w:b/>
          <w:sz w:val="22"/>
          <w:szCs w:val="22"/>
        </w:rPr>
      </w:pPr>
      <w:r w:rsidRPr="00761800">
        <w:rPr>
          <w:rFonts w:ascii="Times New Roman" w:eastAsia="Calibri" w:hAnsi="Times New Roman"/>
          <w:b/>
          <w:sz w:val="22"/>
          <w:szCs w:val="22"/>
        </w:rPr>
        <w:lastRenderedPageBreak/>
        <w:t>ПРЕХОДНИ И ЗАКЛЮЧИТЕЛНИ РАЗПОРЕДБИ</w:t>
      </w:r>
    </w:p>
    <w:p w14:paraId="696A1295" w14:textId="77777777" w:rsidR="00761800" w:rsidRPr="00761800" w:rsidRDefault="00761800" w:rsidP="00761800">
      <w:pPr>
        <w:spacing w:after="120"/>
        <w:jc w:val="both"/>
        <w:rPr>
          <w:rFonts w:ascii="Times New Roman" w:eastAsia="Calibri" w:hAnsi="Times New Roman"/>
          <w:b/>
          <w:sz w:val="22"/>
          <w:szCs w:val="22"/>
        </w:rPr>
      </w:pPr>
    </w:p>
    <w:p w14:paraId="2557C3C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1.</w:t>
      </w:r>
      <w:r w:rsidRPr="00761800">
        <w:rPr>
          <w:rFonts w:ascii="Times New Roman" w:eastAsia="Calibri" w:hAnsi="Times New Roman"/>
          <w:sz w:val="22"/>
          <w:szCs w:val="22"/>
        </w:rPr>
        <w:t xml:space="preserve"> Размерът на общата годишна квота, определен съгласно чл. 5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е включен в общата годишна квота за 2026 г., утвърдена с чл. 57.</w:t>
      </w:r>
    </w:p>
    <w:p w14:paraId="32FFA25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2.</w:t>
      </w:r>
      <w:r w:rsidRPr="00761800">
        <w:rPr>
          <w:rFonts w:ascii="Times New Roman" w:eastAsia="Calibri" w:hAnsi="Times New Roman"/>
          <w:sz w:val="22"/>
          <w:szCs w:val="22"/>
        </w:rPr>
        <w:t xml:space="preserve"> До 31 декември 2026 г. такси за ползване на финансираната от държавния бюджет социална услуга „асистентска подкрепа“ по чл. 15, т. 10 от Закона за социалните услуги не се заплащат от лицата, които я ползват.</w:t>
      </w:r>
    </w:p>
    <w:p w14:paraId="1403715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3.</w:t>
      </w:r>
      <w:r w:rsidRPr="00761800">
        <w:rPr>
          <w:rFonts w:ascii="Times New Roman" w:eastAsia="Calibri" w:hAnsi="Times New Roman"/>
          <w:sz w:val="22"/>
          <w:szCs w:val="22"/>
        </w:rPr>
        <w:t xml:space="preserve"> (1) При ползване на данъчното облекчение за деца по чл. 22в от Закона за данъците върху доходите на физическите лица за 2026 г. сумата, която се приспада от годишните данъчни основи по чл. 17 от същия закон, е при:</w:t>
      </w:r>
    </w:p>
    <w:p w14:paraId="631F137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едно ненавършило пълнолетие дете – в размер на 3 067,75 евро;</w:t>
      </w:r>
    </w:p>
    <w:p w14:paraId="3A3B347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две ненавършили пълнолетие деца – в размер на 6 135,50 евро;</w:t>
      </w:r>
    </w:p>
    <w:p w14:paraId="0C58B0D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три и повече ненавършили пълнолетие деца – в размер на 9 203,25 евро.</w:t>
      </w:r>
    </w:p>
    <w:p w14:paraId="418417D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При ползване на данъчното облекчение за деца с увреждания по чл. 22г от Закона за данъците върху доходите на физическите лица за 2026 г. сумата, с която се намаляват годишните данъчни основи по чл. 17 от същия закон, е в размер на 6 135,50 евро.</w:t>
      </w:r>
    </w:p>
    <w:p w14:paraId="0394869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За 2026 г. годишната данъчна основа по чл. 28, ал. 1 от Закона за данъците върху доходите на физическите лица се намалява със сумите по чл. 28, ал. 2, т. 1 – 3 от същия закон, както и с разликата:</w:t>
      </w:r>
    </w:p>
    <w:p w14:paraId="73FC8B7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между допустимия размер за 2026 г. на данъчното облекчение по чл. 22в, предвиден в ал. 1, и размера на ползваното данъчно облекчение от сумата от годишните данъчни основи за същата година;</w:t>
      </w:r>
    </w:p>
    <w:p w14:paraId="3A7E9BE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между 6 135,50 евро и размера на ползваното данъчно облекчение по чл. 22г от същия закон за 2026 г.</w:t>
      </w:r>
    </w:p>
    <w:p w14:paraId="262F168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Данъчните облекчения за 2026 г. по чл. 22в и 22г от Закона за данъците върху доходите на физическите лица могат да се ползват и чрез намаляване на месечната данъчна основа за доходи от трудови правоотношения след прилагане на чл. 42, ал. 3 от същия закон със следните суми:</w:t>
      </w:r>
    </w:p>
    <w:p w14:paraId="7780025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за едно ненавършило пълнолетие дете – в размер на 255,65 евро;</w:t>
      </w:r>
    </w:p>
    <w:p w14:paraId="04E5F65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 две ненавършили пълнолетие деца – в размер на 511,29 евро;</w:t>
      </w:r>
    </w:p>
    <w:p w14:paraId="0528D09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за три и повече ненавършили пълнолетие деца – в размер на 766,94 евро;</w:t>
      </w:r>
    </w:p>
    <w:p w14:paraId="09D5CD1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за дете с 50 и с над 50 на сто вид и степен на увреждане – в размер на 511,29 евро.</w:t>
      </w:r>
    </w:p>
    <w:p w14:paraId="6A29248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Работникът/служителят еднократно избира да приложи авансовото ползване на данъчно облекчение по ал. 4 чрез предоставяне на писмена декларация пред работодателя, с която декларира, че:</w:t>
      </w:r>
    </w:p>
    <w:p w14:paraId="476BF61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1. за прилагане на всяко от данъчните облекчения следва да изпълни условията, предвидени в чл. 22в и 22г от Закона за данъците върху доходите на физическите лица;</w:t>
      </w:r>
    </w:p>
    <w:p w14:paraId="13CD758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другият родител, съответно другият приемен родител, близък или роднина, няма да ползва авансово намалението за съответната данъчна година;</w:t>
      </w:r>
    </w:p>
    <w:p w14:paraId="4C2372D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работникът/служителят няма да ползва данъчните облекчения при друг работодател.</w:t>
      </w:r>
    </w:p>
    <w:p w14:paraId="06F9B36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(6) Данъчното облекчение се ползва авансово по реда на ал. 4 до размера на сумата от месечната данъчна основа за доходи от трудово правоотношение на лицето, определена по реда на чл. 42, ал. 1 – 3 от Закона за данъците върху доходите на физическите лица.</w:t>
      </w:r>
    </w:p>
    <w:p w14:paraId="3463E4E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(7) При прилагане на ал. 4 и за целите на чл. 42, ал. 4 от Закона за данъците върху доходите на физическите лица месечната данъчна основа по чл. 42, ал. 3 от Закона за данъците върху доходите на физическите лица се намалява и със съответните суми по ал. 4 при спазване на изискването на ал. 6.</w:t>
      </w:r>
    </w:p>
    <w:p w14:paraId="77509EF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(8) Член 49 от Закона за данъците върху доходите на физическите лица се прилага и при прилагане на ал. 4.</w:t>
      </w:r>
    </w:p>
    <w:p w14:paraId="6AEF8D5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(9) В случаите на авансово облагане по чл. 43 и 44 от Закона за данъците върху доходите на физическите лица данъчните облекчения по чл. 22в и 22г от същия закон могат да се прилагат чрез намаляване на размера на дължимия авансов данък, при условие че другият родител, съответно другият приемен родител, близък или роднина, няма да ползва авансово намалението за съответната данъчна година.</w:t>
      </w:r>
    </w:p>
    <w:p w14:paraId="030F6A5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(10) Намаляването по ал. 9 на размера на дължимия авансов данък за първо – трето тримесечие – до размера на дължимия авансов данък, но не повече от:</w:t>
      </w:r>
    </w:p>
    <w:p w14:paraId="016ED2E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за едно ненавършило пълнолетие дете – 76,69 евро;</w:t>
      </w:r>
    </w:p>
    <w:p w14:paraId="139D150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 две ненавършили пълнолетие деца – 153,39 евро;</w:t>
      </w:r>
    </w:p>
    <w:p w14:paraId="0C3D623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за три и повече ненавършили пълнолетие деца – 230,08 евро;</w:t>
      </w:r>
    </w:p>
    <w:p w14:paraId="29EEB90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за дете с 50 и с над 50 на сто вид и степен на увреждане – 153,39 евро.</w:t>
      </w:r>
    </w:p>
    <w:p w14:paraId="463CF8A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(11) Годишният размер на данъчното облекчение по чл. 22в и 22г от Закона за данъците върху доходите на физическите лица за 2026 г. в случаите по ал. 9 се ползва с подаване на годишна данъчна декларация по чл. 50 от Закона за данъците върху доходите на физическите лица.</w:t>
      </w:r>
    </w:p>
    <w:p w14:paraId="2C1CB43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(12) Алинея 9 не се прилага, когато:</w:t>
      </w:r>
    </w:p>
    <w:p w14:paraId="643A00E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размерът на авансовия данък се определя и удържа от платеца на дохода;</w:t>
      </w:r>
    </w:p>
    <w:p w14:paraId="2042CD0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лицето има доходи от трудови правоотношения и е приложило ал. 5.</w:t>
      </w:r>
    </w:p>
    <w:p w14:paraId="3DC1721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(13) Лицата, които прилагат чл. 43, ал. 8 от Закона за данъците върху доходите на физическите лица, не прилагат ал. 9 – 11.</w:t>
      </w:r>
    </w:p>
    <w:p w14:paraId="4141EA2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(14) Когато в нарушение на условието по ал. 5, т. 2 и 3 или по ал. 9 данъчното облекчение по чл. 22в и/или чл. 22г от Закона за данъците върху доходите на физическите лица е ползвано авансово чрез повече от един работодател и/или от повече от едно лице, всяко от лицата, ползвали авансово облекченията, дължи частта от данъка, съответстваща на размера на ползваното облекчение.</w:t>
      </w:r>
    </w:p>
    <w:p w14:paraId="18C12DF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lastRenderedPageBreak/>
        <w:t>§ 4.</w:t>
      </w:r>
      <w:r w:rsidRPr="00761800">
        <w:rPr>
          <w:rFonts w:ascii="Times New Roman" w:eastAsia="Calibri" w:hAnsi="Times New Roman"/>
          <w:sz w:val="22"/>
          <w:szCs w:val="22"/>
        </w:rPr>
        <w:t xml:space="preserve"> (1) С проекта на Закона за държавния бюджет на Република България за 2027 г. Министерският съвет внася в Народното събрание за разглеждане и одобрение проекта на бюджет на съдебната власт, включително с разходите по функционални области като част от проекта на закона.</w:t>
      </w:r>
    </w:p>
    <w:p w14:paraId="460E2FD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С проекта на Закона за държавния бюджет на Република България за 2027 г. Министерският съвет внася в Народното събрание представения в определения с бюджетната процедура срок проект на бюджет на съдебната власт в програмен формат, одобрен от пленума на Висшия съдебен съвет.</w:t>
      </w:r>
    </w:p>
    <w:p w14:paraId="294EC27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5.</w:t>
      </w:r>
      <w:r w:rsidRPr="00761800">
        <w:rPr>
          <w:rFonts w:ascii="Times New Roman" w:eastAsia="Calibri" w:hAnsi="Times New Roman"/>
          <w:sz w:val="22"/>
          <w:szCs w:val="22"/>
        </w:rPr>
        <w:t xml:space="preserve"> Формулите за 2026 г. по чл. 282, ал. 6 от Закона за предучилищното и училищното образование се утвърждават в едномесечен срок от обнародването на закона в „Държавен вестник“.</w:t>
      </w:r>
    </w:p>
    <w:p w14:paraId="4D8659B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6.</w:t>
      </w:r>
      <w:r w:rsidRPr="00761800">
        <w:rPr>
          <w:rFonts w:ascii="Times New Roman" w:eastAsia="Calibri" w:hAnsi="Times New Roman"/>
          <w:sz w:val="22"/>
          <w:szCs w:val="22"/>
        </w:rPr>
        <w:t xml:space="preserve"> За 2026 г. разпоредбите на чл. 92, ал. 1-5 и §4л от Допълнителните разпоредби на Закона за висшето образование не се прилагат.</w:t>
      </w:r>
    </w:p>
    <w:p w14:paraId="362DAF0E" w14:textId="77777777" w:rsidR="00761800" w:rsidRPr="00761800" w:rsidRDefault="00761800" w:rsidP="00761800">
      <w:pPr>
        <w:spacing w:after="120"/>
        <w:jc w:val="both"/>
        <w:rPr>
          <w:rFonts w:ascii="Calibri" w:eastAsia="Calibri" w:hAnsi="Calibri"/>
          <w:sz w:val="22"/>
          <w:szCs w:val="22"/>
        </w:rPr>
      </w:pPr>
      <w:r w:rsidRPr="00761800">
        <w:rPr>
          <w:rFonts w:ascii="Times New Roman" w:eastAsia="Calibri" w:hAnsi="Times New Roman"/>
          <w:b/>
          <w:sz w:val="22"/>
          <w:szCs w:val="22"/>
        </w:rPr>
        <w:t>§ 7.</w:t>
      </w:r>
      <w:r w:rsidRPr="00761800">
        <w:rPr>
          <w:rFonts w:ascii="Times New Roman" w:eastAsia="Calibri" w:hAnsi="Times New Roman"/>
          <w:sz w:val="22"/>
          <w:szCs w:val="22"/>
        </w:rPr>
        <w:t xml:space="preserve"> Заместник-министър председателите и министрите, след преглед на законодателството в ръководените от тях ресори, в срок до 15 септември 2026 г. да предприемат мерки и да разработят предложения за нормативни промени за преустановяване на обвързването на разходи за персонал и други плащания по съответните бюджети със средната брутна работна заплата и/или минималната работна заплата за страната</w:t>
      </w:r>
      <w:r w:rsidRPr="00761800">
        <w:rPr>
          <w:rFonts w:ascii="Calibri" w:eastAsia="Calibri" w:hAnsi="Calibri"/>
          <w:sz w:val="22"/>
          <w:szCs w:val="22"/>
        </w:rPr>
        <w:t>.</w:t>
      </w:r>
    </w:p>
    <w:p w14:paraId="11A18E8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8.</w:t>
      </w:r>
      <w:r w:rsidRPr="00761800">
        <w:rPr>
          <w:rFonts w:ascii="Times New Roman" w:eastAsia="Calibri" w:hAnsi="Times New Roman"/>
          <w:sz w:val="22"/>
          <w:szCs w:val="22"/>
        </w:rPr>
        <w:t xml:space="preserve"> Заместник-министър председателят по чл. 5, ал. 1, т. 4 от Устройствения правилник на Министерския съвет и на неговата администрация в срок до 15 септември 2026 г. да разработи предложение за нормативни промени за закриване на 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и преминаване на дейността ѝ към Държавна агенция „Архиви“.</w:t>
      </w:r>
    </w:p>
    <w:p w14:paraId="7DE637E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9.</w:t>
      </w:r>
      <w:r w:rsidRPr="00761800">
        <w:rPr>
          <w:rFonts w:ascii="Times New Roman" w:eastAsia="Calibri" w:hAnsi="Times New Roman"/>
          <w:sz w:val="22"/>
          <w:szCs w:val="22"/>
        </w:rPr>
        <w:t xml:space="preserve"> В срок до 30 септември 2026 г. министърът на енергетиката да внесе в Министерския съвет проект на Закон за изменение и допълнение на Закона за подземните богатства с цел осигуряване прилагането на правилата на действащото законодателство за определяне на размера на концесионното плащане за добив на подземни богатства спрямо всички концесионни договори за добив на подземни богатства.</w:t>
      </w:r>
    </w:p>
    <w:p w14:paraId="03FB3E6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10.</w:t>
      </w:r>
      <w:r w:rsidRPr="00761800">
        <w:rPr>
          <w:rFonts w:ascii="Times New Roman" w:eastAsia="Calibri" w:hAnsi="Times New Roman"/>
          <w:sz w:val="22"/>
          <w:szCs w:val="22"/>
        </w:rPr>
        <w:t xml:space="preserve"> Министърът на културата в срок до 30 септември 2026 г. да внесе в Министерския съвет проект на Закон за изменение и допълнение на Закона за радиото и телевизията за привеждане на частта за фонд „Радио и телевизия“ в съответствие със Закона за публичните финанси, както и за привеждане на финансирането на Българското национално радио и Българската национална телевизия в съответствие с правилата за държавните помощи.</w:t>
      </w:r>
    </w:p>
    <w:p w14:paraId="5895088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11. В Кодекса на труда</w:t>
      </w:r>
      <w:r w:rsidRPr="00761800">
        <w:rPr>
          <w:rFonts w:ascii="Times New Roman" w:eastAsia="Calibri" w:hAnsi="Times New Roman"/>
          <w:sz w:val="22"/>
          <w:szCs w:val="22"/>
        </w:rPr>
        <w:t xml:space="preserve"> (обн., ДВ, бр. 26 и 27 от 1986 г.; изм., бр. 6 от 1988 г., бр. 21, 30 и 94 от 1990 г., бр. 27, 32 и 104 от 1991 г., бр. 23, 26, 88 и 100 от 1992 г.; Решение № 12 на Конституционния съд от 1995 г. – бр. 69 от 1995 г.; изм., бр. 87 от 1995 г., бр. 2, 12 и 28 от 1996 г., бр. 124 от 1997 г., бр. 22 от 1998 г.; Решение № 11 на Конституционния съд от 1998 г. – бр. 52 от 1998 г.; изм., бр. 56, 83, 108 и 133 от 1998 г., бр. 51, 67 и 110 от 1999 г., бр. 25 от 2001 г., бр. 1, 105 и 120 от 2002 г., бр. 18, 86 и 95 от 2003 г., бр. 52 от 2004 г., бр. 19, 27, 46, 76, 83 и 105 от 2005 г., бр. 24, 30, 48, 57, 68, 75, 102 и 105 от 2006 г., бр. 40, 46, 59, 64 и 104 от 2007 г., бр. 43, 94, 108 и 109 от 2008 г., бр. 35, 41 и 103 от 2009 г., бр. 15, 46, 58 и 77 от 2010 г.; Решение № 12 на Конституционния съд от 2010 г. – бр. 91 от 2010 г.; изм., бр. 100 и 101 от 2010 г., бр. 18, 33, 61 и 82 от 2011 г., бр. 7, 15, 20 и 38 от 2012 г.; Решение № 7 на Конституционния съд от 2012 г. – бр. 49 от 2012 г.; изм., бр. 77 и 82 от 2012 г., бр. 15 и 104 от 2013 г., бр. 1, 27 и 61 от 2014 г., бр. 54, 61, 79 и 98 от 2015 г., бр. 8, 57, 59, 98 и 105 от 2016 г., бр. 85, 86, 96 и 102 от 2017 г., бр. 7, 15, 30, 42, 59, 77, 91 и 92 от 2018 г., бр. 79 от 2019 г., бр. 13, 28, 44, 64, 104, 107 и 109 от 2020 г., бр. 25, 51, 58, 62 и 104 от 2022 г., бр. 11, 14, 66, 84, 85 и 106 от 2023 г., бр. 27, 39, 66, 67 и 70 от 2024 г. и бр. 115 от 2025 г., бр. 16 и 51 от 2026 г.), в чл. 355 се правят следните изменения и допълнения:</w:t>
      </w:r>
    </w:p>
    <w:p w14:paraId="6875BF9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1. В ал. 1 след думите „изчислява в“ се добавя „часове“ и се поставя запетая.</w:t>
      </w:r>
    </w:p>
    <w:p w14:paraId="08450BA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Алинея 2 се изменя така:</w:t>
      </w:r>
    </w:p>
    <w:p w14:paraId="5BDCFE2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 един ден трудов стаж се признава времето, през което работникът или служителят е изработил пълното законоустановено за него работно време за деня. Когато работникът или служителят работи при непълно работно време, трудовият стаж се изчислява пропорционално на законоустановеното му работно време.“</w:t>
      </w:r>
    </w:p>
    <w:p w14:paraId="480EFB0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В ал. 3 думите „най-малко 21 дни при петдневна работна седмица“ се заменят с „всички работни дни за съответния месец“.</w:t>
      </w:r>
    </w:p>
    <w:p w14:paraId="01C0313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Алинея 4 се изменя така:</w:t>
      </w:r>
    </w:p>
    <w:p w14:paraId="452D4C1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Една година трудов стаж се зачита, когато са зачетени за трудов стаж 12 месеца.“</w:t>
      </w:r>
    </w:p>
    <w:p w14:paraId="75CC2BC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Създава се нова ал. 5:</w:t>
      </w:r>
    </w:p>
    <w:p w14:paraId="34B7541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Когато работникът или служителят работи по повече от едно трудово правоотношение, трудов стаж се изчислява по всяко от правоотношенията.“</w:t>
      </w:r>
    </w:p>
    <w:p w14:paraId="7821F38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6. Досегашната ал. 5 става ал. 6 и се изменя така:</w:t>
      </w:r>
    </w:p>
    <w:p w14:paraId="4989A2C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„(6) При ползване на права по този кодекс за трудов стаж се признава не повече от календарното време.“</w:t>
      </w:r>
    </w:p>
    <w:p w14:paraId="40372AA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12.</w:t>
      </w:r>
      <w:r w:rsidRPr="00761800">
        <w:rPr>
          <w:rFonts w:ascii="Times New Roman" w:eastAsia="Calibri" w:hAnsi="Times New Roman"/>
          <w:sz w:val="22"/>
          <w:szCs w:val="22"/>
        </w:rPr>
        <w:t xml:space="preserve"> Трудовият стаж преди влизане в сила на този закон се изчислява съгласно действащите дотогава разпоредби.</w:t>
      </w:r>
    </w:p>
    <w:p w14:paraId="1F6CFC0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xml:space="preserve">§ 13. В Закона за предучилищното и училищното образование </w:t>
      </w:r>
      <w:r w:rsidRPr="00761800">
        <w:rPr>
          <w:rFonts w:ascii="Times New Roman" w:eastAsia="Calibri" w:hAnsi="Times New Roman"/>
          <w:sz w:val="22"/>
          <w:szCs w:val="22"/>
        </w:rPr>
        <w:t>(обн., ДВ, бр. 79 от 2015 г.; изм., бр. 98 и 105 от 2016 г., бр. 58 и 99 от 2017 г., бр. 24, 92 и 108 от 2018 г., бр. 24, 42, 100 и 101 от 2019 г., бр. 17 и 82 от 2020 г., бр. 17, 34 и 102 от 2022 г., бр. 11 и 102 от 2023 г., бр. 23, 27 и 69 от 2024 г. и бр. 26 и 64 от 2025 г.) чл. 281 се отменя.</w:t>
      </w:r>
    </w:p>
    <w:p w14:paraId="330D4F7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xml:space="preserve">§ 14. В Закона за висшето образование </w:t>
      </w:r>
      <w:r w:rsidRPr="00761800">
        <w:rPr>
          <w:rFonts w:ascii="Times New Roman" w:eastAsia="Calibri" w:hAnsi="Times New Roman"/>
          <w:sz w:val="22"/>
          <w:szCs w:val="22"/>
        </w:rPr>
        <w:t>(обн., ДВ, бр. 112 от 1995 г.; изм., бр. 28 от 1996 г., бр. 56, 57 и 58 от 1997 г., бр. 60, 66, 111 и 113 от 1999 г., бр. 54 от 2000 г., бр. 22 от 2001 г., бр. 40 и 53 от 2002 г., бр. 48 и 70 от 2004 г., бр. 77, 83 и 103 от 2005 г., бр. 30, 36, 62 и 108 от 2006 г., бр. 41 от 2007 г., бр. 13, 43 и 69 от 2008 г., бр. 42, 74 и 99 от 2009 г., бр. 38, 50, 56, 63 и 101 от 2010 г., бр. 61 и 99 от 2011 г., бр. 60 и 102 от 2012 г., бр. 15, 63, 68 и 101 от 2013 г., бр. 54, 66 и 107 от 2014 г., бр. 56 и 79 от 2015 г., бр. 17 и 98 от 2016 г., бр. 17, 30, 86 и 98 от 2018 г., бр. 17 от 2020 г., бр. 18, 56 и 102 от 2022 г., бр. 108 от 2023 г., бр. 23, 25, 27 и 39 от 2024 г., бр. 26, 51 и 63 от 2025 г. и бр. 16, 51 и 55 от 2026 г.), в чл. 90а думите „в размер не по-малък от 0,9 на сто от брутния вътрешен продукт“ се заличават.</w:t>
      </w:r>
    </w:p>
    <w:p w14:paraId="20AE678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15. В Закона за вероизповеданията</w:t>
      </w:r>
      <w:r w:rsidRPr="00761800">
        <w:rPr>
          <w:rFonts w:ascii="Times New Roman" w:eastAsia="Calibri" w:hAnsi="Times New Roman"/>
          <w:sz w:val="22"/>
          <w:szCs w:val="22"/>
        </w:rPr>
        <w:t xml:space="preserve"> (Обн., ДВ, бр. 120 от 29.12.2002 г., изм., бр. 33 от 21.04.2006 г., бр. 59 от 20.07.2007 г., в сила от 1.03.2008 г., бр. 74 от 15.09.2009 г., в сила от 15.09.2009 г., бр. 68 от 2.08.2013 г., в сила от 2.08.2013 г., бр. 61 от 11.08.2015 г., бр. 79 от 13.10.2015 г., в сила от 1.08.2016 г., изм. и доп., бр. 108 от 29.12.2018 г., в сила от 1.01.2019 г., бр. 29 от 8.04.2019 г., изм., бр. 34 от 23.04.2019 г., бр. 28 от 24.03.2020 г., в сила от 13.03.2020 г., бр. 18 от 4.03.2022 г., в сила от 4.03.2022 г., бр. 66 от 1.08.2023 г., в сила от 1.01.2023 г., бр. 108 от 30.12.2023 г., в сила от 1.01.2024 г., изм. и доп., бр. 10 от 4.02.2025 г., в сила от 4.02.2025 г., изм., бр. 26 от 27.03.2025 г., в сила от 1.01.2025 г.), в чл. 28, ал. 2, т. 2 думите „20 лева“ се заменят със „7,7 евро“.</w:t>
      </w:r>
    </w:p>
    <w:p w14:paraId="5DC6F4C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lastRenderedPageBreak/>
        <w:t xml:space="preserve">§ 16. В Закона за изменение и допълнение на Закона за администрацията </w:t>
      </w:r>
      <w:r w:rsidRPr="00761800">
        <w:rPr>
          <w:rFonts w:ascii="Times New Roman" w:eastAsia="Calibri" w:hAnsi="Times New Roman"/>
          <w:sz w:val="22"/>
          <w:szCs w:val="22"/>
        </w:rPr>
        <w:t>(обн., ДВ, бр. 15 от 2012 г.; изм. и доп., бр. 96 от 2015 г., бр. 57 и 98 от 2016 г., бр. 85 от 2017 г., бр. 80 от 2018 г., бр. 88 от 2023 г., бр. 33 от 2024 г., бр. 81 от 2025 г. и бр. 30 от 2026 г.), в § 16 от Преходните и заключителните разпоредби ал. 10 и 11 (ДВ, бр. 30 от 2026 г.) се отменят.</w:t>
      </w:r>
    </w:p>
    <w:p w14:paraId="34A9090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xml:space="preserve">§ 17. В Закона за държавния служител </w:t>
      </w:r>
      <w:r w:rsidRPr="00761800">
        <w:rPr>
          <w:rFonts w:ascii="Times New Roman" w:eastAsia="Calibri" w:hAnsi="Times New Roman"/>
          <w:sz w:val="22"/>
          <w:szCs w:val="22"/>
        </w:rPr>
        <w:t>(обн., ДВ, бр. 67 от 1999 г.; изм., бр. 1 от 2000 г., бр. 25, 99 и 110 от 2001 г., бр. 45 от 2002 г., бр. 95 от 2003 г., бр. 70 от 2004 г., бр. 19 от 2005 г., бр. 24, 30 и 102 от 2006 г., бр. 59 и 64 от 2007 г., бр. 43, 94 и 108 от 2008 г., бр. 35, 42, 74 и 103 от 2009 г., бр. 15, 46, 58 и 77 от 2010 г.; Решение № 12 на Конституционния съд от 2010 г. - бр. 91 от 2010 г.; изм., бр. 97 от 2010 г., бр. 1, 18 и 100 от 2011 г., бр. 15, 20, 38 и 82 от 2012 г., бр. 15 и 68 от 2013 г., бр. 14, 24, 54 и 98 от 2015 г.; Решение № 5 на Конституционния съд от 2016 г. - бр. 38 от 2016 г.; изм., бр. 57, 81 и 105 от 2016 г., бр. 86 и 103 от 2017 г., бр. 7, 30, 38, 77 и 103 от 2018 г.; Решение № 3 на Конституционния съд от 2019 г. - бр. 23 от 2019 г.; изм., бр. 79 и 100 от 2019 г., бр. 13, 28, 44, 104, 107 и 109 от 2020 г., бр. 84 и 85 от 2023 г., бр. 16 и 51 от 2026 г.), в чл. 38, ал. 2 думите „за сметка на съответните бюджети“ се заменят с „по реда на Кодекса за социално осигуряване и Закона за здравното осигуряване“.</w:t>
      </w:r>
    </w:p>
    <w:p w14:paraId="53CC14C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18. В Закона за енергетиката</w:t>
      </w:r>
      <w:r w:rsidRPr="00761800">
        <w:rPr>
          <w:rFonts w:ascii="Times New Roman" w:eastAsia="Calibri" w:hAnsi="Times New Roman"/>
          <w:sz w:val="22"/>
          <w:szCs w:val="22"/>
        </w:rPr>
        <w:t xml:space="preserve"> (обн., ДВ, бр. 107 от 2003 г.; изм., бр. 18 от 2004 г., бр. 18 и 95 от 2005 г., бр. 30, 65 и 74 от 2006 г., бр. 49, 55 и 59 от 2007 г., бр. 36, 43 и 98 от 2008 г., бр. 35, 41, 42, 82 и 103 от 2009 г., бр. 54 и 97 от 2010 г., бр. 35 и 47 от 2011 г., бр. 38, 54 и 82 от 2012 г., бр. 15, 20, 23, 59 и 66 от 2013 г., бр. 98 от 2014 г., бр. 14, 17, 35, 48 и 56 от 2015 г., бр. 42, 47 и 105 от 2016 г., бр. 51, 58, 102 и 103 от 2017 г., бр. 7, 38, 57, 64, 77, 83, 91 и 103 от 2018 г., бр. 17, 41 и 79 от 2019 г., бр. 25, 38 и 57 от 2020 г., бр. 9 и 21 от 2021 г., бр. 8, 9, 99 и 102 от 2022 г., бр. 11, 82, 84, 86 и 96 от 2023 г., бр. 16, 27 и 39 от 2024 г., бр. 26, 44, 47, 67, 81 и 95 от 2025 г. и бр. 16, 51 и 55 от 2026 г.) се правят следните изменения:</w:t>
      </w:r>
    </w:p>
    <w:p w14:paraId="5745075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В чл. 12 ал. 5 се изменя така:</w:t>
      </w:r>
    </w:p>
    <w:p w14:paraId="0E370BD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Председателят на комисията получава основно месечно възнаграждение, равно на 88 на сто от основното месечно възнаграждение на председателя на Народното събрание, а останалите членове получават основно месечно възнаграждение, равно на 86 на сто от основното месечно възнаграждение на заместник-председателя на Народното събрание.“</w:t>
      </w:r>
    </w:p>
    <w:p w14:paraId="70CE074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В чл. 36в, ал. 11 т. 1 се изменя така:</w:t>
      </w:r>
    </w:p>
    <w:p w14:paraId="2AFA164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председателят на фонда получава основно месечно възнаграждение, равно на 94 на сто от основното месечно възнаграждение на председателя на Народното събрание.“</w:t>
      </w:r>
    </w:p>
    <w:p w14:paraId="5735290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19. В Закона за безопасно използване на ядрената енергия</w:t>
      </w:r>
      <w:r w:rsidRPr="00761800">
        <w:rPr>
          <w:rFonts w:ascii="Times New Roman" w:eastAsia="Calibri" w:hAnsi="Times New Roman"/>
          <w:sz w:val="22"/>
          <w:szCs w:val="22"/>
        </w:rPr>
        <w:t xml:space="preserve"> (обн., ДВ, бр. 63 и 120 от 2002 г., бр. 70 от 2004 г., бр. 76, 88 и 105 от 2005 г., бр. 30 от 2006 г., бр. 11 и 109 от 2007 г., бр. 36 и 67 от 2008 г., бр. 42 и 74 от 2009 г., бр. 80, 87, 88 и бр. 97 от 2010 г., бр. 26 от 2011 г., бр. 38 и 82 от 2012 г., бр. 15, 66 и 68 от 2013 г., бр. 98 от 2014 г., бр. 14 от 2015 г., бр. 58, 99, 102 и 103 от 2017 г., бр. 7 и 77 от 2018 г., бр. 17 от 2020 г., бр. 102 от 2022 г., бр. 84, 86 и 102 от 2023 г., бр. 27 и 70 от 2024 г., бр. 16 и 51 от 2026 г.), в чл. 6 ал. 4 се изменя така:</w:t>
      </w:r>
    </w:p>
    <w:p w14:paraId="2D75160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Председателят на агенцията получава основно месечно възнаграждение, равно на 95 на сто от основното месечно възнаграждение на народен представител, а заместник-председателите на агенцията получават основно месечно възнаграждение, равно на 90 на сто от основното месечно възнаграждение на народен представител.“</w:t>
      </w:r>
    </w:p>
    <w:p w14:paraId="7FDB658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20. В Закона за Комисията за финансов надзор</w:t>
      </w:r>
      <w:r w:rsidRPr="00761800">
        <w:rPr>
          <w:rFonts w:ascii="Times New Roman" w:eastAsia="Calibri" w:hAnsi="Times New Roman"/>
          <w:sz w:val="22"/>
          <w:szCs w:val="22"/>
        </w:rPr>
        <w:t xml:space="preserve"> (обн., ДВ, бр. 8 от 2003 г.; изм., бр. 31, 67 и 112 от 2003 г., бр. 85 от 2004 г., бр. 39, 103 и 105 от 2005 г., бр. 30, 56, 59 и 84 от 2006 г., бр. 52, 97 и 109 от 2007 г., бр. 67 от 2008 г., бр. 24 и 42 от 2009 г., бр. 43 и 97 от 2010 г., бр. 77 от 2011 г., бр. 21, </w:t>
      </w:r>
      <w:r w:rsidRPr="00761800">
        <w:rPr>
          <w:rFonts w:ascii="Times New Roman" w:eastAsia="Calibri" w:hAnsi="Times New Roman"/>
          <w:sz w:val="22"/>
          <w:szCs w:val="22"/>
        </w:rPr>
        <w:lastRenderedPageBreak/>
        <w:t>38, 60, 102 и 103 от 2012 г., бр. 15 и 109 от 2013 г., бр. 34, 62 и 102 от 2015 г., бр. 42 и 76 от 2016 г.; Решение № 10 на Конституционния съд от 2017 г. – бр. 57 от 2017 г.; изм., бр. 62, 92, 95 и 103 от 2017 г., бр. 7, 15, 24, 27, 77 и 101 от 2018 г., бр. 12, 17, 42, 83, 94 и 102 от 2019 г., бр. 26 и 64 от 2020 г., бр. 21 от 2021 г., бр. 16, 25 и 51 от 2022 г., бр. 8, 60, 65, 84 и 85 от 2023 г., бр. 26, 31, 49, 54, 63, 67 и 99 от 2025 г., бр. 16 и 25 от 2026 г.), в чл. 7 се правят следните изменения:</w:t>
      </w:r>
    </w:p>
    <w:p w14:paraId="1ED3F65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Алинея 1 се изменя така:</w:t>
      </w:r>
    </w:p>
    <w:p w14:paraId="449D537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Председателят на Комисията получава основно месечно възнаграждение в размер 95 на сто от основното месечно възнаграждение на президента на Република България. Заместник-председателите получават основно месечно възнаграждение в размер  95 на сто, а членът на Комисията по чл. 3, т. 5 - в размер 90 на сто от основното месечно възнаграждение на председателя на Комисията.“</w:t>
      </w:r>
    </w:p>
    <w:p w14:paraId="62981ED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Алинея 3 се отменя.</w:t>
      </w:r>
    </w:p>
    <w:p w14:paraId="00E364A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21. В Закона за съдебната власт</w:t>
      </w:r>
      <w:r w:rsidRPr="00761800">
        <w:rPr>
          <w:rFonts w:ascii="Times New Roman" w:eastAsia="Calibri" w:hAnsi="Times New Roman"/>
          <w:sz w:val="22"/>
          <w:szCs w:val="22"/>
        </w:rPr>
        <w:t xml:space="preserve"> (обн., ДВ, бр. 64 от 2007 г.; изм., бр. 69 и 109 от 2008 г., бр. 25, 33, 42, 102 и 103 от 2009 г., бр. 59 от 2010 г., бр. 1, 23, 32, 45, 81 и 82 от 2011 г.; Решение № 10 на Конституционния съд от 2011 г. – бр. 93 от 2011 г.; изм., бр. 20, 50 и 81 от 2012 г., бр. 15, 17, 30, 52, 66, 70 и 71 от 2013 г., бр. 19, 21, 53, 98 и 107 от 2014 г., бр. 14 от 2015 г., бр. 28, 39, 50, 62 и 76 от 2016 г., бр. 13 от 2017 г.; Решение № 1 на Конституционния съд от 2017 г. – бр. 14 от 2017 г.; изм. и доп., бр. 63, 65, 85, 90 и 103 от 2017 г., бр. 7, 15, 49 и 77 от 2018 г., бр. 17 от 2019 г.; Решение № 2 на Конституционния съд от 2019 г. – бр. 19 от 2019 г.; изм., бр. 29, 64 и 83 от 2019 г., бр. 11, 86, 103, 109 и 110 от 2020 г., бр. 16 от 2021 г.; Решение № 7 на Конституционния съд от 2021 г. – бр. 41 от 2021 г.; Решение № 6 на Конституционния съд от 2021 г. – бр. 43 от 2021 г.; изм., бр. 80 от 2021 г., бр. 15, 24 и 32 от 2022 г.; Решение № 7 на Конституционния съд от 2021 г. – бр. 56 от 2022 г.; изм., бр. 62 от 2022 г., бр. 11, 48, 66, 69, 84, 86 и 108 от 2023 г., бр. 18 и 67 от 2024 г., бр. 6, 63, 65 и 87 от 2025 г. и бр. 17 от 2026 г.) се правят следните изменения:</w:t>
      </w:r>
    </w:p>
    <w:p w14:paraId="2E988ED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В чл. 218, ал. 2 думите „удвоената средномесечна заплата на заетите лица в бюджетната сфера съгласно данните на Националния статистически институт“ се заменят с „60 на сто от основното месечно възнаграждение на народен представител“.</w:t>
      </w:r>
    </w:p>
    <w:p w14:paraId="2DACAED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В чл. 224, ал. 1 думите „за сметка на бюджета на съдебната власт“ се заменят с „по реда на Кодекса за социално осигуряване и Закона за здравното осигуряване“.</w:t>
      </w:r>
    </w:p>
    <w:p w14:paraId="54BC403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В чл. 258а ал. 5 се изменя така:</w:t>
      </w:r>
    </w:p>
    <w:p w14:paraId="54F75DF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Кандидатите за младши съдии, младши прокурори и младши следователи за периода на обучението им по чл. 249, ал. 1, т. 1 се осигуряват по реда на Кодекса за социално осигуряване и Закона за здравното осигуряване, а се застраховат срещу злополука за сметка на бюджета на съдебната власт.“</w:t>
      </w:r>
    </w:p>
    <w:p w14:paraId="30DCE43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В чл. 277 ал. 2 се изменя така:</w:t>
      </w:r>
    </w:p>
    <w:p w14:paraId="252CB64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Задължителното обществено и здравно осигуряване на държавните съдебни изпълнители се извършва по реда на Кодекса за социално осигуряване и Закона за здравното осигуряване. Застраховането им срещу злополука при или по повод изпълнение на служебните им задължения се извършва за сметка на бюджета на съдебната власт.“</w:t>
      </w:r>
    </w:p>
    <w:p w14:paraId="3F598B8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В чл. 292 ал. 2 се изменя така:</w:t>
      </w:r>
    </w:p>
    <w:p w14:paraId="694A635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„(2) Задължителното обществено и здравно осигуряване на съдиите по вписванията се извършва по реда на Кодекса за социално осигуряване и Закона за здравното осигуряване. Застраховането им срещу злополука при или по повод изпълнение на служебните им задължения се извършва за сметка на бюджета на съдебната власт.“</w:t>
      </w:r>
    </w:p>
    <w:p w14:paraId="65D16A9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6. В чл. 351, ал. 1 думите „за сметка на бюджета на съдебната власт“ се заменят с „по реда на Кодекса за социално осигуряване и Закона за здравното осигуряване.“</w:t>
      </w:r>
    </w:p>
    <w:p w14:paraId="2DF27A2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22.</w:t>
      </w:r>
      <w:r w:rsidRPr="00761800">
        <w:rPr>
          <w:rFonts w:ascii="Times New Roman" w:eastAsia="Calibri" w:hAnsi="Times New Roman"/>
          <w:sz w:val="22"/>
          <w:szCs w:val="22"/>
        </w:rPr>
        <w:t xml:space="preserve"> За 2026 г. разпоредбите на чл. 212, ал. 3 и чл. 295, ал. 4 от Закона за отбраната и въоръжените сили на Република България относно определяне на съответната база не се прилагат, а се запазват основните месечни възнаграждения на военнослужещите и основните месечни заплати на цивилните служители, индексирани при условията и по реда на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w:t>
      </w:r>
    </w:p>
    <w:p w14:paraId="4A45AB9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xml:space="preserve">§ 23. </w:t>
      </w:r>
      <w:r w:rsidRPr="00761800">
        <w:rPr>
          <w:rFonts w:ascii="Times New Roman" w:eastAsia="Calibri" w:hAnsi="Times New Roman"/>
          <w:sz w:val="22"/>
          <w:szCs w:val="22"/>
        </w:rPr>
        <w:t>(1) За 2026 г. разпоредбите на чл. 177, ал. 2 и чл. 180, ал. 2 от Закона за Министерството на вътрешните работи относно определяне на съответната база не се прилагат, а се запазват основните месечни възнаграждения на държавните служители на МВР и основните месечни заплати на лицата, работещи по трудово правоотношение, индексирани при условията и по реда на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w:t>
      </w:r>
    </w:p>
    <w:p w14:paraId="6DD5D11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За 2026 г. ал. 1 се прилага и за лицата, чиито възнаграждения и основни месечни заплати се определят по реда на Закона за Министерството на вътрешните работи.</w:t>
      </w:r>
    </w:p>
    <w:p w14:paraId="3EC379D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xml:space="preserve">§ 24. </w:t>
      </w:r>
      <w:r w:rsidRPr="00761800">
        <w:rPr>
          <w:rFonts w:ascii="Times New Roman" w:eastAsia="Calibri" w:hAnsi="Times New Roman"/>
          <w:sz w:val="22"/>
          <w:szCs w:val="22"/>
        </w:rPr>
        <w:t>За 2026 г. разпоредбата на чл. 64, ал. 3 от Закона за Националната служба за охрана относно определяне на съответната база не се прилага, а се запазват основните месечни възнаграждения на офицерите и сержантите в НСО, индексирани при условията и по реда на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w:t>
      </w:r>
    </w:p>
    <w:p w14:paraId="6C26B56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25. В Закона за правната помощ</w:t>
      </w:r>
      <w:r w:rsidRPr="00761800">
        <w:rPr>
          <w:rFonts w:ascii="Times New Roman" w:eastAsia="Calibri" w:hAnsi="Times New Roman"/>
          <w:sz w:val="22"/>
          <w:szCs w:val="22"/>
        </w:rPr>
        <w:t xml:space="preserve"> (обн., ДВ, бр. 79 от 4.10.2005 г., в сила от 1.01.2006 г., изм., бр. 105 от 29.12.2005 г., в сила от 1.01.2006 г., бр. 17 от 24.02.2006 г., в сила от 1.05.2006 г., бр. 30 от 11.04.2006 г., в сила от 12.07.2006 г., изм. и доп., бр. 42 от 5.06.2009 г., бр. 32 от 27.04.2010 г., в сила от 28.05.2010 г., изм., бр. 97 от 10.12.2010 г., в сила от 10.12.2010 г., доп., бр. 99 от 17.12.2010 г., в сила от 1.01.2011 г., изм., бр. 9 от 28.01.2011 г., доп., бр. 82 от 21.10.2011 г., в сила от 1.01.2012 г., изм., бр. 99 от 16.12.2011 г., в сила от 1.01.2012 г., доп., бр. 82 от 26.10.2012 г., изм., бр. 15 от 15.02.2013 г., в сила от 1.01.2014 г., изм. и доп., бр. 28 от 19.03.2013 г., изм., бр. 53 от 27.06.2014 г., доп., бр. 97 от 6.12.2016 г., изм. и доп., бр. 13 от 7.02.2017 г., изм., бр. 63 от 4.08.2017 г., в сила от 5.11.2017 г., бр. 7 от 19.01.2018 г., изм. и доп., бр. 56 от 6.07.2018 г., доп., бр. 77 от 18.09.2018 г., в сила от 1.01.2019 г., изм. и доп., бр. 92 от 6.11.2018 г., изм., бр. 24 от 22.03.2019 г., в сила от 1.07.2020 г. - изм., бр. 101 от 27.12.2019 г.; изм. и доп., бр. 102 от 23.12.2022 г., доп., бр. 11 от 2.02.2023 г., в сила от 4.05.2023 г., изм. и доп., бр. 66 от 1.08.2023 г., в сила от 1.08.2023 г., изм., бр. 84 от 6.10.2023 г., в сила от 6.10.2023 г., доп., бр. 18 от 1.03.2024 г., изм., бр. 16 от 10.02.2026 г., бр. 51 от 5.06.2026 г., в сила от 5.06.2026 г.), в чл. 15 ал. 2 се изменя така:</w:t>
      </w:r>
    </w:p>
    <w:p w14:paraId="2409168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Възнаграждението на председателя и на заместник-председателя се определя от Министерския съвет в акта по чл. 11, ал. 2.“</w:t>
      </w:r>
    </w:p>
    <w:p w14:paraId="0BB19C8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lastRenderedPageBreak/>
        <w:t>§ 26. В Закона за защита на личните данни</w:t>
      </w:r>
      <w:r w:rsidRPr="00761800">
        <w:rPr>
          <w:rFonts w:ascii="Times New Roman" w:eastAsia="Calibri" w:hAnsi="Times New Roman"/>
          <w:sz w:val="22"/>
          <w:szCs w:val="22"/>
        </w:rPr>
        <w:t xml:space="preserve"> (обн., ДВ, бр. 1 от 2002 г.; изм., бр. 70 и 93 от 2004 г., бр. 43 и 103 от 2005 г., бр. 30 и 91 от 2006 г., бр. 57 от 2007 г., бр. 42 от 2009 г., бр. 94 и 97 от 2010 г., бр. 39, 81 и 105 от 2011 г., бр. 15 от 2013 г., бр. 81 от 2016 г., бр. 85 и 103 от 2017 г., бр. 7 от 2018 г., бр. 17 от 2019 г.; Решение № 8 на Конституционния съд от 2019 г. – бр. 93 от 2019 г.; изм., бр. 11 и 84 от 2023 г., бр. 70 от 2024 г. и бр. 16 от 2026 г.), в чл. 7 ал. 4 се изменя така:</w:t>
      </w:r>
    </w:p>
    <w:p w14:paraId="37CD861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Членовете на комисията получават основно месечно възнаграждение, равно на основното месечно възнаграждение на народен представител.“</w:t>
      </w:r>
    </w:p>
    <w:p w14:paraId="629EAF1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xml:space="preserve">§ 27. В Закона за радиото и телевизията </w:t>
      </w:r>
      <w:r w:rsidRPr="00761800">
        <w:rPr>
          <w:rFonts w:ascii="Times New Roman" w:eastAsia="Calibri" w:hAnsi="Times New Roman"/>
          <w:sz w:val="22"/>
          <w:szCs w:val="22"/>
        </w:rPr>
        <w:t>(обн., ДВ, бр. 138 от 1998 г.; Решение № 10 на Конституционния съд от 1999 г. – бр. 60 от 1999 г.; изм., бр. 81 от 1999 г., бр. 79 от 2000 г., бр. 96 и 112 от 2001 г., бр. 77 и 120 от 2002 г., бр. 99 и 114 от 2003 г., бр. 99 и 115 от 2004 г., бр. 88, 93 и 105 от 2005 г., бр. 21, 34, 70, 80, 105 и 108 от 2006 г., бр. 10, 41, 53 и 113 от 2007 г., бр. 110 от 2008 г., бр. 14, 37, 42 и 99 от 2009 г., бр. 12, 47, 97, 99 и 101 от 2010 г., бр. 28, 99 и 105 от 2011 г., бр. 38 и 102 от 2012 г., бр. 15, 17 и 27 от 2013 г.; Решение № 8 на Конституционния съд от 2013 г. – бр. 91 от 2013 г.; изм., бр. 109 от 2013 г., бр. 19 и 107 от 2014 г., бр. 96 от 2015 г., бр. 46, 61, 98 и 103 от 2016 г., бр. 8, 63, 75, 92 и 99 от 2017 г., бр. 7, 27, 44, 77, 103 и 106 от 2018 г., бр. 100 от 2019 г., бр. 68, 104 и 109 от 2020 г., бр. 20 от 2021 г., бр. 8 и 104 от 2022 г., бр. 84, 100 и 108 от 2023 г., бр. 42 от 2024 г. , бр. 6, 99 и 113 от 2025 г.), в чл. 41 се правят следните изменения:</w:t>
      </w:r>
    </w:p>
    <w:p w14:paraId="7CAF29A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В ал. 1 думите „равняващ се на три средномесечни заплати на заетите лица в народното стопанство по данни на Националния статистически институт“ се заменят с „основното месечно възнаграждение на народен представител“.</w:t>
      </w:r>
    </w:p>
    <w:p w14:paraId="66DD6C3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Алинея 3 се отменя.</w:t>
      </w:r>
    </w:p>
    <w:p w14:paraId="578C782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xml:space="preserve">§ 28. В Закона за Фискален съвет и автоматични корективни механизми </w:t>
      </w:r>
      <w:r w:rsidRPr="00761800">
        <w:rPr>
          <w:rFonts w:ascii="Times New Roman" w:eastAsia="Calibri" w:hAnsi="Times New Roman"/>
          <w:sz w:val="22"/>
          <w:szCs w:val="22"/>
        </w:rPr>
        <w:t xml:space="preserve">(обн., ДВ, бр. 29 от 2015 г.; изм. и доп., бр. 43 от 2016 г., бр. 103 от 2017 г., бр. 15 от 2018 г., бр. 13 от 2019 г. и бр. 16 от 2026 г.) чл. 16 се изменя така: </w:t>
      </w:r>
    </w:p>
    <w:p w14:paraId="42E96C2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„Чл. 16. Председателят и членовете на Съвета получават месечно възнаграждение, което е не повече от основното месечно възнаграждение на народен представител.“</w:t>
      </w:r>
    </w:p>
    <w:p w14:paraId="0FE69F5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29. В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w:t>
      </w:r>
      <w:r w:rsidRPr="00761800">
        <w:rPr>
          <w:rFonts w:ascii="Times New Roman" w:eastAsia="Calibri" w:hAnsi="Times New Roman"/>
          <w:sz w:val="22"/>
          <w:szCs w:val="22"/>
        </w:rPr>
        <w:t xml:space="preserve"> (обн., ДВ, бр. 102 от 2006 г.; изм., бр. 41, 57 и 109 от 2007 г., бр. 69 от 2008 г., бр. 25, 35, 42, 82 и 93 от 2009 г., бр. 18, 54 и 97 от 2010 г., бр. 23, 32 и 48 от 2011 г., бр. 25, 38, 87 и 103 от 2012 г., бр. 15 от 2013 г., бр. 53 от 2014 г., бр. 79 от 2015 г., бр. 71 от 2016 г., бр. 13 и 103 от 2017 г., бр. 7 от 2018 г., бр. 17 и 79 от 2019 г., бр. 69 от 2020 г., бр. 23 от 2021 г., бр. 43 от 2022 г., бр. 84 и 88 от 2023 г., бр. 16 и 25 от 2026 г.), в чл. 15 ал. 1 се изменя така:</w:t>
      </w:r>
    </w:p>
    <w:p w14:paraId="1D7B5C3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Членовете на комисията получават основно месечно възнаграждение, равно на основното месечно възнаграждение на народен представител.“</w:t>
      </w:r>
    </w:p>
    <w:p w14:paraId="208C954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30. В Закона за защита на класифицираната информация</w:t>
      </w:r>
      <w:r w:rsidRPr="00761800">
        <w:rPr>
          <w:rFonts w:ascii="Times New Roman" w:eastAsia="Calibri" w:hAnsi="Times New Roman"/>
          <w:sz w:val="22"/>
          <w:szCs w:val="22"/>
        </w:rPr>
        <w:t xml:space="preserve"> (обн., ДВ, бр. 45 от 2002 г.; попр., бр. 5 от 2003 г.; изм., бр. 31 от 2003 г., бр. 52, 55 и 89 от 2004 г., бр. 17 и 82 от 2006 г., бр. 46, 57, 95 и 109 от 2007 г., бр. 36, 66, 69 и 109 от 2008 г., бр. 35, 42, 82 и 93 от 2009 г., бр. 16 и 88 от 2010 г., бр. 23, 48 и 80 от 2011 г., бр. 44 и 103 от 2012 г., бр. 52 и 70 от 2013 г., бр. 49 и 53 от 2014 г., бр. 14, 61 и 79 от 2015 г., бр. 28 от 2016 г.; Решение № 7 на Конституционния съд от 2016 г. – бр. 49 от 2016 г.; изм., бр. 62, 71 и 81 от 2016 г., бр. 97 и 103 от 2017 г., бр. 7, 17, 44, 77 и 88 от 2018 г., бр. 17 от 2019 г., бр. 60, 69 и 105 от 2020 г., бр. 80 от 2021 г., бр. 62 от 2022 г., бр. 84 от 2023 г., бр. 13 от 2024 г. и бр. 16 от 2026 г.), в чл. 6а ал. 3 се отменя.</w:t>
      </w:r>
    </w:p>
    <w:p w14:paraId="4C467CBC"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
          <w:bCs/>
          <w:sz w:val="22"/>
          <w:szCs w:val="22"/>
        </w:rPr>
        <w:lastRenderedPageBreak/>
        <w:t>§ 31. В Закона за акцизите и данъчните складове</w:t>
      </w:r>
      <w:r w:rsidRPr="00761800">
        <w:rPr>
          <w:rFonts w:ascii="Times New Roman" w:eastAsia="Calibri" w:hAnsi="Times New Roman"/>
          <w:bCs/>
          <w:sz w:val="22"/>
          <w:szCs w:val="22"/>
        </w:rPr>
        <w:t xml:space="preserve"> (обн., ДВ, бр. 91 от 2005 г.; изм., бр. 105 от 2005 г., бр. 30, 34, 63, 80, 81, 105 и 108 от 2006 г., бр. 31, 53, 108 и 109 от 2007 г., бр. 36 и 106 от 2008 г., бр. 6, 24, 44 и 95 от 2009 г., бр. 55 и 94 от 2010 г., бр. 19, 35, 82 и 99 от 2011 г., бр. 29, 54 и 94 от 2012 г., бр. 15, 101 и 109 от 2013 г., бр. 1 и 105 от 2014 г., бр. 30, 92 и 95 от 2015 г., бр. 45, 58, 95 и 97 от 2016 г., бр. 9, 58, 63, 92, 97 и 103 от 2017 г., бр. 24, 62, 65, 98 и 103 от 2018 г., бр. 7, 17, 33, 96 и 100 от 2019 г., бр. 9, 14, 18, 28, 44, 65 и 104 от 2020 г., бр. 77 от 2021 г., бр. 12, 42, 52, 100 и 102 от 2022 г., бр. 8, 54, 66, 82, 86, 96, 102, 105 и 106 от 2023 г., бр. 11, 23 и 70 от 2024 г. и бр. 26 и 54 от 2025 г.) се правят следните изменения:</w:t>
      </w:r>
    </w:p>
    <w:p w14:paraId="472C12E3"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 xml:space="preserve">1. </w:t>
      </w:r>
      <w:hyperlink r:id="rId11" w:tooltip="Практика" w:history="1"/>
      <w:r w:rsidRPr="00761800">
        <w:rPr>
          <w:rFonts w:ascii="Times New Roman" w:eastAsia="Calibri" w:hAnsi="Times New Roman"/>
          <w:bCs/>
          <w:sz w:val="22"/>
          <w:szCs w:val="22"/>
        </w:rPr>
        <w:t>Член 37 се изменя така:</w:t>
      </w:r>
    </w:p>
    <w:p w14:paraId="00DD591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„Чл. 37. Акцизната ставка за пури и пурети е, както следва:</w:t>
      </w:r>
    </w:p>
    <w:p w14:paraId="46AFC44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223 евро за 1000 къса от 1 август 2026 г.;</w:t>
      </w:r>
    </w:p>
    <w:p w14:paraId="6009105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235 евро за 1000 къса от 1 март 2027 г.;</w:t>
      </w:r>
    </w:p>
    <w:p w14:paraId="56C3A76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246 евро за 1000 къса от 1 януари 2028 г.“</w:t>
      </w:r>
    </w:p>
    <w:p w14:paraId="2AFADCB0" w14:textId="77777777" w:rsidR="00761800" w:rsidRPr="00761800" w:rsidRDefault="00761800" w:rsidP="00761800">
      <w:pPr>
        <w:spacing w:after="120"/>
        <w:jc w:val="both"/>
        <w:rPr>
          <w:rFonts w:ascii="Times New Roman" w:eastAsia="Calibri" w:hAnsi="Times New Roman"/>
          <w:sz w:val="22"/>
          <w:szCs w:val="22"/>
        </w:rPr>
      </w:pPr>
      <w:bookmarkStart w:id="0" w:name="p53817162"/>
      <w:bookmarkEnd w:id="0"/>
      <w:r w:rsidRPr="00761800">
        <w:rPr>
          <w:rFonts w:ascii="Times New Roman" w:eastAsia="Calibri" w:hAnsi="Times New Roman"/>
          <w:sz w:val="22"/>
          <w:szCs w:val="22"/>
        </w:rPr>
        <w:t>2. Член 38 се изменя така:</w:t>
      </w:r>
    </w:p>
    <w:p w14:paraId="74F1087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„Чл. 38. (1) Акцизната ставка за тютюн за пушене (за лула и цигари) е, както следва:</w:t>
      </w:r>
    </w:p>
    <w:p w14:paraId="5DDF278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130 евро за килограм от 1 август 2026 г.;</w:t>
      </w:r>
    </w:p>
    <w:p w14:paraId="54FC65F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138 евро за килограм от 1 март 2027 г.;</w:t>
      </w:r>
    </w:p>
    <w:p w14:paraId="71DFD11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146 евро за килограм от 1 януари 2028 г.</w:t>
      </w:r>
    </w:p>
    <w:p w14:paraId="3264AFC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 (2) Акцизната ставка за нагреваеми тютюневи изделия е, както следва:</w:t>
      </w:r>
    </w:p>
    <w:p w14:paraId="5BB8321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225 евро за килограм от 1 август 2026 г.;</w:t>
      </w:r>
    </w:p>
    <w:p w14:paraId="4466A38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235 евро за килограм от 1 март 2027 г.;</w:t>
      </w:r>
    </w:p>
    <w:p w14:paraId="309C3F9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3. 251 евро за килограм от 1 януари 2028 г. </w:t>
      </w:r>
    </w:p>
    <w:p w14:paraId="754083F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Акцизната ставка за течност за електронна цигара, независимо дали съдържа никотин, е, както следва:</w:t>
      </w:r>
    </w:p>
    <w:p w14:paraId="4714254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0,28 евро за милилитър от 1 август 2026 г.;</w:t>
      </w:r>
    </w:p>
    <w:p w14:paraId="6AE5E5D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0,31 евро за милилитър от 1 март 2027 г.;</w:t>
      </w:r>
    </w:p>
    <w:p w14:paraId="10AF179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0,34 евро за милилитър от 1 януари 2028 г.</w:t>
      </w:r>
    </w:p>
    <w:p w14:paraId="2827BA7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Акцизната ставка за заместител на тютюна, съдържащ никотин до 20 мг включително на единица продукт, е, както следва:</w:t>
      </w:r>
    </w:p>
    <w:p w14:paraId="1729483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20 евро за килограм от 1 август 2026 г.;</w:t>
      </w:r>
    </w:p>
    <w:p w14:paraId="25C334E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2. 23 евро за килограм от 1 март 2027 г.;</w:t>
      </w:r>
    </w:p>
    <w:p w14:paraId="4CD2399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28 евро за килограм от 1 януари 2028 г.</w:t>
      </w:r>
    </w:p>
    <w:p w14:paraId="37F9543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Акцизната ставка за заместител на тютюна, съдържащ никотин над 20 мг на единица продукт, е, както следва:</w:t>
      </w:r>
    </w:p>
    <w:p w14:paraId="7320987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64 евро за килограм от 1 август 2026 г.;</w:t>
      </w:r>
    </w:p>
    <w:p w14:paraId="44853EC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69 евро за килограм от 1 март 2027 г.;</w:t>
      </w:r>
    </w:p>
    <w:p w14:paraId="46C651C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73 евро за килограм от 1 януари 2028 г.</w:t>
      </w:r>
    </w:p>
    <w:p w14:paraId="413B1D7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 (6) Акцизната ставка за нагреваемо изделие със съдържание, различно от тютюн, е, както следва:</w:t>
      </w:r>
    </w:p>
    <w:p w14:paraId="13E5916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225 евро за килограм от 1 август 2026 г.;</w:t>
      </w:r>
    </w:p>
    <w:p w14:paraId="6908FBD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235 евро за килограм от 1 март 2027 г.;</w:t>
      </w:r>
    </w:p>
    <w:p w14:paraId="18B1F02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251 евро за килограм от 1 януари 2028 г.“.</w:t>
      </w:r>
    </w:p>
    <w:p w14:paraId="7D57A0FF"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3. Член 39 се изменя така:</w:t>
      </w:r>
    </w:p>
    <w:p w14:paraId="25C84EC0"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„Чл. 39. (1) Акцизната ставка за цигарите е, както следва:</w:t>
      </w:r>
    </w:p>
    <w:p w14:paraId="1081D5D3"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1. на специфичния акциз:</w:t>
      </w:r>
    </w:p>
    <w:p w14:paraId="5FF4AA5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 77 евро за 1000 къса от 1 август 2026 г.;</w:t>
      </w:r>
    </w:p>
    <w:p w14:paraId="483879C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б) 82 евро за 1000 къса от 1 март 2027 г.;</w:t>
      </w:r>
    </w:p>
    <w:p w14:paraId="39A5299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в) 87 евро за 1000 къса от 1 януари 2028 г.;</w:t>
      </w:r>
    </w:p>
    <w:p w14:paraId="1038DB8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на пропорционалния акциз:</w:t>
      </w:r>
    </w:p>
    <w:p w14:paraId="704A657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 21 на сто от продажната цена от 1 август 2026 г.;</w:t>
      </w:r>
    </w:p>
    <w:p w14:paraId="7123728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б) 20,5 на сто от продажната цена от 1 март 2027 г.;</w:t>
      </w:r>
    </w:p>
    <w:p w14:paraId="77EC847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в) 20 на сто от продажната цена от 1 януари 2028 г.</w:t>
      </w:r>
    </w:p>
    <w:p w14:paraId="47A2E60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Размерът на акциза по ал. 1 не трябва да е по-малък от:</w:t>
      </w:r>
    </w:p>
    <w:p w14:paraId="4F6087A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120 евро на 1000 къса от 1 август 2026 г.;</w:t>
      </w:r>
    </w:p>
    <w:p w14:paraId="45418A2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126 евро на 1000 къса от 1 март 2027 г.;</w:t>
      </w:r>
    </w:p>
    <w:p w14:paraId="7E5CFA1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132 евро за 1000 къса от 1 януари 2028 г.“.</w:t>
      </w:r>
    </w:p>
    <w:p w14:paraId="4FF41A7A" w14:textId="77777777" w:rsidR="00761800" w:rsidRPr="00761800" w:rsidRDefault="00761800" w:rsidP="00761800">
      <w:pPr>
        <w:spacing w:after="120"/>
        <w:jc w:val="both"/>
        <w:rPr>
          <w:rFonts w:ascii="Times New Roman" w:hAnsi="Times New Roman"/>
          <w:sz w:val="22"/>
          <w:szCs w:val="22"/>
        </w:rPr>
      </w:pPr>
      <w:r w:rsidRPr="00761800">
        <w:rPr>
          <w:rFonts w:ascii="Times New Roman" w:eastAsia="Calibri" w:hAnsi="Times New Roman"/>
          <w:b/>
          <w:sz w:val="22"/>
          <w:szCs w:val="22"/>
        </w:rPr>
        <w:lastRenderedPageBreak/>
        <w:t xml:space="preserve">§ 32. В Закон за данък върху добавената стойност </w:t>
      </w:r>
      <w:r w:rsidRPr="00761800">
        <w:rPr>
          <w:rFonts w:ascii="Times New Roman" w:hAnsi="Times New Roman"/>
          <w:sz w:val="22"/>
          <w:szCs w:val="22"/>
        </w:rPr>
        <w:t>(oбн., ДВ, бр. 63 от 2006 г.; изм. и доп., бр. 86, 105 и 108 от 2006 г.; Решение № 7 на Конституционния съд от 2007 г. – бр. 37 от 2007 г.; изм. и доп., бр. 41, 52, 59, 108 и 113 от 2007 г., бр. 106 от 2008 г., бр. 12, 23, 74 и 95 от 2009 г., бр. 94 и 100 от 2010 г., бр. 19, 77 и 99 от 2011 г., бр. 54, 94 и 103 от 2012 г., бр. 23, 30, 68, 98, 101, 104 и 109 от 2013 г., бр. 1, 105 и 107 от 2014 г., бр. 41, 79, 94 и 95 от 2015 г., бр. 58, 60, 74, 88, 95 и 97 от 2016 г., бр. 85, 92, 96 и 97 от 2017 г., бр. 24, 65 и 98 от 2018 г., бр. 24, 33, 96, 100, 101 и 102 от 2019 г., бр. 14, 18, 52, 55, 71, 104 и 107 от 2020 г., бр. 17 г. и 111 от 2021 г., бр. 14, 18, 52, 58, 99 и 102 от 2022 г., бр. 66, 106, 108 от 2023 г., бр. 42,70 и 79 от 2024 г. и бр. 26, 64 и 115 от 2025 г.), в чл. 10б се създават ал. 4 - 6:</w:t>
      </w:r>
    </w:p>
    <w:p w14:paraId="62A8A28B" w14:textId="77777777" w:rsidR="00761800" w:rsidRPr="00761800" w:rsidRDefault="00761800" w:rsidP="00761800">
      <w:pPr>
        <w:spacing w:after="120"/>
        <w:jc w:val="both"/>
        <w:rPr>
          <w:rFonts w:ascii="Times New Roman" w:hAnsi="Times New Roman"/>
          <w:sz w:val="22"/>
          <w:szCs w:val="22"/>
        </w:rPr>
      </w:pPr>
      <w:r w:rsidRPr="00761800">
        <w:rPr>
          <w:rFonts w:ascii="Times New Roman" w:hAnsi="Times New Roman"/>
          <w:sz w:val="22"/>
          <w:szCs w:val="22"/>
        </w:rPr>
        <w:t>„(4) Не е доставка предоставянето от ВиК оператор на община или държавен орган на услугите по изграждане, доизграждане и реконструкция на водоснабдителни системи и канализационни мрежи - публични активи, финансирани по Програма „Околна среда“ 2021-2027 г. с бенефициенти ВиК оператори.</w:t>
      </w:r>
    </w:p>
    <w:p w14:paraId="7A70A1BC" w14:textId="77777777" w:rsidR="00761800" w:rsidRPr="00761800" w:rsidRDefault="00761800" w:rsidP="00761800">
      <w:pPr>
        <w:spacing w:after="120"/>
        <w:jc w:val="both"/>
        <w:rPr>
          <w:rFonts w:ascii="Times New Roman" w:hAnsi="Times New Roman"/>
          <w:sz w:val="22"/>
          <w:szCs w:val="22"/>
        </w:rPr>
      </w:pPr>
      <w:r w:rsidRPr="00761800">
        <w:rPr>
          <w:rFonts w:ascii="Times New Roman" w:hAnsi="Times New Roman"/>
          <w:sz w:val="22"/>
          <w:szCs w:val="22"/>
        </w:rPr>
        <w:t>(5) Алинея 4 се прилага само за частта от стойността на услугите, финансирани със средства по Програма „Околна среда“ 2021-2027 г. и/или финансирани с бюджетни средства.</w:t>
      </w:r>
    </w:p>
    <w:p w14:paraId="4DF99112" w14:textId="77777777" w:rsidR="00761800" w:rsidRPr="00761800" w:rsidRDefault="00761800" w:rsidP="00761800">
      <w:pPr>
        <w:spacing w:after="120"/>
        <w:jc w:val="both"/>
        <w:rPr>
          <w:rFonts w:ascii="Times New Roman" w:hAnsi="Times New Roman"/>
          <w:sz w:val="22"/>
          <w:szCs w:val="22"/>
        </w:rPr>
      </w:pPr>
      <w:r w:rsidRPr="00761800">
        <w:rPr>
          <w:rFonts w:ascii="Times New Roman" w:hAnsi="Times New Roman"/>
          <w:sz w:val="22"/>
          <w:szCs w:val="22"/>
        </w:rPr>
        <w:t xml:space="preserve">(6) В случаите по ал. 4 ВиК операторът има право на приспадане на данъчен кредит по общите правила на закона за начисления данък за получени стоки и услуги, използвани за изграждане, доизграждане и реконструкция на водоснабдителни системи и канализационни мрежи - публични активи.“ </w:t>
      </w:r>
    </w:p>
    <w:p w14:paraId="7A3F4F67" w14:textId="77777777" w:rsidR="00761800" w:rsidRPr="00761800" w:rsidRDefault="00761800" w:rsidP="00761800">
      <w:pPr>
        <w:spacing w:after="120"/>
        <w:jc w:val="both"/>
        <w:rPr>
          <w:rFonts w:ascii="Times New Roman" w:hAnsi="Times New Roman"/>
          <w:sz w:val="22"/>
          <w:szCs w:val="22"/>
        </w:rPr>
      </w:pPr>
      <w:r w:rsidRPr="00761800">
        <w:rPr>
          <w:rFonts w:ascii="Times New Roman" w:hAnsi="Times New Roman"/>
          <w:b/>
          <w:sz w:val="22"/>
          <w:szCs w:val="22"/>
        </w:rPr>
        <w:t>§ 33.</w:t>
      </w:r>
      <w:r w:rsidRPr="00761800">
        <w:rPr>
          <w:rFonts w:ascii="Times New Roman" w:hAnsi="Times New Roman"/>
          <w:sz w:val="22"/>
          <w:szCs w:val="22"/>
        </w:rPr>
        <w:t xml:space="preserve"> (1) Когато ВиК операторът е документирал доставки, за които данъчното събитие е настъпило след 1 януари 2022 г. и за които данъчният режим е променен с чл. 10б, ал. 4 – 6, същият следва да извърши корекция, като анулира съставените фактури по реда на чл. 116. Когато до датата на влизане в сила на този закон операторът е анулирал по реда на чл. 116 издадени фактури с начислен данък, се смята, че корекцията е извършена правомерно. </w:t>
      </w:r>
    </w:p>
    <w:p w14:paraId="69D629E3" w14:textId="77777777" w:rsidR="00761800" w:rsidRPr="00761800" w:rsidRDefault="00761800" w:rsidP="00761800">
      <w:pPr>
        <w:spacing w:after="120"/>
        <w:jc w:val="both"/>
        <w:rPr>
          <w:rFonts w:ascii="Times New Roman" w:hAnsi="Times New Roman"/>
          <w:sz w:val="22"/>
          <w:szCs w:val="22"/>
        </w:rPr>
      </w:pPr>
      <w:r w:rsidRPr="00761800">
        <w:rPr>
          <w:rFonts w:ascii="Times New Roman" w:hAnsi="Times New Roman"/>
          <w:sz w:val="22"/>
          <w:szCs w:val="22"/>
        </w:rPr>
        <w:t>(2) Данъчен кредит за начислен данък след 1 януари 2022 г. за получени стоки и услуги, използвани за изграждане, доизграждане и реконструкция на водоснабдителни системи и канализационни мрежи - публични активи, финансирани по Програма „Околна среда“ 2021-2027 г., упражнен в срока по чл. 72 от ВиК оператор до влизането в сила на този закон, се смята за правомерно упражнен.</w:t>
      </w:r>
    </w:p>
    <w:p w14:paraId="5811D2E3" w14:textId="77777777" w:rsidR="00761800" w:rsidRPr="00761800" w:rsidRDefault="00761800" w:rsidP="00761800">
      <w:pPr>
        <w:spacing w:after="120"/>
        <w:jc w:val="both"/>
        <w:rPr>
          <w:rFonts w:ascii="Times New Roman" w:hAnsi="Times New Roman"/>
          <w:sz w:val="22"/>
          <w:szCs w:val="22"/>
        </w:rPr>
      </w:pPr>
      <w:r w:rsidRPr="00761800">
        <w:rPr>
          <w:rFonts w:ascii="Times New Roman" w:hAnsi="Times New Roman"/>
          <w:sz w:val="22"/>
          <w:szCs w:val="22"/>
        </w:rPr>
        <w:t>(3) Алинея 1 се прилага и за административни и съдебни производства, неприключили към датата на влизане в сила на този закон.</w:t>
      </w:r>
    </w:p>
    <w:p w14:paraId="3ED43E1C" w14:textId="77777777" w:rsidR="00761800" w:rsidRPr="00761800" w:rsidRDefault="00761800" w:rsidP="00761800">
      <w:pPr>
        <w:spacing w:after="120"/>
        <w:jc w:val="both"/>
        <w:rPr>
          <w:rFonts w:ascii="Times New Roman" w:eastAsia="Calibri" w:hAnsi="Times New Roman"/>
          <w:kern w:val="2"/>
          <w:sz w:val="22"/>
          <w:szCs w:val="22"/>
          <w14:ligatures w14:val="standardContextual"/>
        </w:rPr>
      </w:pPr>
      <w:r w:rsidRPr="00761800">
        <w:rPr>
          <w:rFonts w:ascii="Times New Roman" w:eastAsia="Calibri" w:hAnsi="Times New Roman"/>
          <w:b/>
          <w:kern w:val="2"/>
          <w:sz w:val="22"/>
          <w:szCs w:val="22"/>
          <w14:ligatures w14:val="standardContextual"/>
        </w:rPr>
        <w:t>§ 34. В Закона за хазарта</w:t>
      </w:r>
      <w:r w:rsidRPr="00761800">
        <w:rPr>
          <w:rFonts w:ascii="Times New Roman" w:eastAsia="Calibri" w:hAnsi="Times New Roman"/>
          <w:kern w:val="2"/>
          <w:sz w:val="22"/>
          <w:szCs w:val="22"/>
          <w14:ligatures w14:val="standardContextual"/>
        </w:rPr>
        <w:t xml:space="preserve"> (обн., ДВ, бр. 26 от 2012 г.; изм., бр. 54, 82 и 94 от 2012 г., бр. 68 от 2013 г., бр. 1 и 105 от 2014 г., бр. 61 и 79 от 2015 г., бр. 74 и 98 от 2016 г., бр. 103 от 2017 г., бр. 42 от 2019 г., бр. 14, 69 и 104 от 2020 г., бр. 11 и 14 от 2021 г., бр. 61 от 2022 г., бр. 84, 106 и 108 от 2023 г. и бр. 41, 42 и 70 от 2024 г. и бр. 49 от 2026 г.) се правят следните изменения и допълнения:</w:t>
      </w:r>
    </w:p>
    <w:p w14:paraId="6F5F845F"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1. В чл. 1:</w:t>
      </w:r>
    </w:p>
    <w:p w14:paraId="3E66264D"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а) създава се нова т. 3:</w:t>
      </w:r>
    </w:p>
    <w:p w14:paraId="6FD82020"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 xml:space="preserve">„3. извършване на дейност по популяризиране на хазартни игри от афилиейт оператори;“ </w:t>
      </w:r>
    </w:p>
    <w:p w14:paraId="515568C1"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б) досегашната т. 3 става т. 4 и в нея думите „т. 1 и 2“ се заменят с „т. 1 - 3“;</w:t>
      </w:r>
    </w:p>
    <w:p w14:paraId="54A09B24"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в) досегашната т. 4 става т. 5 и в нея думите „т. 1 и 2“ се заменят с „т. 1 - 3“.</w:t>
      </w:r>
    </w:p>
    <w:p w14:paraId="306C848D"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2. В чл. 3, ал. 1 след думата „организира“ се поставя запетая и се добавя „съответно да се извършва“.</w:t>
      </w:r>
    </w:p>
    <w:p w14:paraId="4E25F235"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lastRenderedPageBreak/>
        <w:t>3. В чл. 4 се създават ал. 7-9:</w:t>
      </w:r>
    </w:p>
    <w:p w14:paraId="20C9C50E"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 xml:space="preserve">„(7) Дейност по популяризиране на хазартни игри от афилиейт оператор може да се извършва от местни и чуждестранни юридически и физически лица, включително еднолични търговци. </w:t>
      </w:r>
    </w:p>
    <w:p w14:paraId="77996FD7"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(8) Когато афилиейт операторът е чуждестранно физическо или юридическо лице, при подаване на искане за издаване на лиценз по този закон то декларира упълномощен представител с адрес на територията на Република България и с представителна власт в обем, който му позволява да сключва договори от името на чуждестранното лице и да го представлява пред държавните органи и съдилищата на Република България.</w:t>
      </w:r>
    </w:p>
    <w:p w14:paraId="54648F6E"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(9) Дейност по популяризиране на хазартни игри от афилиейт оператор може да се извършва само в полза на организаторите, получили лиценз по реда на този закон.“</w:t>
      </w:r>
    </w:p>
    <w:p w14:paraId="30DF4069"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4. В чл. 6, ал. 1, т. 5 думите „чл. 20, ал. 1, т. 4“ се заменят с „чл. 20, ал. 1, т. 7“.</w:t>
      </w:r>
    </w:p>
    <w:p w14:paraId="7FB6C0A0"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5. В чл. 8 се създават ал. 6 и 7:</w:t>
      </w:r>
    </w:p>
    <w:p w14:paraId="2108BB14"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„(6) Лиценз за извършване на дейност по популяризиране на хазартни игри от афилиейт оператор не се издава на заявител, за когото е налице едно от следните условия:</w:t>
      </w:r>
    </w:p>
    <w:p w14:paraId="66FDB8F8"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1. физическото лице, което е заявител или представлява юридическото лице – заявител, е осъждано за умишлено престъпление от общ характер, освен ако е реабилитирано;</w:t>
      </w:r>
    </w:p>
    <w:p w14:paraId="2EADDF9B"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2. лицето е с отнет лиценз за извършване на дейност по популяризиране на хазартни игри като афилиейт оператор и от датата на отнемане на лиценза са изтекли по-малко от 12 месеца;</w:t>
      </w:r>
    </w:p>
    <w:p w14:paraId="5F680B28"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3. с влязъл в сила акт му е наложена глоба или имуществена санкция по чл. 97в или по чл. 105, ал. 2-3 и от датата на влизане в сила на наложената глоба или санкция са изтекли по-малко от 12 месеца;</w:t>
      </w:r>
    </w:p>
    <w:p w14:paraId="3580F32B"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4.</w:t>
      </w:r>
      <w:r w:rsidRPr="00761800">
        <w:rPr>
          <w:rFonts w:ascii="Times New Roman" w:eastAsia="Calibri" w:hAnsi="Times New Roman"/>
          <w:sz w:val="22"/>
          <w:szCs w:val="22"/>
        </w:rPr>
        <w:t xml:space="preserve"> лицето </w:t>
      </w:r>
      <w:r w:rsidRPr="00761800">
        <w:rPr>
          <w:rFonts w:ascii="Times New Roman" w:eastAsia="Calibri" w:hAnsi="Times New Roman"/>
          <w:bCs/>
          <w:sz w:val="22"/>
          <w:szCs w:val="22"/>
        </w:rPr>
        <w:t>е с отнет лиценз или прекратена регистрация за извършване на дейност по популяризиране на хазартни игри от афилиейт оператор в друга държава.</w:t>
      </w:r>
    </w:p>
    <w:p w14:paraId="2EFD9934"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(7) Обстоятелствата относно съдимостта на български граждани, както и по ал. 6, т. 2 и 3 се установяват служебно. Обстоятелствата относно съдимостта на чуждестранни граждани и по ал. 6, т. 4 се установяват с декларация от заявителя.“</w:t>
      </w:r>
    </w:p>
    <w:p w14:paraId="51EB3EE6"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6.</w:t>
      </w:r>
      <w:r w:rsidRPr="00761800">
        <w:rPr>
          <w:rFonts w:ascii="Times New Roman" w:eastAsia="Calibri" w:hAnsi="Times New Roman"/>
          <w:b/>
          <w:bCs/>
          <w:sz w:val="22"/>
          <w:szCs w:val="22"/>
        </w:rPr>
        <w:t xml:space="preserve"> </w:t>
      </w:r>
      <w:r w:rsidRPr="00761800">
        <w:rPr>
          <w:rFonts w:ascii="Times New Roman" w:eastAsia="Calibri" w:hAnsi="Times New Roman"/>
          <w:bCs/>
          <w:sz w:val="22"/>
          <w:szCs w:val="22"/>
        </w:rPr>
        <w:t>В чл. 9:</w:t>
      </w:r>
    </w:p>
    <w:p w14:paraId="48D8E3AF"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 xml:space="preserve">а) в ал. 13 след думите „които нямат действащ лиценз по този закон“ се добавя „или </w:t>
      </w:r>
      <w:r w:rsidRPr="00761800">
        <w:rPr>
          <w:rFonts w:ascii="Times New Roman" w:eastAsia="Calibri" w:hAnsi="Times New Roman"/>
          <w:sz w:val="22"/>
          <w:szCs w:val="22"/>
        </w:rPr>
        <w:t>за които има постановено разпореждане по чл. 17, ал. 1, т. 9 за преустановяване организирането на хазартни игри на интернет страниците им и които са вписани в регистъра по чл. 20, ал. 1, т. 2“;</w:t>
      </w:r>
    </w:p>
    <w:p w14:paraId="43A37A27"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sz w:val="22"/>
          <w:szCs w:val="22"/>
        </w:rPr>
        <w:t xml:space="preserve">б) </w:t>
      </w:r>
      <w:r w:rsidRPr="00761800">
        <w:rPr>
          <w:rFonts w:ascii="Times New Roman" w:eastAsia="Calibri" w:hAnsi="Times New Roman"/>
          <w:bCs/>
          <w:sz w:val="22"/>
          <w:szCs w:val="22"/>
        </w:rPr>
        <w:t>създават се ал. 19 и 20:</w:t>
      </w:r>
    </w:p>
    <w:p w14:paraId="7192123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„(19) Забранява се извършването на дейност по популяризиране на хазартни игри чрез афилиейт оператори, които нямат действащ лиценз по този закон.</w:t>
      </w:r>
    </w:p>
    <w:p w14:paraId="0BD2B9D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(20) Забранява се извършването на дейност по популяризиране на хазартни игри в полза на организатори на хазартни игри, които нямат действащ лиценз по този закон</w:t>
      </w:r>
      <w:r w:rsidRPr="00761800">
        <w:rPr>
          <w:rFonts w:ascii="Times New Roman" w:eastAsia="Calibri" w:hAnsi="Times New Roman"/>
          <w:bCs/>
          <w:sz w:val="22"/>
          <w:szCs w:val="22"/>
        </w:rPr>
        <w:t>.</w:t>
      </w:r>
      <w:r w:rsidRPr="00761800">
        <w:rPr>
          <w:rFonts w:ascii="Times New Roman" w:eastAsia="Calibri" w:hAnsi="Times New Roman"/>
          <w:sz w:val="22"/>
          <w:szCs w:val="22"/>
        </w:rPr>
        <w:t>“</w:t>
      </w:r>
      <w:bookmarkStart w:id="1" w:name="_Hlk231863385"/>
    </w:p>
    <w:p w14:paraId="2E2FC3AC"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7. В чл. 10:</w:t>
      </w:r>
    </w:p>
    <w:p w14:paraId="79726629"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а) в ал. 7 думите „чл. 20, ал. 1, т. 3“ се заменят с „чл. 20, ал. 1, т. 6“;</w:t>
      </w:r>
    </w:p>
    <w:p w14:paraId="34C63A71"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б) създава се ал. 9:</w:t>
      </w:r>
    </w:p>
    <w:p w14:paraId="33BCCB28" w14:textId="77777777" w:rsidR="00761800" w:rsidRPr="00761800" w:rsidRDefault="00761800" w:rsidP="00761800">
      <w:pPr>
        <w:tabs>
          <w:tab w:val="left" w:pos="993"/>
        </w:tabs>
        <w:spacing w:after="120"/>
        <w:jc w:val="both"/>
        <w:rPr>
          <w:rFonts w:ascii="Times New Roman" w:eastAsia="Calibri" w:hAnsi="Times New Roman"/>
          <w:bCs/>
          <w:sz w:val="22"/>
          <w:szCs w:val="22"/>
        </w:rPr>
      </w:pPr>
      <w:r w:rsidRPr="00761800">
        <w:rPr>
          <w:rFonts w:ascii="Times New Roman" w:eastAsia="Calibri" w:hAnsi="Times New Roman"/>
          <w:bCs/>
          <w:sz w:val="22"/>
          <w:szCs w:val="22"/>
        </w:rPr>
        <w:t>„(9) Дейността по популяризиране на хазартни игри на афилиейт оператори се организира в съответствие с ограниченията за реклама на хазартни игри по този закон.“</w:t>
      </w:r>
    </w:p>
    <w:bookmarkEnd w:id="1"/>
    <w:p w14:paraId="6CCA89A8" w14:textId="77777777" w:rsidR="00761800" w:rsidRPr="00761800" w:rsidRDefault="00761800" w:rsidP="00761800">
      <w:pPr>
        <w:tabs>
          <w:tab w:val="left" w:pos="993"/>
        </w:tabs>
        <w:spacing w:after="120"/>
        <w:jc w:val="both"/>
        <w:rPr>
          <w:rFonts w:ascii="Times New Roman" w:eastAsia="Calibri" w:hAnsi="Times New Roman"/>
          <w:sz w:val="22"/>
          <w:szCs w:val="22"/>
        </w:rPr>
      </w:pPr>
      <w:r w:rsidRPr="00761800">
        <w:rPr>
          <w:rFonts w:ascii="Times New Roman" w:eastAsia="Calibri" w:hAnsi="Times New Roman"/>
          <w:bCs/>
          <w:sz w:val="22"/>
          <w:szCs w:val="22"/>
        </w:rPr>
        <w:t>8. В чл. 10а ал. 3 се изменя така:</w:t>
      </w:r>
    </w:p>
    <w:p w14:paraId="310FE0DA" w14:textId="77777777" w:rsidR="00761800" w:rsidRPr="00761800" w:rsidRDefault="00761800" w:rsidP="00761800">
      <w:pPr>
        <w:spacing w:after="120"/>
        <w:contextualSpacing/>
        <w:jc w:val="both"/>
        <w:rPr>
          <w:rFonts w:ascii="Times New Roman" w:eastAsia="Calibri" w:hAnsi="Times New Roman"/>
          <w:sz w:val="22"/>
          <w:szCs w:val="22"/>
        </w:rPr>
      </w:pPr>
      <w:r w:rsidRPr="00761800">
        <w:rPr>
          <w:rFonts w:ascii="Times New Roman" w:eastAsia="Calibri" w:hAnsi="Times New Roman"/>
          <w:sz w:val="22"/>
          <w:szCs w:val="22"/>
        </w:rPr>
        <w:t>„(3) Вноските по ал. 1 се декларират и внасят в срок до 31 март на текущата година, а организаторите на хазартни игри, получили лиценз след тази дата, декларират и внасят годишните вноски в 30-дневен срок от датата на получаване на лиценза. Декларацията по изречение първо се подава по електронен път чрез използване на квалифициран електронен подпис в Националната агенция за приходите по образец, утвърден от министъра на финансите. За невнесените в срок вноски се дължи лихва в размер на законната лихва.“</w:t>
      </w:r>
    </w:p>
    <w:p w14:paraId="4931D78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9. </w:t>
      </w:r>
      <w:bookmarkStart w:id="2" w:name="_Hlk231984489"/>
      <w:r w:rsidRPr="00761800">
        <w:rPr>
          <w:rFonts w:ascii="Times New Roman" w:eastAsia="Calibri" w:hAnsi="Times New Roman"/>
          <w:sz w:val="22"/>
          <w:szCs w:val="22"/>
        </w:rPr>
        <w:t>Създава се чл. 10з:</w:t>
      </w:r>
    </w:p>
    <w:p w14:paraId="1826F33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„Предоставяне на информация</w:t>
      </w:r>
    </w:p>
    <w:p w14:paraId="294D919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Чл.</w:t>
      </w:r>
      <w:r w:rsidRPr="00761800">
        <w:rPr>
          <w:rFonts w:ascii="Calibri" w:eastAsia="Calibri" w:hAnsi="Calibri"/>
          <w:sz w:val="22"/>
          <w:szCs w:val="22"/>
        </w:rPr>
        <w:t> </w:t>
      </w:r>
      <w:r w:rsidRPr="00761800">
        <w:rPr>
          <w:rFonts w:ascii="Times New Roman" w:eastAsia="Calibri" w:hAnsi="Times New Roman"/>
          <w:sz w:val="22"/>
          <w:szCs w:val="22"/>
        </w:rPr>
        <w:t>10з. (1)</w:t>
      </w:r>
      <w:bookmarkEnd w:id="2"/>
      <w:r w:rsidRPr="00761800">
        <w:rPr>
          <w:rFonts w:ascii="Times New Roman" w:eastAsia="Calibri" w:hAnsi="Times New Roman"/>
          <w:sz w:val="22"/>
          <w:szCs w:val="22"/>
        </w:rPr>
        <w:t> Най-малко веднъж месечно изпълнителният директор на Националната агенция за приходите или оправомощено от него длъжностно лице предоставя на платежните институции международните номера на банкови сметки на лицата, включени в регистъра по чл. 20, ал. 1, т. 2 и 6.</w:t>
      </w:r>
    </w:p>
    <w:p w14:paraId="1FD8584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Редът и начинът за предоставяне на данни по ал. 1 се определят с наредба на министъра на финансите.“</w:t>
      </w:r>
    </w:p>
    <w:p w14:paraId="49BF7BA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10. В чл. 17:</w:t>
      </w:r>
    </w:p>
    <w:p w14:paraId="51F68F2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 в ал. 1:</w:t>
      </w:r>
    </w:p>
    <w:p w14:paraId="7ADF9A5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аа) в т. 1 думите „както и“ се заличават, а накрая след думите „игрално оборудване“ се поставя запетая и се добавя „както и лицензи за извършване на дейност по популяризиране на хазартни игри от афилиейт оператори“; </w:t>
      </w:r>
    </w:p>
    <w:p w14:paraId="6F3027F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бб) създава се т. 9а:</w:t>
      </w:r>
    </w:p>
    <w:p w14:paraId="257AD37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„9а. разпорежда</w:t>
      </w:r>
    </w:p>
    <w:p w14:paraId="740FBC9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преустановяване/блокиране на интернет страници, мобилни приложения, профили в социалните мрежи, видео и стрийминг платформи на афилиейт оператори, които популяризират хазартни игри без действащ лиценз по този закон;“</w:t>
      </w:r>
    </w:p>
    <w:p w14:paraId="1AC2114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б) в ал. 2:</w:t>
      </w:r>
    </w:p>
    <w:p w14:paraId="221E459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аа) в т. 1 след думите „хазартни игри“ се добавя „и на афилиейт операторите, които популяризират хазартни игри“;</w:t>
      </w:r>
    </w:p>
    <w:p w14:paraId="7E604F1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бб) в т. 2 накрая се поставя запетая и се добавя „съответно чрез които се извършва дейност по популяризиране на хазартни игри от афилиейт оператори, които нямат действащ лиценз по този закон“;</w:t>
      </w:r>
    </w:p>
    <w:p w14:paraId="4FC685F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в) алинея 6 се изменя така:</w:t>
      </w:r>
    </w:p>
    <w:p w14:paraId="0E0E042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„(6) Актовете по ал. 1, т. 9 и 9а се публикуват на интернет страницата на Националната агенция за приходите в деня на издаването им. Лицата, за които тези актове се отнасят, се смятат уведомени в деня на публикуването. Решенията на изпълнителния директор на Националната агенция за приходите подлежат на предварително изпълнение и се обжалват относно тяхната законосъобразност по реда на чл. 28. Предприятията, предоставящи обществени електронни съобщителни мрежи и/или услуги, са длъжни да спрат достъпа до съответните интернет страници в срок до 24 часа от публикуване на решението.“</w:t>
      </w:r>
    </w:p>
    <w:p w14:paraId="4AC271E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11. В чл. 18, ал. 1 думите „както и“ се заличават, а след думите „организирането на хазартни игри“ се добавя „както и с афилиейт оператори, популяризиращи хазартни игри“.</w:t>
      </w:r>
    </w:p>
    <w:p w14:paraId="2098C965"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sz w:val="22"/>
          <w:szCs w:val="22"/>
        </w:rPr>
        <w:t xml:space="preserve">12. </w:t>
      </w:r>
      <w:r w:rsidRPr="00761800">
        <w:rPr>
          <w:rFonts w:ascii="Times New Roman" w:eastAsia="Calibri" w:hAnsi="Times New Roman"/>
          <w:bCs/>
          <w:sz w:val="22"/>
          <w:szCs w:val="22"/>
        </w:rPr>
        <w:t>В чл. 20, ал. 1:</w:t>
      </w:r>
    </w:p>
    <w:p w14:paraId="2072E1B0"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а) в т. 1 накрая се добавя „с издаден лиценз по този закон“;</w:t>
      </w:r>
    </w:p>
    <w:p w14:paraId="7248E70A"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б) създават се нови т. 2-4:</w:t>
      </w:r>
    </w:p>
    <w:p w14:paraId="71D45D1F"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„2. лицата, които организират хазартни игри без лиценз по този закон, за които има постановено разпореждане по чл. 17, ал. 1, т. 9 за преустановяване организирането на хазартни игри на интернет страниците им;</w:t>
      </w:r>
    </w:p>
    <w:p w14:paraId="7B055D14"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3. лицата, извършващи дейност по популяризиране на хазартни игри (афилиейт оператори);</w:t>
      </w:r>
    </w:p>
    <w:p w14:paraId="17D0BAFC"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4. действащите лицензи за организиране на хазартни игри и за извършване на дейности по производство, разпространение и сервиз и по внос, разпространение и сервиз на игрално оборудване;“</w:t>
      </w:r>
    </w:p>
    <w:p w14:paraId="3DA20C9F"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в) досегашната т. 2 става т. 5;</w:t>
      </w:r>
    </w:p>
    <w:p w14:paraId="0CCAF6A6"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г) досегашната т. 3 става т. 6 и в нея думите „издадените лицензи, включително“ и думата „променените“ се заличават;</w:t>
      </w:r>
    </w:p>
    <w:p w14:paraId="6164EB56"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 xml:space="preserve">д) досегашните т. 4-5 стават съответно т. 7-8. </w:t>
      </w:r>
    </w:p>
    <w:p w14:paraId="77A5227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13. В чл. 22 се създава ал. 4:</w:t>
      </w:r>
    </w:p>
    <w:p w14:paraId="1527785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Алинеи 1-3 не се прилагат в производството по издаване на лиценз за извършване на дейност по популяризиране на хазартни игри от афилиейт оператор.“</w:t>
      </w:r>
    </w:p>
    <w:p w14:paraId="263F432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 14. В чл. 23:</w:t>
      </w:r>
    </w:p>
    <w:p w14:paraId="63FFB11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 създава се нова ал. 10:</w:t>
      </w:r>
    </w:p>
    <w:p w14:paraId="633A9B1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„(10) В искането за издаване на лиценз за извършване на дейност по популяризиране на хазартни игри от афилиейт оператор се предоставя информация за всички интернет страници, мобилни приложения, профили в социалните мрежи, видео и стрийминг платформи, чрез които лицето популяризира хазартни игри. Проверката и проучването по подадените искания се приключват в 7-дневен срок от получаване на искането. Когато приложените към искането документи</w:t>
      </w:r>
      <w:r w:rsidRPr="00761800">
        <w:rPr>
          <w:rFonts w:ascii="Calibri" w:eastAsia="Calibri" w:hAnsi="Calibri"/>
          <w:sz w:val="22"/>
          <w:szCs w:val="22"/>
        </w:rPr>
        <w:t xml:space="preserve"> </w:t>
      </w:r>
      <w:r w:rsidRPr="00761800">
        <w:rPr>
          <w:rFonts w:ascii="Times New Roman" w:eastAsia="Calibri" w:hAnsi="Times New Roman"/>
          <w:sz w:val="22"/>
          <w:szCs w:val="22"/>
        </w:rPr>
        <w:t>са непълни, не отговарят на задължителните изисквания или е необходима допълнителна информация, в 3-дневен срок от получаване на искането изпълнителният директор на Националната агенция за приходите уведомява заявителя, определя му 7-дневен срок за отстраняване на нередовностите или за представяне на допълнителна информация и го предупреждава, че за неизпълнение на това задължение може да му бъде отказано издаване на лиценз. Срокът по изречение второ спира да тече от датата на уведомителното писмо до изтичането на дадения срок за отстраняване на недостатъците и за представяне на допълнителна информация. За издаване на лиценз за извършване на дейност по популяризиране на хазартни игри от афилиейт оператор ал. 3-9 не се прилагат.“;</w:t>
      </w:r>
    </w:p>
    <w:p w14:paraId="5A5CE7B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б) досегашната ал. 10 става ал. 11. </w:t>
      </w:r>
    </w:p>
    <w:p w14:paraId="39317AC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15. В чл. 29:</w:t>
      </w:r>
    </w:p>
    <w:p w14:paraId="3A40A38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 в ал. 2 след думата „организира“ се добавя „съответно да извършва“;</w:t>
      </w:r>
    </w:p>
    <w:p w14:paraId="5CCD329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б) създават се ал. 4 и 5: </w:t>
      </w:r>
    </w:p>
    <w:p w14:paraId="471B144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Удостоверението за издаден лиценз, съответно за промяна в издаден лиценз, за извършване на дейност по популяризиране на хазартни игри се предоставя на афилиейт оператора в срок до два работни дни след влизането в сила на съответното решение на изпълнителния директор на Националната агенция за приходите. В този случай ал. 3 не се прилага.</w:t>
      </w:r>
    </w:p>
    <w:p w14:paraId="74E531C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При изрично заявяване от страна на заявителя се допуска предварително изпълнение на решенията на изпълнителния директор на Националната агенция за приходите.“</w:t>
      </w:r>
    </w:p>
    <w:p w14:paraId="17B32DD5"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16. В чл. 30 заглавието се изменя така:</w:t>
      </w:r>
    </w:p>
    <w:p w14:paraId="4FF20125"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„Държавни такси за организиране на хазартни игри и дейности“</w:t>
      </w:r>
    </w:p>
    <w:p w14:paraId="1222CE32"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17. Създава се чл. 30а:</w:t>
      </w:r>
    </w:p>
    <w:p w14:paraId="5C4D2144"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„Държавна такса за извършване на дейност от афилиейт оператори</w:t>
      </w:r>
    </w:p>
    <w:p w14:paraId="16020406"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Чл. 30а. (1) За поддържане на лиценз за извършване на дейност по популяризиране на хазартни игри от афилиейт оператор се събира двукомпонентна държавна такса, състояща се от годишна такса в размер на 6 000 евро и променлива част в размер на 10 на сто върху стойността на комисионното възнаграждение, обвързано с резултати.</w:t>
      </w:r>
    </w:p>
    <w:p w14:paraId="6661173F"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 xml:space="preserve">(2) Годишната такса по ал. 1 се внася ежегодно от афилиейт операторите в срок до 31 март на текущата година, а афилиейт операторите, на които е издаден лиценз след тази дата, внасят годишната вноска преди получаване на удостоверението за издадения лиценз. </w:t>
      </w:r>
    </w:p>
    <w:p w14:paraId="35C5A726"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(3) Променливата част на таксата по ал. 1 се удържа и внася от организаторите на хазартни игри, които начисляват комисионното възнаграждение, обвързано с резултати.</w:t>
      </w:r>
    </w:p>
    <w:p w14:paraId="7AAA3FC8"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lastRenderedPageBreak/>
        <w:t>(4) Лицата по ал. 3, задължени да удържат и внасят променливата част от таксата, подават по електронен път за всеки месец в Националната агенция за приходите до 15-о число на месеца, следващ месеца на начисляване на комисионното възнаграждение, декларация по образец, утвърден със заповед на министъра на финансите, за основата за начисляване на таксата и дължимата такса.</w:t>
      </w:r>
    </w:p>
    <w:p w14:paraId="705DD9D5"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(5) След подаването на декларацията, но преди изтичане на срока по ал. 4, организаторът на хазартни игри има право да прави промени, свързани с данните по подадената декларация. Промените се извършват чрез подаване на нова декларация.</w:t>
      </w:r>
    </w:p>
    <w:p w14:paraId="5B7ABC16"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(6) Лицата по ал. 3, задължени да удържат и внасят променливата част от таксата по ал. 1, внасят дължимата такса по банкова сметка на Националната агенция за приходите в срока за подаване на декларацията по ал. 4.</w:t>
      </w:r>
    </w:p>
    <w:p w14:paraId="0E8E6DA3"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(7) Когато чрез привидна сделка се прикрива сделка, по която се дължи комисионно възнаграждение, обвързано с резултати, променливата част от таксата по ал. 1 се определя в размер на 20 на сто върху стойността на прикритото комисионно възнаграждение.</w:t>
      </w:r>
    </w:p>
    <w:p w14:paraId="0910D14C"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 xml:space="preserve">(8) Счетоводните приходи, съответно доходите от комисионни възнаграждения на афилиейт операторите, върху стойността на които е внесена променливата част от таксата по ал. 1, не се признават за данъчни цели по реда на Закона за корпоративното подоходно облагане, съответно представляват необлагаем доход за целите на Закона за данъците върху доходите на физическите лица. </w:t>
      </w:r>
      <w:r w:rsidRPr="00761800">
        <w:rPr>
          <w:rFonts w:ascii="Times New Roman" w:eastAsia="Calibri" w:hAnsi="Times New Roman"/>
          <w:sz w:val="22"/>
          <w:szCs w:val="22"/>
        </w:rPr>
        <w:t>Счетоводните разходи, възникнали по повод на непризнати за данъчни цели приходи по изречение първо, не се признават за данъчни цели по реда на Закона за корпоративното подоходно облагане.</w:t>
      </w:r>
    </w:p>
    <w:p w14:paraId="653A043C"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(9) В случаите, когато чрез привидна сделка се прикрива сделка, по която се дължи комисионно възнаграждение, обвързано с резултати, включително когато е платена таксата по ал. 7 върху стойността на прикритото комисионно възнаграждение, ал. 8 не се прилага.</w:t>
      </w:r>
    </w:p>
    <w:p w14:paraId="7DC15167"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Cs/>
          <w:sz w:val="22"/>
          <w:szCs w:val="22"/>
        </w:rPr>
        <w:t>(10) За невнесените в срок такси по ал. 1 и 7 се дължат лихви съгласно Закона за лихвите върху данъци, такси и други подобни държавни вземания.“</w:t>
      </w:r>
    </w:p>
    <w:p w14:paraId="7C5CD3E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18. В чл. 34:</w:t>
      </w:r>
    </w:p>
    <w:p w14:paraId="103B208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 в ал. 1, изречение второ думите „чл. 1, т. 2“ се заменят с „чл. 1, т. 2 и 3“, а думите „чл. 29, ал. 3“ се заменят с „чл. 29, ал. 3 и 4“;</w:t>
      </w:r>
    </w:p>
    <w:p w14:paraId="475B0D5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б) създава се нова ал. 4:</w:t>
      </w:r>
    </w:p>
    <w:p w14:paraId="0B1BB4F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Удостоверението за издаден лиценз за извършване на дейност по популяризиране на хазартни игри съдържа:</w:t>
      </w:r>
    </w:p>
    <w:p w14:paraId="40F988C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наименование на органа, който го издава;</w:t>
      </w:r>
    </w:p>
    <w:p w14:paraId="4001CEA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идентификационни данни на афилиейт оператора и на лицето или лицата, които го представляват;</w:t>
      </w:r>
    </w:p>
    <w:p w14:paraId="2060CC2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адрес на интернет страниците, мобилните приложения, профилите в социалните мрежи, видео и стрийминг платформи, чрез които се популяризират хазартните игри;</w:t>
      </w:r>
    </w:p>
    <w:p w14:paraId="3C83FF6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дата на издаване на удостоверението;</w:t>
      </w:r>
    </w:p>
    <w:p w14:paraId="2EEAF8F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срок на действие на лиценза.“</w:t>
      </w:r>
    </w:p>
    <w:p w14:paraId="075D61E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в) досегашната ал. 4 става ал. 5.</w:t>
      </w:r>
    </w:p>
    <w:p w14:paraId="2481129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 xml:space="preserve">19. В чл. 35, ал. 3 се създава изречение второ: </w:t>
      </w:r>
    </w:p>
    <w:p w14:paraId="06B3E00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„При прекратяване на лиценз за извършване на дейност по популяризиране на хазартни игри афилиейт операторът е длъжен в срока по изречение първо да върне на Националната агенция за приходите удостоверението за издаден лиценз, да преустанови дейността си в случаите по ал. 1, т. 4, както и да уведоми за прекратяването организатора, в полза на когото популяризира хазартни игри.“</w:t>
      </w:r>
    </w:p>
    <w:p w14:paraId="3DA597C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20. В чл. 36 се създава ал. 5:</w:t>
      </w:r>
    </w:p>
    <w:p w14:paraId="14BD5C9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„(5) Срокът на лиценз за извършване на дейност по популяризиране на хазартни игри от афилиейт оператор може да бъде продължен с решение на изпълнителния директор на Националната агенция за приходите по искане на афилиейт оператор, подадено не по-късно от два месеца преди изтичане на срока на действащия лиценз. Към искането се прилагат документи за обстоятелствата, по отношение на които е налице промяна. За обстоятелствата, за които не е настъпила промяна след първоначалното издаване на лиценз, заявителят представя декларация.“</w:t>
      </w:r>
    </w:p>
    <w:p w14:paraId="3F96649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21. Създава се чл. 38а:</w:t>
      </w:r>
    </w:p>
    <w:p w14:paraId="079D331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„Промяна в обстоятелствата по издадени лицензи за популяризиране на хазартни игри от афилиейт оператори</w:t>
      </w:r>
    </w:p>
    <w:p w14:paraId="34BD00F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Чл. 38а. Афилиейт операторите уведомяват изпълнителния директор на Националната агенция за приходите за всяка промяна в обстоятелствата по издадените лицензи в 14-дневен срок от настъпването ѝ. Изпълнителният директор на Националната агенция за приходите издава ново удостоверение с вписаните промени.“ </w:t>
      </w:r>
    </w:p>
    <w:p w14:paraId="51DA21B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22. В чл. 42, ал. 2 и 3 думите „чл. 20, ал. 1, т. 4“ се заменят с „чл. 20, ал. 1, т. 7“.</w:t>
      </w:r>
    </w:p>
    <w:p w14:paraId="384C9FE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23. В чл. 45а, ал. 2 думите „чл. 20, ал. 1, т. 4“ се заменят с „чл. 20, ал. 1, т. 7“.</w:t>
      </w:r>
    </w:p>
    <w:p w14:paraId="6EA0529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24. В чл. 85:</w:t>
      </w:r>
    </w:p>
    <w:p w14:paraId="178E331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 в ал. 1:</w:t>
      </w:r>
    </w:p>
    <w:p w14:paraId="454BD6E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аа) в текста преди т. 1 думите „дейност по чл. 1, т. 2“ се заменят с „чл. 1, т. 2 или 3“;</w:t>
      </w:r>
    </w:p>
    <w:p w14:paraId="097FF69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бб) създава се т. 2а:</w:t>
      </w:r>
    </w:p>
    <w:p w14:paraId="0D23F22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„2а. когато афилиейт операторът популяризира хазартни игри в нарушение на чл. 10, ал. 9;“</w:t>
      </w:r>
    </w:p>
    <w:p w14:paraId="370E4A5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вв) в т. 3 след думата „организаторът“ се поставя запетая и се добавя „съответно афилиейт операторът“ и се поставя запетая;</w:t>
      </w:r>
    </w:p>
    <w:p w14:paraId="3A47BD75"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гг) в т. 13 накрая се добавя „или по чл. 30а, ал. 4“;</w:t>
      </w:r>
    </w:p>
    <w:p w14:paraId="6D3C0C04"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б) в ал. 7 думите „чл. 1, т. 1 и 2“ се заменят с „чл. 1, т. 2 и 3“.</w:t>
      </w:r>
    </w:p>
    <w:p w14:paraId="33A5DF7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25. В чл. 86, ал. 1:</w:t>
      </w:r>
    </w:p>
    <w:p w14:paraId="7D7B260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 в текста преди т. 1 думите „дейност по чл. 1, т. 2“ се заменят с „чл. 1, т. 2 или 3“;</w:t>
      </w:r>
    </w:p>
    <w:p w14:paraId="786FE60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б) в т. 2 накрая думите „и по чл. 8, ал. 1-3“ се заменят с „или до възникване на обстоятелство по чл. 8, ал. 1-3 или ал. 6“;</w:t>
      </w:r>
    </w:p>
    <w:p w14:paraId="77D7F5E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в) в т. 5 накрая се добавя „или по чл. 30а“;</w:t>
      </w:r>
    </w:p>
    <w:p w14:paraId="33017FA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г) в т. 8 след думата „организатора“ се добавя „или на афилиейт оператора“;</w:t>
      </w:r>
    </w:p>
    <w:p w14:paraId="5B8AF05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д) създава се т. 13:</w:t>
      </w:r>
    </w:p>
    <w:p w14:paraId="7C32850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„13. когато афилиейт операторът извършва дейност в нарушение на чл. 9, ал. 20.“</w:t>
      </w:r>
    </w:p>
    <w:p w14:paraId="392563EF"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26. В чл. 86а навсякъде след думите „организатора“ и „организаторът“ се добавя „или афилиейт оператора“, съответно „или афилиейт операторът“.</w:t>
      </w:r>
    </w:p>
    <w:p w14:paraId="6A77A94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27. В чл. 89, ал. 3 се създава изречение второ: </w:t>
      </w:r>
    </w:p>
    <w:p w14:paraId="0BA6FB3E"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„Изречение първо не се прилага за лицензите за извършване на дейност по популяризиране на хазартни игри от афилиейт оператори.“</w:t>
      </w:r>
    </w:p>
    <w:p w14:paraId="20012E3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28. В чл. 92, ал. 1, в изречение първо след думите „чл. 30, ал. 3 и 4“ се добавя и „и по чл. 30а, ал. 1“, а в изречение второ думите „Декларацията по чл. 30, ал. 8 е“ се заменят с „Декларациите по чл. 30, ал. 8 и чл. 30а, ал. 4 са“. </w:t>
      </w:r>
    </w:p>
    <w:p w14:paraId="6856289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29. В чл. 93, ал. 2:</w:t>
      </w:r>
    </w:p>
    <w:p w14:paraId="4C60802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 в изречение първо след думите „без лиценз“ се поставя запетая и се добавя „съответно от афилиейт оператори без лиценз“ и се поставя запетая;</w:t>
      </w:r>
    </w:p>
    <w:p w14:paraId="2D201FD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б) създава се ново изречение второ: </w:t>
      </w:r>
    </w:p>
    <w:p w14:paraId="4472819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„Всички парични средства, получени от афилиейт оператори, които извършват дейност в полза на организатори на хазартни игри без действащ лиценз, се отнемат в полза на държавата.“;</w:t>
      </w:r>
    </w:p>
    <w:p w14:paraId="77E2CC8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в) досегашното изречение второ става изречение трето и в него думите „предходното изречение“ се заменят с „предходните изречения“.</w:t>
      </w:r>
    </w:p>
    <w:p w14:paraId="52CC6FB7" w14:textId="77777777" w:rsidR="00761800" w:rsidRPr="00761800" w:rsidRDefault="00761800" w:rsidP="00761800">
      <w:pPr>
        <w:spacing w:after="120"/>
        <w:ind w:right="213"/>
        <w:jc w:val="both"/>
        <w:rPr>
          <w:rFonts w:ascii="Times New Roman" w:eastAsia="Calibri" w:hAnsi="Times New Roman"/>
          <w:bCs/>
          <w:sz w:val="22"/>
          <w:szCs w:val="22"/>
        </w:rPr>
      </w:pPr>
      <w:r w:rsidRPr="00761800">
        <w:rPr>
          <w:rFonts w:ascii="Times New Roman" w:eastAsia="Calibri" w:hAnsi="Times New Roman"/>
          <w:sz w:val="22"/>
          <w:szCs w:val="22"/>
        </w:rPr>
        <w:t xml:space="preserve">30. </w:t>
      </w:r>
      <w:r w:rsidRPr="00761800">
        <w:rPr>
          <w:rFonts w:ascii="Times New Roman" w:eastAsia="Calibri" w:hAnsi="Times New Roman"/>
          <w:bCs/>
          <w:sz w:val="22"/>
          <w:szCs w:val="22"/>
        </w:rPr>
        <w:t>Създават се чл. 97б-97в:</w:t>
      </w:r>
    </w:p>
    <w:p w14:paraId="07E6AD4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„Чл. 97б. На лице, което наруши забраната по чл. 9, ал. 19, се налага имуществена санкция в размер от 5000 до 20 000 евро. При повторно нарушение се налага имуществена санкция в двоен размер.</w:t>
      </w:r>
    </w:p>
    <w:p w14:paraId="37914E1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Чл. 97в. Лице, което наруши забраната по чл. 9, ал. 20, се наказва с глоба в размер от 3 000 до 10 000 евро или с имуществена санкция в размер от 5 000 до 20 000 евро. При повторно нарушение се налага глоба или имуществена санкция в двоен размер.“</w:t>
      </w:r>
    </w:p>
    <w:p w14:paraId="5C6C7F2C"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sz w:val="22"/>
          <w:szCs w:val="22"/>
        </w:rPr>
        <w:t>31.</w:t>
      </w:r>
      <w:r w:rsidRPr="00761800">
        <w:rPr>
          <w:rFonts w:ascii="Times New Roman" w:eastAsia="Calibri" w:hAnsi="Times New Roman"/>
          <w:bCs/>
          <w:sz w:val="22"/>
          <w:szCs w:val="22"/>
        </w:rPr>
        <w:t xml:space="preserve"> Създава се чл. 104а:</w:t>
      </w:r>
    </w:p>
    <w:p w14:paraId="4957A02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„Чл. 104а. (1) Организатор на хазартни игри, който не подаде декларация по чл. 10a, ал. 3 в законоустановения срок, се наказва с имуществена санкция в размер от 2 000 до 5 000 евро.</w:t>
      </w:r>
    </w:p>
    <w:p w14:paraId="41A740C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При повторно нарушение по ал. 1 се налага имуществена санкция в двоен размер.</w:t>
      </w:r>
    </w:p>
    <w:p w14:paraId="486DA308"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(3) Организатор на хазартни игри, който посочи неверни данни или обстоятелства в декларацията по чл. 10а, ал. 3, довели до определяне на вноската в по-малък размер, се наказва с имуществена санкция в размер на двойния размер на укритата вноска, но не по-малко от 2 000 евро.“</w:t>
      </w:r>
    </w:p>
    <w:p w14:paraId="31144A5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32. В чл. 105 се създава ал. 3:</w:t>
      </w:r>
    </w:p>
    <w:p w14:paraId="7274BCA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Афилиейт оператор, който популяризира хазартни игри в нарушение на чл. 10, се наказва с глоба в размер от 2 000 до 5 000 евро или с имуществена санкция в размер от 3 000 до 8 000 евро.“</w:t>
      </w:r>
    </w:p>
    <w:p w14:paraId="0377273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33. В § 1 от Допълнителната разпоредба се създават т. 30 и 31:</w:t>
      </w:r>
    </w:p>
    <w:p w14:paraId="0D28584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„30. „Афилиейт оператор за популяризиране на хазартни игри“ е физическо или юридическо лице, различно от организатора на хазартни игри, което по силата на договор или договореност популяризира хазартни игри срещу комисионно възнаграждение, обвързано с резултати (брой привлечени участници, депозити, залози, изплатени печалби). Не е афилиейт оператор за популяризиране на хазартни игри, лице, което предоставя рекламни, медийни или технически услуги, и възнаграждението, което получава за тези услуги, не е обвързано с постигането на горепосочените резултати.</w:t>
      </w:r>
    </w:p>
    <w:p w14:paraId="5FCE5EF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31. „Комисионно възнаграждение, обвързано с резултати“ за целите на чл. 30а е възнаграждение, което се изплаща от хазартен оператор на афилиейт оператор въз основа на предварително договорени показатели за ефективност - брой привлечени участници, депозити, залози или друг измерим резултат, постигнат чрез дейността на афилиейт оператора по популяризиране на хазартните игри, организирани от хазартния оператор.“</w:t>
      </w:r>
    </w:p>
    <w:p w14:paraId="0B1E5A7D"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xml:space="preserve">§ 35. </w:t>
      </w:r>
      <w:r w:rsidRPr="00761800">
        <w:rPr>
          <w:rFonts w:ascii="Times New Roman" w:eastAsia="Calibri" w:hAnsi="Times New Roman"/>
          <w:sz w:val="22"/>
          <w:szCs w:val="22"/>
        </w:rPr>
        <w:t xml:space="preserve">Афилиейт оператори, които към влизането в сила на този закон имат сключени договори или договорености за популяризиране на хазартни игри, организирани от организатори с действащ лиценз, подават заявление за издаване на лиценз за дейността по чл. 1, т. 3 от същия закон в срок до 15 август 2026 г. До издаването на лиценз договорите по изречение първо запазват действието си. </w:t>
      </w:r>
    </w:p>
    <w:p w14:paraId="268233B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36.</w:t>
      </w:r>
      <w:r w:rsidRPr="00761800">
        <w:rPr>
          <w:rFonts w:ascii="Times New Roman" w:eastAsia="Calibri" w:hAnsi="Times New Roman"/>
          <w:sz w:val="22"/>
          <w:szCs w:val="22"/>
        </w:rPr>
        <w:t xml:space="preserve"> Декларациите по чл. 10а, ал. 3 и чл. 30а, ал. 4 от Закона за хазарта се утвърждават от министъра на финансите до 30 септември 2026 г.</w:t>
      </w:r>
    </w:p>
    <w:p w14:paraId="6C05F5AC" w14:textId="77777777" w:rsidR="00761800" w:rsidRPr="00761800" w:rsidRDefault="00761800" w:rsidP="00761800">
      <w:pPr>
        <w:spacing w:after="120"/>
        <w:jc w:val="both"/>
        <w:rPr>
          <w:rFonts w:ascii="Times New Roman" w:eastAsia="Calibri" w:hAnsi="Times New Roman"/>
          <w:bCs/>
          <w:sz w:val="22"/>
          <w:szCs w:val="22"/>
        </w:rPr>
      </w:pPr>
      <w:r w:rsidRPr="00761800">
        <w:rPr>
          <w:rFonts w:ascii="Times New Roman" w:eastAsia="Calibri" w:hAnsi="Times New Roman"/>
          <w:b/>
          <w:bCs/>
          <w:sz w:val="22"/>
          <w:szCs w:val="22"/>
        </w:rPr>
        <w:t>§ 37. В Закона за ограничаване на административното регулиране и административния контрол върху стопанската дейност</w:t>
      </w:r>
      <w:r w:rsidRPr="00761800">
        <w:rPr>
          <w:rFonts w:ascii="Times New Roman" w:eastAsia="Calibri" w:hAnsi="Times New Roman"/>
          <w:bCs/>
          <w:sz w:val="22"/>
          <w:szCs w:val="22"/>
        </w:rPr>
        <w:t xml:space="preserve"> (обн., ДВ, бр. 55 от 2003 г.; попр., бр. 59 от 2003 г.; изм., бр. 107 от 2003 г., бр. 39 и 52 от 2004 г., бр. 31 и 87 от 2005 г., бр. 24, 38 и 59 от 2006 г., бр. 11 и 41 от 2007 г., бр. 16 от 2008 г., бр. 23, 36, 44 и 87 от 2009 г., бр. 25, 59, 73 и 77 от 2010 г., бр. 39 и 92 от 2011 г., бр. 26, 53 и 82 от 2012 г., бр. 109 от 2013 г., бр. 47 и 57 от 2015 г., бр. 103 от 2017 г., бр. 15, 77 и 101 от 2018 г., бр. 17, 24, 83 и 101 от 2019 г., бр. 21 от 2021 г., бр. 25 и 51 от 2022 г., бр. 8 и 80 от 2023 г., бр. 23 от 2024 г. и бр. 50 и 54 от 2025 г.), в приложението към чл. 9, ал. 1, т. 2, в т. 10 накрая се поставя запетая и се добавя „както и дейност по популяризиране на хазартни игри от афилиейт оператори“.</w:t>
      </w:r>
    </w:p>
    <w:p w14:paraId="3BAEC8A9" w14:textId="77777777" w:rsidR="00761800" w:rsidRPr="00761800" w:rsidRDefault="00761800" w:rsidP="00761800">
      <w:pPr>
        <w:spacing w:after="120"/>
        <w:jc w:val="both"/>
        <w:rPr>
          <w:rFonts w:ascii="Times New Roman" w:hAnsi="Times New Roman"/>
          <w:bCs/>
          <w:sz w:val="22"/>
          <w:szCs w:val="22"/>
          <w:lang w:eastAsia="bg-BG"/>
        </w:rPr>
      </w:pPr>
      <w:r w:rsidRPr="00761800">
        <w:rPr>
          <w:rFonts w:ascii="Times New Roman" w:hAnsi="Times New Roman"/>
          <w:b/>
          <w:bCs/>
          <w:sz w:val="22"/>
          <w:szCs w:val="22"/>
          <w:lang w:eastAsia="bg-BG"/>
        </w:rPr>
        <w:t>§ 38. В Данъчно-осигурителния процесуален кодекс</w:t>
      </w:r>
      <w:r w:rsidRPr="00761800">
        <w:rPr>
          <w:rFonts w:ascii="Times New Roman" w:hAnsi="Times New Roman"/>
          <w:bCs/>
          <w:sz w:val="22"/>
          <w:szCs w:val="22"/>
          <w:lang w:eastAsia="bg-BG"/>
        </w:rPr>
        <w:t xml:space="preserve"> (обн., ДВ, бр. 105 от 2005 г.; изм., бр. 30, 33, 34, 59, 63, 73, 80, 82, 86, 95 и 105 от 2006 г., бр. 46, 52, 53, 57, 59, 108 и 109 от 2007 г., бр. 36, 69 и 98 от 2008 г., бр. 12, 32, 41 и 93 от 2009 г., бр. 15, 94, 98, 100 и 101 от 2010 г., бр. 14, 31, 77 и 99 от 2011 г., бр. 26, 38, 40, 82, 94 и 99 от 2012 г., бр. 52, 98, 106 и 109 от 2013 г., бр. 1 от 2014 г.; Решение № 2 на Конституционния съд от 2014 г. – бр. 14 от 2014 г.; изм., бр. 18, 40, 53 и 105 от 2014 г., бр. 12, 14, 60, 61 и 94 от 2015 г., бр. 13, 42, 58, 62, 97 и 105 от 2016 г., бр. 58, 63, 85, 86, 92 и 103 от 2017 г., бр. 7, 15, 27, 77 и 98 от 2018 г., бр. 17, 64, 83, 96 и 102 от 2019 г., бр. 18, 28, 34, 69, 104 и 105 от 2020 г., бр. 25, 56, 100 и 102 от 2022 г., бр. 8, 66, 80, 84, 102 и 106 от 2023 г., бр. 36 и 70 от 2024 г., бр. 82 от 2024 г., бр. 26, 49, 54, 63 и 65 от 2025 г. и бр. 16, 17, 30 и 51 от 2026 г.) се правят следните изменения и допълнения: </w:t>
      </w:r>
    </w:p>
    <w:p w14:paraId="3B54DAEE"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bCs/>
          <w:sz w:val="22"/>
          <w:szCs w:val="22"/>
          <w:lang w:eastAsia="bg-BG"/>
        </w:rPr>
        <w:t>1.</w:t>
      </w:r>
      <w:r w:rsidRPr="00761800">
        <w:rPr>
          <w:rFonts w:ascii="Times New Roman" w:hAnsi="Times New Roman"/>
          <w:b/>
          <w:sz w:val="22"/>
          <w:szCs w:val="22"/>
          <w:lang w:eastAsia="bg-BG"/>
        </w:rPr>
        <w:t xml:space="preserve"> </w:t>
      </w:r>
      <w:r w:rsidRPr="00761800">
        <w:rPr>
          <w:rFonts w:ascii="Times New Roman" w:hAnsi="Times New Roman"/>
          <w:sz w:val="22"/>
          <w:szCs w:val="22"/>
          <w:lang w:eastAsia="bg-BG"/>
        </w:rPr>
        <w:t>В чл. 182а:</w:t>
      </w:r>
    </w:p>
    <w:p w14:paraId="415FA6A4" w14:textId="77777777" w:rsidR="00761800" w:rsidRPr="00761800" w:rsidRDefault="00761800" w:rsidP="00761800">
      <w:pPr>
        <w:tabs>
          <w:tab w:val="left" w:pos="993"/>
        </w:tabs>
        <w:spacing w:after="120"/>
        <w:jc w:val="both"/>
        <w:textAlignment w:val="center"/>
        <w:rPr>
          <w:rFonts w:ascii="Times New Roman" w:hAnsi="Times New Roman"/>
          <w:sz w:val="22"/>
          <w:szCs w:val="22"/>
          <w:lang w:eastAsia="bg-BG"/>
        </w:rPr>
      </w:pPr>
      <w:bookmarkStart w:id="3" w:name="_Hlk232589222"/>
      <w:r w:rsidRPr="00761800">
        <w:rPr>
          <w:rFonts w:ascii="Times New Roman" w:hAnsi="Times New Roman"/>
          <w:sz w:val="22"/>
          <w:szCs w:val="22"/>
          <w:lang w:eastAsia="bg-BG"/>
        </w:rPr>
        <w:lastRenderedPageBreak/>
        <w:t>а) в заглавието след думите „сключен договор“ се поставя запетая и се добавя „влязло в сила съдебно решение“.</w:t>
      </w:r>
    </w:p>
    <w:bookmarkEnd w:id="3"/>
    <w:p w14:paraId="0D88B4AD"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б) в ал. 1:</w:t>
      </w:r>
    </w:p>
    <w:p w14:paraId="5088152E"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аа) в изречение първо след думите „Разпоредителите с бюджет“ думите „както и“ се заличават, след думите „Закона за обществените поръчки“ се добавя „както и лицата, представляващи публичните предприятия по смисъла на чл. 2 от Закона за публичните предприятия“, а думите „10 000 лв.“ се заменят с „5 000 евро“;</w:t>
      </w:r>
    </w:p>
    <w:p w14:paraId="0FA178BB"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бб) създава се изречение второ:</w:t>
      </w:r>
    </w:p>
    <w:p w14:paraId="40A14A71"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„Уведомяване се извършва и за всеки договор на стойност под 5 000 евро, когато с едно и също лице са сключени няколко договора, които не са прекратени и общата им стойност е равна на или надвишава 5 000 евро.“;</w:t>
      </w:r>
    </w:p>
    <w:p w14:paraId="06B1A6D9"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 xml:space="preserve">в) алинея 4 се изменя така: </w:t>
      </w:r>
    </w:p>
    <w:p w14:paraId="685A857B"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„(4) Разпоредителите с бюджет по ал. 1 уведомяват Националната агенция за приходите и Агенция „Митници“ и при наличие на влязло в сила съдебно решение или предявен изпълнителен лист, въз основа на което следва да платят сума на стойност, равна на или надвишаваща 500 евро, на лице, различно от разпоредител с бюджет.“;</w:t>
      </w:r>
    </w:p>
    <w:p w14:paraId="73BFB7CA"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г) в ал. 6 след думата „получаването“ се добавя „на влязло в сила съдебно решение или“.</w:t>
      </w:r>
    </w:p>
    <w:p w14:paraId="1CFAC71B" w14:textId="77777777" w:rsidR="00761800" w:rsidRPr="00761800" w:rsidRDefault="00761800" w:rsidP="00761800">
      <w:pPr>
        <w:spacing w:after="120"/>
        <w:jc w:val="both"/>
        <w:textAlignment w:val="center"/>
        <w:rPr>
          <w:rFonts w:ascii="Times New Roman" w:hAnsi="Times New Roman"/>
          <w:bCs/>
          <w:sz w:val="22"/>
          <w:szCs w:val="22"/>
          <w:lang w:eastAsia="bg-BG"/>
        </w:rPr>
      </w:pPr>
      <w:r w:rsidRPr="00761800">
        <w:rPr>
          <w:rFonts w:ascii="Times New Roman" w:hAnsi="Times New Roman"/>
          <w:sz w:val="22"/>
          <w:szCs w:val="22"/>
          <w:lang w:eastAsia="bg-BG"/>
        </w:rPr>
        <w:t>2.</w:t>
      </w:r>
      <w:r w:rsidRPr="00761800">
        <w:rPr>
          <w:rFonts w:ascii="Times New Roman" w:hAnsi="Times New Roman"/>
          <w:b/>
          <w:sz w:val="22"/>
          <w:szCs w:val="22"/>
          <w:lang w:eastAsia="bg-BG"/>
        </w:rPr>
        <w:t xml:space="preserve"> </w:t>
      </w:r>
      <w:r w:rsidRPr="00761800">
        <w:rPr>
          <w:rFonts w:ascii="Times New Roman" w:hAnsi="Times New Roman"/>
          <w:bCs/>
          <w:sz w:val="22"/>
          <w:szCs w:val="22"/>
          <w:lang w:eastAsia="bg-BG"/>
        </w:rPr>
        <w:t>В чл. 182б:</w:t>
      </w:r>
    </w:p>
    <w:p w14:paraId="5BB52110" w14:textId="77777777" w:rsidR="00761800" w:rsidRPr="00761800" w:rsidRDefault="00761800" w:rsidP="00761800">
      <w:pPr>
        <w:tabs>
          <w:tab w:val="left" w:pos="993"/>
        </w:tabs>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а) в заглавието след думите „платежен документ“ се поставя запетая и се добавя „влязло в сила съдебно решение“;</w:t>
      </w:r>
    </w:p>
    <w:p w14:paraId="4EC23CE0" w14:textId="77777777" w:rsidR="00761800" w:rsidRPr="00761800" w:rsidRDefault="00761800" w:rsidP="00761800">
      <w:pPr>
        <w:tabs>
          <w:tab w:val="left" w:pos="993"/>
        </w:tabs>
        <w:spacing w:after="120"/>
        <w:jc w:val="both"/>
        <w:textAlignment w:val="center"/>
        <w:rPr>
          <w:rFonts w:ascii="Times New Roman" w:hAnsi="Times New Roman"/>
          <w:bCs/>
          <w:sz w:val="22"/>
          <w:szCs w:val="22"/>
          <w:lang w:eastAsia="bg-BG"/>
        </w:rPr>
      </w:pPr>
      <w:r w:rsidRPr="00761800">
        <w:rPr>
          <w:rFonts w:ascii="Times New Roman" w:hAnsi="Times New Roman"/>
          <w:sz w:val="22"/>
          <w:szCs w:val="22"/>
          <w:lang w:eastAsia="bg-BG"/>
        </w:rPr>
        <w:t>б) в ал. 1 думите „на стойност, равна на или надвишаваща 10 000 лв., при липса на сключен писмен договор на основание чл. 20, ал. 5 от Закона за обществените поръчки“ се заменят с „по първичен платежен документ на стойност, равна на или надвишаваща 5 000 евро“;</w:t>
      </w:r>
    </w:p>
    <w:p w14:paraId="0CA643F5" w14:textId="77777777" w:rsidR="00761800" w:rsidRPr="00761800" w:rsidRDefault="00761800" w:rsidP="00761800">
      <w:pPr>
        <w:spacing w:after="120"/>
        <w:jc w:val="both"/>
        <w:textAlignment w:val="center"/>
        <w:rPr>
          <w:rFonts w:ascii="Times New Roman" w:hAnsi="Times New Roman"/>
          <w:bCs/>
          <w:sz w:val="22"/>
          <w:szCs w:val="22"/>
          <w:lang w:eastAsia="bg-BG"/>
        </w:rPr>
      </w:pPr>
      <w:r w:rsidRPr="00761800">
        <w:rPr>
          <w:rFonts w:ascii="Times New Roman" w:hAnsi="Times New Roman"/>
          <w:bCs/>
          <w:sz w:val="22"/>
          <w:szCs w:val="22"/>
          <w:lang w:eastAsia="bg-BG"/>
        </w:rPr>
        <w:t>в) алинея 2 се изменя така:</w:t>
      </w:r>
    </w:p>
    <w:p w14:paraId="6189B4AA" w14:textId="77777777" w:rsidR="00761800" w:rsidRPr="00761800" w:rsidRDefault="00761800" w:rsidP="00761800">
      <w:pPr>
        <w:spacing w:after="120"/>
        <w:jc w:val="both"/>
        <w:textAlignment w:val="center"/>
        <w:rPr>
          <w:rFonts w:ascii="Times New Roman" w:hAnsi="Times New Roman"/>
          <w:bCs/>
          <w:sz w:val="22"/>
          <w:szCs w:val="22"/>
          <w:lang w:eastAsia="bg-BG"/>
        </w:rPr>
      </w:pPr>
      <w:r w:rsidRPr="00761800">
        <w:rPr>
          <w:rFonts w:ascii="Times New Roman" w:hAnsi="Times New Roman"/>
          <w:bCs/>
          <w:sz w:val="22"/>
          <w:szCs w:val="22"/>
          <w:lang w:eastAsia="bg-BG"/>
        </w:rPr>
        <w:t>„(2) Уведомление по ал. 1 се изпраща и в случаите, когато предстоящата за изплащане сума е на стойност под 5 000 евро, съответно под 500 евро по влязло в сила съдебно решение или изпълнителен лист, но не по-малко от 50 евро, когато представлява част от парична престация по договор или по първичен платежен документ, чиято стойност е равна на или надвишава 5 000 евро или е част от дължима сума по влязло в сила съдебно решение или изпълнителен лист на стойност, равна на или надвишаваща 500 евро. Уведомление се изпраща и за суми на стойност под 50 евро, когато върху вземането е наложен запор от страна на Националната агенция за приходите или Агенция „Митници“ и предстоящото плащане е след датата на налагане на запора.“;</w:t>
      </w:r>
    </w:p>
    <w:p w14:paraId="7AE4D378" w14:textId="77777777" w:rsidR="00761800" w:rsidRPr="00761800" w:rsidRDefault="00761800" w:rsidP="00761800">
      <w:pPr>
        <w:spacing w:after="120"/>
        <w:jc w:val="both"/>
        <w:textAlignment w:val="center"/>
        <w:rPr>
          <w:rFonts w:ascii="Times New Roman" w:hAnsi="Times New Roman"/>
          <w:bCs/>
          <w:sz w:val="22"/>
          <w:szCs w:val="22"/>
          <w:lang w:eastAsia="bg-BG"/>
        </w:rPr>
      </w:pPr>
      <w:r w:rsidRPr="00761800">
        <w:rPr>
          <w:rFonts w:ascii="Times New Roman" w:hAnsi="Times New Roman"/>
          <w:bCs/>
          <w:sz w:val="22"/>
          <w:szCs w:val="22"/>
          <w:lang w:eastAsia="bg-BG"/>
        </w:rPr>
        <w:t>г) в ал. 5 думите „по реда на чл. 182а, ал. 5“ се заменят с „и при условие че по уведомлението няма получено потвърждение за плащане от Националната агенция за приходите и Агенция „Митници“.“</w:t>
      </w:r>
    </w:p>
    <w:p w14:paraId="37918A25"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3. В чл. 182в, ал. 1 думите „100 лева“ се заменят с „50 евро“.</w:t>
      </w:r>
    </w:p>
    <w:p w14:paraId="656D887A"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4.</w:t>
      </w:r>
      <w:r w:rsidRPr="00761800">
        <w:rPr>
          <w:rFonts w:ascii="Times New Roman" w:hAnsi="Times New Roman"/>
          <w:b/>
          <w:sz w:val="22"/>
          <w:szCs w:val="22"/>
          <w:lang w:eastAsia="bg-BG"/>
        </w:rPr>
        <w:t xml:space="preserve"> </w:t>
      </w:r>
      <w:r w:rsidRPr="00761800">
        <w:rPr>
          <w:rFonts w:ascii="Times New Roman" w:hAnsi="Times New Roman"/>
          <w:sz w:val="22"/>
          <w:szCs w:val="22"/>
          <w:lang w:eastAsia="bg-BG"/>
        </w:rPr>
        <w:t>В чл. 182г се създават т. 6, 7 и 8:</w:t>
      </w:r>
    </w:p>
    <w:p w14:paraId="3619A4C3"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lastRenderedPageBreak/>
        <w:t>„6. договори и плащания, извършвани на борсов пазар, чиято дейност е уредена в националното законодателство или произтича от норми на международното право;</w:t>
      </w:r>
    </w:p>
    <w:p w14:paraId="10D28AA9"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7. договори и плащания към лица без национален идентификатор;</w:t>
      </w:r>
    </w:p>
    <w:p w14:paraId="781E233F"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8. договори, сключени с банки или други доставчици на платежни услуги, и плащанията по тях.“</w:t>
      </w:r>
    </w:p>
    <w:p w14:paraId="373B2E62"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5.</w:t>
      </w:r>
      <w:r w:rsidRPr="00761800">
        <w:rPr>
          <w:rFonts w:ascii="Times New Roman" w:hAnsi="Times New Roman"/>
          <w:b/>
          <w:sz w:val="22"/>
          <w:szCs w:val="22"/>
          <w:lang w:eastAsia="bg-BG"/>
        </w:rPr>
        <w:t xml:space="preserve"> </w:t>
      </w:r>
      <w:r w:rsidRPr="00761800">
        <w:rPr>
          <w:rFonts w:ascii="Times New Roman" w:hAnsi="Times New Roman"/>
          <w:sz w:val="22"/>
          <w:szCs w:val="22"/>
          <w:lang w:eastAsia="bg-BG"/>
        </w:rPr>
        <w:t>В чл. 202 се създава ал. 8:</w:t>
      </w:r>
    </w:p>
    <w:p w14:paraId="746F413C"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„(8) Запорът върху вземания на длъжника по чл. 215, ал. 2 се налага чрез запорно съобщение, което се изпраща на длъжника, на третото лице и на банките и другите доставчици на платежни услуги, в които е открита платежната сметка на третото лице. Запорът се смята за наложен по правилата на ал. 3.“</w:t>
      </w:r>
    </w:p>
    <w:p w14:paraId="6B26A09E"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6. В чл. 204:</w:t>
      </w:r>
    </w:p>
    <w:p w14:paraId="43ECB71F"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а) в заглавието след думите „Запор върху“ се добавя „налични“;</w:t>
      </w:r>
    </w:p>
    <w:p w14:paraId="6B3A057D"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б) в текста след думите „чл. 215, ал. 2 върху“ се добавя „налични“.</w:t>
      </w:r>
    </w:p>
    <w:p w14:paraId="2BF17576"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7. Създава се чл. 204а:</w:t>
      </w:r>
    </w:p>
    <w:p w14:paraId="6933FCD1"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 xml:space="preserve">„Запор върху парични средства от продажби, постъпващи в обект на задължено лице </w:t>
      </w:r>
    </w:p>
    <w:p w14:paraId="0A76CCAC"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 xml:space="preserve">Чл. 204а. Налагането на запор върху парични средства от продажби на стоки или услуги, постъпващи в брой в обект на длъжника, се извършва чрез връчване на запорно съобщение на длъжника. Запорът се смята наложен от деня и часа на получаване на запорното съобщение.“ </w:t>
      </w:r>
    </w:p>
    <w:p w14:paraId="0A96A7CC" w14:textId="77777777" w:rsidR="00761800" w:rsidRPr="00761800" w:rsidRDefault="00761800" w:rsidP="00761800">
      <w:pPr>
        <w:spacing w:after="120"/>
        <w:jc w:val="both"/>
        <w:rPr>
          <w:rFonts w:ascii="Times New Roman" w:hAnsi="Times New Roman"/>
          <w:b/>
          <w:sz w:val="22"/>
          <w:szCs w:val="22"/>
          <w:lang w:eastAsia="bg-BG"/>
        </w:rPr>
      </w:pPr>
      <w:r w:rsidRPr="00761800">
        <w:rPr>
          <w:rFonts w:ascii="Times New Roman" w:hAnsi="Times New Roman"/>
          <w:sz w:val="22"/>
          <w:szCs w:val="22"/>
          <w:lang w:eastAsia="bg-BG"/>
        </w:rPr>
        <w:t>8.</w:t>
      </w:r>
      <w:r w:rsidRPr="00761800">
        <w:rPr>
          <w:rFonts w:ascii="Times New Roman" w:hAnsi="Times New Roman"/>
          <w:b/>
          <w:sz w:val="22"/>
          <w:szCs w:val="22"/>
          <w:lang w:eastAsia="bg-BG"/>
        </w:rPr>
        <w:t xml:space="preserve"> </w:t>
      </w:r>
      <w:r w:rsidRPr="00761800">
        <w:rPr>
          <w:rFonts w:ascii="Times New Roman" w:hAnsi="Times New Roman"/>
          <w:sz w:val="22"/>
          <w:szCs w:val="22"/>
          <w:lang w:eastAsia="bg-BG"/>
        </w:rPr>
        <w:t>В чл. 206, ал. 2, в изречение първо след думата „длъжника“ се поставя запетая и се добавя „нито да се разпорежда с тях“.</w:t>
      </w:r>
      <w:r w:rsidRPr="00761800">
        <w:rPr>
          <w:rFonts w:ascii="Times New Roman" w:hAnsi="Times New Roman"/>
          <w:b/>
          <w:sz w:val="22"/>
          <w:szCs w:val="22"/>
          <w:lang w:eastAsia="bg-BG"/>
        </w:rPr>
        <w:t xml:space="preserve"> </w:t>
      </w:r>
    </w:p>
    <w:p w14:paraId="50AFF142"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9. В чл. 211 ал. 1 се изменя така:</w:t>
      </w:r>
    </w:p>
    <w:p w14:paraId="08C75B01"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Който изплати на длъжника вземания, предаде му вещи или се разпореди с тях въпреки наложения по съответния ред запор, отговаря солидарно с него за изплатеното или предаденото до размера на задължението с лихвата след плащането. Солидарна отговорност се носи и ако третото лице не изпълни нареждането на публичния изпълнител по чл. 230, ал. 4.“</w:t>
      </w:r>
    </w:p>
    <w:p w14:paraId="62FAE9A9"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 xml:space="preserve">10. В чл. 215, ал. 2: </w:t>
      </w:r>
    </w:p>
    <w:p w14:paraId="4EE2F05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а) в изречение първо след думата „каси“ се поставя запетая и се добавя „депозитни касети“;</w:t>
      </w:r>
    </w:p>
    <w:p w14:paraId="732BA57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б) създава се изречение второ:</w:t>
      </w:r>
    </w:p>
    <w:p w14:paraId="6C783207"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„За вземане на длъжника се смятат и сумите, постъпващи от търговска, професионална и всяка друга стопанска дейност на длъжника по платежна сметка на трето лице в банка или друг доставчик на платежни услуги, когато публичният изпълнител разполага с доказателства за това.“</w:t>
      </w:r>
    </w:p>
    <w:p w14:paraId="5A24285C"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11. Създава се чл. 229а:</w:t>
      </w:r>
    </w:p>
    <w:p w14:paraId="382D27F7" w14:textId="77777777" w:rsidR="00761800" w:rsidRPr="00761800" w:rsidRDefault="00761800" w:rsidP="00761800">
      <w:pPr>
        <w:spacing w:after="120"/>
        <w:jc w:val="both"/>
        <w:rPr>
          <w:rFonts w:ascii="Times New Roman" w:hAnsi="Times New Roman"/>
          <w:sz w:val="22"/>
          <w:szCs w:val="22"/>
          <w:lang w:eastAsia="bg-BG"/>
        </w:rPr>
      </w:pPr>
    </w:p>
    <w:p w14:paraId="376300B4"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„Разрешение за неотложни плащания при запор върху парични средства от продажби, постъпващи в обект на задължено лице</w:t>
      </w:r>
    </w:p>
    <w:p w14:paraId="6C1EC84A"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Чл. 229а. (1) Публичният изпълнител с разпореждане до длъжника може да разреши определена част от постъпилите или постъпващите за съответния ден средства в брой в обекта на длъжника да се оставят на негово временно разпореждане за неотложни плащания във връзка с дейността му.</w:t>
      </w:r>
    </w:p>
    <w:p w14:paraId="73F6A2FC"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 xml:space="preserve">(2) В случаите по ал. 1 се прилагат правилата на чл. 229, ал. 2-4 и ал. 6.“ </w:t>
      </w:r>
    </w:p>
    <w:p w14:paraId="57D79129"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12. Създава се чл. 230а:</w:t>
      </w:r>
    </w:p>
    <w:p w14:paraId="03E8B63A"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„Изпълнение върху парични средства от продажби, постъпващи в обект на задължено лице</w:t>
      </w:r>
    </w:p>
    <w:p w14:paraId="11A38ADE"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 xml:space="preserve">Чл. 230а. След налагане на запора длъжникът внася по сметката на публичния изпълнител постъпилите за съответния ден парични средства в брой в обекта. Сумата за деня се внася най-късно в 7-дневен срок от постъпването ѝ в обекта.“ </w:t>
      </w:r>
    </w:p>
    <w:p w14:paraId="4A13182D"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13. Член 278е се изменя така:</w:t>
      </w:r>
    </w:p>
    <w:p w14:paraId="599352A8"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„Чл. 278е. Лице, което не изпълни задължение по чл. 182а, се наказва с глоба в размер от 500 до 1000 евро. При повторно нарушение наказанието е глоба от 1 500 до 2 500 евро.“</w:t>
      </w:r>
    </w:p>
    <w:p w14:paraId="03D6EED8"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14. Член 278ж се изменя така:</w:t>
      </w:r>
    </w:p>
    <w:p w14:paraId="679598F3"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„Чл. 278ж. Лице по чл. 182а, което не изпълни задължение по чл. 182б, се наказва с глоба в размер от 500 до 1 000 евро. При повторно нарушение наказанието е глоба от 1 500 до 2 500 евро.“</w:t>
      </w:r>
    </w:p>
    <w:p w14:paraId="7119A33A" w14:textId="77777777" w:rsidR="00761800" w:rsidRPr="00761800" w:rsidRDefault="00761800" w:rsidP="00761800">
      <w:pPr>
        <w:spacing w:after="120"/>
        <w:jc w:val="both"/>
        <w:textAlignment w:val="center"/>
        <w:rPr>
          <w:rFonts w:ascii="Times New Roman" w:hAnsi="Times New Roman"/>
          <w:sz w:val="22"/>
          <w:szCs w:val="22"/>
          <w:lang w:eastAsia="bg-BG"/>
        </w:rPr>
      </w:pPr>
      <w:r w:rsidRPr="00761800">
        <w:rPr>
          <w:rFonts w:ascii="Times New Roman" w:hAnsi="Times New Roman"/>
          <w:sz w:val="22"/>
          <w:szCs w:val="22"/>
          <w:lang w:eastAsia="bg-BG"/>
        </w:rPr>
        <w:t>15. Член 278з се изменя така:</w:t>
      </w:r>
    </w:p>
    <w:p w14:paraId="7F97D90F" w14:textId="77777777" w:rsidR="00761800" w:rsidRPr="00761800" w:rsidRDefault="00761800" w:rsidP="00761800">
      <w:pPr>
        <w:spacing w:after="120"/>
        <w:jc w:val="both"/>
        <w:textAlignment w:val="center"/>
        <w:rPr>
          <w:rFonts w:ascii="Times New Roman" w:hAnsi="Times New Roman"/>
          <w:b/>
          <w:bCs/>
          <w:sz w:val="22"/>
          <w:szCs w:val="22"/>
          <w:lang w:eastAsia="bg-BG"/>
        </w:rPr>
      </w:pPr>
      <w:r w:rsidRPr="00761800">
        <w:rPr>
          <w:rFonts w:ascii="Times New Roman" w:hAnsi="Times New Roman"/>
          <w:sz w:val="22"/>
          <w:szCs w:val="22"/>
          <w:lang w:eastAsia="bg-BG"/>
        </w:rPr>
        <w:t>„Чл. 278з. Лице по чл. 182а, което извърши плащане по договор, първичен платежен документ, по влязло в сила съдебно решение или изпълнителен лист, без да са налице условията на чл. 182в, се наказва с глоба в размер от 1 000 до 2 000 евро. При повторно нарушение наказанието е глоба от 2 000 до 4 000 евро.“</w:t>
      </w:r>
    </w:p>
    <w:p w14:paraId="7F6F115A" w14:textId="77777777" w:rsidR="00761800" w:rsidRPr="00761800" w:rsidRDefault="00761800" w:rsidP="00761800">
      <w:pPr>
        <w:spacing w:after="120"/>
        <w:jc w:val="both"/>
        <w:textAlignment w:val="center"/>
        <w:rPr>
          <w:rFonts w:ascii="Times New Roman" w:hAnsi="Times New Roman"/>
          <w:bCs/>
          <w:sz w:val="22"/>
          <w:szCs w:val="22"/>
        </w:rPr>
      </w:pPr>
      <w:r w:rsidRPr="00761800">
        <w:rPr>
          <w:rFonts w:ascii="Times New Roman" w:hAnsi="Times New Roman"/>
          <w:b/>
          <w:bCs/>
          <w:sz w:val="22"/>
          <w:szCs w:val="22"/>
          <w:lang w:eastAsia="bg-BG"/>
        </w:rPr>
        <w:t>§ 39.</w:t>
      </w:r>
      <w:r w:rsidRPr="00761800">
        <w:rPr>
          <w:rFonts w:ascii="Times New Roman" w:hAnsi="Times New Roman"/>
          <w:sz w:val="22"/>
          <w:szCs w:val="22"/>
        </w:rPr>
        <w:t xml:space="preserve"> </w:t>
      </w:r>
      <w:r w:rsidRPr="00761800">
        <w:rPr>
          <w:rFonts w:ascii="Times New Roman" w:hAnsi="Times New Roman"/>
          <w:bCs/>
          <w:sz w:val="22"/>
          <w:szCs w:val="22"/>
        </w:rPr>
        <w:t>Нерегистрираните в информационната система по чл. 182а, ал. 5 от Данъчно-осигурителния процесуален кодекс лица, представляващи публичните предприятия по смисъла на чл. 2 от Закона за публичните предприятия, се регистрират в срок до 31 август 2026 г.</w:t>
      </w:r>
    </w:p>
    <w:p w14:paraId="62F9A21A" w14:textId="77777777" w:rsidR="00761800" w:rsidRPr="00761800" w:rsidRDefault="00761800" w:rsidP="00761800">
      <w:pPr>
        <w:spacing w:after="120"/>
        <w:jc w:val="both"/>
        <w:textAlignment w:val="center"/>
        <w:rPr>
          <w:rFonts w:ascii="Times New Roman" w:hAnsi="Times New Roman"/>
          <w:sz w:val="22"/>
          <w:szCs w:val="22"/>
        </w:rPr>
      </w:pPr>
      <w:r w:rsidRPr="00761800">
        <w:rPr>
          <w:rFonts w:ascii="Times New Roman" w:hAnsi="Times New Roman"/>
          <w:b/>
          <w:bCs/>
          <w:sz w:val="22"/>
          <w:szCs w:val="22"/>
          <w:lang w:eastAsia="bg-BG"/>
        </w:rPr>
        <w:t>§ 40.</w:t>
      </w:r>
      <w:r w:rsidRPr="00761800">
        <w:rPr>
          <w:rFonts w:ascii="Times New Roman" w:hAnsi="Times New Roman"/>
          <w:sz w:val="22"/>
          <w:szCs w:val="22"/>
        </w:rPr>
        <w:t xml:space="preserve"> Лицата по § 39 извършват уведомяване по реда на глава двадесет и първа „а“ от </w:t>
      </w:r>
      <w:r w:rsidRPr="00761800">
        <w:rPr>
          <w:rFonts w:ascii="Times New Roman" w:hAnsi="Times New Roman"/>
          <w:bCs/>
          <w:sz w:val="22"/>
          <w:szCs w:val="22"/>
        </w:rPr>
        <w:t xml:space="preserve">Данъчно-осигурителния процесуален кодекс </w:t>
      </w:r>
      <w:r w:rsidRPr="00761800">
        <w:rPr>
          <w:rFonts w:ascii="Times New Roman" w:hAnsi="Times New Roman"/>
          <w:sz w:val="22"/>
          <w:szCs w:val="22"/>
        </w:rPr>
        <w:t>за действащите договори към датата на влизане в сила на § 38 едновременно с изпращане на първото уведомление за предстоящо плащане по тези договори, но не по-късно от двумесечен срок от влизането в сила на същия параграф.</w:t>
      </w:r>
    </w:p>
    <w:p w14:paraId="1DCCBBC1" w14:textId="77777777" w:rsidR="00761800" w:rsidRPr="00761800" w:rsidRDefault="00761800" w:rsidP="00761800">
      <w:pPr>
        <w:spacing w:after="120"/>
        <w:jc w:val="both"/>
        <w:textAlignment w:val="center"/>
        <w:rPr>
          <w:rFonts w:ascii="Times New Roman" w:hAnsi="Times New Roman"/>
          <w:sz w:val="22"/>
          <w:szCs w:val="22"/>
        </w:rPr>
      </w:pPr>
      <w:r w:rsidRPr="00761800">
        <w:rPr>
          <w:rFonts w:ascii="Times New Roman" w:hAnsi="Times New Roman"/>
          <w:b/>
          <w:bCs/>
          <w:sz w:val="22"/>
          <w:szCs w:val="22"/>
          <w:lang w:eastAsia="bg-BG"/>
        </w:rPr>
        <w:t>§ 41.</w:t>
      </w:r>
      <w:r w:rsidRPr="00761800">
        <w:rPr>
          <w:rFonts w:ascii="Times New Roman" w:hAnsi="Times New Roman"/>
          <w:sz w:val="22"/>
          <w:szCs w:val="22"/>
        </w:rPr>
        <w:t xml:space="preserve"> Министърът на финансите привежда наредбата по чл. 182д от </w:t>
      </w:r>
      <w:r w:rsidRPr="00761800">
        <w:rPr>
          <w:rFonts w:ascii="Times New Roman" w:hAnsi="Times New Roman"/>
          <w:bCs/>
          <w:sz w:val="22"/>
          <w:szCs w:val="22"/>
        </w:rPr>
        <w:t xml:space="preserve">Данъчно-осигурителния процесуален кодекс </w:t>
      </w:r>
      <w:r w:rsidRPr="00761800">
        <w:rPr>
          <w:rFonts w:ascii="Times New Roman" w:hAnsi="Times New Roman"/>
          <w:sz w:val="22"/>
          <w:szCs w:val="22"/>
        </w:rPr>
        <w:t>в съответствие с този закон в тримесечен срок от влизането в сила на този параграф.</w:t>
      </w:r>
    </w:p>
    <w:p w14:paraId="524B9BB3"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b/>
          <w:bCs/>
          <w:sz w:val="22"/>
          <w:szCs w:val="22"/>
          <w:lang w:eastAsia="bg-BG"/>
        </w:rPr>
        <w:t xml:space="preserve">§ 42. </w:t>
      </w:r>
      <w:r w:rsidRPr="00761800">
        <w:rPr>
          <w:rFonts w:ascii="Times New Roman" w:hAnsi="Times New Roman"/>
          <w:b/>
          <w:sz w:val="22"/>
          <w:szCs w:val="22"/>
          <w:lang w:eastAsia="bg-BG"/>
        </w:rPr>
        <w:t xml:space="preserve">В Търговския закон </w:t>
      </w:r>
      <w:r w:rsidRPr="00761800">
        <w:rPr>
          <w:rFonts w:ascii="Times New Roman" w:hAnsi="Times New Roman"/>
          <w:sz w:val="22"/>
          <w:szCs w:val="22"/>
          <w:lang w:eastAsia="bg-BG"/>
        </w:rPr>
        <w:t xml:space="preserve">(обн., ДВ, бр. 48 1991 г., изм., бр. 25 от 1992 г., изм. и доп., бр. 61 и 103 от 1993 г., бр. 63 от 1994 г., бр. 63 от 1995 г., бр. 42, 59, 83, 86 и 104 от 1996 г., бр. 58, 100 и 124 от 1997 г., бр. 21, 39, 52 и 70 от 1998 г., бр. 33, 42, 64, 81, 90, 103 и 114 от 1999 г., бр. 84 от 2000 г., бр. </w:t>
      </w:r>
      <w:r w:rsidRPr="00761800">
        <w:rPr>
          <w:rFonts w:ascii="Times New Roman" w:hAnsi="Times New Roman"/>
          <w:sz w:val="22"/>
          <w:szCs w:val="22"/>
          <w:lang w:eastAsia="bg-BG"/>
        </w:rPr>
        <w:lastRenderedPageBreak/>
        <w:t>28, 61 и 96 от 2002 г., бр. 19, 31 и 58 от 2003 г., бр. 31, 39, 42, 43, 66, 103 и 105 от 2005 г., бр. 38, 59, 80 и 105 от 2006 г., бр. 59, 92 и 104 от 2007 г., бр. 50, 67, 70, 100 и 108 от 2008 г., бр. 12, 32, 23, 47 и 82 от 2009 г., бр. 41 и 101 от 2010 г., бр. 14, 18 и 34 от 2011 г., бр. 53 и 60 от 2012 г., бр. 15 и 20 от 2013 г., бр. 27 от 2014 г., бр. 22 и 95 от 2015 г., бр. 13 и 105 от 2016 г., бр. 62 и 102 от 2017 г., бр. 15, 27 и 88 от 2018 г., бр. 28, 33 и 83 от 2019 г., бр. 64 и 104 от 2020 г., бр. 25 от 2022 г., бр. 66 от 2023 г., бр. 35, 41, 67, 70 и 82 от 2024 г., бр. 54, 67 и 87 от 2025 г.) се правят следните изменения:</w:t>
      </w:r>
    </w:p>
    <w:p w14:paraId="39A111E5"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1. В чл. 16, ал. 2 изречение първо се изменя така:</w:t>
      </w:r>
    </w:p>
    <w:p w14:paraId="73385F4C"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 xml:space="preserve">„Вписването се извършва след проверка, извършена от длъжностното лице по регистрация по Закона за търговския регистър и регистъра на юридическите лица с нестопанска цел, по електронен път в Националната агенция за приходите, в резултат на която се установи, че отчуждителят няма непогасени подлежащи на принудително изпълнение публични задължения за задължителни осигурителни вноски, както и след представяне от отчуждителя на декларация по образец, че няма други изискуеми и неизплатени задължения по чл. 15, ал. 4.“ </w:t>
      </w:r>
    </w:p>
    <w:p w14:paraId="54ACD008"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sz w:val="22"/>
          <w:szCs w:val="22"/>
          <w:lang w:eastAsia="bg-BG"/>
        </w:rPr>
        <w:t>2. В чл. 129, ал. 2, в изречение първо думите „след представяне от управителя на дружеството и от праводателя на декларация по образец, че няма изискуеми и неизплатени задължения по ал. 1“ се заменят със „след проверка, извършена от длъжностното лице по регистрация по Закона за търговския регистър и регистъра на юридическите лица с нестопанска цел, по електронен път в Националната агенция за приходите, в резултат на която се установи, че дружеството и праводателят нямат непогасени подлежащи на принудително изпълнение публични задължения за задължителни осигурителни вноски, както и</w:t>
      </w:r>
      <w:r w:rsidRPr="00761800">
        <w:rPr>
          <w:rFonts w:ascii="Calibri" w:eastAsia="Calibri" w:hAnsi="Calibri"/>
          <w:sz w:val="22"/>
          <w:szCs w:val="22"/>
        </w:rPr>
        <w:t xml:space="preserve"> </w:t>
      </w:r>
      <w:r w:rsidRPr="00761800">
        <w:rPr>
          <w:rFonts w:ascii="Times New Roman" w:hAnsi="Times New Roman"/>
          <w:sz w:val="22"/>
          <w:szCs w:val="22"/>
          <w:lang w:eastAsia="bg-BG"/>
        </w:rPr>
        <w:t>след представяне от управителя на дружеството и от праводателя на декларация по образец, че няма други изискуеми и неизплатени задължения по ал. 1“.</w:t>
      </w:r>
    </w:p>
    <w:p w14:paraId="04B5B2A1" w14:textId="77777777" w:rsidR="00761800" w:rsidRPr="00761800" w:rsidRDefault="00761800" w:rsidP="00761800">
      <w:pPr>
        <w:spacing w:after="120"/>
        <w:jc w:val="both"/>
        <w:rPr>
          <w:rFonts w:ascii="Times New Roman" w:hAnsi="Times New Roman"/>
          <w:sz w:val="22"/>
          <w:szCs w:val="22"/>
          <w:lang w:eastAsia="bg-BG"/>
        </w:rPr>
      </w:pPr>
      <w:r w:rsidRPr="00761800">
        <w:rPr>
          <w:rFonts w:ascii="Times New Roman" w:hAnsi="Times New Roman"/>
          <w:b/>
          <w:sz w:val="22"/>
          <w:szCs w:val="22"/>
          <w:lang w:eastAsia="bg-BG"/>
        </w:rPr>
        <w:t xml:space="preserve">§ 43. </w:t>
      </w:r>
      <w:r w:rsidRPr="00761800">
        <w:rPr>
          <w:rFonts w:ascii="Times New Roman" w:hAnsi="Times New Roman"/>
          <w:sz w:val="22"/>
          <w:szCs w:val="22"/>
          <w:lang w:eastAsia="bg-BG"/>
        </w:rPr>
        <w:t>Ограничението по чл. 3, ал. 2, изречение трето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се прилага до обнародването на закона в „Държавен вестник“.</w:t>
      </w:r>
    </w:p>
    <w:p w14:paraId="4992774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hAnsi="Times New Roman"/>
          <w:b/>
          <w:sz w:val="22"/>
          <w:szCs w:val="22"/>
          <w:lang w:eastAsia="bg-BG"/>
        </w:rPr>
        <w:t>§ 44.</w:t>
      </w:r>
      <w:r w:rsidRPr="00761800">
        <w:rPr>
          <w:rFonts w:ascii="Times New Roman" w:eastAsia="Calibri" w:hAnsi="Times New Roman"/>
          <w:sz w:val="22"/>
          <w:szCs w:val="22"/>
        </w:rPr>
        <w:t xml:space="preserve"> (1) През 2026 г. не се прилага чл. 244, ал. 2 от Кодекса на труда.</w:t>
      </w:r>
    </w:p>
    <w:p w14:paraId="12F769E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Министерският съвет по предложение на заместник-министър председателя и министър на финансите и на министъра на труда и социалната политика одобрява законопроект за промени на уредбата за определяне на минималната работна заплата за страната, като до приемането на промените минималната работна заплата се запазва на нивото, определено за 2026 г.</w:t>
      </w:r>
    </w:p>
    <w:p w14:paraId="38A6FE8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45.</w:t>
      </w:r>
      <w:r w:rsidRPr="00761800">
        <w:rPr>
          <w:rFonts w:ascii="Times New Roman" w:eastAsia="Calibri" w:hAnsi="Times New Roman"/>
          <w:sz w:val="22"/>
          <w:szCs w:val="22"/>
        </w:rPr>
        <w:t xml:space="preserve"> Изпълнението на закона се възлага на Министерския съвет.</w:t>
      </w:r>
    </w:p>
    <w:p w14:paraId="797FC760"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b/>
          <w:sz w:val="22"/>
          <w:szCs w:val="22"/>
        </w:rPr>
        <w:t>§ 46.</w:t>
      </w:r>
      <w:r w:rsidRPr="00761800">
        <w:rPr>
          <w:rFonts w:ascii="Times New Roman" w:eastAsia="Calibri" w:hAnsi="Times New Roman"/>
          <w:sz w:val="22"/>
          <w:szCs w:val="22"/>
        </w:rPr>
        <w:t xml:space="preserve"> Законът влиза в сила от 1 януари 2026 г. с изключение на:</w:t>
      </w:r>
    </w:p>
    <w:p w14:paraId="3610A683"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1. Член 76 и 114, параграфи 13, 14, 16, 18-20, § 21, т. 1, § 25 – 30, 39 и § 44, ал. 2, които влизат в сила от деня на обнародването му в „Държавен вестник“.</w:t>
      </w:r>
    </w:p>
    <w:p w14:paraId="37D0B42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2. Параграфи 17, § 21, т. 2-6, § 31, 32, § 34, т. 1-7 и т. 9-33, § 35, 36 и 37, които влизат в сила от 1 август 2026 г.</w:t>
      </w:r>
    </w:p>
    <w:p w14:paraId="5C9BF75C"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3. Параграфи 11, 12, 38, 40 и 41, които влизат в сила от 1 септември 2026 г.</w:t>
      </w:r>
    </w:p>
    <w:p w14:paraId="666D714A"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4. Параграф 15, който влиза в сила от 1 октомври 2026 г.</w:t>
      </w:r>
    </w:p>
    <w:p w14:paraId="0FA0212B"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lastRenderedPageBreak/>
        <w:t>5. Параграф 34, т. 8, който влиза в сила от 1 януари 2027 г.</w:t>
      </w:r>
    </w:p>
    <w:p w14:paraId="0D2516B6" w14:textId="77777777" w:rsidR="00761800" w:rsidRPr="00761800" w:rsidRDefault="00761800" w:rsidP="00761800">
      <w:pPr>
        <w:spacing w:after="120"/>
        <w:jc w:val="both"/>
        <w:rPr>
          <w:rFonts w:ascii="Times New Roman" w:eastAsia="Calibri" w:hAnsi="Times New Roman"/>
          <w:sz w:val="22"/>
          <w:szCs w:val="22"/>
        </w:rPr>
      </w:pPr>
      <w:r w:rsidRPr="00761800">
        <w:rPr>
          <w:rFonts w:ascii="Times New Roman" w:eastAsia="Calibri" w:hAnsi="Times New Roman"/>
          <w:sz w:val="22"/>
          <w:szCs w:val="22"/>
        </w:rPr>
        <w:t>6. Параграф 42, който влиза в сила 8 месеца след обнародването му в „Държавен вестник“.</w:t>
      </w:r>
    </w:p>
    <w:p w14:paraId="62E4FE69" w14:textId="77777777" w:rsidR="00761800" w:rsidRPr="00761800" w:rsidRDefault="00761800" w:rsidP="00761800">
      <w:pPr>
        <w:spacing w:after="120"/>
        <w:jc w:val="both"/>
        <w:rPr>
          <w:rFonts w:ascii="Times New Roman" w:eastAsia="Calibri" w:hAnsi="Times New Roman"/>
          <w:sz w:val="22"/>
          <w:szCs w:val="22"/>
        </w:rPr>
      </w:pPr>
    </w:p>
    <w:p w14:paraId="0600E820" w14:textId="77777777" w:rsidR="00761800" w:rsidRPr="00761800" w:rsidRDefault="00761800" w:rsidP="00761800">
      <w:pPr>
        <w:spacing w:after="160" w:line="360" w:lineRule="auto"/>
        <w:jc w:val="both"/>
        <w:rPr>
          <w:rFonts w:ascii="Times New Roman" w:eastAsia="Calibri" w:hAnsi="Times New Roman"/>
          <w:b/>
          <w:szCs w:val="24"/>
        </w:rPr>
      </w:pPr>
      <w:r w:rsidRPr="00761800">
        <w:rPr>
          <w:rFonts w:ascii="Times New Roman" w:eastAsia="Calibri" w:hAnsi="Times New Roman"/>
          <w:szCs w:val="24"/>
        </w:rPr>
        <w:t>Законът е приет от 52-ото Народно събрание на ………..…... 2026 г. и е подпечатан с официалния печат на Народното събрание.</w:t>
      </w:r>
    </w:p>
    <w:p w14:paraId="6BD5CF44" w14:textId="77777777" w:rsidR="00761800" w:rsidRPr="00761800" w:rsidRDefault="00761800" w:rsidP="00761800">
      <w:pPr>
        <w:spacing w:after="160" w:line="259" w:lineRule="auto"/>
        <w:jc w:val="both"/>
        <w:rPr>
          <w:rFonts w:ascii="Times New Roman" w:eastAsia="Calibri" w:hAnsi="Times New Roman"/>
          <w:b/>
          <w:sz w:val="26"/>
          <w:szCs w:val="22"/>
        </w:rPr>
      </w:pPr>
    </w:p>
    <w:p w14:paraId="047D5406" w14:textId="77777777" w:rsidR="00761800" w:rsidRPr="00761800" w:rsidRDefault="00761800" w:rsidP="00761800">
      <w:pPr>
        <w:spacing w:line="288" w:lineRule="auto"/>
        <w:ind w:firstLine="5528"/>
        <w:jc w:val="both"/>
        <w:rPr>
          <w:rFonts w:ascii="Times New Roman" w:eastAsia="Calibri" w:hAnsi="Times New Roman"/>
          <w:b/>
          <w:szCs w:val="24"/>
        </w:rPr>
      </w:pPr>
      <w:r w:rsidRPr="00761800">
        <w:rPr>
          <w:rFonts w:ascii="Times New Roman" w:eastAsia="Calibri" w:hAnsi="Times New Roman"/>
          <w:b/>
          <w:szCs w:val="24"/>
        </w:rPr>
        <w:t>ПРЕДСЕДАТЕЛ НА</w:t>
      </w:r>
    </w:p>
    <w:p w14:paraId="570D2872" w14:textId="77777777" w:rsidR="00761800" w:rsidRPr="00761800" w:rsidRDefault="00761800" w:rsidP="00761800">
      <w:pPr>
        <w:spacing w:line="288" w:lineRule="auto"/>
        <w:ind w:firstLine="5528"/>
        <w:jc w:val="both"/>
        <w:rPr>
          <w:rFonts w:ascii="Times New Roman" w:eastAsia="Calibri" w:hAnsi="Times New Roman"/>
          <w:b/>
          <w:szCs w:val="24"/>
        </w:rPr>
      </w:pPr>
      <w:r w:rsidRPr="00761800">
        <w:rPr>
          <w:rFonts w:ascii="Times New Roman" w:eastAsia="Calibri" w:hAnsi="Times New Roman"/>
          <w:b/>
          <w:szCs w:val="24"/>
        </w:rPr>
        <w:t>НАРОДНОТО СЪБРАНИЕ:</w:t>
      </w:r>
    </w:p>
    <w:p w14:paraId="2ED57515" w14:textId="77777777" w:rsidR="00761800" w:rsidRPr="00761800" w:rsidRDefault="00761800" w:rsidP="00761800">
      <w:pPr>
        <w:spacing w:before="200" w:after="160" w:line="259" w:lineRule="auto"/>
        <w:ind w:firstLine="8647"/>
        <w:rPr>
          <w:rFonts w:ascii="Times New Roman" w:eastAsia="Calibri" w:hAnsi="Times New Roman"/>
          <w:szCs w:val="24"/>
        </w:rPr>
      </w:pPr>
      <w:r w:rsidRPr="00761800">
        <w:rPr>
          <w:rFonts w:ascii="Times New Roman" w:eastAsia="Calibri" w:hAnsi="Times New Roman"/>
          <w:b/>
          <w:szCs w:val="24"/>
        </w:rPr>
        <w:t>МИХАЕЛА ДОЦОВА</w:t>
      </w:r>
    </w:p>
    <w:p w14:paraId="4DF96E09" w14:textId="77777777" w:rsidR="00761800" w:rsidRPr="00761800" w:rsidRDefault="00761800" w:rsidP="00761800">
      <w:pPr>
        <w:spacing w:after="120"/>
        <w:jc w:val="both"/>
        <w:rPr>
          <w:rFonts w:ascii="Times New Roman" w:eastAsia="Calibri" w:hAnsi="Times New Roman"/>
          <w:sz w:val="22"/>
          <w:szCs w:val="22"/>
        </w:rPr>
      </w:pPr>
    </w:p>
    <w:p w14:paraId="74FF2D14" w14:textId="77777777" w:rsidR="00761800" w:rsidRPr="00761800" w:rsidRDefault="00761800" w:rsidP="00761800">
      <w:pPr>
        <w:spacing w:after="120"/>
        <w:jc w:val="both"/>
        <w:rPr>
          <w:rFonts w:ascii="Times New Roman" w:eastAsia="Calibri" w:hAnsi="Times New Roman"/>
          <w:sz w:val="22"/>
          <w:szCs w:val="22"/>
        </w:rPr>
      </w:pPr>
    </w:p>
    <w:p w14:paraId="7C7141FC" w14:textId="77777777" w:rsidR="00761800" w:rsidRPr="00761800" w:rsidRDefault="00761800" w:rsidP="00761800">
      <w:pPr>
        <w:spacing w:after="120"/>
        <w:jc w:val="both"/>
        <w:rPr>
          <w:rFonts w:ascii="Times New Roman" w:eastAsia="Calibri" w:hAnsi="Times New Roman"/>
          <w:sz w:val="22"/>
          <w:szCs w:val="22"/>
        </w:rPr>
      </w:pPr>
    </w:p>
    <w:p w14:paraId="1FFD6C24" w14:textId="77777777" w:rsidR="00761800" w:rsidRPr="00761800" w:rsidRDefault="00761800" w:rsidP="00761800">
      <w:pPr>
        <w:spacing w:after="120"/>
        <w:jc w:val="both"/>
        <w:rPr>
          <w:rFonts w:ascii="Times New Roman" w:eastAsia="Calibri" w:hAnsi="Times New Roman"/>
          <w:sz w:val="22"/>
          <w:szCs w:val="22"/>
        </w:rPr>
        <w:sectPr w:rsidR="00761800" w:rsidRPr="00761800" w:rsidSect="00406B4D">
          <w:footerReference w:type="default" r:id="rId12"/>
          <w:pgSz w:w="16838" w:h="11906" w:orient="landscape"/>
          <w:pgMar w:top="1418" w:right="1418" w:bottom="1418" w:left="1418" w:header="709" w:footer="709" w:gutter="0"/>
          <w:cols w:space="708"/>
          <w:docGrid w:linePitch="360"/>
        </w:sectPr>
      </w:pPr>
    </w:p>
    <w:p w14:paraId="582A63D7" w14:textId="77777777" w:rsidR="00761800" w:rsidRPr="00761800" w:rsidRDefault="00761800" w:rsidP="00761800">
      <w:pPr>
        <w:spacing w:before="120"/>
        <w:jc w:val="right"/>
        <w:outlineLvl w:val="2"/>
        <w:rPr>
          <w:rFonts w:ascii="Times New Roman" w:eastAsia="Calibri" w:hAnsi="Times New Roman"/>
          <w:b/>
          <w:bCs/>
          <w:sz w:val="22"/>
          <w:szCs w:val="22"/>
        </w:rPr>
      </w:pPr>
      <w:r w:rsidRPr="00761800">
        <w:rPr>
          <w:rFonts w:ascii="Times New Roman" w:eastAsia="Calibri" w:hAnsi="Times New Roman"/>
          <w:b/>
          <w:bCs/>
          <w:sz w:val="22"/>
          <w:szCs w:val="22"/>
        </w:rPr>
        <w:lastRenderedPageBreak/>
        <w:t>Приложение № 1</w:t>
      </w:r>
    </w:p>
    <w:p w14:paraId="6D4502DF" w14:textId="77777777" w:rsidR="00761800" w:rsidRPr="00761800" w:rsidRDefault="00761800" w:rsidP="00761800">
      <w:pPr>
        <w:spacing w:before="120"/>
        <w:jc w:val="right"/>
        <w:outlineLvl w:val="2"/>
        <w:rPr>
          <w:rFonts w:ascii="Times New Roman" w:eastAsia="Calibri" w:hAnsi="Times New Roman"/>
          <w:b/>
          <w:sz w:val="22"/>
          <w:szCs w:val="22"/>
        </w:rPr>
      </w:pPr>
      <w:r w:rsidRPr="00761800">
        <w:rPr>
          <w:rFonts w:ascii="Times New Roman" w:eastAsia="Calibri" w:hAnsi="Times New Roman"/>
          <w:b/>
          <w:sz w:val="22"/>
          <w:szCs w:val="22"/>
        </w:rPr>
        <w:t>към чл. 51</w:t>
      </w:r>
    </w:p>
    <w:p w14:paraId="0B8C2811" w14:textId="77777777" w:rsidR="00761800" w:rsidRPr="00761800" w:rsidRDefault="00761800" w:rsidP="00761800">
      <w:pPr>
        <w:spacing w:before="200" w:line="271" w:lineRule="auto"/>
        <w:jc w:val="right"/>
        <w:outlineLvl w:val="2"/>
        <w:rPr>
          <w:rFonts w:ascii="Times New Roman" w:eastAsia="Calibri" w:hAnsi="Times New Roman"/>
          <w:b/>
          <w:spacing w:val="5"/>
          <w:sz w:val="22"/>
          <w:szCs w:val="22"/>
        </w:rPr>
      </w:pPr>
    </w:p>
    <w:p w14:paraId="1AE9BBD1" w14:textId="77777777" w:rsidR="00761800" w:rsidRPr="00761800" w:rsidRDefault="00761800" w:rsidP="00761800">
      <w:pPr>
        <w:spacing w:after="160" w:line="259" w:lineRule="auto"/>
        <w:contextualSpacing/>
        <w:jc w:val="center"/>
        <w:rPr>
          <w:rFonts w:ascii="Times New Roman" w:eastAsia="Calibri" w:hAnsi="Times New Roman"/>
          <w:b/>
          <w:spacing w:val="5"/>
          <w:sz w:val="22"/>
          <w:szCs w:val="22"/>
        </w:rPr>
      </w:pPr>
      <w:r w:rsidRPr="00761800">
        <w:rPr>
          <w:rFonts w:ascii="Times New Roman" w:eastAsia="Calibri" w:hAnsi="Times New Roman"/>
          <w:b/>
          <w:spacing w:val="5"/>
          <w:sz w:val="22"/>
          <w:szCs w:val="22"/>
        </w:rPr>
        <w:t>Механизъм за определяне на основните бюджетни взаимоотношения между централния бюджет и бюджетите на общините под формата на субсидии за 2026 г.</w:t>
      </w:r>
    </w:p>
    <w:p w14:paraId="13D6F7C7" w14:textId="77777777" w:rsidR="00761800" w:rsidRPr="00761800" w:rsidRDefault="00761800" w:rsidP="00761800">
      <w:pPr>
        <w:spacing w:before="120"/>
        <w:ind w:firstLine="640"/>
        <w:jc w:val="both"/>
        <w:rPr>
          <w:rFonts w:ascii="Times New Roman" w:eastAsia="Calibri" w:hAnsi="Times New Roman"/>
          <w:sz w:val="22"/>
          <w:szCs w:val="22"/>
          <w:lang w:eastAsia="bg-BG"/>
        </w:rPr>
      </w:pPr>
    </w:p>
    <w:p w14:paraId="38EC3F45" w14:textId="77777777" w:rsidR="00761800" w:rsidRPr="00761800" w:rsidRDefault="00761800" w:rsidP="00761800">
      <w:pPr>
        <w:spacing w:before="120"/>
        <w:ind w:firstLine="640"/>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Основните бюджетни взаимоотношения между централния бюджет и бюджетите на общините за 2026 г. се изчисляват по следната формула:</w:t>
      </w:r>
    </w:p>
    <w:p w14:paraId="5A4419D3" w14:textId="77777777" w:rsidR="00761800" w:rsidRPr="00761800" w:rsidRDefault="00761800" w:rsidP="00761800">
      <w:pPr>
        <w:spacing w:before="120"/>
        <w:ind w:firstLine="641"/>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 = С1 + С2 + С3 + С4</w:t>
      </w:r>
      <w:r w:rsidRPr="00761800">
        <w:rPr>
          <w:rFonts w:ascii="Times New Roman" w:eastAsia="Calibri" w:hAnsi="Times New Roman"/>
          <w:sz w:val="22"/>
          <w:szCs w:val="22"/>
          <w:lang w:eastAsia="bg-BG"/>
        </w:rPr>
        <w:t>, където</w:t>
      </w:r>
    </w:p>
    <w:p w14:paraId="019F92BE" w14:textId="77777777" w:rsidR="00761800" w:rsidRPr="00761800" w:rsidRDefault="00761800" w:rsidP="00761800">
      <w:pPr>
        <w:spacing w:before="120"/>
        <w:ind w:firstLine="640"/>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w:t>
      </w:r>
      <w:r w:rsidRPr="00761800">
        <w:rPr>
          <w:rFonts w:ascii="Times New Roman" w:eastAsia="Calibri" w:hAnsi="Times New Roman"/>
          <w:sz w:val="22"/>
          <w:szCs w:val="22"/>
          <w:lang w:eastAsia="bg-BG"/>
        </w:rPr>
        <w:t xml:space="preserve"> е размерът на основното бюджетно взаимоотношение между централния бюджет и бюджета на конкретната община за 2026 г. под формата на субсидии/трансфери.</w:t>
      </w:r>
    </w:p>
    <w:p w14:paraId="61CD2364" w14:textId="77777777" w:rsidR="00761800" w:rsidRPr="00761800" w:rsidRDefault="00761800" w:rsidP="00761800">
      <w:pPr>
        <w:spacing w:before="120"/>
        <w:ind w:firstLine="640"/>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С1</w:t>
      </w:r>
      <w:r w:rsidRPr="00761800">
        <w:rPr>
          <w:rFonts w:ascii="Times New Roman" w:eastAsia="Calibri" w:hAnsi="Times New Roman"/>
          <w:sz w:val="22"/>
          <w:szCs w:val="22"/>
          <w:lang w:eastAsia="bg-BG"/>
        </w:rPr>
        <w:t xml:space="preserve"> е размерът на общата субсидия за делегираните от държавата дейности от централния бюджет за конкретната община. Изчислява се като сума на всички разходи за делегираните от държавата дейности, определени по стандарти.</w:t>
      </w:r>
    </w:p>
    <w:p w14:paraId="15D39F27" w14:textId="77777777" w:rsidR="00761800" w:rsidRPr="00761800" w:rsidRDefault="00761800" w:rsidP="00761800">
      <w:pPr>
        <w:spacing w:before="120"/>
        <w:ind w:firstLine="640"/>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С2</w:t>
      </w:r>
      <w:r w:rsidRPr="00761800">
        <w:rPr>
          <w:rFonts w:ascii="Times New Roman" w:eastAsia="Calibri" w:hAnsi="Times New Roman"/>
          <w:sz w:val="22"/>
          <w:szCs w:val="22"/>
          <w:lang w:eastAsia="bg-BG"/>
        </w:rPr>
        <w:t xml:space="preserve"> е размерът на общата изравнителна субсидия от централния бюджет за конкретната община.</w:t>
      </w:r>
    </w:p>
    <w:p w14:paraId="728D68B7" w14:textId="77777777" w:rsidR="00761800" w:rsidRPr="00761800" w:rsidRDefault="00761800" w:rsidP="00761800">
      <w:pPr>
        <w:spacing w:before="120"/>
        <w:ind w:firstLine="640"/>
        <w:jc w:val="both"/>
        <w:rPr>
          <w:rFonts w:ascii="Times New Roman" w:eastAsia="Calibri" w:hAnsi="Times New Roman"/>
          <w:b/>
          <w:sz w:val="22"/>
          <w:szCs w:val="22"/>
          <w:lang w:eastAsia="bg-BG"/>
        </w:rPr>
      </w:pPr>
      <w:r w:rsidRPr="00761800">
        <w:rPr>
          <w:rFonts w:ascii="Times New Roman" w:eastAsia="Calibri" w:hAnsi="Times New Roman"/>
          <w:b/>
          <w:sz w:val="22"/>
          <w:szCs w:val="22"/>
          <w:lang w:eastAsia="bg-BG"/>
        </w:rPr>
        <w:t>Право да получават обща изравнителна субсидия през 2026 г. имат общините, чиито постоянни данъчни постъпления към 31 декември 2024 г. на един жител са по-ниски от 120% от равнището им за страната на един жител (ДПх1&lt;1,2*ДПстр.)</w:t>
      </w:r>
    </w:p>
    <w:p w14:paraId="35F7349C" w14:textId="77777777" w:rsidR="00761800" w:rsidRPr="00761800" w:rsidRDefault="00761800" w:rsidP="00761800">
      <w:pPr>
        <w:spacing w:before="120"/>
        <w:ind w:firstLine="641"/>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Общата изравнителна субсидия за общините с достъп за 2026 г. се изчислява по следната формула:</w:t>
      </w:r>
    </w:p>
    <w:p w14:paraId="67AA0F86" w14:textId="77777777" w:rsidR="00761800" w:rsidRPr="00761800" w:rsidRDefault="00761800" w:rsidP="00761800">
      <w:pPr>
        <w:spacing w:before="120"/>
        <w:ind w:firstLine="720"/>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С2 = A1 + A2 + А3 + А4 + А5</w:t>
      </w:r>
    </w:p>
    <w:p w14:paraId="02227322" w14:textId="77777777" w:rsidR="00761800" w:rsidRPr="00761800" w:rsidRDefault="00761800" w:rsidP="00761800">
      <w:pPr>
        <w:spacing w:before="120"/>
        <w:ind w:firstLine="640"/>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 xml:space="preserve">А1 </w:t>
      </w:r>
      <w:r w:rsidRPr="00761800">
        <w:rPr>
          <w:rFonts w:ascii="Times New Roman" w:eastAsia="Calibri" w:hAnsi="Times New Roman"/>
          <w:sz w:val="22"/>
          <w:szCs w:val="22"/>
          <w:lang w:eastAsia="bg-BG"/>
        </w:rPr>
        <w:t xml:space="preserve">е първата част от размера на общата изравнителна субсидия от централния бюджет за конкретната община. Право да получават тази част от субсидията имат общините с посочения достъп в зависимост от постоянните данъчни постъпления на един жител, като изравняването е в размер на разликата между 120% от равнището за страната и постоянните данъчни постъпления на един жител за конкретната община, умножена по броя на жителите й. </w:t>
      </w:r>
    </w:p>
    <w:p w14:paraId="7EA77E98" w14:textId="77777777" w:rsidR="00761800" w:rsidRPr="00761800" w:rsidRDefault="00761800" w:rsidP="00761800">
      <w:pPr>
        <w:spacing w:before="120"/>
        <w:ind w:firstLine="567"/>
        <w:jc w:val="both"/>
        <w:rPr>
          <w:rFonts w:ascii="Times New Roman" w:eastAsia="Calibri" w:hAnsi="Times New Roman"/>
          <w:bCs/>
          <w:sz w:val="22"/>
          <w:szCs w:val="22"/>
          <w:lang w:eastAsia="bg-BG"/>
        </w:rPr>
      </w:pPr>
      <w:r w:rsidRPr="00761800">
        <w:rPr>
          <w:rFonts w:ascii="Times New Roman" w:eastAsia="Calibri" w:hAnsi="Times New Roman"/>
          <w:b/>
          <w:sz w:val="22"/>
          <w:szCs w:val="22"/>
          <w:lang w:eastAsia="bg-BG"/>
        </w:rPr>
        <w:t>ИДП</w:t>
      </w:r>
      <w:r w:rsidRPr="00761800">
        <w:rPr>
          <w:rFonts w:ascii="Times New Roman" w:eastAsia="Calibri" w:hAnsi="Times New Roman"/>
          <w:b/>
          <w:sz w:val="22"/>
          <w:szCs w:val="22"/>
          <w:vertAlign w:val="subscript"/>
          <w:lang w:eastAsia="bg-BG"/>
        </w:rPr>
        <w:t xml:space="preserve">х1 </w:t>
      </w:r>
      <w:r w:rsidRPr="00761800">
        <w:rPr>
          <w:rFonts w:ascii="Times New Roman" w:eastAsia="Calibri" w:hAnsi="Times New Roman"/>
          <w:b/>
          <w:sz w:val="22"/>
          <w:szCs w:val="22"/>
          <w:lang w:eastAsia="bg-BG"/>
        </w:rPr>
        <w:t xml:space="preserve"> = </w:t>
      </w:r>
      <w:r w:rsidRPr="00761800">
        <w:rPr>
          <w:rFonts w:ascii="Times New Roman" w:eastAsia="Calibri" w:hAnsi="Times New Roman"/>
          <w:sz w:val="22"/>
          <w:szCs w:val="22"/>
          <w:lang w:eastAsia="bg-BG"/>
        </w:rPr>
        <w:t>(1,2*ДП</w:t>
      </w:r>
      <w:r w:rsidRPr="00761800">
        <w:rPr>
          <w:rFonts w:ascii="Times New Roman" w:eastAsia="Calibri" w:hAnsi="Times New Roman"/>
          <w:sz w:val="22"/>
          <w:szCs w:val="22"/>
          <w:vertAlign w:val="subscript"/>
          <w:lang w:eastAsia="bg-BG"/>
        </w:rPr>
        <w:t xml:space="preserve">стр </w:t>
      </w:r>
      <w:r w:rsidRPr="00761800">
        <w:rPr>
          <w:rFonts w:ascii="Times New Roman" w:eastAsia="Calibri" w:hAnsi="Times New Roman"/>
          <w:sz w:val="22"/>
          <w:szCs w:val="22"/>
          <w:lang w:eastAsia="bg-BG"/>
        </w:rPr>
        <w:t>-ДП</w:t>
      </w:r>
      <w:r w:rsidRPr="00761800">
        <w:rPr>
          <w:rFonts w:ascii="Times New Roman" w:eastAsia="Calibri" w:hAnsi="Times New Roman"/>
          <w:sz w:val="22"/>
          <w:szCs w:val="22"/>
          <w:vertAlign w:val="subscript"/>
          <w:lang w:eastAsia="bg-BG"/>
        </w:rPr>
        <w:t>х1</w:t>
      </w:r>
      <w:r w:rsidRPr="00761800">
        <w:rPr>
          <w:rFonts w:ascii="Times New Roman" w:eastAsia="Calibri" w:hAnsi="Times New Roman"/>
          <w:sz w:val="22"/>
          <w:szCs w:val="22"/>
          <w:lang w:eastAsia="bg-BG"/>
        </w:rPr>
        <w:t xml:space="preserve">) </w:t>
      </w:r>
      <w:r w:rsidRPr="00761800">
        <w:rPr>
          <w:rFonts w:ascii="Times New Roman" w:eastAsia="Calibri" w:hAnsi="Times New Roman"/>
          <w:bCs/>
          <w:sz w:val="22"/>
          <w:szCs w:val="22"/>
          <w:lang w:eastAsia="bg-BG"/>
        </w:rPr>
        <w:t>* Н</w:t>
      </w:r>
      <w:r w:rsidRPr="00761800">
        <w:rPr>
          <w:rFonts w:ascii="Times New Roman" w:eastAsia="Calibri" w:hAnsi="Times New Roman"/>
          <w:bCs/>
          <w:sz w:val="22"/>
          <w:szCs w:val="22"/>
          <w:vertAlign w:val="subscript"/>
          <w:lang w:eastAsia="bg-BG"/>
        </w:rPr>
        <w:t>х1,</w:t>
      </w:r>
      <w:r w:rsidRPr="00761800">
        <w:rPr>
          <w:rFonts w:ascii="Times New Roman" w:eastAsia="Calibri" w:hAnsi="Times New Roman"/>
          <w:bCs/>
          <w:sz w:val="22"/>
          <w:szCs w:val="22"/>
          <w:lang w:eastAsia="bg-BG"/>
        </w:rPr>
        <w:t xml:space="preserve"> където</w:t>
      </w:r>
    </w:p>
    <w:p w14:paraId="7AB0839B" w14:textId="77777777" w:rsidR="00761800" w:rsidRPr="00761800" w:rsidRDefault="00761800" w:rsidP="00761800">
      <w:pPr>
        <w:spacing w:before="120"/>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ИДП</w:t>
      </w:r>
      <w:r w:rsidRPr="00761800">
        <w:rPr>
          <w:rFonts w:ascii="Times New Roman" w:eastAsia="Calibri" w:hAnsi="Times New Roman"/>
          <w:b/>
          <w:sz w:val="22"/>
          <w:szCs w:val="22"/>
          <w:vertAlign w:val="subscript"/>
          <w:lang w:eastAsia="bg-BG"/>
        </w:rPr>
        <w:t>х1</w:t>
      </w:r>
      <w:r w:rsidRPr="00761800">
        <w:rPr>
          <w:rFonts w:ascii="Times New Roman" w:eastAsia="Calibri" w:hAnsi="Times New Roman"/>
          <w:b/>
          <w:sz w:val="22"/>
          <w:szCs w:val="22"/>
          <w:lang w:eastAsia="bg-BG"/>
        </w:rPr>
        <w:t xml:space="preserve"> </w:t>
      </w:r>
      <w:r w:rsidRPr="00761800">
        <w:rPr>
          <w:rFonts w:ascii="Times New Roman" w:eastAsia="Calibri" w:hAnsi="Times New Roman"/>
          <w:sz w:val="22"/>
          <w:szCs w:val="22"/>
          <w:lang w:eastAsia="bg-BG"/>
        </w:rPr>
        <w:t xml:space="preserve">е стойността на изравняването на постоянните данъчни постъпления по компонента А1 за конкретната община. </w:t>
      </w:r>
    </w:p>
    <w:p w14:paraId="60B5C1ED" w14:textId="77777777" w:rsidR="00761800" w:rsidRPr="00761800" w:rsidRDefault="00761800" w:rsidP="00761800">
      <w:pPr>
        <w:spacing w:before="120"/>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ДП</w:t>
      </w:r>
      <w:r w:rsidRPr="00761800">
        <w:rPr>
          <w:rFonts w:ascii="Times New Roman" w:eastAsia="Calibri" w:hAnsi="Times New Roman"/>
          <w:b/>
          <w:sz w:val="22"/>
          <w:szCs w:val="22"/>
          <w:vertAlign w:val="subscript"/>
          <w:lang w:eastAsia="bg-BG"/>
        </w:rPr>
        <w:t xml:space="preserve">х1 </w:t>
      </w:r>
      <w:r w:rsidRPr="00761800">
        <w:rPr>
          <w:rFonts w:ascii="Times New Roman" w:eastAsia="Calibri" w:hAnsi="Times New Roman"/>
          <w:sz w:val="22"/>
          <w:szCs w:val="22"/>
          <w:lang w:eastAsia="bg-BG"/>
        </w:rPr>
        <w:t>е размерът на постоянните данъчни постъпления (данък върху недвижимите имоти (§13-01 от ЕБК), данък върху превозните средства (§13-03 от ЕБК), туристически данък (§13-08 от ЕБК) и патентен данък и данък върху таксиметров превоз на пътници (§01-03 от ЕБК)) на един жител на конкретната община към 31 декември 2024 г.</w:t>
      </w:r>
    </w:p>
    <w:p w14:paraId="37DD7B3D" w14:textId="77777777" w:rsidR="00761800" w:rsidRPr="00761800" w:rsidRDefault="00761800" w:rsidP="00761800">
      <w:pPr>
        <w:spacing w:before="120"/>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lastRenderedPageBreak/>
        <w:t>ДП</w:t>
      </w:r>
      <w:r w:rsidRPr="00761800">
        <w:rPr>
          <w:rFonts w:ascii="Times New Roman" w:eastAsia="Calibri" w:hAnsi="Times New Roman"/>
          <w:b/>
          <w:sz w:val="22"/>
          <w:szCs w:val="22"/>
          <w:vertAlign w:val="subscript"/>
          <w:lang w:eastAsia="bg-BG"/>
        </w:rPr>
        <w:t>стр</w:t>
      </w:r>
      <w:r w:rsidRPr="00761800">
        <w:rPr>
          <w:rFonts w:ascii="Times New Roman" w:eastAsia="Calibri" w:hAnsi="Times New Roman"/>
          <w:sz w:val="22"/>
          <w:szCs w:val="22"/>
          <w:lang w:eastAsia="bg-BG"/>
        </w:rPr>
        <w:t xml:space="preserve"> е размерът на постоянните данъчни постъпления (§13-01, §13-03, § 13-08 и §01-03 от ЕБК) на един жител за страната към 31 декември 2024 г. (72,42 евро/жител)</w:t>
      </w:r>
    </w:p>
    <w:p w14:paraId="46CD9A58" w14:textId="77777777" w:rsidR="00761800" w:rsidRPr="00761800" w:rsidRDefault="00761800" w:rsidP="00761800">
      <w:pPr>
        <w:spacing w:before="120"/>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Н</w:t>
      </w:r>
      <w:r w:rsidRPr="00761800">
        <w:rPr>
          <w:rFonts w:ascii="Times New Roman" w:eastAsia="Calibri" w:hAnsi="Times New Roman"/>
          <w:b/>
          <w:sz w:val="22"/>
          <w:szCs w:val="22"/>
          <w:vertAlign w:val="subscript"/>
          <w:lang w:eastAsia="bg-BG"/>
        </w:rPr>
        <w:t>х1</w:t>
      </w:r>
      <w:r w:rsidRPr="00761800">
        <w:rPr>
          <w:rFonts w:ascii="Times New Roman" w:eastAsia="Calibri" w:hAnsi="Times New Roman"/>
          <w:sz w:val="22"/>
          <w:szCs w:val="22"/>
          <w:lang w:eastAsia="bg-BG"/>
        </w:rPr>
        <w:t xml:space="preserve"> е населението на съответната община по данни на Националния статистически институт (НСИ) към 31 декември  2024 г.</w:t>
      </w:r>
    </w:p>
    <w:p w14:paraId="58A6EADF" w14:textId="77777777" w:rsidR="00761800" w:rsidRPr="00761800" w:rsidRDefault="00761800" w:rsidP="00761800">
      <w:pPr>
        <w:spacing w:before="120" w:after="120"/>
        <w:ind w:firstLine="640"/>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А2</w:t>
      </w:r>
      <w:r w:rsidRPr="00761800">
        <w:rPr>
          <w:rFonts w:ascii="Times New Roman" w:eastAsia="Calibri" w:hAnsi="Times New Roman"/>
          <w:sz w:val="22"/>
          <w:szCs w:val="22"/>
          <w:lang w:eastAsia="bg-BG"/>
        </w:rPr>
        <w:t xml:space="preserve"> е втората част от размера на общата изравнителна субсидия от централния бюджет за конкретната община с достъп. </w:t>
      </w:r>
    </w:p>
    <w:p w14:paraId="168D631A" w14:textId="77777777" w:rsidR="00761800" w:rsidRPr="00761800" w:rsidRDefault="00761800" w:rsidP="00761800">
      <w:pPr>
        <w:spacing w:after="120"/>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Разпределението на сумата от компонента А2 по общини е на база делът на разходните потребности за конкретната община с достъп.</w:t>
      </w:r>
    </w:p>
    <w:p w14:paraId="491F9A1C" w14:textId="77777777" w:rsidR="00761800" w:rsidRPr="00761800" w:rsidRDefault="00761800" w:rsidP="00761800">
      <w:pPr>
        <w:widowControl w:val="0"/>
        <w:ind w:firstLine="567"/>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За определяне на разходните потребности на общините се използват следните натурални показатели:</w:t>
      </w:r>
    </w:p>
    <w:p w14:paraId="5C6810D1" w14:textId="77777777" w:rsidR="00761800" w:rsidRPr="00761800" w:rsidRDefault="00761800" w:rsidP="00F64909">
      <w:pPr>
        <w:widowControl w:val="0"/>
        <w:numPr>
          <w:ilvl w:val="1"/>
          <w:numId w:val="3"/>
        </w:numPr>
        <w:spacing w:after="160" w:line="259" w:lineRule="auto"/>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 xml:space="preserve">Брой деца до 5 г. </w:t>
      </w:r>
    </w:p>
    <w:p w14:paraId="1F5A0A4E" w14:textId="77777777" w:rsidR="00761800" w:rsidRPr="00761800" w:rsidRDefault="00761800" w:rsidP="00F64909">
      <w:pPr>
        <w:widowControl w:val="0"/>
        <w:numPr>
          <w:ilvl w:val="1"/>
          <w:numId w:val="3"/>
        </w:numPr>
        <w:spacing w:after="160" w:line="259" w:lineRule="auto"/>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Брой деца от 6-14 г.</w:t>
      </w:r>
    </w:p>
    <w:p w14:paraId="5C4A06C9" w14:textId="77777777" w:rsidR="00761800" w:rsidRPr="00761800" w:rsidRDefault="00761800" w:rsidP="00F64909">
      <w:pPr>
        <w:widowControl w:val="0"/>
        <w:numPr>
          <w:ilvl w:val="1"/>
          <w:numId w:val="3"/>
        </w:numPr>
        <w:spacing w:after="160" w:line="259" w:lineRule="auto"/>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Брой възрастни на и над 65 г.</w:t>
      </w:r>
    </w:p>
    <w:p w14:paraId="1EF32C8E" w14:textId="77777777" w:rsidR="00761800" w:rsidRPr="00761800" w:rsidRDefault="00761800" w:rsidP="00F64909">
      <w:pPr>
        <w:widowControl w:val="0"/>
        <w:numPr>
          <w:ilvl w:val="1"/>
          <w:numId w:val="3"/>
        </w:numPr>
        <w:spacing w:after="160" w:line="259" w:lineRule="auto"/>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 xml:space="preserve">Територия </w:t>
      </w:r>
    </w:p>
    <w:p w14:paraId="72010DC3" w14:textId="77777777" w:rsidR="00761800" w:rsidRPr="00761800" w:rsidRDefault="00761800" w:rsidP="00F64909">
      <w:pPr>
        <w:widowControl w:val="0"/>
        <w:numPr>
          <w:ilvl w:val="1"/>
          <w:numId w:val="3"/>
        </w:numPr>
        <w:spacing w:after="160" w:line="259" w:lineRule="auto"/>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Дължина на общински пътища</w:t>
      </w:r>
    </w:p>
    <w:p w14:paraId="2D79EB4D" w14:textId="77777777" w:rsidR="00761800" w:rsidRPr="00761800" w:rsidRDefault="00761800" w:rsidP="00F64909">
      <w:pPr>
        <w:widowControl w:val="0"/>
        <w:numPr>
          <w:ilvl w:val="1"/>
          <w:numId w:val="3"/>
        </w:numPr>
        <w:spacing w:after="160" w:line="259" w:lineRule="auto"/>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Население</w:t>
      </w:r>
    </w:p>
    <w:p w14:paraId="3944AD62" w14:textId="77777777" w:rsidR="00761800" w:rsidRPr="00761800" w:rsidRDefault="00761800" w:rsidP="00761800">
      <w:pPr>
        <w:widowControl w:val="0"/>
        <w:ind w:left="1080"/>
        <w:jc w:val="both"/>
        <w:rPr>
          <w:rFonts w:ascii="Times New Roman" w:eastAsia="Calibri" w:hAnsi="Times New Roman"/>
          <w:sz w:val="22"/>
          <w:szCs w:val="22"/>
          <w:lang w:eastAsia="bg-BG"/>
        </w:rPr>
      </w:pPr>
    </w:p>
    <w:p w14:paraId="1ABC5C39" w14:textId="77777777" w:rsidR="00761800" w:rsidRPr="00761800" w:rsidRDefault="00761800" w:rsidP="00761800">
      <w:pPr>
        <w:widowControl w:val="0"/>
        <w:ind w:firstLine="567"/>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Теглото на съответния показател се определя в зависимост от структурата на разходите за местни дейности (по отчетни годишни данни за 2024 г.) по следния начин:</w:t>
      </w:r>
    </w:p>
    <w:p w14:paraId="472AC575" w14:textId="77777777" w:rsidR="00761800" w:rsidRPr="00761800" w:rsidRDefault="00761800" w:rsidP="00761800">
      <w:pPr>
        <w:widowControl w:val="0"/>
        <w:ind w:firstLine="567"/>
        <w:jc w:val="both"/>
        <w:rPr>
          <w:rFonts w:ascii="Times New Roman" w:eastAsia="Calibri" w:hAnsi="Times New Roman"/>
          <w:sz w:val="22"/>
          <w:szCs w:val="22"/>
          <w:lang w:eastAsia="bg-BG"/>
        </w:rPr>
      </w:pPr>
    </w:p>
    <w:p w14:paraId="4EE5EFAC" w14:textId="77777777" w:rsidR="00761800" w:rsidRPr="00761800" w:rsidRDefault="00761800" w:rsidP="00F64909">
      <w:pPr>
        <w:widowControl w:val="0"/>
        <w:numPr>
          <w:ilvl w:val="0"/>
          <w:numId w:val="3"/>
        </w:numPr>
        <w:spacing w:after="160" w:line="259" w:lineRule="auto"/>
        <w:jc w:val="both"/>
        <w:rPr>
          <w:rFonts w:ascii="Times New Roman" w:eastAsia="Calibri" w:hAnsi="Times New Roman"/>
          <w:b/>
          <w:bCs/>
          <w:sz w:val="22"/>
          <w:szCs w:val="22"/>
          <w:lang w:eastAsia="bg-BG"/>
        </w:rPr>
      </w:pPr>
      <w:r w:rsidRPr="00761800">
        <w:rPr>
          <w:rFonts w:ascii="Times New Roman" w:eastAsia="Calibri" w:hAnsi="Times New Roman"/>
          <w:b/>
          <w:sz w:val="22"/>
          <w:szCs w:val="22"/>
          <w:lang w:eastAsia="bg-BG"/>
        </w:rPr>
        <w:t>Брой деца до 5 г.</w:t>
      </w:r>
      <w:r w:rsidRPr="00761800">
        <w:rPr>
          <w:rFonts w:ascii="Times New Roman" w:eastAsia="Calibri" w:hAnsi="Times New Roman"/>
          <w:sz w:val="22"/>
          <w:szCs w:val="22"/>
          <w:lang w:eastAsia="bg-BG"/>
        </w:rPr>
        <w:t xml:space="preserve"> -</w:t>
      </w:r>
      <w:r w:rsidRPr="00761800">
        <w:rPr>
          <w:rFonts w:ascii="Times New Roman" w:eastAsia="Calibri" w:hAnsi="Times New Roman"/>
          <w:b/>
          <w:sz w:val="22"/>
          <w:szCs w:val="22"/>
          <w:lang w:eastAsia="bg-BG"/>
        </w:rPr>
        <w:t xml:space="preserve"> </w:t>
      </w:r>
      <w:r w:rsidRPr="00761800">
        <w:rPr>
          <w:rFonts w:ascii="Times New Roman" w:eastAsia="Calibri" w:hAnsi="Times New Roman"/>
          <w:b/>
          <w:bCs/>
          <w:sz w:val="22"/>
          <w:szCs w:val="22"/>
          <w:u w:val="single"/>
          <w:lang w:eastAsia="bg-BG"/>
        </w:rPr>
        <w:t>2,0%</w:t>
      </w:r>
      <w:r w:rsidRPr="00761800">
        <w:rPr>
          <w:rFonts w:ascii="Times New Roman" w:eastAsia="Calibri" w:hAnsi="Times New Roman"/>
          <w:sz w:val="22"/>
          <w:szCs w:val="22"/>
          <w:lang w:eastAsia="bg-BG"/>
        </w:rPr>
        <w:t xml:space="preserve"> (дял на</w:t>
      </w:r>
      <w:r w:rsidRPr="00761800">
        <w:rPr>
          <w:rFonts w:ascii="Times New Roman" w:eastAsia="Calibri" w:hAnsi="Times New Roman"/>
          <w:b/>
          <w:sz w:val="22"/>
          <w:szCs w:val="22"/>
          <w:lang w:eastAsia="bg-BG"/>
        </w:rPr>
        <w:t xml:space="preserve"> </w:t>
      </w:r>
      <w:r w:rsidRPr="00761800">
        <w:rPr>
          <w:rFonts w:ascii="Times New Roman" w:eastAsia="Calibri" w:hAnsi="Times New Roman"/>
          <w:sz w:val="22"/>
          <w:szCs w:val="22"/>
          <w:lang w:eastAsia="bg-BG"/>
        </w:rPr>
        <w:t>разходите за</w:t>
      </w:r>
      <w:r w:rsidRPr="00761800">
        <w:rPr>
          <w:rFonts w:ascii="Times New Roman" w:eastAsia="Calibri" w:hAnsi="Times New Roman"/>
          <w:b/>
          <w:sz w:val="22"/>
          <w:szCs w:val="22"/>
          <w:lang w:eastAsia="bg-BG"/>
        </w:rPr>
        <w:t xml:space="preserve"> </w:t>
      </w:r>
      <w:r w:rsidRPr="00761800">
        <w:rPr>
          <w:rFonts w:ascii="Times New Roman" w:eastAsia="Calibri" w:hAnsi="Times New Roman"/>
          <w:sz w:val="22"/>
          <w:szCs w:val="22"/>
          <w:lang w:eastAsia="bg-BG"/>
        </w:rPr>
        <w:t>местни дейности 311, 312, 431 от ЕБК в общите разходи за местни дейности)</w:t>
      </w:r>
    </w:p>
    <w:p w14:paraId="66286EFA" w14:textId="77777777" w:rsidR="00761800" w:rsidRPr="00761800" w:rsidRDefault="00761800" w:rsidP="00F64909">
      <w:pPr>
        <w:numPr>
          <w:ilvl w:val="0"/>
          <w:numId w:val="3"/>
        </w:numPr>
        <w:spacing w:after="200" w:line="276" w:lineRule="auto"/>
        <w:contextualSpacing/>
        <w:jc w:val="both"/>
        <w:rPr>
          <w:rFonts w:ascii="Times New Roman" w:eastAsia="Calibri" w:hAnsi="Times New Roman"/>
          <w:b/>
          <w:sz w:val="22"/>
          <w:szCs w:val="22"/>
          <w:lang w:eastAsia="bg-BG"/>
        </w:rPr>
      </w:pPr>
      <w:r w:rsidRPr="00761800">
        <w:rPr>
          <w:rFonts w:ascii="Times New Roman" w:eastAsia="Calibri" w:hAnsi="Times New Roman"/>
          <w:b/>
          <w:sz w:val="22"/>
          <w:szCs w:val="22"/>
          <w:lang w:eastAsia="bg-BG"/>
        </w:rPr>
        <w:t xml:space="preserve">Брой деца от 6-14 г. - </w:t>
      </w:r>
      <w:r w:rsidRPr="00761800">
        <w:rPr>
          <w:rFonts w:ascii="Times New Roman" w:eastAsia="Calibri" w:hAnsi="Times New Roman"/>
          <w:b/>
          <w:bCs/>
          <w:sz w:val="22"/>
          <w:szCs w:val="22"/>
          <w:u w:val="single"/>
          <w:lang w:eastAsia="bg-BG"/>
        </w:rPr>
        <w:t>1,0%</w:t>
      </w:r>
      <w:r w:rsidRPr="00761800">
        <w:rPr>
          <w:rFonts w:ascii="Times New Roman" w:eastAsia="Calibri" w:hAnsi="Times New Roman"/>
          <w:b/>
          <w:bCs/>
          <w:sz w:val="22"/>
          <w:szCs w:val="22"/>
          <w:lang w:eastAsia="bg-BG"/>
        </w:rPr>
        <w:t xml:space="preserve"> </w:t>
      </w:r>
      <w:r w:rsidRPr="00761800">
        <w:rPr>
          <w:rFonts w:ascii="Times New Roman" w:eastAsia="Calibri" w:hAnsi="Times New Roman"/>
          <w:bCs/>
          <w:sz w:val="22"/>
          <w:szCs w:val="22"/>
          <w:lang w:eastAsia="bg-BG"/>
        </w:rPr>
        <w:t xml:space="preserve">(дял на останалите разходи за местни дейности </w:t>
      </w:r>
      <w:r w:rsidRPr="00761800">
        <w:rPr>
          <w:rFonts w:ascii="Times New Roman" w:eastAsia="Calibri" w:hAnsi="Times New Roman"/>
          <w:sz w:val="22"/>
          <w:szCs w:val="22"/>
          <w:lang w:eastAsia="bg-BG"/>
        </w:rPr>
        <w:t>във функция Образование</w:t>
      </w:r>
      <w:r w:rsidRPr="00761800">
        <w:rPr>
          <w:rFonts w:ascii="Times New Roman" w:eastAsia="Calibri" w:hAnsi="Times New Roman"/>
          <w:b/>
          <w:sz w:val="22"/>
          <w:szCs w:val="22"/>
          <w:lang w:eastAsia="bg-BG"/>
        </w:rPr>
        <w:t xml:space="preserve"> </w:t>
      </w:r>
      <w:r w:rsidRPr="00761800">
        <w:rPr>
          <w:rFonts w:ascii="Times New Roman" w:eastAsia="Calibri" w:hAnsi="Times New Roman"/>
          <w:bCs/>
          <w:sz w:val="22"/>
          <w:szCs w:val="22"/>
          <w:lang w:eastAsia="bg-BG"/>
        </w:rPr>
        <w:t>от ЕБК в общите разходи за местни дейности)</w:t>
      </w:r>
    </w:p>
    <w:p w14:paraId="38365053" w14:textId="77777777" w:rsidR="00761800" w:rsidRPr="00761800" w:rsidRDefault="00761800" w:rsidP="00F64909">
      <w:pPr>
        <w:widowControl w:val="0"/>
        <w:numPr>
          <w:ilvl w:val="0"/>
          <w:numId w:val="3"/>
        </w:numPr>
        <w:spacing w:after="160" w:line="259" w:lineRule="auto"/>
        <w:jc w:val="both"/>
        <w:rPr>
          <w:rFonts w:ascii="Times New Roman" w:eastAsia="Calibri" w:hAnsi="Times New Roman"/>
          <w:bCs/>
          <w:sz w:val="22"/>
          <w:szCs w:val="22"/>
          <w:lang w:eastAsia="bg-BG"/>
        </w:rPr>
      </w:pPr>
      <w:r w:rsidRPr="00761800">
        <w:rPr>
          <w:rFonts w:ascii="Times New Roman" w:eastAsia="Calibri" w:hAnsi="Times New Roman"/>
          <w:b/>
          <w:sz w:val="22"/>
          <w:szCs w:val="22"/>
          <w:lang w:eastAsia="bg-BG"/>
        </w:rPr>
        <w:t xml:space="preserve">Брой възрастни на и над 65 г. - </w:t>
      </w:r>
      <w:r w:rsidRPr="00761800">
        <w:rPr>
          <w:rFonts w:ascii="Times New Roman" w:eastAsia="Calibri" w:hAnsi="Times New Roman"/>
          <w:b/>
          <w:bCs/>
          <w:sz w:val="22"/>
          <w:szCs w:val="22"/>
          <w:u w:val="single"/>
          <w:lang w:eastAsia="bg-BG"/>
        </w:rPr>
        <w:t>5,0%</w:t>
      </w:r>
      <w:r w:rsidRPr="00761800">
        <w:rPr>
          <w:rFonts w:ascii="Times New Roman" w:eastAsia="Calibri" w:hAnsi="Times New Roman"/>
          <w:b/>
          <w:bCs/>
          <w:sz w:val="22"/>
          <w:szCs w:val="22"/>
          <w:lang w:eastAsia="bg-BG"/>
        </w:rPr>
        <w:t xml:space="preserve"> </w:t>
      </w:r>
      <w:r w:rsidRPr="00761800">
        <w:rPr>
          <w:rFonts w:ascii="Times New Roman" w:eastAsia="Calibri" w:hAnsi="Times New Roman"/>
          <w:bCs/>
          <w:sz w:val="22"/>
          <w:szCs w:val="22"/>
          <w:lang w:eastAsia="bg-BG"/>
        </w:rPr>
        <w:t>(дял на разходите за местни дейности във функция V. Социално осигуряване, подпомагане и грижи от ЕБК</w:t>
      </w:r>
      <w:r w:rsidRPr="00761800">
        <w:rPr>
          <w:rFonts w:ascii="Times New Roman" w:eastAsia="Calibri" w:hAnsi="Times New Roman"/>
          <w:b/>
          <w:bCs/>
          <w:sz w:val="22"/>
          <w:szCs w:val="22"/>
          <w:lang w:eastAsia="bg-BG"/>
        </w:rPr>
        <w:t xml:space="preserve"> </w:t>
      </w:r>
      <w:r w:rsidRPr="00761800">
        <w:rPr>
          <w:rFonts w:ascii="Times New Roman" w:eastAsia="Calibri" w:hAnsi="Times New Roman"/>
          <w:bCs/>
          <w:sz w:val="22"/>
          <w:szCs w:val="22"/>
          <w:lang w:eastAsia="bg-BG"/>
        </w:rPr>
        <w:t xml:space="preserve">в общите разходи за местни дейности) </w:t>
      </w:r>
    </w:p>
    <w:p w14:paraId="16B46263" w14:textId="77777777" w:rsidR="00761800" w:rsidRPr="00761800" w:rsidRDefault="00761800" w:rsidP="00F64909">
      <w:pPr>
        <w:numPr>
          <w:ilvl w:val="0"/>
          <w:numId w:val="3"/>
        </w:numPr>
        <w:spacing w:after="200" w:line="276" w:lineRule="auto"/>
        <w:contextualSpacing/>
        <w:jc w:val="both"/>
        <w:rPr>
          <w:rFonts w:ascii="Times New Roman" w:eastAsia="Calibri" w:hAnsi="Times New Roman"/>
          <w:bCs/>
          <w:sz w:val="22"/>
          <w:szCs w:val="22"/>
          <w:lang w:eastAsia="bg-BG"/>
        </w:rPr>
      </w:pPr>
      <w:r w:rsidRPr="00761800">
        <w:rPr>
          <w:rFonts w:ascii="Times New Roman" w:eastAsia="Calibri" w:hAnsi="Times New Roman"/>
          <w:b/>
          <w:sz w:val="22"/>
          <w:szCs w:val="22"/>
          <w:lang w:eastAsia="bg-BG"/>
        </w:rPr>
        <w:t xml:space="preserve">Територия - </w:t>
      </w:r>
      <w:r w:rsidRPr="00761800">
        <w:rPr>
          <w:rFonts w:ascii="Times New Roman" w:eastAsia="Calibri" w:hAnsi="Times New Roman"/>
          <w:b/>
          <w:bCs/>
          <w:sz w:val="22"/>
          <w:szCs w:val="22"/>
          <w:u w:val="single"/>
          <w:lang w:eastAsia="bg-BG"/>
        </w:rPr>
        <w:t>27,0%</w:t>
      </w:r>
      <w:r w:rsidRPr="00761800">
        <w:rPr>
          <w:rFonts w:ascii="Times New Roman" w:eastAsia="Calibri" w:hAnsi="Times New Roman"/>
          <w:b/>
          <w:bCs/>
          <w:sz w:val="22"/>
          <w:szCs w:val="22"/>
          <w:lang w:eastAsia="bg-BG"/>
        </w:rPr>
        <w:t xml:space="preserve"> </w:t>
      </w:r>
      <w:r w:rsidRPr="00761800">
        <w:rPr>
          <w:rFonts w:ascii="Times New Roman" w:eastAsia="Calibri" w:hAnsi="Times New Roman"/>
          <w:bCs/>
          <w:sz w:val="22"/>
          <w:szCs w:val="22"/>
          <w:lang w:eastAsia="bg-BG"/>
        </w:rPr>
        <w:t xml:space="preserve">(дял на разходите за местни дейности в група А. Жилищно строителство, благоустройство, комунално стопанство (без дейности 603 и 605) и разходите за дейност 622 „Озеленяване“ от група Б на функция VІ от ЕБК в общите разходи за местни дейности) </w:t>
      </w:r>
    </w:p>
    <w:p w14:paraId="212F2877" w14:textId="77777777" w:rsidR="00761800" w:rsidRPr="00761800" w:rsidRDefault="00761800" w:rsidP="00F64909">
      <w:pPr>
        <w:widowControl w:val="0"/>
        <w:numPr>
          <w:ilvl w:val="0"/>
          <w:numId w:val="3"/>
        </w:numPr>
        <w:spacing w:after="160" w:line="259" w:lineRule="auto"/>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Дължина на общинската пътна мрежа</w:t>
      </w:r>
      <w:r w:rsidRPr="00761800">
        <w:rPr>
          <w:rFonts w:ascii="Times New Roman" w:eastAsia="Calibri" w:hAnsi="Times New Roman"/>
          <w:b/>
          <w:bCs/>
          <w:sz w:val="22"/>
          <w:szCs w:val="22"/>
          <w:lang w:eastAsia="bg-BG"/>
        </w:rPr>
        <w:t xml:space="preserve"> - </w:t>
      </w:r>
      <w:r w:rsidRPr="00761800">
        <w:rPr>
          <w:rFonts w:ascii="Times New Roman" w:eastAsia="Calibri" w:hAnsi="Times New Roman"/>
          <w:b/>
          <w:bCs/>
          <w:sz w:val="22"/>
          <w:szCs w:val="22"/>
          <w:u w:val="single"/>
          <w:lang w:eastAsia="bg-BG"/>
        </w:rPr>
        <w:t>15,0%</w:t>
      </w:r>
      <w:r w:rsidRPr="00761800">
        <w:rPr>
          <w:rFonts w:ascii="Times New Roman" w:eastAsia="Calibri" w:hAnsi="Times New Roman"/>
          <w:b/>
          <w:bCs/>
          <w:sz w:val="22"/>
          <w:szCs w:val="22"/>
          <w:lang w:eastAsia="bg-BG"/>
        </w:rPr>
        <w:t xml:space="preserve"> </w:t>
      </w:r>
      <w:r w:rsidRPr="00761800">
        <w:rPr>
          <w:rFonts w:ascii="Times New Roman" w:eastAsia="Calibri" w:hAnsi="Times New Roman"/>
          <w:bCs/>
          <w:sz w:val="22"/>
          <w:szCs w:val="22"/>
          <w:lang w:eastAsia="bg-BG"/>
        </w:rPr>
        <w:t xml:space="preserve">(дял на разходите за местни дейности в група В. Транспорт и съобщения от функция VІІІ от ЕБК в общите разходи за местни дейности) </w:t>
      </w:r>
    </w:p>
    <w:p w14:paraId="29300F0F" w14:textId="77777777" w:rsidR="00761800" w:rsidRPr="00761800" w:rsidRDefault="00761800" w:rsidP="00F64909">
      <w:pPr>
        <w:widowControl w:val="0"/>
        <w:numPr>
          <w:ilvl w:val="0"/>
          <w:numId w:val="3"/>
        </w:numPr>
        <w:spacing w:after="160" w:line="259" w:lineRule="auto"/>
        <w:jc w:val="both"/>
        <w:rPr>
          <w:rFonts w:ascii="Times New Roman" w:eastAsia="Calibri" w:hAnsi="Times New Roman"/>
          <w:bCs/>
          <w:sz w:val="22"/>
          <w:szCs w:val="22"/>
          <w:lang w:eastAsia="bg-BG"/>
        </w:rPr>
      </w:pPr>
      <w:r w:rsidRPr="00761800">
        <w:rPr>
          <w:rFonts w:ascii="Times New Roman" w:eastAsia="Calibri" w:hAnsi="Times New Roman"/>
          <w:b/>
          <w:sz w:val="22"/>
          <w:szCs w:val="22"/>
          <w:lang w:eastAsia="bg-BG"/>
        </w:rPr>
        <w:t>Население</w:t>
      </w:r>
      <w:r w:rsidRPr="00761800">
        <w:rPr>
          <w:rFonts w:ascii="Times New Roman" w:eastAsia="Calibri" w:hAnsi="Times New Roman"/>
          <w:b/>
          <w:bCs/>
          <w:sz w:val="22"/>
          <w:szCs w:val="22"/>
          <w:lang w:eastAsia="bg-BG"/>
        </w:rPr>
        <w:t xml:space="preserve"> - </w:t>
      </w:r>
      <w:r w:rsidRPr="00761800">
        <w:rPr>
          <w:rFonts w:ascii="Times New Roman" w:eastAsia="Calibri" w:hAnsi="Times New Roman"/>
          <w:b/>
          <w:bCs/>
          <w:sz w:val="22"/>
          <w:szCs w:val="22"/>
          <w:u w:val="single"/>
          <w:lang w:eastAsia="bg-BG"/>
        </w:rPr>
        <w:t>50,0%</w:t>
      </w:r>
      <w:r w:rsidRPr="00761800">
        <w:rPr>
          <w:rFonts w:ascii="Times New Roman" w:eastAsia="Calibri" w:hAnsi="Times New Roman"/>
          <w:b/>
          <w:bCs/>
          <w:sz w:val="22"/>
          <w:szCs w:val="22"/>
          <w:lang w:eastAsia="bg-BG"/>
        </w:rPr>
        <w:t xml:space="preserve"> – </w:t>
      </w:r>
      <w:r w:rsidRPr="00761800">
        <w:rPr>
          <w:rFonts w:ascii="Times New Roman" w:eastAsia="Calibri" w:hAnsi="Times New Roman"/>
          <w:bCs/>
          <w:sz w:val="22"/>
          <w:szCs w:val="22"/>
          <w:lang w:eastAsia="bg-BG"/>
        </w:rPr>
        <w:t xml:space="preserve">(дял на разходите за всички останали местни дейности от ЕБК в общите разходи за местни дейности) </w:t>
      </w:r>
    </w:p>
    <w:p w14:paraId="33BE8446" w14:textId="77777777" w:rsidR="00761800" w:rsidRPr="00761800" w:rsidRDefault="00761800" w:rsidP="00761800">
      <w:pPr>
        <w:widowControl w:val="0"/>
        <w:ind w:firstLine="567"/>
        <w:rPr>
          <w:rFonts w:ascii="Times New Roman" w:eastAsia="Calibri" w:hAnsi="Times New Roman"/>
          <w:sz w:val="22"/>
          <w:szCs w:val="22"/>
          <w:lang w:eastAsia="bg-BG"/>
        </w:rPr>
      </w:pPr>
    </w:p>
    <w:p w14:paraId="2EE53265" w14:textId="77777777" w:rsidR="00761800" w:rsidRPr="00761800" w:rsidRDefault="00761800" w:rsidP="00761800">
      <w:pPr>
        <w:widowControl w:val="0"/>
        <w:ind w:firstLine="567"/>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На всяка община се определя дял на всеки от натуралните показатели от общата сума на показателя за страната, като всеки дял се умножава с теглото за показателя (%). Сумата от така получените дялове формира съответния дял разходни потребности на конкретната община.</w:t>
      </w:r>
    </w:p>
    <w:p w14:paraId="29CB12AD" w14:textId="77777777" w:rsidR="00761800" w:rsidRPr="00761800" w:rsidRDefault="00761800" w:rsidP="00761800">
      <w:pPr>
        <w:widowControl w:val="0"/>
        <w:ind w:firstLine="567"/>
        <w:rPr>
          <w:rFonts w:ascii="Times New Roman" w:eastAsia="Calibri" w:hAnsi="Times New Roman"/>
          <w:sz w:val="22"/>
          <w:szCs w:val="22"/>
          <w:lang w:eastAsia="bg-BG"/>
        </w:rPr>
      </w:pPr>
    </w:p>
    <w:p w14:paraId="6E984359" w14:textId="77777777" w:rsidR="00761800" w:rsidRPr="00761800" w:rsidRDefault="00761800" w:rsidP="00761800">
      <w:pPr>
        <w:widowControl w:val="0"/>
        <w:spacing w:after="120"/>
        <w:ind w:firstLine="567"/>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 xml:space="preserve">РПi = (Дi/∑Дi)*2,0% + (Уi/∑Уi)*1,0% + (Вi/∑Вi)*5,0% + (Тi/∑Тi)*27,0% + (ДОПi/∑ДОПi)*15,0% + (Нi/∑Нi)*50,0%, където </w:t>
      </w:r>
    </w:p>
    <w:p w14:paraId="625C98A1" w14:textId="77777777" w:rsidR="00761800" w:rsidRPr="00761800" w:rsidRDefault="00761800" w:rsidP="00761800">
      <w:pPr>
        <w:widowControl w:val="0"/>
        <w:ind w:firstLine="567"/>
        <w:rPr>
          <w:rFonts w:ascii="Times New Roman" w:eastAsia="Calibri" w:hAnsi="Times New Roman"/>
          <w:sz w:val="22"/>
          <w:szCs w:val="22"/>
          <w:lang w:eastAsia="bg-BG"/>
        </w:rPr>
      </w:pPr>
      <w:r w:rsidRPr="00761800">
        <w:rPr>
          <w:rFonts w:ascii="Times New Roman" w:eastAsia="Calibri" w:hAnsi="Times New Roman"/>
          <w:sz w:val="22"/>
          <w:szCs w:val="22"/>
          <w:lang w:eastAsia="bg-BG"/>
        </w:rPr>
        <w:t>Д – деца до 5 години</w:t>
      </w:r>
    </w:p>
    <w:p w14:paraId="15583687" w14:textId="77777777" w:rsidR="00761800" w:rsidRPr="00761800" w:rsidRDefault="00761800" w:rsidP="00761800">
      <w:pPr>
        <w:widowControl w:val="0"/>
        <w:ind w:firstLine="567"/>
        <w:rPr>
          <w:rFonts w:ascii="Times New Roman" w:eastAsia="Calibri" w:hAnsi="Times New Roman"/>
          <w:sz w:val="22"/>
          <w:szCs w:val="22"/>
          <w:lang w:eastAsia="bg-BG"/>
        </w:rPr>
      </w:pPr>
      <w:r w:rsidRPr="00761800">
        <w:rPr>
          <w:rFonts w:ascii="Times New Roman" w:eastAsia="Calibri" w:hAnsi="Times New Roman"/>
          <w:sz w:val="22"/>
          <w:szCs w:val="22"/>
          <w:lang w:eastAsia="bg-BG"/>
        </w:rPr>
        <w:t>У – деца от 6 до 14 г./ученици</w:t>
      </w:r>
    </w:p>
    <w:p w14:paraId="74308AF1" w14:textId="77777777" w:rsidR="00761800" w:rsidRPr="00761800" w:rsidRDefault="00761800" w:rsidP="00761800">
      <w:pPr>
        <w:widowControl w:val="0"/>
        <w:ind w:firstLine="567"/>
        <w:rPr>
          <w:rFonts w:ascii="Times New Roman" w:eastAsia="Calibri" w:hAnsi="Times New Roman"/>
          <w:sz w:val="22"/>
          <w:szCs w:val="22"/>
          <w:lang w:eastAsia="bg-BG"/>
        </w:rPr>
      </w:pPr>
      <w:r w:rsidRPr="00761800">
        <w:rPr>
          <w:rFonts w:ascii="Times New Roman" w:eastAsia="Calibri" w:hAnsi="Times New Roman"/>
          <w:sz w:val="22"/>
          <w:szCs w:val="22"/>
          <w:lang w:eastAsia="bg-BG"/>
        </w:rPr>
        <w:t>В – възрастни на и над 65 години</w:t>
      </w:r>
    </w:p>
    <w:p w14:paraId="054F3EB5" w14:textId="77777777" w:rsidR="00761800" w:rsidRPr="00761800" w:rsidRDefault="00761800" w:rsidP="00761800">
      <w:pPr>
        <w:widowControl w:val="0"/>
        <w:ind w:firstLine="567"/>
        <w:rPr>
          <w:rFonts w:ascii="Times New Roman" w:eastAsia="Calibri" w:hAnsi="Times New Roman"/>
          <w:sz w:val="22"/>
          <w:szCs w:val="22"/>
          <w:lang w:eastAsia="bg-BG"/>
        </w:rPr>
      </w:pPr>
      <w:r w:rsidRPr="00761800">
        <w:rPr>
          <w:rFonts w:ascii="Times New Roman" w:eastAsia="Calibri" w:hAnsi="Times New Roman"/>
          <w:sz w:val="22"/>
          <w:szCs w:val="22"/>
          <w:lang w:eastAsia="bg-BG"/>
        </w:rPr>
        <w:t>Т – територия</w:t>
      </w:r>
    </w:p>
    <w:p w14:paraId="4C2562AC" w14:textId="77777777" w:rsidR="00761800" w:rsidRPr="00761800" w:rsidRDefault="00761800" w:rsidP="00761800">
      <w:pPr>
        <w:widowControl w:val="0"/>
        <w:ind w:firstLine="567"/>
        <w:rPr>
          <w:rFonts w:ascii="Times New Roman" w:eastAsia="Calibri" w:hAnsi="Times New Roman"/>
          <w:sz w:val="22"/>
          <w:szCs w:val="22"/>
          <w:lang w:eastAsia="bg-BG"/>
        </w:rPr>
      </w:pPr>
      <w:r w:rsidRPr="00761800">
        <w:rPr>
          <w:rFonts w:ascii="Times New Roman" w:eastAsia="Calibri" w:hAnsi="Times New Roman"/>
          <w:sz w:val="22"/>
          <w:szCs w:val="22"/>
          <w:lang w:eastAsia="bg-BG"/>
        </w:rPr>
        <w:t>ДОП – дължина на общински пътища</w:t>
      </w:r>
    </w:p>
    <w:p w14:paraId="51472DCF" w14:textId="77777777" w:rsidR="00761800" w:rsidRPr="00761800" w:rsidRDefault="00761800" w:rsidP="00761800">
      <w:pPr>
        <w:widowControl w:val="0"/>
        <w:ind w:firstLine="567"/>
        <w:rPr>
          <w:rFonts w:ascii="Times New Roman" w:eastAsia="Calibri" w:hAnsi="Times New Roman"/>
          <w:sz w:val="22"/>
          <w:szCs w:val="22"/>
          <w:lang w:eastAsia="bg-BG"/>
        </w:rPr>
      </w:pPr>
      <w:r w:rsidRPr="00761800">
        <w:rPr>
          <w:rFonts w:ascii="Times New Roman" w:eastAsia="Calibri" w:hAnsi="Times New Roman"/>
          <w:sz w:val="22"/>
          <w:szCs w:val="22"/>
          <w:lang w:eastAsia="bg-BG"/>
        </w:rPr>
        <w:t>Н – население</w:t>
      </w:r>
    </w:p>
    <w:p w14:paraId="32B5496C" w14:textId="77777777" w:rsidR="00761800" w:rsidRPr="00761800" w:rsidRDefault="00761800" w:rsidP="00761800">
      <w:pPr>
        <w:widowControl w:val="0"/>
        <w:ind w:firstLine="567"/>
        <w:rPr>
          <w:rFonts w:ascii="Times New Roman" w:eastAsia="Calibri" w:hAnsi="Times New Roman"/>
          <w:sz w:val="22"/>
          <w:szCs w:val="22"/>
          <w:lang w:eastAsia="bg-BG"/>
        </w:rPr>
      </w:pPr>
    </w:p>
    <w:p w14:paraId="6FCE8B4C" w14:textId="77777777" w:rsidR="00761800" w:rsidRPr="00761800" w:rsidRDefault="00761800" w:rsidP="00761800">
      <w:pPr>
        <w:widowControl w:val="0"/>
        <w:spacing w:after="120"/>
        <w:ind w:firstLine="567"/>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РПi е делът на разходните потребности за конкретната община.</w:t>
      </w:r>
    </w:p>
    <w:p w14:paraId="61C2E55C" w14:textId="77777777" w:rsidR="00761800" w:rsidRPr="00761800" w:rsidRDefault="00761800" w:rsidP="00761800">
      <w:pPr>
        <w:widowControl w:val="0"/>
        <w:spacing w:after="120"/>
        <w:ind w:firstLine="567"/>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 РПi=0,8109 само за общините с достъп.</w:t>
      </w:r>
    </w:p>
    <w:p w14:paraId="0CE5D2EA" w14:textId="77777777" w:rsidR="00761800" w:rsidRPr="00761800" w:rsidRDefault="00761800" w:rsidP="00761800">
      <w:pPr>
        <w:widowControl w:val="0"/>
        <w:spacing w:after="120"/>
        <w:ind w:firstLine="567"/>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Разпределението на общата сума от А2 по общини е на база относителния дял на разходните потребности на всяка от общините с достъп към общата сума на разходните потребности за общините с достъп РПi/∑ РПi.</w:t>
      </w:r>
    </w:p>
    <w:p w14:paraId="67D92256" w14:textId="77777777" w:rsidR="00761800" w:rsidRPr="00761800" w:rsidRDefault="00761800" w:rsidP="00761800">
      <w:pPr>
        <w:widowControl w:val="0"/>
        <w:spacing w:after="120"/>
        <w:ind w:firstLine="567"/>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Информацията за населението, децата до 5 години, децата от 6 до 14 години и възрастните на и над 65 години е по данни на НСИ към 31 декември 2024 г., а за дължината на общинските пътища – по данни на Министерството на регионалното развитие и благоустройството към месец октомври 2025 г.</w:t>
      </w:r>
    </w:p>
    <w:p w14:paraId="10073A73" w14:textId="77777777" w:rsidR="00761800" w:rsidRPr="00761800" w:rsidRDefault="00761800" w:rsidP="00761800">
      <w:pPr>
        <w:widowControl w:val="0"/>
        <w:spacing w:after="120"/>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А3</w:t>
      </w:r>
      <w:r w:rsidRPr="00761800">
        <w:rPr>
          <w:rFonts w:ascii="Times New Roman" w:eastAsia="Calibri" w:hAnsi="Times New Roman"/>
          <w:sz w:val="22"/>
          <w:szCs w:val="22"/>
          <w:lang w:eastAsia="bg-BG"/>
        </w:rPr>
        <w:t xml:space="preserve"> е третата част от размера на общата изравнителна субсидия от централния бюджет за конкретната община с достъп.</w:t>
      </w:r>
    </w:p>
    <w:p w14:paraId="005A1543"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Право да получават тази част от субсидията имат общините с достъп, чийто дял на приходите спрямо общите постъпления (по отчетни годишни данни за 2024 г.) е по-малък от 25 на сто.</w:t>
      </w:r>
    </w:p>
    <w:p w14:paraId="1AEE69C2" w14:textId="77777777" w:rsidR="00761800" w:rsidRPr="00761800" w:rsidRDefault="00761800" w:rsidP="00761800">
      <w:pPr>
        <w:spacing w:before="120"/>
        <w:ind w:firstLine="640"/>
        <w:jc w:val="both"/>
        <w:rPr>
          <w:rFonts w:ascii="Times New Roman" w:eastAsia="Calibri" w:hAnsi="Times New Roman"/>
          <w:b/>
          <w:sz w:val="22"/>
          <w:szCs w:val="22"/>
          <w:lang w:eastAsia="bg-BG"/>
        </w:rPr>
      </w:pPr>
      <w:r w:rsidRPr="00761800">
        <w:rPr>
          <w:rFonts w:ascii="Times New Roman" w:eastAsia="Calibri" w:hAnsi="Times New Roman"/>
          <w:b/>
          <w:sz w:val="22"/>
          <w:szCs w:val="22"/>
          <w:lang w:eastAsia="bg-BG"/>
        </w:rPr>
        <w:t>П</w:t>
      </w:r>
      <w:r w:rsidRPr="00761800">
        <w:rPr>
          <w:rFonts w:ascii="Times New Roman" w:eastAsia="Calibri" w:hAnsi="Times New Roman"/>
          <w:b/>
          <w:sz w:val="22"/>
          <w:szCs w:val="22"/>
          <w:vertAlign w:val="subscript"/>
          <w:lang w:eastAsia="bg-BG"/>
        </w:rPr>
        <w:t>х1</w:t>
      </w:r>
      <w:r w:rsidRPr="00761800">
        <w:rPr>
          <w:rFonts w:ascii="Times New Roman" w:eastAsia="Calibri" w:hAnsi="Times New Roman"/>
          <w:b/>
          <w:sz w:val="22"/>
          <w:szCs w:val="22"/>
          <w:lang w:eastAsia="bg-BG"/>
        </w:rPr>
        <w:t>/ОП</w:t>
      </w:r>
      <w:r w:rsidRPr="00761800">
        <w:rPr>
          <w:rFonts w:ascii="Times New Roman" w:eastAsia="Calibri" w:hAnsi="Times New Roman"/>
          <w:b/>
          <w:sz w:val="22"/>
          <w:szCs w:val="22"/>
          <w:vertAlign w:val="subscript"/>
          <w:lang w:eastAsia="bg-BG"/>
        </w:rPr>
        <w:t>х1</w:t>
      </w:r>
      <w:r w:rsidRPr="00761800">
        <w:rPr>
          <w:rFonts w:ascii="Times New Roman" w:eastAsia="Calibri" w:hAnsi="Times New Roman"/>
          <w:b/>
          <w:sz w:val="22"/>
          <w:szCs w:val="22"/>
          <w:lang w:eastAsia="bg-BG"/>
        </w:rPr>
        <w:t>&lt;25%, където</w:t>
      </w:r>
    </w:p>
    <w:p w14:paraId="475BF6B8"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П</w:t>
      </w:r>
      <w:r w:rsidRPr="00761800">
        <w:rPr>
          <w:rFonts w:ascii="Times New Roman" w:eastAsia="Calibri" w:hAnsi="Times New Roman"/>
          <w:b/>
          <w:sz w:val="22"/>
          <w:szCs w:val="22"/>
          <w:vertAlign w:val="subscript"/>
          <w:lang w:eastAsia="bg-BG"/>
        </w:rPr>
        <w:t xml:space="preserve">х1 </w:t>
      </w:r>
      <w:r w:rsidRPr="00761800">
        <w:rPr>
          <w:rFonts w:ascii="Times New Roman" w:eastAsia="Calibri" w:hAnsi="Times New Roman"/>
          <w:sz w:val="22"/>
          <w:szCs w:val="22"/>
          <w:lang w:eastAsia="bg-BG"/>
        </w:rPr>
        <w:t>е размерът на приходите (раздел І и §40-00 от раздел ІІІ от ЕБК) към 31 декември 2024 г. за конкретната община с достъп.</w:t>
      </w:r>
    </w:p>
    <w:p w14:paraId="2E14BE65"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ОП</w:t>
      </w:r>
      <w:r w:rsidRPr="00761800">
        <w:rPr>
          <w:rFonts w:ascii="Times New Roman" w:eastAsia="Calibri" w:hAnsi="Times New Roman"/>
          <w:b/>
          <w:sz w:val="22"/>
          <w:szCs w:val="22"/>
          <w:vertAlign w:val="subscript"/>
          <w:lang w:eastAsia="bg-BG"/>
        </w:rPr>
        <w:t>х1</w:t>
      </w:r>
      <w:r w:rsidRPr="00761800">
        <w:rPr>
          <w:rFonts w:ascii="Times New Roman" w:eastAsia="Calibri" w:hAnsi="Times New Roman"/>
          <w:sz w:val="22"/>
          <w:szCs w:val="22"/>
          <w:lang w:eastAsia="bg-BG"/>
        </w:rPr>
        <w:t xml:space="preserve"> е размерът на общите постъпления към 31 декември 2024 г. за конкретната община с достъп, който се формира като сума от размера на приходите на общината, трансферите и временните безлихвени заеми (раздел І, §40-00 от раздел ІІІ и раздел ІV от ЕБК).</w:t>
      </w:r>
    </w:p>
    <w:p w14:paraId="6CD90274"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sz w:val="22"/>
          <w:szCs w:val="22"/>
          <w:lang w:eastAsia="bg-BG"/>
        </w:rPr>
        <w:t>Разпределението на тази част от субсидията е на база относителния дял на разликата между 25% и полученото съотношение на приходи към общи постъпления за конкретната община с достъп.</w:t>
      </w:r>
    </w:p>
    <w:p w14:paraId="5C400D35" w14:textId="77777777" w:rsidR="00761800" w:rsidRPr="00761800" w:rsidRDefault="00761800" w:rsidP="00761800">
      <w:pPr>
        <w:spacing w:after="160" w:line="259" w:lineRule="auto"/>
        <w:ind w:firstLine="567"/>
        <w:jc w:val="both"/>
        <w:rPr>
          <w:rFonts w:ascii="Times New Roman" w:eastAsia="Calibri" w:hAnsi="Times New Roman"/>
          <w:b/>
          <w:sz w:val="22"/>
          <w:szCs w:val="22"/>
          <w:u w:val="single"/>
          <w:lang w:eastAsia="bg-BG"/>
        </w:rPr>
      </w:pPr>
      <w:r w:rsidRPr="00761800">
        <w:rPr>
          <w:rFonts w:ascii="Times New Roman" w:eastAsia="Calibri" w:hAnsi="Times New Roman"/>
          <w:b/>
          <w:sz w:val="22"/>
          <w:szCs w:val="22"/>
          <w:lang w:eastAsia="bg-BG"/>
        </w:rPr>
        <w:lastRenderedPageBreak/>
        <w:t>А4</w:t>
      </w:r>
      <w:r w:rsidRPr="00761800">
        <w:rPr>
          <w:rFonts w:ascii="Times New Roman" w:eastAsia="Calibri" w:hAnsi="Times New Roman"/>
          <w:sz w:val="22"/>
          <w:szCs w:val="22"/>
          <w:lang w:eastAsia="bg-BG"/>
        </w:rPr>
        <w:t xml:space="preserve"> е допълнителен компонент на общата изравнителна субсидия от централния бюджет за конкретната община, който осигурява размера на общата изравнителна субсидия, определен в Закона за държавния бюджет на Република България за 2025 г. (ЗДБРБ за 2025 г.) за общините с достъп. Тази част на субсидията се получава от общините с достъп, които имат отрицателна разлика между полученото от сумата на компонентите А1, А2 и А3 (А1+А2+А3) и размера на общата изравнителна субсидия, определен в ЗДБРБ за 2025 г.</w:t>
      </w:r>
    </w:p>
    <w:p w14:paraId="204787D7"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А5</w:t>
      </w:r>
      <w:r w:rsidRPr="00761800">
        <w:rPr>
          <w:rFonts w:ascii="Times New Roman" w:eastAsia="Calibri" w:hAnsi="Times New Roman"/>
          <w:sz w:val="22"/>
          <w:szCs w:val="22"/>
          <w:lang w:eastAsia="bg-BG"/>
        </w:rPr>
        <w:t xml:space="preserve"> е допълнителен компонент на общата изравнителна субсидия от централния бюджет за конкретната община с достъп.</w:t>
      </w:r>
    </w:p>
    <w:p w14:paraId="733317EC" w14:textId="77777777" w:rsidR="00761800" w:rsidRPr="00761800" w:rsidRDefault="00761800" w:rsidP="00761800">
      <w:pPr>
        <w:spacing w:after="160" w:line="259" w:lineRule="auto"/>
        <w:ind w:firstLine="567"/>
        <w:jc w:val="both"/>
        <w:rPr>
          <w:rFonts w:ascii="Times New Roman" w:eastAsia="Calibri" w:hAnsi="Times New Roman"/>
          <w:bCs/>
          <w:sz w:val="22"/>
          <w:szCs w:val="22"/>
          <w:lang w:eastAsia="bg-BG"/>
        </w:rPr>
      </w:pPr>
      <w:r w:rsidRPr="00761800">
        <w:rPr>
          <w:rFonts w:ascii="Times New Roman" w:eastAsia="Calibri" w:hAnsi="Times New Roman"/>
          <w:bCs/>
          <w:sz w:val="22"/>
          <w:szCs w:val="22"/>
          <w:lang w:eastAsia="bg-BG"/>
        </w:rPr>
        <w:t>Право да получават тази част от субсидията имат общините с осреднено данъчно усилие над средния размер на определените със Закона за местните данъци и такси (ЗМДТ) граници за съответните данъци (</w:t>
      </w:r>
      <w:r w:rsidRPr="00761800">
        <w:rPr>
          <w:rFonts w:ascii="Times New Roman" w:eastAsia="Calibri" w:hAnsi="Times New Roman"/>
          <w:b/>
          <w:bCs/>
          <w:sz w:val="22"/>
          <w:szCs w:val="22"/>
          <w:lang w:eastAsia="bg-BG"/>
        </w:rPr>
        <w:t>ДУ</w:t>
      </w:r>
      <w:r w:rsidRPr="00761800">
        <w:rPr>
          <w:rFonts w:ascii="Times New Roman" w:eastAsia="Calibri" w:hAnsi="Times New Roman"/>
          <w:b/>
          <w:bCs/>
          <w:sz w:val="22"/>
          <w:szCs w:val="22"/>
          <w:vertAlign w:val="subscript"/>
          <w:lang w:eastAsia="bg-BG"/>
        </w:rPr>
        <w:t>ср</w:t>
      </w:r>
      <w:r w:rsidRPr="00761800">
        <w:rPr>
          <w:rFonts w:ascii="Times New Roman" w:eastAsia="Calibri" w:hAnsi="Times New Roman"/>
          <w:bCs/>
          <w:sz w:val="22"/>
          <w:szCs w:val="22"/>
          <w:vertAlign w:val="subscript"/>
          <w:lang w:eastAsia="bg-BG"/>
        </w:rPr>
        <w:t xml:space="preserve">х1 </w:t>
      </w:r>
      <w:r w:rsidRPr="00761800">
        <w:rPr>
          <w:rFonts w:ascii="Times New Roman" w:eastAsia="Calibri" w:hAnsi="Times New Roman"/>
          <w:bCs/>
          <w:sz w:val="22"/>
          <w:szCs w:val="22"/>
          <w:lang w:eastAsia="bg-BG"/>
        </w:rPr>
        <w:t>&gt;1), като разпределението е на база относителния дял на разликата над 1.</w:t>
      </w:r>
    </w:p>
    <w:p w14:paraId="0A29AA41"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bCs/>
          <w:sz w:val="22"/>
          <w:szCs w:val="22"/>
          <w:lang w:eastAsia="bg-BG"/>
        </w:rPr>
        <w:t>ДУ</w:t>
      </w:r>
      <w:r w:rsidRPr="00761800">
        <w:rPr>
          <w:rFonts w:ascii="Times New Roman" w:eastAsia="Calibri" w:hAnsi="Times New Roman"/>
          <w:b/>
          <w:bCs/>
          <w:sz w:val="22"/>
          <w:szCs w:val="22"/>
          <w:vertAlign w:val="subscript"/>
          <w:lang w:eastAsia="bg-BG"/>
        </w:rPr>
        <w:t>ср</w:t>
      </w:r>
      <w:r w:rsidRPr="00761800">
        <w:rPr>
          <w:rFonts w:ascii="Times New Roman" w:eastAsia="Calibri" w:hAnsi="Times New Roman"/>
          <w:bCs/>
          <w:sz w:val="22"/>
          <w:szCs w:val="22"/>
          <w:vertAlign w:val="subscript"/>
          <w:lang w:eastAsia="bg-BG"/>
        </w:rPr>
        <w:t>х1</w:t>
      </w:r>
      <w:r w:rsidRPr="00761800">
        <w:rPr>
          <w:rFonts w:ascii="Times New Roman" w:eastAsia="Calibri" w:hAnsi="Times New Roman"/>
          <w:b/>
          <w:bCs/>
          <w:sz w:val="22"/>
          <w:szCs w:val="22"/>
          <w:vertAlign w:val="subscript"/>
          <w:lang w:eastAsia="bg-BG"/>
        </w:rPr>
        <w:t xml:space="preserve"> </w:t>
      </w:r>
      <w:r w:rsidRPr="00761800">
        <w:rPr>
          <w:rFonts w:ascii="Times New Roman" w:eastAsia="Calibri" w:hAnsi="Times New Roman"/>
          <w:sz w:val="22"/>
          <w:szCs w:val="22"/>
          <w:lang w:eastAsia="bg-BG"/>
        </w:rPr>
        <w:t xml:space="preserve">е осредненото съотношение между размерите на ставките на данъка върху недвижимите имоти, данъка при придобиване на имущество по възмезден начин, данъка върху превозните средства - за леки автомобили над 74 kW до 110 kW и данъка върху превозните средства – за товарни автомобили до 12 т на конкретната община за 2025 г. към съответните средни стойности в границите, определени в ЗМДТ за всеки от изброените данъци. Изчислява се по следната формула: </w:t>
      </w:r>
    </w:p>
    <w:p w14:paraId="7B753A47" w14:textId="77777777" w:rsidR="00761800" w:rsidRPr="00761800" w:rsidRDefault="00761800" w:rsidP="00761800">
      <w:pPr>
        <w:spacing w:after="160" w:line="259" w:lineRule="auto"/>
        <w:ind w:firstLine="567"/>
        <w:jc w:val="both"/>
        <w:rPr>
          <w:rFonts w:ascii="Times New Roman" w:eastAsia="Calibri" w:hAnsi="Times New Roman"/>
          <w:bCs/>
          <w:sz w:val="22"/>
          <w:szCs w:val="22"/>
          <w:lang w:eastAsia="bg-BG"/>
        </w:rPr>
      </w:pPr>
      <w:r w:rsidRPr="00761800">
        <w:rPr>
          <w:rFonts w:ascii="Times New Roman" w:eastAsia="Calibri" w:hAnsi="Times New Roman"/>
          <w:b/>
          <w:sz w:val="22"/>
          <w:szCs w:val="22"/>
          <w:lang w:eastAsia="bg-BG"/>
        </w:rPr>
        <w:t>ДУ</w:t>
      </w:r>
      <w:r w:rsidRPr="00761800">
        <w:rPr>
          <w:rFonts w:ascii="Times New Roman" w:eastAsia="Calibri" w:hAnsi="Times New Roman"/>
          <w:b/>
          <w:sz w:val="22"/>
          <w:szCs w:val="22"/>
          <w:vertAlign w:val="subscript"/>
          <w:lang w:eastAsia="bg-BG"/>
        </w:rPr>
        <w:t>ср</w:t>
      </w:r>
      <w:r w:rsidRPr="00761800">
        <w:rPr>
          <w:rFonts w:ascii="Times New Roman" w:eastAsia="Calibri" w:hAnsi="Times New Roman"/>
          <w:bCs/>
          <w:sz w:val="22"/>
          <w:szCs w:val="22"/>
          <w:vertAlign w:val="subscript"/>
          <w:lang w:eastAsia="bg-BG"/>
        </w:rPr>
        <w:t>х1</w:t>
      </w:r>
      <w:r w:rsidRPr="00761800">
        <w:rPr>
          <w:rFonts w:ascii="Times New Roman" w:eastAsia="Calibri" w:hAnsi="Times New Roman"/>
          <w:b/>
          <w:sz w:val="22"/>
          <w:szCs w:val="22"/>
          <w:lang w:eastAsia="bg-BG"/>
        </w:rPr>
        <w:t>= (</w:t>
      </w:r>
      <w:r w:rsidRPr="00761800">
        <w:rPr>
          <w:rFonts w:ascii="Times New Roman" w:eastAsia="Calibri" w:hAnsi="Times New Roman"/>
          <w:bCs/>
          <w:sz w:val="22"/>
          <w:szCs w:val="22"/>
          <w:lang w:eastAsia="bg-BG"/>
        </w:rPr>
        <w:t>СТ</w:t>
      </w:r>
      <w:r w:rsidRPr="00761800">
        <w:rPr>
          <w:rFonts w:ascii="Times New Roman" w:eastAsia="Calibri" w:hAnsi="Times New Roman"/>
          <w:bCs/>
          <w:sz w:val="22"/>
          <w:szCs w:val="22"/>
          <w:vertAlign w:val="subscript"/>
          <w:lang w:eastAsia="bg-BG"/>
        </w:rPr>
        <w:t>ДНИх1</w:t>
      </w:r>
      <w:r w:rsidRPr="00761800">
        <w:rPr>
          <w:rFonts w:ascii="Times New Roman" w:eastAsia="Calibri" w:hAnsi="Times New Roman"/>
          <w:bCs/>
          <w:sz w:val="22"/>
          <w:szCs w:val="22"/>
          <w:lang w:eastAsia="bg-BG"/>
        </w:rPr>
        <w:t>/СТ</w:t>
      </w:r>
      <w:r w:rsidRPr="00761800">
        <w:rPr>
          <w:rFonts w:ascii="Times New Roman" w:eastAsia="Calibri" w:hAnsi="Times New Roman"/>
          <w:bCs/>
          <w:sz w:val="22"/>
          <w:szCs w:val="22"/>
          <w:vertAlign w:val="subscript"/>
          <w:lang w:eastAsia="bg-BG"/>
        </w:rPr>
        <w:t xml:space="preserve">ДНИср </w:t>
      </w:r>
      <w:r w:rsidRPr="00761800">
        <w:rPr>
          <w:rFonts w:ascii="Times New Roman" w:eastAsia="Calibri" w:hAnsi="Times New Roman"/>
          <w:bCs/>
          <w:sz w:val="22"/>
          <w:szCs w:val="22"/>
          <w:lang w:eastAsia="bg-BG"/>
        </w:rPr>
        <w:t>+ СТ</w:t>
      </w:r>
      <w:r w:rsidRPr="00761800">
        <w:rPr>
          <w:rFonts w:ascii="Times New Roman" w:eastAsia="Calibri" w:hAnsi="Times New Roman"/>
          <w:bCs/>
          <w:sz w:val="22"/>
          <w:szCs w:val="22"/>
          <w:vertAlign w:val="subscript"/>
          <w:lang w:eastAsia="bg-BG"/>
        </w:rPr>
        <w:t>ДВПИх1</w:t>
      </w:r>
      <w:r w:rsidRPr="00761800">
        <w:rPr>
          <w:rFonts w:ascii="Times New Roman" w:eastAsia="Calibri" w:hAnsi="Times New Roman"/>
          <w:bCs/>
          <w:sz w:val="22"/>
          <w:szCs w:val="22"/>
          <w:lang w:eastAsia="bg-BG"/>
        </w:rPr>
        <w:t>/СТ</w:t>
      </w:r>
      <w:r w:rsidRPr="00761800">
        <w:rPr>
          <w:rFonts w:ascii="Times New Roman" w:eastAsia="Calibri" w:hAnsi="Times New Roman"/>
          <w:bCs/>
          <w:sz w:val="22"/>
          <w:szCs w:val="22"/>
          <w:vertAlign w:val="subscript"/>
          <w:lang w:eastAsia="bg-BG"/>
        </w:rPr>
        <w:t xml:space="preserve">ДВПИср + </w:t>
      </w:r>
      <w:r w:rsidRPr="00761800">
        <w:rPr>
          <w:rFonts w:ascii="Times New Roman" w:eastAsia="Calibri" w:hAnsi="Times New Roman"/>
          <w:bCs/>
          <w:sz w:val="22"/>
          <w:szCs w:val="22"/>
          <w:lang w:eastAsia="bg-BG"/>
        </w:rPr>
        <w:t>СТ</w:t>
      </w:r>
      <w:r w:rsidRPr="00761800">
        <w:rPr>
          <w:rFonts w:ascii="Times New Roman" w:eastAsia="Calibri" w:hAnsi="Times New Roman"/>
          <w:bCs/>
          <w:sz w:val="22"/>
          <w:szCs w:val="22"/>
          <w:vertAlign w:val="subscript"/>
          <w:lang w:eastAsia="bg-BG"/>
        </w:rPr>
        <w:t>ДПС_Лх1</w:t>
      </w:r>
      <w:r w:rsidRPr="00761800">
        <w:rPr>
          <w:rFonts w:ascii="Times New Roman" w:eastAsia="Calibri" w:hAnsi="Times New Roman"/>
          <w:bCs/>
          <w:sz w:val="22"/>
          <w:szCs w:val="22"/>
          <w:lang w:eastAsia="bg-BG"/>
        </w:rPr>
        <w:t>/СТ</w:t>
      </w:r>
      <w:r w:rsidRPr="00761800">
        <w:rPr>
          <w:rFonts w:ascii="Times New Roman" w:eastAsia="Calibri" w:hAnsi="Times New Roman"/>
          <w:bCs/>
          <w:sz w:val="22"/>
          <w:szCs w:val="22"/>
          <w:vertAlign w:val="subscript"/>
          <w:lang w:eastAsia="bg-BG"/>
        </w:rPr>
        <w:t xml:space="preserve">ДПС_Лср + </w:t>
      </w:r>
      <w:r w:rsidRPr="00761800">
        <w:rPr>
          <w:rFonts w:ascii="Times New Roman" w:eastAsia="Calibri" w:hAnsi="Times New Roman"/>
          <w:bCs/>
          <w:sz w:val="22"/>
          <w:szCs w:val="22"/>
          <w:lang w:eastAsia="bg-BG"/>
        </w:rPr>
        <w:t>СТ</w:t>
      </w:r>
      <w:r w:rsidRPr="00761800">
        <w:rPr>
          <w:rFonts w:ascii="Times New Roman" w:eastAsia="Calibri" w:hAnsi="Times New Roman"/>
          <w:bCs/>
          <w:sz w:val="22"/>
          <w:szCs w:val="22"/>
          <w:vertAlign w:val="subscript"/>
          <w:lang w:eastAsia="bg-BG"/>
        </w:rPr>
        <w:t>ДПС_Тх1</w:t>
      </w:r>
      <w:r w:rsidRPr="00761800">
        <w:rPr>
          <w:rFonts w:ascii="Times New Roman" w:eastAsia="Calibri" w:hAnsi="Times New Roman"/>
          <w:bCs/>
          <w:sz w:val="22"/>
          <w:szCs w:val="22"/>
          <w:lang w:eastAsia="bg-BG"/>
        </w:rPr>
        <w:t>/СТ</w:t>
      </w:r>
      <w:r w:rsidRPr="00761800">
        <w:rPr>
          <w:rFonts w:ascii="Times New Roman" w:eastAsia="Calibri" w:hAnsi="Times New Roman"/>
          <w:bCs/>
          <w:sz w:val="22"/>
          <w:szCs w:val="22"/>
          <w:vertAlign w:val="subscript"/>
          <w:lang w:eastAsia="bg-BG"/>
        </w:rPr>
        <w:t>ДПС_Тср</w:t>
      </w:r>
      <w:r w:rsidRPr="00761800">
        <w:rPr>
          <w:rFonts w:ascii="Times New Roman" w:eastAsia="Calibri" w:hAnsi="Times New Roman"/>
          <w:bCs/>
          <w:sz w:val="22"/>
          <w:szCs w:val="22"/>
          <w:lang w:eastAsia="bg-BG"/>
        </w:rPr>
        <w:t>)/4, където</w:t>
      </w:r>
    </w:p>
    <w:p w14:paraId="5B49BE9C"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СТ</w:t>
      </w:r>
      <w:r w:rsidRPr="00761800">
        <w:rPr>
          <w:rFonts w:ascii="Times New Roman" w:eastAsia="Calibri" w:hAnsi="Times New Roman"/>
          <w:b/>
          <w:sz w:val="22"/>
          <w:szCs w:val="22"/>
          <w:vertAlign w:val="subscript"/>
          <w:lang w:eastAsia="bg-BG"/>
        </w:rPr>
        <w:t>ДНИх1</w:t>
      </w:r>
      <w:r w:rsidRPr="00761800">
        <w:rPr>
          <w:rFonts w:ascii="Times New Roman" w:eastAsia="Calibri" w:hAnsi="Times New Roman"/>
          <w:b/>
          <w:sz w:val="22"/>
          <w:szCs w:val="22"/>
          <w:lang w:eastAsia="bg-BG"/>
        </w:rPr>
        <w:t xml:space="preserve"> </w:t>
      </w:r>
      <w:r w:rsidRPr="00761800">
        <w:rPr>
          <w:rFonts w:ascii="Times New Roman" w:eastAsia="Calibri" w:hAnsi="Times New Roman"/>
          <w:sz w:val="22"/>
          <w:szCs w:val="22"/>
          <w:lang w:eastAsia="bg-BG"/>
        </w:rPr>
        <w:t xml:space="preserve">е размерът на ставката за данъка върху недвижимите жилищни имоти за физически лица на конкретната община за 2025 г. При наличие на диференцирани ставки по населени места се взема предвид ставката, определена за населеното място – административен център на общината. </w:t>
      </w:r>
    </w:p>
    <w:p w14:paraId="37225A96"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СТ</w:t>
      </w:r>
      <w:r w:rsidRPr="00761800">
        <w:rPr>
          <w:rFonts w:ascii="Times New Roman" w:eastAsia="Calibri" w:hAnsi="Times New Roman"/>
          <w:b/>
          <w:sz w:val="22"/>
          <w:szCs w:val="22"/>
          <w:vertAlign w:val="subscript"/>
          <w:lang w:eastAsia="bg-BG"/>
        </w:rPr>
        <w:t>ДНИср</w:t>
      </w:r>
      <w:r w:rsidRPr="00761800">
        <w:rPr>
          <w:rFonts w:ascii="Times New Roman" w:eastAsia="Calibri" w:hAnsi="Times New Roman"/>
          <w:sz w:val="22"/>
          <w:szCs w:val="22"/>
          <w:lang w:eastAsia="bg-BG"/>
        </w:rPr>
        <w:t xml:space="preserve"> е средният размер на ставката за данъка върху недвижимите имоти в границите, определени със ЗМДТ.</w:t>
      </w:r>
    </w:p>
    <w:p w14:paraId="3BFA0642"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СТ</w:t>
      </w:r>
      <w:r w:rsidRPr="00761800">
        <w:rPr>
          <w:rFonts w:ascii="Times New Roman" w:eastAsia="Calibri" w:hAnsi="Times New Roman"/>
          <w:b/>
          <w:sz w:val="22"/>
          <w:szCs w:val="22"/>
          <w:vertAlign w:val="subscript"/>
          <w:lang w:eastAsia="bg-BG"/>
        </w:rPr>
        <w:t>ДВПИх1</w:t>
      </w:r>
      <w:r w:rsidRPr="00761800">
        <w:rPr>
          <w:rFonts w:ascii="Times New Roman" w:eastAsia="Calibri" w:hAnsi="Times New Roman"/>
          <w:sz w:val="22"/>
          <w:szCs w:val="22"/>
          <w:lang w:eastAsia="bg-BG"/>
        </w:rPr>
        <w:t xml:space="preserve"> е размерът на ставката за данъка при придобиване на имущество (недвижимо)</w:t>
      </w:r>
      <w:r w:rsidRPr="00761800" w:rsidDel="004D012C">
        <w:rPr>
          <w:rFonts w:ascii="Times New Roman" w:eastAsia="Calibri" w:hAnsi="Times New Roman"/>
          <w:sz w:val="22"/>
          <w:szCs w:val="22"/>
          <w:lang w:eastAsia="bg-BG"/>
        </w:rPr>
        <w:t xml:space="preserve"> </w:t>
      </w:r>
      <w:r w:rsidRPr="00761800">
        <w:rPr>
          <w:rFonts w:ascii="Times New Roman" w:eastAsia="Calibri" w:hAnsi="Times New Roman"/>
          <w:sz w:val="22"/>
          <w:szCs w:val="22"/>
          <w:lang w:eastAsia="bg-BG"/>
        </w:rPr>
        <w:t>по възмезден начин за 2025 г. на конкретната община.</w:t>
      </w:r>
    </w:p>
    <w:p w14:paraId="01CEDCAF"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СТ</w:t>
      </w:r>
      <w:r w:rsidRPr="00761800">
        <w:rPr>
          <w:rFonts w:ascii="Times New Roman" w:eastAsia="Calibri" w:hAnsi="Times New Roman"/>
          <w:b/>
          <w:sz w:val="22"/>
          <w:szCs w:val="22"/>
          <w:vertAlign w:val="subscript"/>
          <w:lang w:eastAsia="bg-BG"/>
        </w:rPr>
        <w:t>ДВПИср</w:t>
      </w:r>
      <w:r w:rsidRPr="00761800">
        <w:rPr>
          <w:rFonts w:ascii="Times New Roman" w:eastAsia="Calibri" w:hAnsi="Times New Roman"/>
          <w:sz w:val="22"/>
          <w:szCs w:val="22"/>
          <w:lang w:eastAsia="bg-BG"/>
        </w:rPr>
        <w:t xml:space="preserve"> е средният размер на ставката за данъка при придобиване на имущество по възмезден начин в границите, определени със ЗМДТ.</w:t>
      </w:r>
    </w:p>
    <w:p w14:paraId="77F4DCB8"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СТ</w:t>
      </w:r>
      <w:r w:rsidRPr="00761800">
        <w:rPr>
          <w:rFonts w:ascii="Times New Roman" w:eastAsia="Calibri" w:hAnsi="Times New Roman"/>
          <w:b/>
          <w:bCs/>
          <w:sz w:val="22"/>
          <w:szCs w:val="22"/>
          <w:vertAlign w:val="subscript"/>
          <w:lang w:eastAsia="bg-BG"/>
        </w:rPr>
        <w:t>ДПС_Лх1</w:t>
      </w:r>
      <w:r w:rsidRPr="00761800">
        <w:rPr>
          <w:rFonts w:ascii="Times New Roman" w:eastAsia="Calibri" w:hAnsi="Times New Roman"/>
          <w:sz w:val="22"/>
          <w:szCs w:val="22"/>
          <w:lang w:eastAsia="bg-BG"/>
        </w:rPr>
        <w:t xml:space="preserve"> е размерът на ставката за данъка върху превозните средства - за леки автомобили над 74 kW до 110 kW включително, за 2025 г. на конкретната община.</w:t>
      </w:r>
    </w:p>
    <w:p w14:paraId="07C47310"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СТ</w:t>
      </w:r>
      <w:r w:rsidRPr="00761800">
        <w:rPr>
          <w:rFonts w:ascii="Times New Roman" w:eastAsia="Calibri" w:hAnsi="Times New Roman"/>
          <w:b/>
          <w:bCs/>
          <w:sz w:val="22"/>
          <w:szCs w:val="22"/>
          <w:vertAlign w:val="subscript"/>
          <w:lang w:eastAsia="bg-BG"/>
        </w:rPr>
        <w:t>ДПС_Л</w:t>
      </w:r>
      <w:r w:rsidRPr="00761800">
        <w:rPr>
          <w:rFonts w:ascii="Times New Roman" w:eastAsia="Calibri" w:hAnsi="Times New Roman"/>
          <w:b/>
          <w:sz w:val="22"/>
          <w:szCs w:val="22"/>
          <w:vertAlign w:val="subscript"/>
          <w:lang w:eastAsia="bg-BG"/>
        </w:rPr>
        <w:t>ср</w:t>
      </w:r>
      <w:r w:rsidRPr="00761800">
        <w:rPr>
          <w:rFonts w:ascii="Times New Roman" w:eastAsia="Calibri" w:hAnsi="Times New Roman"/>
          <w:sz w:val="22"/>
          <w:szCs w:val="22"/>
          <w:lang w:eastAsia="bg-BG"/>
        </w:rPr>
        <w:t xml:space="preserve"> е средният размер на ставката за данъка върху превозните средства</w:t>
      </w:r>
      <w:r w:rsidRPr="00761800">
        <w:rPr>
          <w:rFonts w:ascii="Calibri" w:eastAsia="Calibri" w:hAnsi="Calibri"/>
          <w:sz w:val="22"/>
          <w:szCs w:val="22"/>
        </w:rPr>
        <w:t xml:space="preserve"> </w:t>
      </w:r>
      <w:r w:rsidRPr="00761800">
        <w:rPr>
          <w:rFonts w:ascii="Times New Roman" w:eastAsia="Calibri" w:hAnsi="Times New Roman"/>
          <w:sz w:val="22"/>
          <w:szCs w:val="22"/>
          <w:lang w:eastAsia="bg-BG"/>
        </w:rPr>
        <w:t>в границите, определени със ЗМДТ - за леки автомобили над 74 kW до 110 kW включително.</w:t>
      </w:r>
    </w:p>
    <w:p w14:paraId="167EECBB"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СТ</w:t>
      </w:r>
      <w:r w:rsidRPr="00761800">
        <w:rPr>
          <w:rFonts w:ascii="Times New Roman" w:eastAsia="Calibri" w:hAnsi="Times New Roman"/>
          <w:b/>
          <w:bCs/>
          <w:sz w:val="22"/>
          <w:szCs w:val="22"/>
          <w:vertAlign w:val="subscript"/>
          <w:lang w:eastAsia="bg-BG"/>
        </w:rPr>
        <w:t>ДПС_Тх1</w:t>
      </w:r>
      <w:r w:rsidRPr="00761800">
        <w:rPr>
          <w:rFonts w:ascii="Times New Roman" w:eastAsia="Calibri" w:hAnsi="Times New Roman"/>
          <w:sz w:val="22"/>
          <w:szCs w:val="22"/>
          <w:lang w:eastAsia="bg-BG"/>
        </w:rPr>
        <w:t xml:space="preserve"> е размерът на ставката за данъка върху превозните средства - за товарни автомобили до 12 т технически допустима максимална маса, за 2025 г. на конкретната община.</w:t>
      </w:r>
    </w:p>
    <w:p w14:paraId="1E4C7317" w14:textId="77777777" w:rsidR="00761800" w:rsidRPr="00761800" w:rsidRDefault="00761800" w:rsidP="00761800">
      <w:pPr>
        <w:spacing w:after="160" w:line="259" w:lineRule="auto"/>
        <w:ind w:firstLine="567"/>
        <w:jc w:val="both"/>
        <w:rPr>
          <w:rFonts w:ascii="Times New Roman" w:eastAsia="Calibri" w:hAnsi="Times New Roman"/>
          <w:sz w:val="22"/>
          <w:szCs w:val="22"/>
          <w:lang w:eastAsia="bg-BG"/>
        </w:rPr>
      </w:pPr>
      <w:r w:rsidRPr="00761800">
        <w:rPr>
          <w:rFonts w:ascii="Times New Roman" w:eastAsia="Calibri" w:hAnsi="Times New Roman"/>
          <w:b/>
          <w:sz w:val="22"/>
          <w:szCs w:val="22"/>
          <w:lang w:eastAsia="bg-BG"/>
        </w:rPr>
        <w:t>СТ</w:t>
      </w:r>
      <w:r w:rsidRPr="00761800">
        <w:rPr>
          <w:rFonts w:ascii="Times New Roman" w:eastAsia="Calibri" w:hAnsi="Times New Roman"/>
          <w:b/>
          <w:bCs/>
          <w:sz w:val="22"/>
          <w:szCs w:val="22"/>
          <w:vertAlign w:val="subscript"/>
          <w:lang w:eastAsia="bg-BG"/>
        </w:rPr>
        <w:t>ДПС_Т</w:t>
      </w:r>
      <w:r w:rsidRPr="00761800">
        <w:rPr>
          <w:rFonts w:ascii="Times New Roman" w:eastAsia="Calibri" w:hAnsi="Times New Roman"/>
          <w:b/>
          <w:sz w:val="22"/>
          <w:szCs w:val="22"/>
          <w:vertAlign w:val="subscript"/>
          <w:lang w:eastAsia="bg-BG"/>
        </w:rPr>
        <w:t>ср</w:t>
      </w:r>
      <w:r w:rsidRPr="00761800">
        <w:rPr>
          <w:rFonts w:ascii="Times New Roman" w:eastAsia="Calibri" w:hAnsi="Times New Roman"/>
          <w:sz w:val="22"/>
          <w:szCs w:val="22"/>
          <w:lang w:eastAsia="bg-BG"/>
        </w:rPr>
        <w:t xml:space="preserve"> е средният размер на ставката</w:t>
      </w:r>
      <w:r w:rsidRPr="00761800">
        <w:rPr>
          <w:rFonts w:ascii="Calibri" w:eastAsia="Calibri" w:hAnsi="Calibri"/>
          <w:sz w:val="22"/>
          <w:szCs w:val="22"/>
        </w:rPr>
        <w:t xml:space="preserve"> </w:t>
      </w:r>
      <w:r w:rsidRPr="00761800">
        <w:rPr>
          <w:rFonts w:ascii="Times New Roman" w:eastAsia="Calibri" w:hAnsi="Times New Roman"/>
          <w:sz w:val="22"/>
          <w:szCs w:val="22"/>
          <w:lang w:eastAsia="bg-BG"/>
        </w:rPr>
        <w:t>за данъка върху превозните средства в границите, определени със ЗМДТ - за товарни автомобили до 12 т технически допустима максимална маса.</w:t>
      </w:r>
    </w:p>
    <w:p w14:paraId="75E7F2D3" w14:textId="77777777" w:rsidR="00761800" w:rsidRPr="00761800" w:rsidRDefault="00761800" w:rsidP="00761800">
      <w:pPr>
        <w:spacing w:before="120"/>
        <w:ind w:firstLine="720"/>
        <w:jc w:val="both"/>
        <w:rPr>
          <w:rFonts w:ascii="Calibri" w:eastAsia="Calibri" w:hAnsi="Calibri"/>
          <w:b/>
          <w:sz w:val="22"/>
          <w:szCs w:val="22"/>
        </w:rPr>
      </w:pPr>
    </w:p>
    <w:p w14:paraId="5E5B6EB4" w14:textId="77777777" w:rsidR="00761800" w:rsidRPr="00761800" w:rsidRDefault="00761800" w:rsidP="00761800">
      <w:pPr>
        <w:spacing w:before="120"/>
        <w:ind w:firstLine="640"/>
        <w:jc w:val="both"/>
        <w:rPr>
          <w:rFonts w:ascii="Times New Roman" w:hAnsi="Times New Roman"/>
          <w:sz w:val="22"/>
          <w:szCs w:val="22"/>
          <w:lang w:eastAsia="bg-BG"/>
        </w:rPr>
      </w:pPr>
      <w:r w:rsidRPr="00761800">
        <w:rPr>
          <w:rFonts w:ascii="Times New Roman" w:hAnsi="Times New Roman"/>
          <w:b/>
          <w:sz w:val="22"/>
          <w:szCs w:val="22"/>
          <w:lang w:eastAsia="bg-BG"/>
        </w:rPr>
        <w:t>С3</w:t>
      </w:r>
      <w:r w:rsidRPr="00761800">
        <w:rPr>
          <w:rFonts w:ascii="Times New Roman" w:hAnsi="Times New Roman"/>
          <w:sz w:val="22"/>
          <w:szCs w:val="22"/>
          <w:lang w:eastAsia="bg-BG"/>
        </w:rPr>
        <w:t xml:space="preserve"> е размерът на трансфера за зимно поддържане и снегопочистване на общински пътища за конкретната община. </w:t>
      </w:r>
    </w:p>
    <w:p w14:paraId="74B2D883" w14:textId="77777777" w:rsidR="00761800" w:rsidRPr="00761800" w:rsidRDefault="00761800" w:rsidP="00761800">
      <w:pPr>
        <w:spacing w:after="160" w:line="259" w:lineRule="auto"/>
        <w:rPr>
          <w:rFonts w:ascii="Calibri" w:eastAsia="Calibri" w:hAnsi="Calibri"/>
          <w:b/>
          <w:sz w:val="22"/>
          <w:szCs w:val="22"/>
        </w:rPr>
      </w:pPr>
    </w:p>
    <w:p w14:paraId="0C2913BA" w14:textId="77777777" w:rsidR="00761800" w:rsidRPr="00761800" w:rsidRDefault="00761800" w:rsidP="00761800">
      <w:pPr>
        <w:spacing w:after="160" w:line="259" w:lineRule="auto"/>
        <w:jc w:val="both"/>
        <w:rPr>
          <w:rFonts w:ascii="Times New Roman" w:eastAsia="Calibri" w:hAnsi="Times New Roman"/>
          <w:sz w:val="22"/>
          <w:szCs w:val="22"/>
        </w:rPr>
      </w:pPr>
      <w:r w:rsidRPr="00761800">
        <w:rPr>
          <w:rFonts w:ascii="Times New Roman" w:eastAsia="Calibri" w:hAnsi="Times New Roman"/>
          <w:b/>
          <w:sz w:val="22"/>
          <w:szCs w:val="22"/>
        </w:rPr>
        <w:t>Средствата за трансфера се разпределят при следните съотношения:</w:t>
      </w:r>
      <w:r w:rsidRPr="00761800">
        <w:rPr>
          <w:rFonts w:ascii="Times New Roman" w:eastAsia="Calibri" w:hAnsi="Times New Roman"/>
          <w:sz w:val="22"/>
          <w:szCs w:val="22"/>
        </w:rPr>
        <w:t xml:space="preserve"> 85% по показател дължина на общинските пътища с отчитане на географско и височинно разположение (на базата на параметри за дължина на общински пътища в планински райони, в равнинни райони и в райони, характерни със снегонавявания и заледявания); 10% - по показател брой населени места с изключване на местата без население; 5% - по показател брой население. Размерът на трансфера за конкретна община се формира от сбора на сумите, разпределени по относително тегло на съответния показател за общината спрямо общото за страната;</w:t>
      </w:r>
    </w:p>
    <w:p w14:paraId="1EE67D0C" w14:textId="77777777" w:rsidR="00761800" w:rsidRPr="00761800" w:rsidRDefault="00761800" w:rsidP="00761800">
      <w:pPr>
        <w:spacing w:after="160" w:line="259" w:lineRule="auto"/>
        <w:jc w:val="both"/>
        <w:rPr>
          <w:rFonts w:ascii="Times New Roman" w:eastAsia="Calibri" w:hAnsi="Times New Roman"/>
          <w:sz w:val="22"/>
          <w:szCs w:val="22"/>
        </w:rPr>
      </w:pPr>
      <w:r w:rsidRPr="00761800">
        <w:rPr>
          <w:rFonts w:ascii="Times New Roman" w:eastAsia="Calibri" w:hAnsi="Times New Roman"/>
          <w:b/>
          <w:sz w:val="22"/>
          <w:szCs w:val="22"/>
        </w:rPr>
        <w:t>С4</w:t>
      </w:r>
      <w:r w:rsidRPr="00761800">
        <w:rPr>
          <w:rFonts w:ascii="Times New Roman" w:eastAsia="Calibri" w:hAnsi="Times New Roman"/>
          <w:sz w:val="22"/>
          <w:szCs w:val="22"/>
        </w:rPr>
        <w:t xml:space="preserve"> е размерът на целевата субсидия за капиталови разходи за конкретната община, формиран от следните компоненти:</w:t>
      </w:r>
    </w:p>
    <w:p w14:paraId="0B57EADD" w14:textId="77777777" w:rsidR="00761800" w:rsidRPr="00761800" w:rsidRDefault="00761800" w:rsidP="00761800">
      <w:pPr>
        <w:spacing w:after="160" w:line="259" w:lineRule="auto"/>
        <w:jc w:val="both"/>
        <w:rPr>
          <w:rFonts w:ascii="Times New Roman" w:eastAsia="Calibri" w:hAnsi="Times New Roman"/>
          <w:sz w:val="22"/>
          <w:szCs w:val="22"/>
        </w:rPr>
      </w:pPr>
      <w:r w:rsidRPr="00761800">
        <w:rPr>
          <w:rFonts w:ascii="Times New Roman" w:eastAsia="Calibri" w:hAnsi="Times New Roman"/>
          <w:b/>
          <w:sz w:val="22"/>
          <w:szCs w:val="22"/>
        </w:rPr>
        <w:t>С4=В1+В2</w:t>
      </w:r>
      <w:r w:rsidRPr="00761800">
        <w:rPr>
          <w:rFonts w:ascii="Times New Roman" w:eastAsia="Calibri" w:hAnsi="Times New Roman"/>
          <w:sz w:val="22"/>
          <w:szCs w:val="22"/>
        </w:rPr>
        <w:t>, където:</w:t>
      </w:r>
    </w:p>
    <w:p w14:paraId="46D9C7EC" w14:textId="77777777" w:rsidR="00761800" w:rsidRPr="00761800" w:rsidRDefault="00761800" w:rsidP="00761800">
      <w:pPr>
        <w:spacing w:after="160" w:line="259" w:lineRule="auto"/>
        <w:jc w:val="both"/>
        <w:rPr>
          <w:rFonts w:ascii="Times New Roman" w:eastAsia="Calibri" w:hAnsi="Times New Roman"/>
          <w:sz w:val="22"/>
          <w:szCs w:val="22"/>
        </w:rPr>
      </w:pPr>
      <w:r w:rsidRPr="00761800">
        <w:rPr>
          <w:rFonts w:ascii="Times New Roman" w:eastAsia="Calibri" w:hAnsi="Times New Roman"/>
          <w:b/>
          <w:sz w:val="22"/>
          <w:szCs w:val="22"/>
        </w:rPr>
        <w:t>В1</w:t>
      </w:r>
      <w:r w:rsidRPr="00761800">
        <w:rPr>
          <w:rFonts w:ascii="Times New Roman" w:eastAsia="Calibri" w:hAnsi="Times New Roman"/>
          <w:sz w:val="22"/>
          <w:szCs w:val="22"/>
        </w:rPr>
        <w:t xml:space="preserve"> – основен компонент на целевата субсидия, при съотношения за разпределяне на ресурса за този компонент, както следва: 45% от него - по показател брой населени места, с изключване на местата без население и с население до 10 души; 25% от него - по показател дължина на общинските пътища; 25% от него - по показател брой население, 5% от него - по показател територия. В1 за конкретна община се формира от сбора на сумите, разпределени по относително тегло на съответния показател за общината спрямо общото за страната;</w:t>
      </w:r>
    </w:p>
    <w:p w14:paraId="2BD785F2" w14:textId="77777777" w:rsidR="00761800" w:rsidRPr="00761800" w:rsidRDefault="00761800" w:rsidP="00761800">
      <w:pPr>
        <w:spacing w:after="160" w:line="259" w:lineRule="auto"/>
        <w:jc w:val="both"/>
        <w:rPr>
          <w:rFonts w:ascii="Times New Roman" w:eastAsia="Calibri" w:hAnsi="Times New Roman"/>
          <w:sz w:val="22"/>
          <w:szCs w:val="22"/>
        </w:rPr>
      </w:pPr>
      <w:r w:rsidRPr="00761800">
        <w:rPr>
          <w:rFonts w:ascii="Times New Roman" w:eastAsia="Calibri" w:hAnsi="Times New Roman"/>
          <w:b/>
          <w:sz w:val="22"/>
          <w:szCs w:val="22"/>
        </w:rPr>
        <w:t>В2</w:t>
      </w:r>
      <w:r w:rsidRPr="00761800">
        <w:rPr>
          <w:rFonts w:ascii="Times New Roman" w:eastAsia="Calibri" w:hAnsi="Times New Roman"/>
          <w:sz w:val="22"/>
          <w:szCs w:val="22"/>
        </w:rPr>
        <w:t xml:space="preserve"> – допълнителен компонент на целевата субсидия за подпомагане на общините от 4-та и 5-та категория за подобряване на състоянието на социалната и техническа инфраструктура на територията на общината. Достъп до тази част на субсидията имат всички общини от 4-та и 5-та категория, съгласно утвърдената от министъра на регионалното развитие и благоустройството със заповед № РД-02-14-2021 от 2012 г. (обн., ДВ, бр. 66 от 2012 г.; изм. и доп., бр. 73 от 2014 г. и  бр. 75 от 2016 г.) категоризация на общините в Република България,</w:t>
      </w:r>
      <w:r w:rsidRPr="00761800">
        <w:rPr>
          <w:rFonts w:ascii="Calibri" w:eastAsia="Calibri" w:hAnsi="Calibri"/>
          <w:sz w:val="22"/>
          <w:szCs w:val="22"/>
        </w:rPr>
        <w:t xml:space="preserve"> </w:t>
      </w:r>
      <w:r w:rsidRPr="00761800">
        <w:rPr>
          <w:rFonts w:ascii="Times New Roman" w:eastAsia="Calibri" w:hAnsi="Times New Roman"/>
          <w:sz w:val="22"/>
          <w:szCs w:val="22"/>
        </w:rPr>
        <w:t>на основание чл. 36, ал. 2 на Закона за административно-териториалното устройство на Република България и във връзка с т. 4 от Решение № 921 на Министерския съвет от 2011 г. за определяне на критерии и показатели за категоризиране на общините, кметствата, районите и населените места в Република България, изм. с Решение № 721 на Министерския съвет от 2013 г.</w:t>
      </w:r>
    </w:p>
    <w:p w14:paraId="063A6D42" w14:textId="77777777" w:rsidR="00761800" w:rsidRPr="00761800" w:rsidRDefault="00761800" w:rsidP="00761800">
      <w:pPr>
        <w:spacing w:after="160" w:line="259" w:lineRule="auto"/>
        <w:ind w:left="-567" w:right="-599"/>
        <w:rPr>
          <w:rFonts w:ascii="Times New Roman" w:eastAsia="Calibri" w:hAnsi="Times New Roman"/>
          <w:sz w:val="22"/>
          <w:szCs w:val="22"/>
        </w:rPr>
        <w:sectPr w:rsidR="00761800" w:rsidRPr="00761800" w:rsidSect="00406B4D">
          <w:pgSz w:w="16838" w:h="11906" w:orient="landscape"/>
          <w:pgMar w:top="1418" w:right="1418" w:bottom="1418" w:left="1418" w:header="709" w:footer="709" w:gutter="0"/>
          <w:cols w:space="708"/>
          <w:docGrid w:linePitch="360"/>
        </w:sectPr>
      </w:pPr>
      <w:r w:rsidRPr="00761800">
        <w:rPr>
          <w:rFonts w:ascii="Times New Roman" w:eastAsia="Calibri" w:hAnsi="Times New Roman"/>
          <w:sz w:val="22"/>
          <w:szCs w:val="22"/>
        </w:rPr>
        <w:t>Информацията за населението и  за населените места е по данни на НСИ към 31 декември 2024 г. и за дължината на общинските пътища по данни на Министерството на регионалното развитие и благоустройството към месец октомври 2025 г.</w:t>
      </w:r>
    </w:p>
    <w:p w14:paraId="0A7E3660" w14:textId="77777777" w:rsidR="00761800" w:rsidRPr="00761800" w:rsidRDefault="00761800" w:rsidP="00761800">
      <w:pPr>
        <w:spacing w:before="120"/>
        <w:jc w:val="right"/>
        <w:outlineLvl w:val="2"/>
        <w:rPr>
          <w:rFonts w:ascii="Times New Roman" w:eastAsia="Calibri" w:hAnsi="Times New Roman"/>
          <w:b/>
          <w:bCs/>
          <w:sz w:val="22"/>
          <w:szCs w:val="22"/>
        </w:rPr>
      </w:pPr>
      <w:r w:rsidRPr="00761800">
        <w:rPr>
          <w:rFonts w:ascii="Times New Roman" w:eastAsia="Calibri" w:hAnsi="Times New Roman"/>
          <w:b/>
          <w:bCs/>
          <w:sz w:val="22"/>
          <w:szCs w:val="22"/>
        </w:rPr>
        <w:lastRenderedPageBreak/>
        <w:t>Приложение № 2</w:t>
      </w:r>
    </w:p>
    <w:p w14:paraId="26F8B999" w14:textId="77777777" w:rsidR="00761800" w:rsidRPr="00761800" w:rsidRDefault="00761800" w:rsidP="00761800">
      <w:pPr>
        <w:spacing w:before="120"/>
        <w:jc w:val="right"/>
        <w:outlineLvl w:val="2"/>
        <w:rPr>
          <w:rFonts w:ascii="Times New Roman" w:eastAsia="Calibri" w:hAnsi="Times New Roman"/>
          <w:b/>
          <w:bCs/>
          <w:sz w:val="22"/>
          <w:szCs w:val="22"/>
        </w:rPr>
      </w:pPr>
      <w:r w:rsidRPr="00761800">
        <w:rPr>
          <w:rFonts w:ascii="Times New Roman" w:eastAsia="Calibri" w:hAnsi="Times New Roman"/>
          <w:b/>
          <w:bCs/>
          <w:sz w:val="22"/>
          <w:szCs w:val="22"/>
        </w:rPr>
        <w:t>към чл. 110, ал. 1</w:t>
      </w:r>
    </w:p>
    <w:p w14:paraId="2EF4E951" w14:textId="77777777" w:rsidR="00761800" w:rsidRPr="00761800" w:rsidRDefault="00761800" w:rsidP="00761800">
      <w:pPr>
        <w:spacing w:before="120"/>
        <w:jc w:val="center"/>
        <w:outlineLvl w:val="2"/>
        <w:rPr>
          <w:rFonts w:ascii="Times New Roman" w:eastAsia="Calibri" w:hAnsi="Times New Roman"/>
          <w:b/>
          <w:bCs/>
          <w:sz w:val="22"/>
          <w:szCs w:val="22"/>
        </w:rPr>
      </w:pPr>
      <w:r w:rsidRPr="00761800">
        <w:rPr>
          <w:rFonts w:ascii="Times New Roman" w:eastAsia="Calibri" w:hAnsi="Times New Roman"/>
          <w:b/>
          <w:bCs/>
          <w:sz w:val="22"/>
          <w:szCs w:val="22"/>
        </w:rPr>
        <w:t>Програма за приоритетни стратегически инвестиционни проекти с национално финансиране за периода 2026-2028 г.</w:t>
      </w:r>
    </w:p>
    <w:p w14:paraId="04A78DE3" w14:textId="77777777" w:rsidR="00761800" w:rsidRPr="00761800" w:rsidRDefault="00761800" w:rsidP="00761800">
      <w:pPr>
        <w:spacing w:before="120"/>
        <w:jc w:val="right"/>
        <w:outlineLvl w:val="2"/>
        <w:rPr>
          <w:rFonts w:ascii="Times New Roman" w:eastAsia="Calibri" w:hAnsi="Times New Roman"/>
          <w:b/>
          <w:bCs/>
          <w:sz w:val="22"/>
          <w:szCs w:val="22"/>
        </w:rPr>
      </w:pPr>
      <w:r w:rsidRPr="00761800">
        <w:rPr>
          <w:rFonts w:ascii="Times New Roman" w:eastAsia="Calibri" w:hAnsi="Times New Roman"/>
          <w:b/>
          <w:bCs/>
          <w:sz w:val="22"/>
          <w:szCs w:val="22"/>
        </w:rPr>
        <w:t>(хил. евро)</w:t>
      </w:r>
    </w:p>
    <w:tbl>
      <w:tblPr>
        <w:tblW w:w="5000" w:type="pct"/>
        <w:tblCellMar>
          <w:left w:w="70" w:type="dxa"/>
          <w:right w:w="70" w:type="dxa"/>
        </w:tblCellMar>
        <w:tblLook w:val="04A0" w:firstRow="1" w:lastRow="0" w:firstColumn="1" w:lastColumn="0" w:noHBand="0" w:noVBand="1"/>
      </w:tblPr>
      <w:tblGrid>
        <w:gridCol w:w="440"/>
        <w:gridCol w:w="1479"/>
        <w:gridCol w:w="2393"/>
        <w:gridCol w:w="1220"/>
        <w:gridCol w:w="1220"/>
        <w:gridCol w:w="1220"/>
        <w:gridCol w:w="4265"/>
        <w:gridCol w:w="1755"/>
      </w:tblGrid>
      <w:tr w:rsidR="00761800" w:rsidRPr="00761800" w14:paraId="32B3AE92" w14:textId="77777777" w:rsidTr="00406B4D">
        <w:trPr>
          <w:trHeight w:val="1035"/>
          <w:tblHeader/>
        </w:trPr>
        <w:tc>
          <w:tcPr>
            <w:tcW w:w="1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FAFF8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2AA60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Номер на проект</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2F4FC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Проект</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144FD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Размер на капиталови разходи по проекта през 2026 г.</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48076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Прогнозен размер на капиталови разходи по проекта през 2027 г.</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50F6E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Прогнозен размер на капиталови разходи по проекта през 2028 г.</w:t>
            </w:r>
          </w:p>
        </w:tc>
        <w:tc>
          <w:tcPr>
            <w:tcW w:w="15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1BBDE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Индикатор/Показател за оценка на резултатите/целева стойност</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51082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Отговорна институция</w:t>
            </w:r>
          </w:p>
        </w:tc>
      </w:tr>
      <w:tr w:rsidR="00761800" w:rsidRPr="00761800" w14:paraId="783938C7" w14:textId="77777777" w:rsidTr="00406B4D">
        <w:trPr>
          <w:trHeight w:val="765"/>
        </w:trPr>
        <w:tc>
          <w:tcPr>
            <w:tcW w:w="1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CD30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279ACE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NP-25.001-0001</w:t>
            </w:r>
          </w:p>
        </w:tc>
        <w:tc>
          <w:tcPr>
            <w:tcW w:w="855" w:type="pct"/>
            <w:tcBorders>
              <w:top w:val="single" w:sz="4" w:space="0" w:color="auto"/>
              <w:left w:val="nil"/>
              <w:bottom w:val="single" w:sz="4" w:space="0" w:color="auto"/>
              <w:right w:val="single" w:sz="4" w:space="0" w:color="auto"/>
            </w:tcBorders>
            <w:shd w:val="clear" w:color="auto" w:fill="auto"/>
            <w:vAlign w:val="center"/>
            <w:hideMark/>
          </w:tcPr>
          <w:p w14:paraId="70EA2A0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ОА Благоевград – Изграждане на нов ГКПП Струмяни – Берово, между общините Струмяни, Благоевградска област, Република България, и Берово, Източен район на планиране, Република Северна Македония</w:t>
            </w:r>
          </w:p>
        </w:tc>
        <w:tc>
          <w:tcPr>
            <w:tcW w:w="436" w:type="pct"/>
            <w:tcBorders>
              <w:top w:val="single" w:sz="4" w:space="0" w:color="auto"/>
              <w:left w:val="nil"/>
              <w:bottom w:val="single" w:sz="4" w:space="0" w:color="auto"/>
              <w:right w:val="single" w:sz="4" w:space="0" w:color="auto"/>
            </w:tcBorders>
            <w:shd w:val="clear" w:color="auto" w:fill="auto"/>
            <w:noWrap/>
            <w:vAlign w:val="center"/>
            <w:hideMark/>
          </w:tcPr>
          <w:p w14:paraId="625C074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832,4</w:t>
            </w:r>
          </w:p>
        </w:tc>
        <w:tc>
          <w:tcPr>
            <w:tcW w:w="436" w:type="pct"/>
            <w:tcBorders>
              <w:top w:val="single" w:sz="4" w:space="0" w:color="auto"/>
              <w:left w:val="nil"/>
              <w:bottom w:val="single" w:sz="4" w:space="0" w:color="auto"/>
              <w:right w:val="single" w:sz="4" w:space="0" w:color="auto"/>
            </w:tcBorders>
            <w:shd w:val="clear" w:color="auto" w:fill="auto"/>
            <w:noWrap/>
            <w:vAlign w:val="center"/>
            <w:hideMark/>
          </w:tcPr>
          <w:p w14:paraId="7F90A8A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1 609,5</w:t>
            </w:r>
          </w:p>
        </w:tc>
        <w:tc>
          <w:tcPr>
            <w:tcW w:w="436" w:type="pct"/>
            <w:tcBorders>
              <w:top w:val="single" w:sz="4" w:space="0" w:color="auto"/>
              <w:left w:val="nil"/>
              <w:bottom w:val="single" w:sz="4" w:space="0" w:color="auto"/>
              <w:right w:val="single" w:sz="4" w:space="0" w:color="auto"/>
            </w:tcBorders>
            <w:shd w:val="clear" w:color="auto" w:fill="auto"/>
            <w:noWrap/>
            <w:vAlign w:val="center"/>
            <w:hideMark/>
          </w:tcPr>
          <w:p w14:paraId="6BA3EC4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1 473,7</w:t>
            </w:r>
          </w:p>
        </w:tc>
        <w:tc>
          <w:tcPr>
            <w:tcW w:w="1524" w:type="pct"/>
            <w:tcBorders>
              <w:top w:val="single" w:sz="4" w:space="0" w:color="auto"/>
              <w:left w:val="nil"/>
              <w:bottom w:val="single" w:sz="4" w:space="0" w:color="auto"/>
              <w:right w:val="single" w:sz="4" w:space="0" w:color="auto"/>
            </w:tcBorders>
            <w:shd w:val="clear" w:color="auto" w:fill="auto"/>
            <w:vAlign w:val="center"/>
            <w:hideMark/>
          </w:tcPr>
          <w:p w14:paraId="0AAC74A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Изградена инфраструктура за функционирането на нов ГКПП - 1,00</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1504E7B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Министерски съвет</w:t>
            </w:r>
          </w:p>
        </w:tc>
      </w:tr>
      <w:tr w:rsidR="00761800" w:rsidRPr="00761800" w14:paraId="79F661B3" w14:textId="77777777" w:rsidTr="00406B4D">
        <w:trPr>
          <w:trHeight w:val="977"/>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644356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w:t>
            </w:r>
          </w:p>
        </w:tc>
        <w:tc>
          <w:tcPr>
            <w:tcW w:w="529" w:type="pct"/>
            <w:tcBorders>
              <w:top w:val="nil"/>
              <w:left w:val="nil"/>
              <w:bottom w:val="single" w:sz="4" w:space="0" w:color="auto"/>
              <w:right w:val="single" w:sz="4" w:space="0" w:color="auto"/>
            </w:tcBorders>
            <w:shd w:val="clear" w:color="auto" w:fill="auto"/>
            <w:noWrap/>
            <w:vAlign w:val="center"/>
            <w:hideMark/>
          </w:tcPr>
          <w:p w14:paraId="41C2C90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NP-25.001-0009</w:t>
            </w:r>
          </w:p>
        </w:tc>
        <w:tc>
          <w:tcPr>
            <w:tcW w:w="855" w:type="pct"/>
            <w:tcBorders>
              <w:top w:val="nil"/>
              <w:left w:val="nil"/>
              <w:bottom w:val="single" w:sz="4" w:space="0" w:color="auto"/>
              <w:right w:val="single" w:sz="4" w:space="0" w:color="auto"/>
            </w:tcBorders>
            <w:shd w:val="clear" w:color="auto" w:fill="auto"/>
            <w:vAlign w:val="center"/>
            <w:hideMark/>
          </w:tcPr>
          <w:p w14:paraId="68A5F17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ОА Бургас – Поддръжка и ремонт на морските хидротехнически съоръжения, вълноломите, системите и съоръженията по чл. 6, ал. 4, т. 2 от ЗУЧК – публична държавна собственост</w:t>
            </w:r>
          </w:p>
        </w:tc>
        <w:tc>
          <w:tcPr>
            <w:tcW w:w="436" w:type="pct"/>
            <w:tcBorders>
              <w:top w:val="nil"/>
              <w:left w:val="nil"/>
              <w:bottom w:val="single" w:sz="4" w:space="0" w:color="auto"/>
              <w:right w:val="single" w:sz="4" w:space="0" w:color="auto"/>
            </w:tcBorders>
            <w:shd w:val="clear" w:color="auto" w:fill="auto"/>
            <w:vAlign w:val="center"/>
            <w:hideMark/>
          </w:tcPr>
          <w:p w14:paraId="412E6F9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410,0</w:t>
            </w:r>
          </w:p>
        </w:tc>
        <w:tc>
          <w:tcPr>
            <w:tcW w:w="436" w:type="pct"/>
            <w:tcBorders>
              <w:top w:val="nil"/>
              <w:left w:val="nil"/>
              <w:bottom w:val="single" w:sz="4" w:space="0" w:color="auto"/>
              <w:right w:val="single" w:sz="4" w:space="0" w:color="auto"/>
            </w:tcBorders>
            <w:shd w:val="clear" w:color="auto" w:fill="auto"/>
            <w:vAlign w:val="center"/>
            <w:hideMark/>
          </w:tcPr>
          <w:p w14:paraId="2D7B3D7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532,0</w:t>
            </w:r>
          </w:p>
        </w:tc>
        <w:tc>
          <w:tcPr>
            <w:tcW w:w="436" w:type="pct"/>
            <w:tcBorders>
              <w:top w:val="nil"/>
              <w:left w:val="nil"/>
              <w:bottom w:val="single" w:sz="4" w:space="0" w:color="auto"/>
              <w:right w:val="single" w:sz="4" w:space="0" w:color="auto"/>
            </w:tcBorders>
            <w:shd w:val="clear" w:color="auto" w:fill="auto"/>
            <w:vAlign w:val="center"/>
            <w:hideMark/>
          </w:tcPr>
          <w:p w14:paraId="6BF1904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5 619,9</w:t>
            </w:r>
          </w:p>
        </w:tc>
        <w:tc>
          <w:tcPr>
            <w:tcW w:w="1524" w:type="pct"/>
            <w:tcBorders>
              <w:top w:val="nil"/>
              <w:left w:val="nil"/>
              <w:bottom w:val="single" w:sz="4" w:space="0" w:color="auto"/>
              <w:right w:val="single" w:sz="4" w:space="0" w:color="auto"/>
            </w:tcBorders>
            <w:shd w:val="clear" w:color="auto" w:fill="auto"/>
            <w:hideMark/>
          </w:tcPr>
          <w:p w14:paraId="2D39381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Сключен договор за възлагане изготвянето на регистър на съществуващите морски хидротехнически съоръжения на територията на област Бургас - срок 30.06.2026 г. - 1,00</w:t>
            </w:r>
            <w:r w:rsidRPr="00761800">
              <w:rPr>
                <w:rFonts w:ascii="Times New Roman" w:hAnsi="Times New Roman"/>
                <w:sz w:val="20"/>
                <w:lang w:eastAsia="bg-BG"/>
              </w:rPr>
              <w:br/>
              <w:t>2. Изготвен регистър на хидротехническите съоръжения на териотрията на област Бургас - срок до 30.11.2027 г. - 1,00</w:t>
            </w:r>
            <w:r w:rsidRPr="00761800">
              <w:rPr>
                <w:rFonts w:ascii="Times New Roman" w:hAnsi="Times New Roman"/>
                <w:sz w:val="20"/>
                <w:lang w:eastAsia="bg-BG"/>
              </w:rPr>
              <w:br/>
              <w:t>3. Сключен договор с консултант за изработване на документация и провеждане на процедура по ЗОП за избор на изпълнител за възлагане на изпълнение на СМР за ремонт на инфраструктурен обект „Укрепване на свлачище северен бряг Царево“ - срок до 31.07.2027 г. - 1,00</w:t>
            </w:r>
            <w:r w:rsidRPr="00761800">
              <w:rPr>
                <w:rFonts w:ascii="Times New Roman" w:hAnsi="Times New Roman"/>
                <w:sz w:val="20"/>
                <w:lang w:eastAsia="bg-BG"/>
              </w:rPr>
              <w:br/>
              <w:t xml:space="preserve">4. Сключен договор за възлагане на изпълнение на СМР за ремонт на инфраструктурен обект </w:t>
            </w:r>
            <w:r w:rsidRPr="00761800">
              <w:rPr>
                <w:rFonts w:ascii="Times New Roman" w:hAnsi="Times New Roman"/>
                <w:sz w:val="20"/>
                <w:lang w:eastAsia="bg-BG"/>
              </w:rPr>
              <w:lastRenderedPageBreak/>
              <w:t>„Укрепване на свлачище северен бряг Царево“- срок до 15.12.2027 г. - 1,00</w:t>
            </w:r>
            <w:r w:rsidRPr="00761800">
              <w:rPr>
                <w:rFonts w:ascii="Times New Roman" w:hAnsi="Times New Roman"/>
                <w:sz w:val="20"/>
                <w:lang w:eastAsia="bg-BG"/>
              </w:rPr>
              <w:br/>
              <w:t>5. Сключени договори за строителен надзор, авторски надзор  и инвеститорски контрол за обект „Укрепване на свлачище северен бряг Царево“ - срок до 15.12.2027 г. - 3,00</w:t>
            </w:r>
          </w:p>
        </w:tc>
        <w:tc>
          <w:tcPr>
            <w:tcW w:w="627" w:type="pct"/>
            <w:tcBorders>
              <w:top w:val="nil"/>
              <w:left w:val="nil"/>
              <w:bottom w:val="single" w:sz="4" w:space="0" w:color="auto"/>
              <w:right w:val="single" w:sz="4" w:space="0" w:color="auto"/>
            </w:tcBorders>
            <w:shd w:val="clear" w:color="auto" w:fill="auto"/>
            <w:vAlign w:val="center"/>
            <w:hideMark/>
          </w:tcPr>
          <w:p w14:paraId="072A39C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lastRenderedPageBreak/>
              <w:t>Министерски съвет</w:t>
            </w:r>
          </w:p>
        </w:tc>
      </w:tr>
      <w:tr w:rsidR="00761800" w:rsidRPr="00761800" w14:paraId="564E529C"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C0EFFE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w:t>
            </w:r>
          </w:p>
        </w:tc>
        <w:tc>
          <w:tcPr>
            <w:tcW w:w="529" w:type="pct"/>
            <w:tcBorders>
              <w:top w:val="nil"/>
              <w:left w:val="nil"/>
              <w:bottom w:val="single" w:sz="4" w:space="0" w:color="auto"/>
              <w:right w:val="single" w:sz="4" w:space="0" w:color="auto"/>
            </w:tcBorders>
            <w:shd w:val="clear" w:color="auto" w:fill="auto"/>
            <w:noWrap/>
            <w:vAlign w:val="center"/>
            <w:hideMark/>
          </w:tcPr>
          <w:p w14:paraId="667BD55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NP-25.001-0013</w:t>
            </w:r>
          </w:p>
        </w:tc>
        <w:tc>
          <w:tcPr>
            <w:tcW w:w="855" w:type="pct"/>
            <w:tcBorders>
              <w:top w:val="nil"/>
              <w:left w:val="nil"/>
              <w:bottom w:val="single" w:sz="4" w:space="0" w:color="auto"/>
              <w:right w:val="single" w:sz="4" w:space="0" w:color="auto"/>
            </w:tcBorders>
            <w:shd w:val="clear" w:color="auto" w:fill="auto"/>
            <w:vAlign w:val="center"/>
            <w:hideMark/>
          </w:tcPr>
          <w:p w14:paraId="37B58DF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„Инженеринг (проектиране, строителство и осъществяване на авторски надзор) за обект: „Реконструкция на ГКПП „Лесово“ вкл. надзор</w:t>
            </w:r>
          </w:p>
        </w:tc>
        <w:tc>
          <w:tcPr>
            <w:tcW w:w="436" w:type="pct"/>
            <w:tcBorders>
              <w:top w:val="nil"/>
              <w:left w:val="nil"/>
              <w:bottom w:val="single" w:sz="4" w:space="0" w:color="auto"/>
              <w:right w:val="single" w:sz="4" w:space="0" w:color="auto"/>
            </w:tcBorders>
            <w:shd w:val="clear" w:color="auto" w:fill="auto"/>
            <w:vAlign w:val="center"/>
            <w:hideMark/>
          </w:tcPr>
          <w:p w14:paraId="4B14A24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1 870,6</w:t>
            </w:r>
          </w:p>
        </w:tc>
        <w:tc>
          <w:tcPr>
            <w:tcW w:w="436" w:type="pct"/>
            <w:tcBorders>
              <w:top w:val="nil"/>
              <w:left w:val="nil"/>
              <w:bottom w:val="single" w:sz="4" w:space="0" w:color="auto"/>
              <w:right w:val="single" w:sz="4" w:space="0" w:color="auto"/>
            </w:tcBorders>
            <w:shd w:val="clear" w:color="auto" w:fill="auto"/>
            <w:vAlign w:val="center"/>
            <w:hideMark/>
          </w:tcPr>
          <w:p w14:paraId="71A39F8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D2B7D9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787E06C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Реконструкция на ГКПП „Лесово“   1,00;</w:t>
            </w:r>
            <w:r w:rsidRPr="00761800">
              <w:rPr>
                <w:rFonts w:ascii="Times New Roman" w:hAnsi="Times New Roman"/>
                <w:sz w:val="20"/>
                <w:lang w:eastAsia="bg-BG"/>
              </w:rPr>
              <w:br/>
              <w:t>2. Увеличен брой на трасетата на преминаващ трафик за товарни автомобили от  7,00 на  14,00</w:t>
            </w:r>
          </w:p>
        </w:tc>
        <w:tc>
          <w:tcPr>
            <w:tcW w:w="627" w:type="pct"/>
            <w:tcBorders>
              <w:top w:val="nil"/>
              <w:left w:val="nil"/>
              <w:bottom w:val="single" w:sz="4" w:space="0" w:color="auto"/>
              <w:right w:val="single" w:sz="4" w:space="0" w:color="auto"/>
            </w:tcBorders>
            <w:shd w:val="clear" w:color="auto" w:fill="auto"/>
            <w:vAlign w:val="center"/>
            <w:hideMark/>
          </w:tcPr>
          <w:p w14:paraId="15D638D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финансите</w:t>
            </w:r>
          </w:p>
        </w:tc>
      </w:tr>
      <w:tr w:rsidR="00761800" w:rsidRPr="00761800" w14:paraId="3479B3EB"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5C41CB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w:t>
            </w:r>
          </w:p>
        </w:tc>
        <w:tc>
          <w:tcPr>
            <w:tcW w:w="529" w:type="pct"/>
            <w:tcBorders>
              <w:top w:val="nil"/>
              <w:left w:val="nil"/>
              <w:bottom w:val="single" w:sz="4" w:space="0" w:color="auto"/>
              <w:right w:val="single" w:sz="4" w:space="0" w:color="auto"/>
            </w:tcBorders>
            <w:shd w:val="clear" w:color="auto" w:fill="auto"/>
            <w:noWrap/>
            <w:vAlign w:val="center"/>
            <w:hideMark/>
          </w:tcPr>
          <w:p w14:paraId="1F8E5D7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NP-25.003-0002</w:t>
            </w:r>
          </w:p>
        </w:tc>
        <w:tc>
          <w:tcPr>
            <w:tcW w:w="855" w:type="pct"/>
            <w:tcBorders>
              <w:top w:val="nil"/>
              <w:left w:val="nil"/>
              <w:bottom w:val="single" w:sz="4" w:space="0" w:color="auto"/>
              <w:right w:val="single" w:sz="4" w:space="0" w:color="auto"/>
            </w:tcBorders>
            <w:shd w:val="clear" w:color="auto" w:fill="auto"/>
            <w:vAlign w:val="center"/>
            <w:hideMark/>
          </w:tcPr>
          <w:p w14:paraId="33A5696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„Инженеринг (проектиране, строителство и осъществяване на авторски надзор) за обект: „Реконструкция на ГКПП „Калотина“-етап 3“, вкл. Надзор</w:t>
            </w:r>
          </w:p>
        </w:tc>
        <w:tc>
          <w:tcPr>
            <w:tcW w:w="436" w:type="pct"/>
            <w:tcBorders>
              <w:top w:val="nil"/>
              <w:left w:val="nil"/>
              <w:bottom w:val="single" w:sz="4" w:space="0" w:color="auto"/>
              <w:right w:val="single" w:sz="4" w:space="0" w:color="auto"/>
            </w:tcBorders>
            <w:shd w:val="clear" w:color="auto" w:fill="auto"/>
            <w:vAlign w:val="center"/>
            <w:hideMark/>
          </w:tcPr>
          <w:p w14:paraId="6BC9DBA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1 661,3</w:t>
            </w:r>
          </w:p>
        </w:tc>
        <w:tc>
          <w:tcPr>
            <w:tcW w:w="436" w:type="pct"/>
            <w:tcBorders>
              <w:top w:val="nil"/>
              <w:left w:val="nil"/>
              <w:bottom w:val="single" w:sz="4" w:space="0" w:color="auto"/>
              <w:right w:val="single" w:sz="4" w:space="0" w:color="auto"/>
            </w:tcBorders>
            <w:shd w:val="clear" w:color="auto" w:fill="auto"/>
            <w:vAlign w:val="center"/>
            <w:hideMark/>
          </w:tcPr>
          <w:p w14:paraId="39FC6ED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434C13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16E51AA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1.Реконструкция на ГКПП „Калотина“ етап 3  1,0;</w:t>
            </w:r>
            <w:r w:rsidRPr="00761800">
              <w:rPr>
                <w:rFonts w:ascii="Times New Roman" w:hAnsi="Times New Roman"/>
                <w:sz w:val="20"/>
                <w:lang w:eastAsia="bg-BG"/>
              </w:rPr>
              <w:br/>
              <w:t>2. Увеличен брой на трасетата на „вход“ за проверка на товарни автомобили от Агенция „Митници“   от  3,00  на 5,00</w:t>
            </w:r>
          </w:p>
        </w:tc>
        <w:tc>
          <w:tcPr>
            <w:tcW w:w="627" w:type="pct"/>
            <w:tcBorders>
              <w:top w:val="nil"/>
              <w:left w:val="nil"/>
              <w:bottom w:val="single" w:sz="4" w:space="0" w:color="auto"/>
              <w:right w:val="single" w:sz="4" w:space="0" w:color="auto"/>
            </w:tcBorders>
            <w:shd w:val="clear" w:color="auto" w:fill="auto"/>
            <w:vAlign w:val="center"/>
            <w:hideMark/>
          </w:tcPr>
          <w:p w14:paraId="6E3CFB1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финансите</w:t>
            </w:r>
          </w:p>
        </w:tc>
      </w:tr>
      <w:tr w:rsidR="00761800" w:rsidRPr="00761800" w14:paraId="4A2ECFFA" w14:textId="77777777" w:rsidTr="00406B4D">
        <w:trPr>
          <w:trHeight w:val="58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BF7FCF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w:t>
            </w:r>
          </w:p>
        </w:tc>
        <w:tc>
          <w:tcPr>
            <w:tcW w:w="529" w:type="pct"/>
            <w:tcBorders>
              <w:top w:val="nil"/>
              <w:left w:val="nil"/>
              <w:bottom w:val="single" w:sz="4" w:space="0" w:color="auto"/>
              <w:right w:val="single" w:sz="4" w:space="0" w:color="auto"/>
            </w:tcBorders>
            <w:shd w:val="clear" w:color="auto" w:fill="auto"/>
            <w:noWrap/>
            <w:vAlign w:val="center"/>
            <w:hideMark/>
          </w:tcPr>
          <w:p w14:paraId="33AF505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NP-25.003-0008</w:t>
            </w:r>
          </w:p>
        </w:tc>
        <w:tc>
          <w:tcPr>
            <w:tcW w:w="855" w:type="pct"/>
            <w:tcBorders>
              <w:top w:val="nil"/>
              <w:left w:val="nil"/>
              <w:bottom w:val="single" w:sz="4" w:space="0" w:color="auto"/>
              <w:right w:val="single" w:sz="4" w:space="0" w:color="auto"/>
            </w:tcBorders>
            <w:shd w:val="clear" w:color="auto" w:fill="auto"/>
            <w:vAlign w:val="center"/>
            <w:hideMark/>
          </w:tcPr>
          <w:p w14:paraId="67AADD1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„Инженеринг (проектиране, строителство и осъществяване на авторски надзор) за организация на движението на обекти на Агенция „Митници“, граничните контролно-пропускателни пунктове с Република Гърция и </w:t>
            </w:r>
            <w:r w:rsidRPr="00761800">
              <w:rPr>
                <w:rFonts w:ascii="Times New Roman" w:hAnsi="Times New Roman"/>
                <w:sz w:val="20"/>
                <w:lang w:eastAsia="bg-BG"/>
              </w:rPr>
              <w:lastRenderedPageBreak/>
              <w:t>Република Румъния“, вкл. надзор</w:t>
            </w:r>
          </w:p>
        </w:tc>
        <w:tc>
          <w:tcPr>
            <w:tcW w:w="436" w:type="pct"/>
            <w:tcBorders>
              <w:top w:val="nil"/>
              <w:left w:val="nil"/>
              <w:bottom w:val="single" w:sz="4" w:space="0" w:color="auto"/>
              <w:right w:val="single" w:sz="4" w:space="0" w:color="auto"/>
            </w:tcBorders>
            <w:shd w:val="clear" w:color="auto" w:fill="auto"/>
            <w:vAlign w:val="center"/>
            <w:hideMark/>
          </w:tcPr>
          <w:p w14:paraId="20EFDAD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816,2</w:t>
            </w:r>
          </w:p>
        </w:tc>
        <w:tc>
          <w:tcPr>
            <w:tcW w:w="436" w:type="pct"/>
            <w:tcBorders>
              <w:top w:val="nil"/>
              <w:left w:val="nil"/>
              <w:bottom w:val="single" w:sz="4" w:space="0" w:color="auto"/>
              <w:right w:val="single" w:sz="4" w:space="0" w:color="auto"/>
            </w:tcBorders>
            <w:shd w:val="clear" w:color="auto" w:fill="auto"/>
            <w:vAlign w:val="center"/>
            <w:hideMark/>
          </w:tcPr>
          <w:p w14:paraId="2CAB927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4D1EE50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5460D4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Реорганизация на ГКПП (Република Гърция и Република Румъния) - създаване на нормални, безопасни условия за преминаване, съобразени със Закона за движение по пътищата - ГКПП „Кулата“, ГКПП „Илинден“, ГКПП „Маказа“, ГКПП „Капитан Петковойвода“,  ГКПП „Рудозем“, ГКПП „Дуранкулак“, ГКПП „Кардам“, ГКПП „Силистра“ и ГКПП „Русе Дунав мост“.      16,00</w:t>
            </w:r>
          </w:p>
        </w:tc>
        <w:tc>
          <w:tcPr>
            <w:tcW w:w="627" w:type="pct"/>
            <w:tcBorders>
              <w:top w:val="nil"/>
              <w:left w:val="nil"/>
              <w:bottom w:val="single" w:sz="4" w:space="0" w:color="auto"/>
              <w:right w:val="single" w:sz="4" w:space="0" w:color="auto"/>
            </w:tcBorders>
            <w:shd w:val="clear" w:color="auto" w:fill="auto"/>
            <w:vAlign w:val="center"/>
            <w:hideMark/>
          </w:tcPr>
          <w:p w14:paraId="5B78F3D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финансите</w:t>
            </w:r>
          </w:p>
        </w:tc>
      </w:tr>
      <w:tr w:rsidR="00761800" w:rsidRPr="00761800" w14:paraId="4D13E79D"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0ED79F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w:t>
            </w:r>
          </w:p>
        </w:tc>
        <w:tc>
          <w:tcPr>
            <w:tcW w:w="529" w:type="pct"/>
            <w:tcBorders>
              <w:top w:val="nil"/>
              <w:left w:val="nil"/>
              <w:bottom w:val="single" w:sz="4" w:space="0" w:color="auto"/>
              <w:right w:val="single" w:sz="4" w:space="0" w:color="auto"/>
            </w:tcBorders>
            <w:shd w:val="clear" w:color="auto" w:fill="auto"/>
            <w:noWrap/>
            <w:vAlign w:val="center"/>
            <w:hideMark/>
          </w:tcPr>
          <w:p w14:paraId="316DECC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NP-25.003-0001</w:t>
            </w:r>
          </w:p>
        </w:tc>
        <w:tc>
          <w:tcPr>
            <w:tcW w:w="855" w:type="pct"/>
            <w:tcBorders>
              <w:top w:val="nil"/>
              <w:left w:val="nil"/>
              <w:bottom w:val="single" w:sz="4" w:space="0" w:color="auto"/>
              <w:right w:val="single" w:sz="4" w:space="0" w:color="auto"/>
            </w:tcBorders>
            <w:shd w:val="clear" w:color="auto" w:fill="auto"/>
            <w:vAlign w:val="center"/>
            <w:hideMark/>
          </w:tcPr>
          <w:p w14:paraId="612055A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„Инженеринг (проектиране, строителство и осъществяване на авторски надзор) за обект:  „Реконструкция на Национален учебен център“,  вкл. надзор</w:t>
            </w:r>
          </w:p>
        </w:tc>
        <w:tc>
          <w:tcPr>
            <w:tcW w:w="436" w:type="pct"/>
            <w:tcBorders>
              <w:top w:val="nil"/>
              <w:left w:val="nil"/>
              <w:bottom w:val="single" w:sz="4" w:space="0" w:color="auto"/>
              <w:right w:val="single" w:sz="4" w:space="0" w:color="auto"/>
            </w:tcBorders>
            <w:shd w:val="clear" w:color="auto" w:fill="auto"/>
            <w:vAlign w:val="center"/>
            <w:hideMark/>
          </w:tcPr>
          <w:p w14:paraId="3083773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191,8</w:t>
            </w:r>
          </w:p>
        </w:tc>
        <w:tc>
          <w:tcPr>
            <w:tcW w:w="436" w:type="pct"/>
            <w:tcBorders>
              <w:top w:val="nil"/>
              <w:left w:val="nil"/>
              <w:bottom w:val="single" w:sz="4" w:space="0" w:color="auto"/>
              <w:right w:val="single" w:sz="4" w:space="0" w:color="auto"/>
            </w:tcBorders>
            <w:shd w:val="clear" w:color="auto" w:fill="auto"/>
            <w:vAlign w:val="center"/>
            <w:hideMark/>
          </w:tcPr>
          <w:p w14:paraId="3E82804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F7F2BA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CBBABE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Реконструкция с цел подобряване на функционалността на Национален учебен център  1,00</w:t>
            </w:r>
          </w:p>
        </w:tc>
        <w:tc>
          <w:tcPr>
            <w:tcW w:w="627" w:type="pct"/>
            <w:tcBorders>
              <w:top w:val="nil"/>
              <w:left w:val="nil"/>
              <w:bottom w:val="single" w:sz="4" w:space="0" w:color="auto"/>
              <w:right w:val="single" w:sz="4" w:space="0" w:color="auto"/>
            </w:tcBorders>
            <w:shd w:val="clear" w:color="auto" w:fill="auto"/>
            <w:vAlign w:val="center"/>
            <w:hideMark/>
          </w:tcPr>
          <w:p w14:paraId="06BE496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финансите</w:t>
            </w:r>
          </w:p>
        </w:tc>
      </w:tr>
      <w:tr w:rsidR="00761800" w:rsidRPr="00761800" w14:paraId="66AF7B18" w14:textId="77777777" w:rsidTr="00406B4D">
        <w:trPr>
          <w:trHeight w:val="127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FA9460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w:t>
            </w:r>
          </w:p>
        </w:tc>
        <w:tc>
          <w:tcPr>
            <w:tcW w:w="529" w:type="pct"/>
            <w:tcBorders>
              <w:top w:val="nil"/>
              <w:left w:val="nil"/>
              <w:bottom w:val="single" w:sz="4" w:space="0" w:color="auto"/>
              <w:right w:val="single" w:sz="4" w:space="0" w:color="auto"/>
            </w:tcBorders>
            <w:shd w:val="clear" w:color="auto" w:fill="auto"/>
            <w:noWrap/>
            <w:vAlign w:val="center"/>
            <w:hideMark/>
          </w:tcPr>
          <w:p w14:paraId="6BF06C2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NP-25.001-0012</w:t>
            </w:r>
          </w:p>
        </w:tc>
        <w:tc>
          <w:tcPr>
            <w:tcW w:w="855" w:type="pct"/>
            <w:tcBorders>
              <w:top w:val="nil"/>
              <w:left w:val="nil"/>
              <w:bottom w:val="single" w:sz="4" w:space="0" w:color="auto"/>
              <w:right w:val="single" w:sz="4" w:space="0" w:color="auto"/>
            </w:tcBorders>
            <w:shd w:val="clear" w:color="auto" w:fill="auto"/>
            <w:vAlign w:val="center"/>
            <w:hideMark/>
          </w:tcPr>
          <w:p w14:paraId="01713C4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„Инженеринг (проектиране, строителство и осъществяване на авторски надзор) за обекти на Агенция „Митници“, свързани с реконструкция на ГКПП „Капитан Андреево“ и изграждане на рентгенови площадки на различни ГКПП и МБ на Агенция „Митници“, вкл.надзор</w:t>
            </w:r>
          </w:p>
        </w:tc>
        <w:tc>
          <w:tcPr>
            <w:tcW w:w="436" w:type="pct"/>
            <w:tcBorders>
              <w:top w:val="nil"/>
              <w:left w:val="nil"/>
              <w:bottom w:val="single" w:sz="4" w:space="0" w:color="auto"/>
              <w:right w:val="single" w:sz="4" w:space="0" w:color="auto"/>
            </w:tcBorders>
            <w:shd w:val="clear" w:color="auto" w:fill="auto"/>
            <w:vAlign w:val="center"/>
            <w:hideMark/>
          </w:tcPr>
          <w:p w14:paraId="7022473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3 651,9</w:t>
            </w:r>
          </w:p>
        </w:tc>
        <w:tc>
          <w:tcPr>
            <w:tcW w:w="436" w:type="pct"/>
            <w:tcBorders>
              <w:top w:val="nil"/>
              <w:left w:val="nil"/>
              <w:bottom w:val="single" w:sz="4" w:space="0" w:color="auto"/>
              <w:right w:val="single" w:sz="4" w:space="0" w:color="auto"/>
            </w:tcBorders>
            <w:shd w:val="clear" w:color="auto" w:fill="auto"/>
            <w:vAlign w:val="center"/>
            <w:hideMark/>
          </w:tcPr>
          <w:p w14:paraId="6E13A1A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22DC61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115E17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Реконструкция на ГКПП „Капитан Андреево“ - 1,0; </w:t>
            </w:r>
            <w:r w:rsidRPr="00761800">
              <w:rPr>
                <w:rFonts w:ascii="Times New Roman" w:hAnsi="Times New Roman"/>
                <w:sz w:val="20"/>
                <w:lang w:eastAsia="bg-BG"/>
              </w:rPr>
              <w:br/>
              <w:t>2. Увеличен брой на трасетата на „изход“ за проверка на товарни автомобили от Агенция „Митници“ от 6,00  на 8,00;</w:t>
            </w:r>
            <w:r w:rsidRPr="00761800">
              <w:rPr>
                <w:rFonts w:ascii="Times New Roman" w:hAnsi="Times New Roman"/>
                <w:sz w:val="20"/>
                <w:lang w:eastAsia="bg-BG"/>
              </w:rPr>
              <w:br/>
              <w:t>3. Увеличен брой на трасетата на  „вход“ за товарни автомобили  от ГД „Гранична полиция“ от 3,00  на 7,00</w:t>
            </w:r>
          </w:p>
        </w:tc>
        <w:tc>
          <w:tcPr>
            <w:tcW w:w="627" w:type="pct"/>
            <w:tcBorders>
              <w:top w:val="nil"/>
              <w:left w:val="nil"/>
              <w:bottom w:val="single" w:sz="4" w:space="0" w:color="auto"/>
              <w:right w:val="single" w:sz="4" w:space="0" w:color="auto"/>
            </w:tcBorders>
            <w:shd w:val="clear" w:color="auto" w:fill="auto"/>
            <w:vAlign w:val="center"/>
            <w:hideMark/>
          </w:tcPr>
          <w:p w14:paraId="2F76412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финансите</w:t>
            </w:r>
          </w:p>
        </w:tc>
      </w:tr>
      <w:tr w:rsidR="00761800" w:rsidRPr="00761800" w14:paraId="5C8984FB"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5122B7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w:t>
            </w:r>
          </w:p>
        </w:tc>
        <w:tc>
          <w:tcPr>
            <w:tcW w:w="529" w:type="pct"/>
            <w:tcBorders>
              <w:top w:val="nil"/>
              <w:left w:val="nil"/>
              <w:bottom w:val="single" w:sz="4" w:space="0" w:color="auto"/>
              <w:right w:val="single" w:sz="4" w:space="0" w:color="auto"/>
            </w:tcBorders>
            <w:shd w:val="clear" w:color="auto" w:fill="auto"/>
            <w:noWrap/>
            <w:vAlign w:val="center"/>
            <w:hideMark/>
          </w:tcPr>
          <w:p w14:paraId="5519AB8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NP-25.001-0014</w:t>
            </w:r>
          </w:p>
        </w:tc>
        <w:tc>
          <w:tcPr>
            <w:tcW w:w="855" w:type="pct"/>
            <w:tcBorders>
              <w:top w:val="nil"/>
              <w:left w:val="nil"/>
              <w:bottom w:val="single" w:sz="4" w:space="0" w:color="auto"/>
              <w:right w:val="single" w:sz="4" w:space="0" w:color="auto"/>
            </w:tcBorders>
            <w:shd w:val="clear" w:color="auto" w:fill="auto"/>
            <w:vAlign w:val="center"/>
            <w:hideMark/>
          </w:tcPr>
          <w:p w14:paraId="54D712D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Доставка на самолети F-16 Block 70, средства за наземно обслужване и обучение, въоръжение и обучение за тях-етап I, вкл. лихви по сметка в FBR/NY</w:t>
            </w:r>
          </w:p>
        </w:tc>
        <w:tc>
          <w:tcPr>
            <w:tcW w:w="436" w:type="pct"/>
            <w:tcBorders>
              <w:top w:val="nil"/>
              <w:left w:val="nil"/>
              <w:bottom w:val="single" w:sz="4" w:space="0" w:color="auto"/>
              <w:right w:val="single" w:sz="4" w:space="0" w:color="auto"/>
            </w:tcBorders>
            <w:shd w:val="clear" w:color="auto" w:fill="auto"/>
            <w:vAlign w:val="center"/>
            <w:hideMark/>
          </w:tcPr>
          <w:p w14:paraId="59FBB5E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70 815,5</w:t>
            </w:r>
          </w:p>
        </w:tc>
        <w:tc>
          <w:tcPr>
            <w:tcW w:w="436" w:type="pct"/>
            <w:tcBorders>
              <w:top w:val="nil"/>
              <w:left w:val="nil"/>
              <w:bottom w:val="single" w:sz="4" w:space="0" w:color="auto"/>
              <w:right w:val="single" w:sz="4" w:space="0" w:color="auto"/>
            </w:tcBorders>
            <w:shd w:val="clear" w:color="auto" w:fill="auto"/>
            <w:vAlign w:val="center"/>
            <w:hideMark/>
          </w:tcPr>
          <w:p w14:paraId="287E1DE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1 840,7</w:t>
            </w:r>
          </w:p>
        </w:tc>
        <w:tc>
          <w:tcPr>
            <w:tcW w:w="436" w:type="pct"/>
            <w:tcBorders>
              <w:top w:val="nil"/>
              <w:left w:val="nil"/>
              <w:bottom w:val="single" w:sz="4" w:space="0" w:color="auto"/>
              <w:right w:val="single" w:sz="4" w:space="0" w:color="auto"/>
            </w:tcBorders>
            <w:shd w:val="clear" w:color="auto" w:fill="auto"/>
            <w:vAlign w:val="center"/>
            <w:hideMark/>
          </w:tcPr>
          <w:p w14:paraId="094F2A7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D1C425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0029BEC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3DB13C36"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2BF681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c>
          <w:tcPr>
            <w:tcW w:w="529" w:type="pct"/>
            <w:tcBorders>
              <w:top w:val="nil"/>
              <w:left w:val="nil"/>
              <w:bottom w:val="single" w:sz="4" w:space="0" w:color="auto"/>
              <w:right w:val="single" w:sz="4" w:space="0" w:color="auto"/>
            </w:tcBorders>
            <w:shd w:val="clear" w:color="auto" w:fill="auto"/>
            <w:noWrap/>
            <w:vAlign w:val="center"/>
            <w:hideMark/>
          </w:tcPr>
          <w:p w14:paraId="24098A4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NP-25.001-0015</w:t>
            </w:r>
          </w:p>
        </w:tc>
        <w:tc>
          <w:tcPr>
            <w:tcW w:w="855" w:type="pct"/>
            <w:tcBorders>
              <w:top w:val="nil"/>
              <w:left w:val="nil"/>
              <w:bottom w:val="single" w:sz="4" w:space="0" w:color="auto"/>
              <w:right w:val="single" w:sz="4" w:space="0" w:color="auto"/>
            </w:tcBorders>
            <w:shd w:val="clear" w:color="auto" w:fill="auto"/>
            <w:vAlign w:val="center"/>
            <w:hideMark/>
          </w:tcPr>
          <w:p w14:paraId="1D0AC80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Придобиване на многофункционален </w:t>
            </w:r>
            <w:r w:rsidRPr="00761800">
              <w:rPr>
                <w:rFonts w:ascii="Times New Roman" w:hAnsi="Times New Roman"/>
                <w:sz w:val="20"/>
                <w:lang w:eastAsia="bg-BG"/>
              </w:rPr>
              <w:lastRenderedPageBreak/>
              <w:t>модулен патрулен кораб (ммпк) за ВМС</w:t>
            </w:r>
          </w:p>
        </w:tc>
        <w:tc>
          <w:tcPr>
            <w:tcW w:w="436" w:type="pct"/>
            <w:tcBorders>
              <w:top w:val="nil"/>
              <w:left w:val="nil"/>
              <w:bottom w:val="single" w:sz="4" w:space="0" w:color="auto"/>
              <w:right w:val="single" w:sz="4" w:space="0" w:color="auto"/>
            </w:tcBorders>
            <w:shd w:val="clear" w:color="auto" w:fill="auto"/>
            <w:vAlign w:val="center"/>
            <w:hideMark/>
          </w:tcPr>
          <w:p w14:paraId="41A835D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40 166,4</w:t>
            </w:r>
          </w:p>
        </w:tc>
        <w:tc>
          <w:tcPr>
            <w:tcW w:w="436" w:type="pct"/>
            <w:tcBorders>
              <w:top w:val="nil"/>
              <w:left w:val="nil"/>
              <w:bottom w:val="single" w:sz="4" w:space="0" w:color="auto"/>
              <w:right w:val="single" w:sz="4" w:space="0" w:color="auto"/>
            </w:tcBorders>
            <w:shd w:val="clear" w:color="auto" w:fill="auto"/>
            <w:vAlign w:val="center"/>
            <w:hideMark/>
          </w:tcPr>
          <w:p w14:paraId="6D25702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58 007,6</w:t>
            </w:r>
          </w:p>
        </w:tc>
        <w:tc>
          <w:tcPr>
            <w:tcW w:w="436" w:type="pct"/>
            <w:tcBorders>
              <w:top w:val="nil"/>
              <w:left w:val="nil"/>
              <w:bottom w:val="single" w:sz="4" w:space="0" w:color="auto"/>
              <w:right w:val="single" w:sz="4" w:space="0" w:color="auto"/>
            </w:tcBorders>
            <w:shd w:val="clear" w:color="auto" w:fill="auto"/>
            <w:vAlign w:val="center"/>
            <w:hideMark/>
          </w:tcPr>
          <w:p w14:paraId="504BC70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40 684,4</w:t>
            </w:r>
          </w:p>
        </w:tc>
        <w:tc>
          <w:tcPr>
            <w:tcW w:w="1524" w:type="pct"/>
            <w:tcBorders>
              <w:top w:val="nil"/>
              <w:left w:val="nil"/>
              <w:bottom w:val="single" w:sz="4" w:space="0" w:color="auto"/>
              <w:right w:val="single" w:sz="4" w:space="0" w:color="auto"/>
            </w:tcBorders>
            <w:shd w:val="clear" w:color="auto" w:fill="auto"/>
            <w:vAlign w:val="center"/>
            <w:hideMark/>
          </w:tcPr>
          <w:p w14:paraId="062043E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1EDA746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44E4F6FC"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35FA97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c>
          <w:tcPr>
            <w:tcW w:w="529" w:type="pct"/>
            <w:tcBorders>
              <w:top w:val="nil"/>
              <w:left w:val="nil"/>
              <w:bottom w:val="single" w:sz="4" w:space="0" w:color="auto"/>
              <w:right w:val="single" w:sz="4" w:space="0" w:color="auto"/>
            </w:tcBorders>
            <w:shd w:val="clear" w:color="auto" w:fill="auto"/>
            <w:noWrap/>
            <w:vAlign w:val="center"/>
            <w:hideMark/>
          </w:tcPr>
          <w:p w14:paraId="17F485B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NP-25.001-0016</w:t>
            </w:r>
          </w:p>
        </w:tc>
        <w:tc>
          <w:tcPr>
            <w:tcW w:w="855" w:type="pct"/>
            <w:tcBorders>
              <w:top w:val="nil"/>
              <w:left w:val="nil"/>
              <w:bottom w:val="single" w:sz="4" w:space="0" w:color="auto"/>
              <w:right w:val="single" w:sz="4" w:space="0" w:color="auto"/>
            </w:tcBorders>
            <w:shd w:val="clear" w:color="auto" w:fill="auto"/>
            <w:vAlign w:val="center"/>
            <w:hideMark/>
          </w:tcPr>
          <w:p w14:paraId="1ABA3DE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Доставка на самолети F-16 Block 70-етап II</w:t>
            </w:r>
          </w:p>
        </w:tc>
        <w:tc>
          <w:tcPr>
            <w:tcW w:w="436" w:type="pct"/>
            <w:tcBorders>
              <w:top w:val="nil"/>
              <w:left w:val="nil"/>
              <w:bottom w:val="single" w:sz="4" w:space="0" w:color="auto"/>
              <w:right w:val="single" w:sz="4" w:space="0" w:color="auto"/>
            </w:tcBorders>
            <w:shd w:val="clear" w:color="auto" w:fill="auto"/>
            <w:vAlign w:val="center"/>
            <w:hideMark/>
          </w:tcPr>
          <w:p w14:paraId="75E6B0B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374 904,6     </w:t>
            </w:r>
          </w:p>
        </w:tc>
        <w:tc>
          <w:tcPr>
            <w:tcW w:w="436" w:type="pct"/>
            <w:tcBorders>
              <w:top w:val="nil"/>
              <w:left w:val="nil"/>
              <w:bottom w:val="single" w:sz="4" w:space="0" w:color="auto"/>
              <w:right w:val="single" w:sz="4" w:space="0" w:color="auto"/>
            </w:tcBorders>
            <w:shd w:val="clear" w:color="auto" w:fill="auto"/>
            <w:vAlign w:val="center"/>
            <w:hideMark/>
          </w:tcPr>
          <w:p w14:paraId="2E176EB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243 400,9</w:t>
            </w:r>
          </w:p>
        </w:tc>
        <w:tc>
          <w:tcPr>
            <w:tcW w:w="436" w:type="pct"/>
            <w:tcBorders>
              <w:top w:val="nil"/>
              <w:left w:val="nil"/>
              <w:bottom w:val="single" w:sz="4" w:space="0" w:color="auto"/>
              <w:right w:val="single" w:sz="4" w:space="0" w:color="auto"/>
            </w:tcBorders>
            <w:shd w:val="clear" w:color="auto" w:fill="auto"/>
            <w:vAlign w:val="center"/>
            <w:hideMark/>
          </w:tcPr>
          <w:p w14:paraId="53FE7E4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589 305,0     </w:t>
            </w:r>
          </w:p>
        </w:tc>
        <w:tc>
          <w:tcPr>
            <w:tcW w:w="1524" w:type="pct"/>
            <w:tcBorders>
              <w:top w:val="nil"/>
              <w:left w:val="nil"/>
              <w:bottom w:val="single" w:sz="4" w:space="0" w:color="auto"/>
              <w:right w:val="single" w:sz="4" w:space="0" w:color="auto"/>
            </w:tcBorders>
            <w:shd w:val="clear" w:color="auto" w:fill="auto"/>
            <w:vAlign w:val="center"/>
            <w:hideMark/>
          </w:tcPr>
          <w:p w14:paraId="65402F6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6A68788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09C7E136"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EE40BD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w:t>
            </w:r>
          </w:p>
        </w:tc>
        <w:tc>
          <w:tcPr>
            <w:tcW w:w="529" w:type="pct"/>
            <w:tcBorders>
              <w:top w:val="nil"/>
              <w:left w:val="nil"/>
              <w:bottom w:val="single" w:sz="4" w:space="0" w:color="auto"/>
              <w:right w:val="single" w:sz="4" w:space="0" w:color="auto"/>
            </w:tcBorders>
            <w:shd w:val="clear" w:color="auto" w:fill="auto"/>
            <w:noWrap/>
            <w:vAlign w:val="center"/>
            <w:hideMark/>
          </w:tcPr>
          <w:p w14:paraId="2DA83A3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NP-25.001-0017</w:t>
            </w:r>
          </w:p>
        </w:tc>
        <w:tc>
          <w:tcPr>
            <w:tcW w:w="855" w:type="pct"/>
            <w:tcBorders>
              <w:top w:val="nil"/>
              <w:left w:val="nil"/>
              <w:bottom w:val="single" w:sz="4" w:space="0" w:color="auto"/>
              <w:right w:val="single" w:sz="4" w:space="0" w:color="auto"/>
            </w:tcBorders>
            <w:shd w:val="clear" w:color="auto" w:fill="auto"/>
            <w:vAlign w:val="center"/>
            <w:hideMark/>
          </w:tcPr>
          <w:p w14:paraId="29CD048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Придобиване на основна бойна техника за изграждане на батальонни бойни групи</w:t>
            </w:r>
          </w:p>
        </w:tc>
        <w:tc>
          <w:tcPr>
            <w:tcW w:w="436" w:type="pct"/>
            <w:tcBorders>
              <w:top w:val="nil"/>
              <w:left w:val="nil"/>
              <w:bottom w:val="single" w:sz="4" w:space="0" w:color="auto"/>
              <w:right w:val="single" w:sz="4" w:space="0" w:color="auto"/>
            </w:tcBorders>
            <w:shd w:val="clear" w:color="auto" w:fill="auto"/>
            <w:vAlign w:val="center"/>
            <w:hideMark/>
          </w:tcPr>
          <w:p w14:paraId="3934692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25 014,0</w:t>
            </w:r>
          </w:p>
        </w:tc>
        <w:tc>
          <w:tcPr>
            <w:tcW w:w="436" w:type="pct"/>
            <w:tcBorders>
              <w:top w:val="nil"/>
              <w:left w:val="nil"/>
              <w:bottom w:val="single" w:sz="4" w:space="0" w:color="auto"/>
              <w:right w:val="single" w:sz="4" w:space="0" w:color="auto"/>
            </w:tcBorders>
            <w:shd w:val="clear" w:color="auto" w:fill="auto"/>
            <w:vAlign w:val="center"/>
            <w:hideMark/>
          </w:tcPr>
          <w:p w14:paraId="2AB274B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213 823,1     </w:t>
            </w:r>
          </w:p>
        </w:tc>
        <w:tc>
          <w:tcPr>
            <w:tcW w:w="436" w:type="pct"/>
            <w:tcBorders>
              <w:top w:val="nil"/>
              <w:left w:val="nil"/>
              <w:bottom w:val="single" w:sz="4" w:space="0" w:color="auto"/>
              <w:right w:val="single" w:sz="4" w:space="0" w:color="auto"/>
            </w:tcBorders>
            <w:shd w:val="clear" w:color="auto" w:fill="auto"/>
            <w:vAlign w:val="center"/>
            <w:hideMark/>
          </w:tcPr>
          <w:p w14:paraId="1B33E31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305 662,9     </w:t>
            </w:r>
          </w:p>
        </w:tc>
        <w:tc>
          <w:tcPr>
            <w:tcW w:w="1524" w:type="pct"/>
            <w:tcBorders>
              <w:top w:val="nil"/>
              <w:left w:val="nil"/>
              <w:bottom w:val="single" w:sz="4" w:space="0" w:color="auto"/>
              <w:right w:val="single" w:sz="4" w:space="0" w:color="auto"/>
            </w:tcBorders>
            <w:shd w:val="clear" w:color="auto" w:fill="auto"/>
            <w:vAlign w:val="center"/>
            <w:hideMark/>
          </w:tcPr>
          <w:p w14:paraId="309B26E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4B2FF49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489D83C1"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417949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w:t>
            </w:r>
          </w:p>
        </w:tc>
        <w:tc>
          <w:tcPr>
            <w:tcW w:w="529" w:type="pct"/>
            <w:tcBorders>
              <w:top w:val="nil"/>
              <w:left w:val="nil"/>
              <w:bottom w:val="single" w:sz="4" w:space="0" w:color="auto"/>
              <w:right w:val="single" w:sz="4" w:space="0" w:color="auto"/>
            </w:tcBorders>
            <w:shd w:val="clear" w:color="auto" w:fill="auto"/>
            <w:noWrap/>
            <w:vAlign w:val="center"/>
            <w:hideMark/>
          </w:tcPr>
          <w:p w14:paraId="27ACDCC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NP-25.001-0019</w:t>
            </w:r>
          </w:p>
        </w:tc>
        <w:tc>
          <w:tcPr>
            <w:tcW w:w="855" w:type="pct"/>
            <w:tcBorders>
              <w:top w:val="nil"/>
              <w:left w:val="nil"/>
              <w:bottom w:val="single" w:sz="4" w:space="0" w:color="auto"/>
              <w:right w:val="single" w:sz="4" w:space="0" w:color="auto"/>
            </w:tcBorders>
            <w:shd w:val="clear" w:color="auto" w:fill="auto"/>
            <w:vAlign w:val="center"/>
            <w:hideMark/>
          </w:tcPr>
          <w:p w14:paraId="2D9F337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Изграждане на системи за сигурност на помещенията за съхранение на американско класифицирано оборудване и въоръжение</w:t>
            </w:r>
          </w:p>
        </w:tc>
        <w:tc>
          <w:tcPr>
            <w:tcW w:w="436" w:type="pct"/>
            <w:tcBorders>
              <w:top w:val="nil"/>
              <w:left w:val="nil"/>
              <w:bottom w:val="single" w:sz="4" w:space="0" w:color="auto"/>
              <w:right w:val="single" w:sz="4" w:space="0" w:color="auto"/>
            </w:tcBorders>
            <w:shd w:val="clear" w:color="auto" w:fill="auto"/>
            <w:vAlign w:val="center"/>
            <w:hideMark/>
          </w:tcPr>
          <w:p w14:paraId="4F85F5E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2 909,2</w:t>
            </w:r>
          </w:p>
        </w:tc>
        <w:tc>
          <w:tcPr>
            <w:tcW w:w="436" w:type="pct"/>
            <w:tcBorders>
              <w:top w:val="nil"/>
              <w:left w:val="nil"/>
              <w:bottom w:val="single" w:sz="4" w:space="0" w:color="auto"/>
              <w:right w:val="single" w:sz="4" w:space="0" w:color="auto"/>
            </w:tcBorders>
            <w:shd w:val="clear" w:color="auto" w:fill="auto"/>
            <w:vAlign w:val="center"/>
            <w:hideMark/>
          </w:tcPr>
          <w:p w14:paraId="613890E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177,6</w:t>
            </w:r>
          </w:p>
        </w:tc>
        <w:tc>
          <w:tcPr>
            <w:tcW w:w="436" w:type="pct"/>
            <w:tcBorders>
              <w:top w:val="nil"/>
              <w:left w:val="nil"/>
              <w:bottom w:val="single" w:sz="4" w:space="0" w:color="auto"/>
              <w:right w:val="single" w:sz="4" w:space="0" w:color="auto"/>
            </w:tcBorders>
            <w:shd w:val="clear" w:color="auto" w:fill="auto"/>
            <w:vAlign w:val="center"/>
            <w:hideMark/>
          </w:tcPr>
          <w:p w14:paraId="521C389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1FB42C6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5E178D8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53B4D5D9"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DD46BC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13</w:t>
            </w:r>
          </w:p>
        </w:tc>
        <w:tc>
          <w:tcPr>
            <w:tcW w:w="529" w:type="pct"/>
            <w:tcBorders>
              <w:top w:val="nil"/>
              <w:left w:val="nil"/>
              <w:bottom w:val="single" w:sz="4" w:space="0" w:color="auto"/>
              <w:right w:val="single" w:sz="4" w:space="0" w:color="auto"/>
            </w:tcBorders>
            <w:shd w:val="clear" w:color="auto" w:fill="auto"/>
            <w:noWrap/>
            <w:vAlign w:val="center"/>
            <w:hideMark/>
          </w:tcPr>
          <w:p w14:paraId="3937F4B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NP-25.001-0020</w:t>
            </w:r>
          </w:p>
        </w:tc>
        <w:tc>
          <w:tcPr>
            <w:tcW w:w="855" w:type="pct"/>
            <w:tcBorders>
              <w:top w:val="nil"/>
              <w:left w:val="nil"/>
              <w:bottom w:val="single" w:sz="4" w:space="0" w:color="auto"/>
              <w:right w:val="single" w:sz="4" w:space="0" w:color="auto"/>
            </w:tcBorders>
            <w:shd w:val="clear" w:color="auto" w:fill="auto"/>
            <w:vAlign w:val="center"/>
            <w:hideMark/>
          </w:tcPr>
          <w:p w14:paraId="32B392C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Придобиване на наземни терминали от Мултифункционална система за разпространение на информация (MIDS)</w:t>
            </w:r>
          </w:p>
        </w:tc>
        <w:tc>
          <w:tcPr>
            <w:tcW w:w="436" w:type="pct"/>
            <w:tcBorders>
              <w:top w:val="nil"/>
              <w:left w:val="nil"/>
              <w:bottom w:val="single" w:sz="4" w:space="0" w:color="auto"/>
              <w:right w:val="single" w:sz="4" w:space="0" w:color="auto"/>
            </w:tcBorders>
            <w:shd w:val="clear" w:color="auto" w:fill="auto"/>
            <w:vAlign w:val="center"/>
            <w:hideMark/>
          </w:tcPr>
          <w:p w14:paraId="2E13B48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1 501,0</w:t>
            </w:r>
          </w:p>
        </w:tc>
        <w:tc>
          <w:tcPr>
            <w:tcW w:w="436" w:type="pct"/>
            <w:tcBorders>
              <w:top w:val="nil"/>
              <w:left w:val="nil"/>
              <w:bottom w:val="single" w:sz="4" w:space="0" w:color="auto"/>
              <w:right w:val="single" w:sz="4" w:space="0" w:color="auto"/>
            </w:tcBorders>
            <w:shd w:val="clear" w:color="auto" w:fill="auto"/>
            <w:vAlign w:val="center"/>
            <w:hideMark/>
          </w:tcPr>
          <w:p w14:paraId="4500F0F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638,5</w:t>
            </w:r>
          </w:p>
        </w:tc>
        <w:tc>
          <w:tcPr>
            <w:tcW w:w="436" w:type="pct"/>
            <w:tcBorders>
              <w:top w:val="nil"/>
              <w:left w:val="nil"/>
              <w:bottom w:val="single" w:sz="4" w:space="0" w:color="auto"/>
              <w:right w:val="single" w:sz="4" w:space="0" w:color="auto"/>
            </w:tcBorders>
            <w:shd w:val="clear" w:color="auto" w:fill="auto"/>
            <w:vAlign w:val="center"/>
            <w:hideMark/>
          </w:tcPr>
          <w:p w14:paraId="5028F25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132,3</w:t>
            </w:r>
          </w:p>
        </w:tc>
        <w:tc>
          <w:tcPr>
            <w:tcW w:w="1524" w:type="pct"/>
            <w:tcBorders>
              <w:top w:val="nil"/>
              <w:left w:val="nil"/>
              <w:bottom w:val="single" w:sz="4" w:space="0" w:color="auto"/>
              <w:right w:val="single" w:sz="4" w:space="0" w:color="auto"/>
            </w:tcBorders>
            <w:shd w:val="clear" w:color="auto" w:fill="auto"/>
            <w:vAlign w:val="center"/>
            <w:hideMark/>
          </w:tcPr>
          <w:p w14:paraId="4DE6FAA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312AD83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7FABCA3E"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B7CBDF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14</w:t>
            </w:r>
          </w:p>
        </w:tc>
        <w:tc>
          <w:tcPr>
            <w:tcW w:w="529" w:type="pct"/>
            <w:tcBorders>
              <w:top w:val="nil"/>
              <w:left w:val="nil"/>
              <w:bottom w:val="single" w:sz="4" w:space="0" w:color="auto"/>
              <w:right w:val="single" w:sz="4" w:space="0" w:color="auto"/>
            </w:tcBorders>
            <w:shd w:val="clear" w:color="auto" w:fill="auto"/>
            <w:noWrap/>
            <w:vAlign w:val="center"/>
            <w:hideMark/>
          </w:tcPr>
          <w:p w14:paraId="5B8FDE2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NP-25.001-0021</w:t>
            </w:r>
          </w:p>
        </w:tc>
        <w:tc>
          <w:tcPr>
            <w:tcW w:w="855" w:type="pct"/>
            <w:tcBorders>
              <w:top w:val="nil"/>
              <w:left w:val="nil"/>
              <w:bottom w:val="single" w:sz="4" w:space="0" w:color="auto"/>
              <w:right w:val="single" w:sz="4" w:space="0" w:color="auto"/>
            </w:tcBorders>
            <w:shd w:val="clear" w:color="auto" w:fill="auto"/>
            <w:vAlign w:val="center"/>
            <w:hideMark/>
          </w:tcPr>
          <w:p w14:paraId="3949837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Ракети, торпеда и други боеприпаси за модулни патрулни кораби</w:t>
            </w:r>
          </w:p>
        </w:tc>
        <w:tc>
          <w:tcPr>
            <w:tcW w:w="436" w:type="pct"/>
            <w:tcBorders>
              <w:top w:val="nil"/>
              <w:left w:val="nil"/>
              <w:bottom w:val="single" w:sz="4" w:space="0" w:color="auto"/>
              <w:right w:val="single" w:sz="4" w:space="0" w:color="auto"/>
            </w:tcBorders>
            <w:shd w:val="clear" w:color="auto" w:fill="auto"/>
            <w:vAlign w:val="center"/>
            <w:hideMark/>
          </w:tcPr>
          <w:p w14:paraId="5444254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26 689,6</w:t>
            </w:r>
          </w:p>
        </w:tc>
        <w:tc>
          <w:tcPr>
            <w:tcW w:w="436" w:type="pct"/>
            <w:tcBorders>
              <w:top w:val="nil"/>
              <w:left w:val="nil"/>
              <w:bottom w:val="single" w:sz="4" w:space="0" w:color="auto"/>
              <w:right w:val="single" w:sz="4" w:space="0" w:color="auto"/>
            </w:tcBorders>
            <w:shd w:val="clear" w:color="auto" w:fill="auto"/>
            <w:vAlign w:val="center"/>
            <w:hideMark/>
          </w:tcPr>
          <w:p w14:paraId="5557A4A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60 818,1</w:t>
            </w:r>
          </w:p>
        </w:tc>
        <w:tc>
          <w:tcPr>
            <w:tcW w:w="436" w:type="pct"/>
            <w:tcBorders>
              <w:top w:val="nil"/>
              <w:left w:val="nil"/>
              <w:bottom w:val="single" w:sz="4" w:space="0" w:color="auto"/>
              <w:right w:val="single" w:sz="4" w:space="0" w:color="auto"/>
            </w:tcBorders>
            <w:shd w:val="clear" w:color="auto" w:fill="auto"/>
            <w:vAlign w:val="center"/>
            <w:hideMark/>
          </w:tcPr>
          <w:p w14:paraId="1E53B46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63 362,2</w:t>
            </w:r>
          </w:p>
        </w:tc>
        <w:tc>
          <w:tcPr>
            <w:tcW w:w="1524" w:type="pct"/>
            <w:tcBorders>
              <w:top w:val="nil"/>
              <w:left w:val="nil"/>
              <w:bottom w:val="single" w:sz="4" w:space="0" w:color="auto"/>
              <w:right w:val="single" w:sz="4" w:space="0" w:color="auto"/>
            </w:tcBorders>
            <w:shd w:val="clear" w:color="auto" w:fill="auto"/>
            <w:vAlign w:val="center"/>
            <w:hideMark/>
          </w:tcPr>
          <w:p w14:paraId="0C3C3C7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7DE9714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11BCC27B"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C7AACB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w:t>
            </w:r>
          </w:p>
        </w:tc>
        <w:tc>
          <w:tcPr>
            <w:tcW w:w="529" w:type="pct"/>
            <w:tcBorders>
              <w:top w:val="nil"/>
              <w:left w:val="nil"/>
              <w:bottom w:val="single" w:sz="4" w:space="0" w:color="auto"/>
              <w:right w:val="single" w:sz="4" w:space="0" w:color="auto"/>
            </w:tcBorders>
            <w:shd w:val="clear" w:color="auto" w:fill="auto"/>
            <w:noWrap/>
            <w:vAlign w:val="center"/>
            <w:hideMark/>
          </w:tcPr>
          <w:p w14:paraId="09412D5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NP-25.001-0023</w:t>
            </w:r>
          </w:p>
        </w:tc>
        <w:tc>
          <w:tcPr>
            <w:tcW w:w="855" w:type="pct"/>
            <w:tcBorders>
              <w:top w:val="nil"/>
              <w:left w:val="nil"/>
              <w:bottom w:val="single" w:sz="4" w:space="0" w:color="auto"/>
              <w:right w:val="single" w:sz="4" w:space="0" w:color="auto"/>
            </w:tcBorders>
            <w:shd w:val="clear" w:color="auto" w:fill="auto"/>
            <w:vAlign w:val="center"/>
            <w:hideMark/>
          </w:tcPr>
          <w:p w14:paraId="24745CD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Придобиване на ракетна система Javelin за бойните машини</w:t>
            </w:r>
          </w:p>
        </w:tc>
        <w:tc>
          <w:tcPr>
            <w:tcW w:w="436" w:type="pct"/>
            <w:tcBorders>
              <w:top w:val="nil"/>
              <w:left w:val="nil"/>
              <w:bottom w:val="single" w:sz="4" w:space="0" w:color="auto"/>
              <w:right w:val="single" w:sz="4" w:space="0" w:color="auto"/>
            </w:tcBorders>
            <w:shd w:val="clear" w:color="auto" w:fill="auto"/>
            <w:vAlign w:val="center"/>
            <w:hideMark/>
          </w:tcPr>
          <w:p w14:paraId="1F1B34F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77,7</w:t>
            </w:r>
          </w:p>
        </w:tc>
        <w:tc>
          <w:tcPr>
            <w:tcW w:w="436" w:type="pct"/>
            <w:tcBorders>
              <w:top w:val="nil"/>
              <w:left w:val="nil"/>
              <w:bottom w:val="single" w:sz="4" w:space="0" w:color="auto"/>
              <w:right w:val="single" w:sz="4" w:space="0" w:color="auto"/>
            </w:tcBorders>
            <w:shd w:val="clear" w:color="auto" w:fill="auto"/>
            <w:vAlign w:val="center"/>
            <w:hideMark/>
          </w:tcPr>
          <w:p w14:paraId="71CCE2A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3 384,9</w:t>
            </w:r>
          </w:p>
        </w:tc>
        <w:tc>
          <w:tcPr>
            <w:tcW w:w="436" w:type="pct"/>
            <w:tcBorders>
              <w:top w:val="nil"/>
              <w:left w:val="nil"/>
              <w:bottom w:val="single" w:sz="4" w:space="0" w:color="auto"/>
              <w:right w:val="single" w:sz="4" w:space="0" w:color="auto"/>
            </w:tcBorders>
            <w:shd w:val="clear" w:color="auto" w:fill="auto"/>
            <w:vAlign w:val="center"/>
            <w:hideMark/>
          </w:tcPr>
          <w:p w14:paraId="5C1F9CC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126,7</w:t>
            </w:r>
          </w:p>
        </w:tc>
        <w:tc>
          <w:tcPr>
            <w:tcW w:w="1524" w:type="pct"/>
            <w:tcBorders>
              <w:top w:val="nil"/>
              <w:left w:val="nil"/>
              <w:bottom w:val="single" w:sz="4" w:space="0" w:color="auto"/>
              <w:right w:val="single" w:sz="4" w:space="0" w:color="auto"/>
            </w:tcBorders>
            <w:shd w:val="clear" w:color="auto" w:fill="auto"/>
            <w:vAlign w:val="center"/>
            <w:hideMark/>
          </w:tcPr>
          <w:p w14:paraId="43CE20A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55C8C1B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2122D5DA"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17DAE3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16</w:t>
            </w:r>
          </w:p>
        </w:tc>
        <w:tc>
          <w:tcPr>
            <w:tcW w:w="529" w:type="pct"/>
            <w:tcBorders>
              <w:top w:val="nil"/>
              <w:left w:val="nil"/>
              <w:bottom w:val="single" w:sz="4" w:space="0" w:color="auto"/>
              <w:right w:val="single" w:sz="4" w:space="0" w:color="auto"/>
            </w:tcBorders>
            <w:shd w:val="clear" w:color="auto" w:fill="auto"/>
            <w:noWrap/>
            <w:vAlign w:val="center"/>
            <w:hideMark/>
          </w:tcPr>
          <w:p w14:paraId="1D91636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NP-25.001-0024</w:t>
            </w:r>
          </w:p>
        </w:tc>
        <w:tc>
          <w:tcPr>
            <w:tcW w:w="855" w:type="pct"/>
            <w:tcBorders>
              <w:top w:val="nil"/>
              <w:left w:val="nil"/>
              <w:bottom w:val="single" w:sz="4" w:space="0" w:color="auto"/>
              <w:right w:val="single" w:sz="4" w:space="0" w:color="auto"/>
            </w:tcBorders>
            <w:shd w:val="clear" w:color="auto" w:fill="auto"/>
            <w:vAlign w:val="center"/>
            <w:hideMark/>
          </w:tcPr>
          <w:p w14:paraId="6D9F1DB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Развитие на способности за транспортно осигуряване на Българската армия</w:t>
            </w:r>
          </w:p>
        </w:tc>
        <w:tc>
          <w:tcPr>
            <w:tcW w:w="436" w:type="pct"/>
            <w:tcBorders>
              <w:top w:val="nil"/>
              <w:left w:val="nil"/>
              <w:bottom w:val="single" w:sz="4" w:space="0" w:color="auto"/>
              <w:right w:val="single" w:sz="4" w:space="0" w:color="auto"/>
            </w:tcBorders>
            <w:shd w:val="clear" w:color="auto" w:fill="auto"/>
            <w:vAlign w:val="center"/>
            <w:hideMark/>
          </w:tcPr>
          <w:p w14:paraId="0C43D14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0C00B2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2797F4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89 000,0</w:t>
            </w:r>
          </w:p>
        </w:tc>
        <w:tc>
          <w:tcPr>
            <w:tcW w:w="1524" w:type="pct"/>
            <w:tcBorders>
              <w:top w:val="nil"/>
              <w:left w:val="nil"/>
              <w:bottom w:val="single" w:sz="4" w:space="0" w:color="auto"/>
              <w:right w:val="single" w:sz="4" w:space="0" w:color="auto"/>
            </w:tcBorders>
            <w:shd w:val="clear" w:color="auto" w:fill="auto"/>
            <w:vAlign w:val="center"/>
            <w:hideMark/>
          </w:tcPr>
          <w:p w14:paraId="0A14E75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5EFCBE7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064802B1"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072CA7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17</w:t>
            </w:r>
          </w:p>
        </w:tc>
        <w:tc>
          <w:tcPr>
            <w:tcW w:w="529" w:type="pct"/>
            <w:tcBorders>
              <w:top w:val="nil"/>
              <w:left w:val="nil"/>
              <w:bottom w:val="single" w:sz="4" w:space="0" w:color="auto"/>
              <w:right w:val="single" w:sz="4" w:space="0" w:color="auto"/>
            </w:tcBorders>
            <w:shd w:val="clear" w:color="auto" w:fill="auto"/>
            <w:noWrap/>
            <w:vAlign w:val="center"/>
            <w:hideMark/>
          </w:tcPr>
          <w:p w14:paraId="5ECDE88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NP-25.001-0025</w:t>
            </w:r>
          </w:p>
        </w:tc>
        <w:tc>
          <w:tcPr>
            <w:tcW w:w="855" w:type="pct"/>
            <w:tcBorders>
              <w:top w:val="nil"/>
              <w:left w:val="nil"/>
              <w:bottom w:val="single" w:sz="4" w:space="0" w:color="auto"/>
              <w:right w:val="single" w:sz="4" w:space="0" w:color="auto"/>
            </w:tcBorders>
            <w:shd w:val="clear" w:color="auto" w:fill="auto"/>
            <w:vAlign w:val="center"/>
            <w:hideMark/>
          </w:tcPr>
          <w:p w14:paraId="1C5E972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Надграждане и интегрирана логистична поддръжка на самолети C-27J Spartan от състава на ВВС</w:t>
            </w:r>
          </w:p>
        </w:tc>
        <w:tc>
          <w:tcPr>
            <w:tcW w:w="436" w:type="pct"/>
            <w:tcBorders>
              <w:top w:val="nil"/>
              <w:left w:val="nil"/>
              <w:bottom w:val="single" w:sz="4" w:space="0" w:color="auto"/>
              <w:right w:val="single" w:sz="4" w:space="0" w:color="auto"/>
            </w:tcBorders>
            <w:shd w:val="clear" w:color="auto" w:fill="auto"/>
            <w:vAlign w:val="center"/>
            <w:hideMark/>
          </w:tcPr>
          <w:p w14:paraId="73DA772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4 402,9</w:t>
            </w:r>
          </w:p>
        </w:tc>
        <w:tc>
          <w:tcPr>
            <w:tcW w:w="436" w:type="pct"/>
            <w:tcBorders>
              <w:top w:val="nil"/>
              <w:left w:val="nil"/>
              <w:bottom w:val="single" w:sz="4" w:space="0" w:color="auto"/>
              <w:right w:val="single" w:sz="4" w:space="0" w:color="auto"/>
            </w:tcBorders>
            <w:shd w:val="clear" w:color="auto" w:fill="auto"/>
            <w:vAlign w:val="center"/>
            <w:hideMark/>
          </w:tcPr>
          <w:p w14:paraId="1F1A234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21 045,0     </w:t>
            </w:r>
          </w:p>
        </w:tc>
        <w:tc>
          <w:tcPr>
            <w:tcW w:w="436" w:type="pct"/>
            <w:tcBorders>
              <w:top w:val="nil"/>
              <w:left w:val="nil"/>
              <w:bottom w:val="single" w:sz="4" w:space="0" w:color="auto"/>
              <w:right w:val="single" w:sz="4" w:space="0" w:color="auto"/>
            </w:tcBorders>
            <w:shd w:val="clear" w:color="auto" w:fill="auto"/>
            <w:vAlign w:val="center"/>
            <w:hideMark/>
          </w:tcPr>
          <w:p w14:paraId="48C759D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21 045,0     </w:t>
            </w:r>
          </w:p>
        </w:tc>
        <w:tc>
          <w:tcPr>
            <w:tcW w:w="1524" w:type="pct"/>
            <w:tcBorders>
              <w:top w:val="nil"/>
              <w:left w:val="nil"/>
              <w:bottom w:val="single" w:sz="4" w:space="0" w:color="auto"/>
              <w:right w:val="single" w:sz="4" w:space="0" w:color="auto"/>
            </w:tcBorders>
            <w:shd w:val="clear" w:color="auto" w:fill="auto"/>
            <w:vAlign w:val="center"/>
            <w:hideMark/>
          </w:tcPr>
          <w:p w14:paraId="22CE762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6597A95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167AC5BC"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39BE77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18</w:t>
            </w:r>
          </w:p>
        </w:tc>
        <w:tc>
          <w:tcPr>
            <w:tcW w:w="529" w:type="pct"/>
            <w:tcBorders>
              <w:top w:val="nil"/>
              <w:left w:val="nil"/>
              <w:bottom w:val="single" w:sz="4" w:space="0" w:color="auto"/>
              <w:right w:val="single" w:sz="4" w:space="0" w:color="auto"/>
            </w:tcBorders>
            <w:shd w:val="clear" w:color="auto" w:fill="auto"/>
            <w:noWrap/>
            <w:vAlign w:val="center"/>
            <w:hideMark/>
          </w:tcPr>
          <w:p w14:paraId="5F0C802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NP-25.001-0026</w:t>
            </w:r>
          </w:p>
        </w:tc>
        <w:tc>
          <w:tcPr>
            <w:tcW w:w="855" w:type="pct"/>
            <w:tcBorders>
              <w:top w:val="nil"/>
              <w:left w:val="nil"/>
              <w:bottom w:val="single" w:sz="4" w:space="0" w:color="auto"/>
              <w:right w:val="single" w:sz="4" w:space="0" w:color="auto"/>
            </w:tcBorders>
            <w:shd w:val="clear" w:color="auto" w:fill="auto"/>
            <w:vAlign w:val="center"/>
            <w:hideMark/>
          </w:tcPr>
          <w:p w14:paraId="7D9E090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Осигуряване на експлоатацията на вертолети AS 532 AL Cougar и двигатели за тях</w:t>
            </w:r>
          </w:p>
        </w:tc>
        <w:tc>
          <w:tcPr>
            <w:tcW w:w="436" w:type="pct"/>
            <w:tcBorders>
              <w:top w:val="nil"/>
              <w:left w:val="nil"/>
              <w:bottom w:val="single" w:sz="4" w:space="0" w:color="auto"/>
              <w:right w:val="single" w:sz="4" w:space="0" w:color="auto"/>
            </w:tcBorders>
            <w:shd w:val="clear" w:color="auto" w:fill="auto"/>
            <w:vAlign w:val="center"/>
            <w:hideMark/>
          </w:tcPr>
          <w:p w14:paraId="32CE153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3 579,0</w:t>
            </w:r>
          </w:p>
        </w:tc>
        <w:tc>
          <w:tcPr>
            <w:tcW w:w="436" w:type="pct"/>
            <w:tcBorders>
              <w:top w:val="nil"/>
              <w:left w:val="nil"/>
              <w:bottom w:val="single" w:sz="4" w:space="0" w:color="auto"/>
              <w:right w:val="single" w:sz="4" w:space="0" w:color="auto"/>
            </w:tcBorders>
            <w:shd w:val="clear" w:color="auto" w:fill="auto"/>
            <w:vAlign w:val="center"/>
            <w:hideMark/>
          </w:tcPr>
          <w:p w14:paraId="27116CA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3 579,0</w:t>
            </w:r>
          </w:p>
        </w:tc>
        <w:tc>
          <w:tcPr>
            <w:tcW w:w="436" w:type="pct"/>
            <w:tcBorders>
              <w:top w:val="nil"/>
              <w:left w:val="nil"/>
              <w:bottom w:val="single" w:sz="4" w:space="0" w:color="auto"/>
              <w:right w:val="single" w:sz="4" w:space="0" w:color="auto"/>
            </w:tcBorders>
            <w:shd w:val="clear" w:color="auto" w:fill="auto"/>
            <w:vAlign w:val="center"/>
            <w:hideMark/>
          </w:tcPr>
          <w:p w14:paraId="6281EB9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3 579,0</w:t>
            </w:r>
          </w:p>
        </w:tc>
        <w:tc>
          <w:tcPr>
            <w:tcW w:w="1524" w:type="pct"/>
            <w:tcBorders>
              <w:top w:val="nil"/>
              <w:left w:val="nil"/>
              <w:bottom w:val="single" w:sz="4" w:space="0" w:color="auto"/>
              <w:right w:val="single" w:sz="4" w:space="0" w:color="auto"/>
            </w:tcBorders>
            <w:shd w:val="clear" w:color="auto" w:fill="auto"/>
            <w:vAlign w:val="center"/>
            <w:hideMark/>
          </w:tcPr>
          <w:p w14:paraId="2D376D5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426ACE5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69704F76"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F0086D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w:t>
            </w:r>
          </w:p>
        </w:tc>
        <w:tc>
          <w:tcPr>
            <w:tcW w:w="529" w:type="pct"/>
            <w:tcBorders>
              <w:top w:val="nil"/>
              <w:left w:val="nil"/>
              <w:bottom w:val="single" w:sz="4" w:space="0" w:color="auto"/>
              <w:right w:val="single" w:sz="4" w:space="0" w:color="auto"/>
            </w:tcBorders>
            <w:shd w:val="clear" w:color="auto" w:fill="auto"/>
            <w:noWrap/>
            <w:vAlign w:val="center"/>
            <w:hideMark/>
          </w:tcPr>
          <w:p w14:paraId="5243277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NP-25.001-0027</w:t>
            </w:r>
          </w:p>
        </w:tc>
        <w:tc>
          <w:tcPr>
            <w:tcW w:w="855" w:type="pct"/>
            <w:tcBorders>
              <w:top w:val="nil"/>
              <w:left w:val="nil"/>
              <w:bottom w:val="single" w:sz="4" w:space="0" w:color="auto"/>
              <w:right w:val="single" w:sz="4" w:space="0" w:color="auto"/>
            </w:tcBorders>
            <w:shd w:val="clear" w:color="auto" w:fill="auto"/>
            <w:vAlign w:val="center"/>
            <w:hideMark/>
          </w:tcPr>
          <w:p w14:paraId="754D4C2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Интегрирана логистична поддръжка на вертолети AS 565MB Panther и AS 365 N3+ Dauphin и двигатели за тях</w:t>
            </w:r>
          </w:p>
        </w:tc>
        <w:tc>
          <w:tcPr>
            <w:tcW w:w="436" w:type="pct"/>
            <w:tcBorders>
              <w:top w:val="nil"/>
              <w:left w:val="nil"/>
              <w:bottom w:val="single" w:sz="4" w:space="0" w:color="auto"/>
              <w:right w:val="single" w:sz="4" w:space="0" w:color="auto"/>
            </w:tcBorders>
            <w:shd w:val="clear" w:color="auto" w:fill="auto"/>
            <w:vAlign w:val="center"/>
            <w:hideMark/>
          </w:tcPr>
          <w:p w14:paraId="316F6B2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2 301,0</w:t>
            </w:r>
          </w:p>
        </w:tc>
        <w:tc>
          <w:tcPr>
            <w:tcW w:w="436" w:type="pct"/>
            <w:tcBorders>
              <w:top w:val="nil"/>
              <w:left w:val="nil"/>
              <w:bottom w:val="single" w:sz="4" w:space="0" w:color="auto"/>
              <w:right w:val="single" w:sz="4" w:space="0" w:color="auto"/>
            </w:tcBorders>
            <w:shd w:val="clear" w:color="auto" w:fill="auto"/>
            <w:vAlign w:val="center"/>
            <w:hideMark/>
          </w:tcPr>
          <w:p w14:paraId="1A6EA21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2 301,0</w:t>
            </w:r>
          </w:p>
        </w:tc>
        <w:tc>
          <w:tcPr>
            <w:tcW w:w="436" w:type="pct"/>
            <w:tcBorders>
              <w:top w:val="nil"/>
              <w:left w:val="nil"/>
              <w:bottom w:val="single" w:sz="4" w:space="0" w:color="auto"/>
              <w:right w:val="single" w:sz="4" w:space="0" w:color="auto"/>
            </w:tcBorders>
            <w:shd w:val="clear" w:color="auto" w:fill="auto"/>
            <w:vAlign w:val="center"/>
            <w:hideMark/>
          </w:tcPr>
          <w:p w14:paraId="214D2DE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2 301,0</w:t>
            </w:r>
          </w:p>
        </w:tc>
        <w:tc>
          <w:tcPr>
            <w:tcW w:w="1524" w:type="pct"/>
            <w:tcBorders>
              <w:top w:val="nil"/>
              <w:left w:val="nil"/>
              <w:bottom w:val="single" w:sz="4" w:space="0" w:color="auto"/>
              <w:right w:val="single" w:sz="4" w:space="0" w:color="auto"/>
            </w:tcBorders>
            <w:shd w:val="clear" w:color="auto" w:fill="auto"/>
            <w:vAlign w:val="center"/>
            <w:hideMark/>
          </w:tcPr>
          <w:p w14:paraId="28E7308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483D0ED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2A48B8EF"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4A5428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20</w:t>
            </w:r>
          </w:p>
        </w:tc>
        <w:tc>
          <w:tcPr>
            <w:tcW w:w="529" w:type="pct"/>
            <w:tcBorders>
              <w:top w:val="nil"/>
              <w:left w:val="nil"/>
              <w:bottom w:val="single" w:sz="4" w:space="0" w:color="auto"/>
              <w:right w:val="single" w:sz="4" w:space="0" w:color="auto"/>
            </w:tcBorders>
            <w:shd w:val="clear" w:color="auto" w:fill="auto"/>
            <w:noWrap/>
            <w:vAlign w:val="center"/>
            <w:hideMark/>
          </w:tcPr>
          <w:p w14:paraId="22F5F4A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NP-25.001-0028</w:t>
            </w:r>
          </w:p>
        </w:tc>
        <w:tc>
          <w:tcPr>
            <w:tcW w:w="855" w:type="pct"/>
            <w:tcBorders>
              <w:top w:val="nil"/>
              <w:left w:val="nil"/>
              <w:bottom w:val="single" w:sz="4" w:space="0" w:color="auto"/>
              <w:right w:val="single" w:sz="4" w:space="0" w:color="auto"/>
            </w:tcBorders>
            <w:shd w:val="clear" w:color="auto" w:fill="auto"/>
            <w:vAlign w:val="center"/>
            <w:hideMark/>
          </w:tcPr>
          <w:p w14:paraId="50B7B30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Интегрирана логистична поддръжка на самолети „PILATUS” РС-9М и РС-12/45</w:t>
            </w:r>
          </w:p>
        </w:tc>
        <w:tc>
          <w:tcPr>
            <w:tcW w:w="436" w:type="pct"/>
            <w:tcBorders>
              <w:top w:val="nil"/>
              <w:left w:val="nil"/>
              <w:bottom w:val="single" w:sz="4" w:space="0" w:color="auto"/>
              <w:right w:val="single" w:sz="4" w:space="0" w:color="auto"/>
            </w:tcBorders>
            <w:shd w:val="clear" w:color="auto" w:fill="auto"/>
            <w:vAlign w:val="center"/>
            <w:hideMark/>
          </w:tcPr>
          <w:p w14:paraId="325C509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5 000,0</w:t>
            </w:r>
          </w:p>
        </w:tc>
        <w:tc>
          <w:tcPr>
            <w:tcW w:w="436" w:type="pct"/>
            <w:tcBorders>
              <w:top w:val="nil"/>
              <w:left w:val="nil"/>
              <w:bottom w:val="single" w:sz="4" w:space="0" w:color="auto"/>
              <w:right w:val="single" w:sz="4" w:space="0" w:color="auto"/>
            </w:tcBorders>
            <w:shd w:val="clear" w:color="auto" w:fill="auto"/>
            <w:vAlign w:val="center"/>
            <w:hideMark/>
          </w:tcPr>
          <w:p w14:paraId="1A8C6F0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5 000,0</w:t>
            </w:r>
          </w:p>
        </w:tc>
        <w:tc>
          <w:tcPr>
            <w:tcW w:w="436" w:type="pct"/>
            <w:tcBorders>
              <w:top w:val="nil"/>
              <w:left w:val="nil"/>
              <w:bottom w:val="single" w:sz="4" w:space="0" w:color="auto"/>
              <w:right w:val="single" w:sz="4" w:space="0" w:color="auto"/>
            </w:tcBorders>
            <w:shd w:val="clear" w:color="auto" w:fill="auto"/>
            <w:vAlign w:val="center"/>
            <w:hideMark/>
          </w:tcPr>
          <w:p w14:paraId="188CF00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630,0</w:t>
            </w:r>
          </w:p>
        </w:tc>
        <w:tc>
          <w:tcPr>
            <w:tcW w:w="1524" w:type="pct"/>
            <w:tcBorders>
              <w:top w:val="nil"/>
              <w:left w:val="nil"/>
              <w:bottom w:val="single" w:sz="4" w:space="0" w:color="auto"/>
              <w:right w:val="single" w:sz="4" w:space="0" w:color="auto"/>
            </w:tcBorders>
            <w:shd w:val="clear" w:color="auto" w:fill="auto"/>
            <w:vAlign w:val="center"/>
            <w:hideMark/>
          </w:tcPr>
          <w:p w14:paraId="71E23AF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0EFD664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680BA9EC"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tcPr>
          <w:p w14:paraId="42EB833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21</w:t>
            </w:r>
          </w:p>
        </w:tc>
        <w:tc>
          <w:tcPr>
            <w:tcW w:w="529" w:type="pct"/>
            <w:tcBorders>
              <w:top w:val="nil"/>
              <w:left w:val="nil"/>
              <w:bottom w:val="single" w:sz="4" w:space="0" w:color="auto"/>
              <w:right w:val="single" w:sz="4" w:space="0" w:color="auto"/>
            </w:tcBorders>
            <w:shd w:val="clear" w:color="auto" w:fill="auto"/>
            <w:noWrap/>
            <w:vAlign w:val="center"/>
          </w:tcPr>
          <w:p w14:paraId="6014A48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NP-25.001-0029</w:t>
            </w:r>
          </w:p>
        </w:tc>
        <w:tc>
          <w:tcPr>
            <w:tcW w:w="855" w:type="pct"/>
            <w:tcBorders>
              <w:top w:val="nil"/>
              <w:left w:val="nil"/>
              <w:bottom w:val="single" w:sz="4" w:space="0" w:color="auto"/>
              <w:right w:val="single" w:sz="4" w:space="0" w:color="auto"/>
            </w:tcBorders>
            <w:shd w:val="clear" w:color="auto" w:fill="auto"/>
            <w:vAlign w:val="center"/>
          </w:tcPr>
          <w:p w14:paraId="12F88B9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Придобиване на леко стрелково оръжие</w:t>
            </w:r>
          </w:p>
        </w:tc>
        <w:tc>
          <w:tcPr>
            <w:tcW w:w="436" w:type="pct"/>
            <w:tcBorders>
              <w:top w:val="nil"/>
              <w:left w:val="nil"/>
              <w:bottom w:val="single" w:sz="4" w:space="0" w:color="auto"/>
              <w:right w:val="single" w:sz="4" w:space="0" w:color="auto"/>
            </w:tcBorders>
            <w:shd w:val="clear" w:color="auto" w:fill="auto"/>
            <w:vAlign w:val="center"/>
          </w:tcPr>
          <w:p w14:paraId="640FCA5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tcPr>
          <w:p w14:paraId="4CD2451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tcPr>
          <w:p w14:paraId="39B098B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1524" w:type="pct"/>
            <w:tcBorders>
              <w:top w:val="nil"/>
              <w:left w:val="nil"/>
              <w:bottom w:val="single" w:sz="4" w:space="0" w:color="auto"/>
              <w:right w:val="single" w:sz="4" w:space="0" w:color="auto"/>
            </w:tcBorders>
            <w:shd w:val="clear" w:color="auto" w:fill="auto"/>
            <w:vAlign w:val="center"/>
          </w:tcPr>
          <w:p w14:paraId="46E02BE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tcPr>
          <w:p w14:paraId="210215D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5EA62742"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282A90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22</w:t>
            </w:r>
          </w:p>
        </w:tc>
        <w:tc>
          <w:tcPr>
            <w:tcW w:w="529" w:type="pct"/>
            <w:tcBorders>
              <w:top w:val="nil"/>
              <w:left w:val="nil"/>
              <w:bottom w:val="single" w:sz="4" w:space="0" w:color="auto"/>
              <w:right w:val="single" w:sz="4" w:space="0" w:color="auto"/>
            </w:tcBorders>
            <w:shd w:val="clear" w:color="auto" w:fill="auto"/>
            <w:noWrap/>
            <w:vAlign w:val="center"/>
            <w:hideMark/>
          </w:tcPr>
          <w:p w14:paraId="099AAF9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NP-25.003-0009</w:t>
            </w:r>
          </w:p>
        </w:tc>
        <w:tc>
          <w:tcPr>
            <w:tcW w:w="855" w:type="pct"/>
            <w:tcBorders>
              <w:top w:val="nil"/>
              <w:left w:val="nil"/>
              <w:bottom w:val="single" w:sz="4" w:space="0" w:color="auto"/>
              <w:right w:val="single" w:sz="4" w:space="0" w:color="auto"/>
            </w:tcBorders>
            <w:shd w:val="clear" w:color="auto" w:fill="auto"/>
            <w:vAlign w:val="center"/>
            <w:hideMark/>
          </w:tcPr>
          <w:p w14:paraId="0E4FAD2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на авиационни двигатели и агрегати</w:t>
            </w:r>
          </w:p>
        </w:tc>
        <w:tc>
          <w:tcPr>
            <w:tcW w:w="436" w:type="pct"/>
            <w:tcBorders>
              <w:top w:val="nil"/>
              <w:left w:val="nil"/>
              <w:bottom w:val="single" w:sz="4" w:space="0" w:color="auto"/>
              <w:right w:val="single" w:sz="4" w:space="0" w:color="auto"/>
            </w:tcBorders>
            <w:shd w:val="clear" w:color="auto" w:fill="auto"/>
            <w:vAlign w:val="center"/>
            <w:hideMark/>
          </w:tcPr>
          <w:p w14:paraId="21B2242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2 076,6</w:t>
            </w:r>
          </w:p>
        </w:tc>
        <w:tc>
          <w:tcPr>
            <w:tcW w:w="436" w:type="pct"/>
            <w:tcBorders>
              <w:top w:val="nil"/>
              <w:left w:val="nil"/>
              <w:bottom w:val="single" w:sz="4" w:space="0" w:color="auto"/>
              <w:right w:val="single" w:sz="4" w:space="0" w:color="auto"/>
            </w:tcBorders>
            <w:shd w:val="clear" w:color="auto" w:fill="auto"/>
            <w:vAlign w:val="center"/>
            <w:hideMark/>
          </w:tcPr>
          <w:p w14:paraId="4A20EEF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12 276,1</w:t>
            </w:r>
          </w:p>
        </w:tc>
        <w:tc>
          <w:tcPr>
            <w:tcW w:w="436" w:type="pct"/>
            <w:tcBorders>
              <w:top w:val="nil"/>
              <w:left w:val="nil"/>
              <w:bottom w:val="single" w:sz="4" w:space="0" w:color="auto"/>
              <w:right w:val="single" w:sz="4" w:space="0" w:color="auto"/>
            </w:tcBorders>
            <w:shd w:val="clear" w:color="auto" w:fill="auto"/>
            <w:vAlign w:val="center"/>
            <w:hideMark/>
          </w:tcPr>
          <w:p w14:paraId="6C7C3F9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12 000,0</w:t>
            </w:r>
          </w:p>
        </w:tc>
        <w:tc>
          <w:tcPr>
            <w:tcW w:w="1524" w:type="pct"/>
            <w:tcBorders>
              <w:top w:val="nil"/>
              <w:left w:val="nil"/>
              <w:bottom w:val="single" w:sz="4" w:space="0" w:color="auto"/>
              <w:right w:val="single" w:sz="4" w:space="0" w:color="auto"/>
            </w:tcBorders>
            <w:shd w:val="clear" w:color="auto" w:fill="auto"/>
            <w:vAlign w:val="center"/>
            <w:hideMark/>
          </w:tcPr>
          <w:p w14:paraId="759F5C3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7DA283C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68171138"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73CF13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23</w:t>
            </w:r>
          </w:p>
        </w:tc>
        <w:tc>
          <w:tcPr>
            <w:tcW w:w="529" w:type="pct"/>
            <w:tcBorders>
              <w:top w:val="nil"/>
              <w:left w:val="nil"/>
              <w:bottom w:val="single" w:sz="4" w:space="0" w:color="auto"/>
              <w:right w:val="single" w:sz="4" w:space="0" w:color="auto"/>
            </w:tcBorders>
            <w:shd w:val="clear" w:color="auto" w:fill="auto"/>
            <w:noWrap/>
            <w:vAlign w:val="center"/>
            <w:hideMark/>
          </w:tcPr>
          <w:p w14:paraId="67FE5D1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NP-25.003-0010</w:t>
            </w:r>
          </w:p>
        </w:tc>
        <w:tc>
          <w:tcPr>
            <w:tcW w:w="855" w:type="pct"/>
            <w:tcBorders>
              <w:top w:val="nil"/>
              <w:left w:val="nil"/>
              <w:bottom w:val="single" w:sz="4" w:space="0" w:color="auto"/>
              <w:right w:val="single" w:sz="4" w:space="0" w:color="auto"/>
            </w:tcBorders>
            <w:shd w:val="clear" w:color="auto" w:fill="auto"/>
            <w:vAlign w:val="center"/>
            <w:hideMark/>
          </w:tcPr>
          <w:p w14:paraId="2446F9B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Доков ремонт на кораби и поддръжка и ремонт на корабни агрегати и механизми</w:t>
            </w:r>
          </w:p>
        </w:tc>
        <w:tc>
          <w:tcPr>
            <w:tcW w:w="436" w:type="pct"/>
            <w:tcBorders>
              <w:top w:val="nil"/>
              <w:left w:val="nil"/>
              <w:bottom w:val="single" w:sz="4" w:space="0" w:color="auto"/>
              <w:right w:val="single" w:sz="4" w:space="0" w:color="auto"/>
            </w:tcBorders>
            <w:shd w:val="clear" w:color="auto" w:fill="auto"/>
            <w:vAlign w:val="center"/>
            <w:hideMark/>
          </w:tcPr>
          <w:p w14:paraId="51E7266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920,0</w:t>
            </w:r>
          </w:p>
        </w:tc>
        <w:tc>
          <w:tcPr>
            <w:tcW w:w="436" w:type="pct"/>
            <w:tcBorders>
              <w:top w:val="nil"/>
              <w:left w:val="nil"/>
              <w:bottom w:val="single" w:sz="4" w:space="0" w:color="auto"/>
              <w:right w:val="single" w:sz="4" w:space="0" w:color="auto"/>
            </w:tcBorders>
            <w:shd w:val="clear" w:color="auto" w:fill="auto"/>
            <w:vAlign w:val="center"/>
            <w:hideMark/>
          </w:tcPr>
          <w:p w14:paraId="2BB8B1A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920,0</w:t>
            </w:r>
          </w:p>
        </w:tc>
        <w:tc>
          <w:tcPr>
            <w:tcW w:w="436" w:type="pct"/>
            <w:tcBorders>
              <w:top w:val="nil"/>
              <w:left w:val="nil"/>
              <w:bottom w:val="single" w:sz="4" w:space="0" w:color="auto"/>
              <w:right w:val="single" w:sz="4" w:space="0" w:color="auto"/>
            </w:tcBorders>
            <w:shd w:val="clear" w:color="auto" w:fill="auto"/>
            <w:vAlign w:val="center"/>
            <w:hideMark/>
          </w:tcPr>
          <w:p w14:paraId="6784400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950,0</w:t>
            </w:r>
          </w:p>
        </w:tc>
        <w:tc>
          <w:tcPr>
            <w:tcW w:w="1524" w:type="pct"/>
            <w:tcBorders>
              <w:top w:val="nil"/>
              <w:left w:val="nil"/>
              <w:bottom w:val="single" w:sz="4" w:space="0" w:color="auto"/>
              <w:right w:val="single" w:sz="4" w:space="0" w:color="auto"/>
            </w:tcBorders>
            <w:shd w:val="clear" w:color="auto" w:fill="auto"/>
            <w:vAlign w:val="center"/>
            <w:hideMark/>
          </w:tcPr>
          <w:p w14:paraId="5798A5F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16236CF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6CBD93B7"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tcPr>
          <w:p w14:paraId="57FC8FF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24</w:t>
            </w:r>
          </w:p>
        </w:tc>
        <w:tc>
          <w:tcPr>
            <w:tcW w:w="529" w:type="pct"/>
            <w:tcBorders>
              <w:top w:val="nil"/>
              <w:left w:val="nil"/>
              <w:bottom w:val="single" w:sz="4" w:space="0" w:color="auto"/>
              <w:right w:val="single" w:sz="4" w:space="0" w:color="auto"/>
            </w:tcBorders>
            <w:shd w:val="clear" w:color="auto" w:fill="auto"/>
            <w:noWrap/>
            <w:vAlign w:val="center"/>
          </w:tcPr>
          <w:p w14:paraId="0F2C1C4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NP-25.108-0002</w:t>
            </w:r>
          </w:p>
        </w:tc>
        <w:tc>
          <w:tcPr>
            <w:tcW w:w="855" w:type="pct"/>
            <w:tcBorders>
              <w:top w:val="nil"/>
              <w:left w:val="nil"/>
              <w:bottom w:val="single" w:sz="4" w:space="0" w:color="auto"/>
              <w:right w:val="single" w:sz="4" w:space="0" w:color="auto"/>
            </w:tcBorders>
            <w:shd w:val="clear" w:color="auto" w:fill="auto"/>
            <w:vAlign w:val="center"/>
          </w:tcPr>
          <w:p w14:paraId="2A44801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Безпилотни летателни системи</w:t>
            </w:r>
          </w:p>
        </w:tc>
        <w:tc>
          <w:tcPr>
            <w:tcW w:w="436" w:type="pct"/>
            <w:tcBorders>
              <w:top w:val="nil"/>
              <w:left w:val="nil"/>
              <w:bottom w:val="single" w:sz="4" w:space="0" w:color="auto"/>
              <w:right w:val="single" w:sz="4" w:space="0" w:color="auto"/>
            </w:tcBorders>
            <w:shd w:val="clear" w:color="auto" w:fill="auto"/>
            <w:vAlign w:val="center"/>
          </w:tcPr>
          <w:p w14:paraId="20F2DF1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tcPr>
          <w:p w14:paraId="2064CB3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tcPr>
          <w:p w14:paraId="55D6069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1524" w:type="pct"/>
            <w:tcBorders>
              <w:top w:val="nil"/>
              <w:left w:val="nil"/>
              <w:bottom w:val="single" w:sz="4" w:space="0" w:color="auto"/>
              <w:right w:val="single" w:sz="4" w:space="0" w:color="auto"/>
            </w:tcBorders>
            <w:shd w:val="clear" w:color="auto" w:fill="auto"/>
            <w:vAlign w:val="center"/>
          </w:tcPr>
          <w:p w14:paraId="0EC73BA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tcPr>
          <w:p w14:paraId="0C49228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1B205524"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FD8C00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25</w:t>
            </w:r>
          </w:p>
        </w:tc>
        <w:tc>
          <w:tcPr>
            <w:tcW w:w="529" w:type="pct"/>
            <w:tcBorders>
              <w:top w:val="nil"/>
              <w:left w:val="nil"/>
              <w:bottom w:val="single" w:sz="4" w:space="0" w:color="auto"/>
              <w:right w:val="single" w:sz="4" w:space="0" w:color="auto"/>
            </w:tcBorders>
            <w:shd w:val="clear" w:color="auto" w:fill="auto"/>
            <w:noWrap/>
            <w:vAlign w:val="center"/>
            <w:hideMark/>
          </w:tcPr>
          <w:p w14:paraId="794C943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NP-25.108-0003</w:t>
            </w:r>
          </w:p>
        </w:tc>
        <w:tc>
          <w:tcPr>
            <w:tcW w:w="855" w:type="pct"/>
            <w:tcBorders>
              <w:top w:val="nil"/>
              <w:left w:val="nil"/>
              <w:bottom w:val="single" w:sz="4" w:space="0" w:color="auto"/>
              <w:right w:val="single" w:sz="4" w:space="0" w:color="auto"/>
            </w:tcBorders>
            <w:shd w:val="clear" w:color="auto" w:fill="auto"/>
            <w:vAlign w:val="center"/>
            <w:hideMark/>
          </w:tcPr>
          <w:p w14:paraId="09DE74C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Криптографски средства и оборудване</w:t>
            </w:r>
          </w:p>
        </w:tc>
        <w:tc>
          <w:tcPr>
            <w:tcW w:w="436" w:type="pct"/>
            <w:tcBorders>
              <w:top w:val="nil"/>
              <w:left w:val="nil"/>
              <w:bottom w:val="single" w:sz="4" w:space="0" w:color="auto"/>
              <w:right w:val="single" w:sz="4" w:space="0" w:color="auto"/>
            </w:tcBorders>
            <w:shd w:val="clear" w:color="auto" w:fill="auto"/>
            <w:vAlign w:val="center"/>
            <w:hideMark/>
          </w:tcPr>
          <w:p w14:paraId="36336AC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1 650,9</w:t>
            </w:r>
          </w:p>
        </w:tc>
        <w:tc>
          <w:tcPr>
            <w:tcW w:w="436" w:type="pct"/>
            <w:tcBorders>
              <w:top w:val="nil"/>
              <w:left w:val="nil"/>
              <w:bottom w:val="single" w:sz="4" w:space="0" w:color="auto"/>
              <w:right w:val="single" w:sz="4" w:space="0" w:color="auto"/>
            </w:tcBorders>
            <w:shd w:val="clear" w:color="auto" w:fill="auto"/>
            <w:vAlign w:val="center"/>
            <w:hideMark/>
          </w:tcPr>
          <w:p w14:paraId="6D946F1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2 000,0</w:t>
            </w:r>
          </w:p>
        </w:tc>
        <w:tc>
          <w:tcPr>
            <w:tcW w:w="436" w:type="pct"/>
            <w:tcBorders>
              <w:top w:val="nil"/>
              <w:left w:val="nil"/>
              <w:bottom w:val="single" w:sz="4" w:space="0" w:color="auto"/>
              <w:right w:val="single" w:sz="4" w:space="0" w:color="auto"/>
            </w:tcBorders>
            <w:shd w:val="clear" w:color="auto" w:fill="auto"/>
            <w:vAlign w:val="center"/>
            <w:hideMark/>
          </w:tcPr>
          <w:p w14:paraId="7276CFE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2 000,0</w:t>
            </w:r>
          </w:p>
        </w:tc>
        <w:tc>
          <w:tcPr>
            <w:tcW w:w="1524" w:type="pct"/>
            <w:tcBorders>
              <w:top w:val="nil"/>
              <w:left w:val="nil"/>
              <w:bottom w:val="single" w:sz="4" w:space="0" w:color="auto"/>
              <w:right w:val="single" w:sz="4" w:space="0" w:color="auto"/>
            </w:tcBorders>
            <w:shd w:val="clear" w:color="auto" w:fill="auto"/>
            <w:vAlign w:val="center"/>
            <w:hideMark/>
          </w:tcPr>
          <w:p w14:paraId="53127ED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0799320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54167C7A"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26EF47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26</w:t>
            </w:r>
          </w:p>
        </w:tc>
        <w:tc>
          <w:tcPr>
            <w:tcW w:w="529" w:type="pct"/>
            <w:tcBorders>
              <w:top w:val="nil"/>
              <w:left w:val="nil"/>
              <w:bottom w:val="single" w:sz="4" w:space="0" w:color="auto"/>
              <w:right w:val="single" w:sz="4" w:space="0" w:color="auto"/>
            </w:tcBorders>
            <w:shd w:val="clear" w:color="auto" w:fill="auto"/>
            <w:noWrap/>
            <w:vAlign w:val="center"/>
            <w:hideMark/>
          </w:tcPr>
          <w:p w14:paraId="35A5170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NP-25.001-0037</w:t>
            </w:r>
          </w:p>
        </w:tc>
        <w:tc>
          <w:tcPr>
            <w:tcW w:w="855" w:type="pct"/>
            <w:tcBorders>
              <w:top w:val="nil"/>
              <w:left w:val="nil"/>
              <w:bottom w:val="single" w:sz="4" w:space="0" w:color="auto"/>
              <w:right w:val="single" w:sz="4" w:space="0" w:color="auto"/>
            </w:tcBorders>
            <w:shd w:val="clear" w:color="auto" w:fill="auto"/>
            <w:vAlign w:val="center"/>
            <w:hideMark/>
          </w:tcPr>
          <w:p w14:paraId="197232C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Брегови противокорабни ракетни комплекси</w:t>
            </w:r>
          </w:p>
        </w:tc>
        <w:tc>
          <w:tcPr>
            <w:tcW w:w="436" w:type="pct"/>
            <w:tcBorders>
              <w:top w:val="nil"/>
              <w:left w:val="nil"/>
              <w:bottom w:val="single" w:sz="4" w:space="0" w:color="auto"/>
              <w:right w:val="single" w:sz="4" w:space="0" w:color="auto"/>
            </w:tcBorders>
            <w:shd w:val="clear" w:color="auto" w:fill="auto"/>
            <w:vAlign w:val="center"/>
            <w:hideMark/>
          </w:tcPr>
          <w:p w14:paraId="4D13BD9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3 296,1</w:t>
            </w:r>
          </w:p>
        </w:tc>
        <w:tc>
          <w:tcPr>
            <w:tcW w:w="436" w:type="pct"/>
            <w:tcBorders>
              <w:top w:val="nil"/>
              <w:left w:val="nil"/>
              <w:bottom w:val="single" w:sz="4" w:space="0" w:color="auto"/>
              <w:right w:val="single" w:sz="4" w:space="0" w:color="auto"/>
            </w:tcBorders>
            <w:shd w:val="clear" w:color="auto" w:fill="auto"/>
            <w:vAlign w:val="center"/>
            <w:hideMark/>
          </w:tcPr>
          <w:p w14:paraId="095CF88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5 104,2</w:t>
            </w:r>
          </w:p>
        </w:tc>
        <w:tc>
          <w:tcPr>
            <w:tcW w:w="436" w:type="pct"/>
            <w:tcBorders>
              <w:top w:val="nil"/>
              <w:left w:val="nil"/>
              <w:bottom w:val="single" w:sz="4" w:space="0" w:color="auto"/>
              <w:right w:val="single" w:sz="4" w:space="0" w:color="auto"/>
            </w:tcBorders>
            <w:shd w:val="clear" w:color="auto" w:fill="auto"/>
            <w:vAlign w:val="center"/>
            <w:hideMark/>
          </w:tcPr>
          <w:p w14:paraId="4EB77FD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9 174,9</w:t>
            </w:r>
          </w:p>
        </w:tc>
        <w:tc>
          <w:tcPr>
            <w:tcW w:w="1524" w:type="pct"/>
            <w:tcBorders>
              <w:top w:val="nil"/>
              <w:left w:val="nil"/>
              <w:bottom w:val="single" w:sz="4" w:space="0" w:color="auto"/>
              <w:right w:val="single" w:sz="4" w:space="0" w:color="auto"/>
            </w:tcBorders>
            <w:shd w:val="clear" w:color="auto" w:fill="auto"/>
            <w:vAlign w:val="center"/>
            <w:hideMark/>
          </w:tcPr>
          <w:p w14:paraId="70AFBC9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20E3894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7AEC6CF2"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DB22EA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27</w:t>
            </w:r>
          </w:p>
        </w:tc>
        <w:tc>
          <w:tcPr>
            <w:tcW w:w="529" w:type="pct"/>
            <w:tcBorders>
              <w:top w:val="nil"/>
              <w:left w:val="nil"/>
              <w:bottom w:val="single" w:sz="4" w:space="0" w:color="auto"/>
              <w:right w:val="single" w:sz="4" w:space="0" w:color="auto"/>
            </w:tcBorders>
            <w:shd w:val="clear" w:color="auto" w:fill="auto"/>
            <w:noWrap/>
            <w:vAlign w:val="center"/>
            <w:hideMark/>
          </w:tcPr>
          <w:p w14:paraId="37B5CBA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NP-25.001-0034</w:t>
            </w:r>
          </w:p>
        </w:tc>
        <w:tc>
          <w:tcPr>
            <w:tcW w:w="855" w:type="pct"/>
            <w:tcBorders>
              <w:top w:val="nil"/>
              <w:left w:val="nil"/>
              <w:bottom w:val="single" w:sz="4" w:space="0" w:color="auto"/>
              <w:right w:val="single" w:sz="4" w:space="0" w:color="auto"/>
            </w:tcBorders>
            <w:shd w:val="clear" w:color="auto" w:fill="auto"/>
            <w:vAlign w:val="center"/>
            <w:hideMark/>
          </w:tcPr>
          <w:p w14:paraId="5452F56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Придобиване на минни ловци втора употреба</w:t>
            </w:r>
          </w:p>
        </w:tc>
        <w:tc>
          <w:tcPr>
            <w:tcW w:w="436" w:type="pct"/>
            <w:tcBorders>
              <w:top w:val="nil"/>
              <w:left w:val="nil"/>
              <w:bottom w:val="single" w:sz="4" w:space="0" w:color="auto"/>
              <w:right w:val="single" w:sz="4" w:space="0" w:color="auto"/>
            </w:tcBorders>
            <w:shd w:val="clear" w:color="auto" w:fill="auto"/>
            <w:vAlign w:val="center"/>
            <w:hideMark/>
          </w:tcPr>
          <w:p w14:paraId="0D9C3BB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4 000,0</w:t>
            </w:r>
          </w:p>
        </w:tc>
        <w:tc>
          <w:tcPr>
            <w:tcW w:w="436" w:type="pct"/>
            <w:tcBorders>
              <w:top w:val="nil"/>
              <w:left w:val="nil"/>
              <w:bottom w:val="single" w:sz="4" w:space="0" w:color="auto"/>
              <w:right w:val="single" w:sz="4" w:space="0" w:color="auto"/>
            </w:tcBorders>
            <w:shd w:val="clear" w:color="auto" w:fill="auto"/>
            <w:vAlign w:val="center"/>
            <w:hideMark/>
          </w:tcPr>
          <w:p w14:paraId="3DAACAA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15 000,0</w:t>
            </w:r>
          </w:p>
        </w:tc>
        <w:tc>
          <w:tcPr>
            <w:tcW w:w="436" w:type="pct"/>
            <w:tcBorders>
              <w:top w:val="nil"/>
              <w:left w:val="nil"/>
              <w:bottom w:val="single" w:sz="4" w:space="0" w:color="auto"/>
              <w:right w:val="single" w:sz="4" w:space="0" w:color="auto"/>
            </w:tcBorders>
            <w:shd w:val="clear" w:color="auto" w:fill="auto"/>
            <w:vAlign w:val="center"/>
            <w:hideMark/>
          </w:tcPr>
          <w:p w14:paraId="5C2CF18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23 000,0</w:t>
            </w:r>
          </w:p>
        </w:tc>
        <w:tc>
          <w:tcPr>
            <w:tcW w:w="1524" w:type="pct"/>
            <w:tcBorders>
              <w:top w:val="nil"/>
              <w:left w:val="nil"/>
              <w:bottom w:val="single" w:sz="4" w:space="0" w:color="auto"/>
              <w:right w:val="single" w:sz="4" w:space="0" w:color="auto"/>
            </w:tcBorders>
            <w:shd w:val="clear" w:color="auto" w:fill="auto"/>
            <w:vAlign w:val="center"/>
            <w:hideMark/>
          </w:tcPr>
          <w:p w14:paraId="4339F2B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21209B2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096096E7"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B1C7AF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28</w:t>
            </w:r>
          </w:p>
        </w:tc>
        <w:tc>
          <w:tcPr>
            <w:tcW w:w="529" w:type="pct"/>
            <w:tcBorders>
              <w:top w:val="nil"/>
              <w:left w:val="nil"/>
              <w:bottom w:val="single" w:sz="4" w:space="0" w:color="auto"/>
              <w:right w:val="single" w:sz="4" w:space="0" w:color="auto"/>
            </w:tcBorders>
            <w:shd w:val="clear" w:color="auto" w:fill="auto"/>
            <w:noWrap/>
            <w:vAlign w:val="center"/>
            <w:hideMark/>
          </w:tcPr>
          <w:p w14:paraId="6EA579A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NP-25.001-0022</w:t>
            </w:r>
          </w:p>
        </w:tc>
        <w:tc>
          <w:tcPr>
            <w:tcW w:w="855" w:type="pct"/>
            <w:tcBorders>
              <w:top w:val="nil"/>
              <w:left w:val="nil"/>
              <w:bottom w:val="single" w:sz="4" w:space="0" w:color="auto"/>
              <w:right w:val="single" w:sz="4" w:space="0" w:color="auto"/>
            </w:tcBorders>
            <w:shd w:val="clear" w:color="auto" w:fill="auto"/>
            <w:vAlign w:val="center"/>
            <w:hideMark/>
          </w:tcPr>
          <w:p w14:paraId="5D387FB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Доставка на 3D радари</w:t>
            </w:r>
          </w:p>
        </w:tc>
        <w:tc>
          <w:tcPr>
            <w:tcW w:w="436" w:type="pct"/>
            <w:tcBorders>
              <w:top w:val="nil"/>
              <w:left w:val="nil"/>
              <w:bottom w:val="single" w:sz="4" w:space="0" w:color="auto"/>
              <w:right w:val="single" w:sz="4" w:space="0" w:color="auto"/>
            </w:tcBorders>
            <w:shd w:val="clear" w:color="auto" w:fill="auto"/>
            <w:vAlign w:val="center"/>
            <w:hideMark/>
          </w:tcPr>
          <w:p w14:paraId="5B88622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125 710,0</w:t>
            </w:r>
          </w:p>
        </w:tc>
        <w:tc>
          <w:tcPr>
            <w:tcW w:w="436" w:type="pct"/>
            <w:tcBorders>
              <w:top w:val="nil"/>
              <w:left w:val="nil"/>
              <w:bottom w:val="single" w:sz="4" w:space="0" w:color="auto"/>
              <w:right w:val="single" w:sz="4" w:space="0" w:color="auto"/>
            </w:tcBorders>
            <w:shd w:val="clear" w:color="auto" w:fill="auto"/>
            <w:vAlign w:val="center"/>
            <w:hideMark/>
          </w:tcPr>
          <w:p w14:paraId="1A294CE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20 800,3</w:t>
            </w:r>
          </w:p>
        </w:tc>
        <w:tc>
          <w:tcPr>
            <w:tcW w:w="436" w:type="pct"/>
            <w:tcBorders>
              <w:top w:val="nil"/>
              <w:left w:val="nil"/>
              <w:bottom w:val="single" w:sz="4" w:space="0" w:color="auto"/>
              <w:right w:val="single" w:sz="4" w:space="0" w:color="auto"/>
            </w:tcBorders>
            <w:shd w:val="clear" w:color="auto" w:fill="auto"/>
            <w:vAlign w:val="center"/>
            <w:hideMark/>
          </w:tcPr>
          <w:p w14:paraId="3D7712C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15 111,6</w:t>
            </w:r>
          </w:p>
        </w:tc>
        <w:tc>
          <w:tcPr>
            <w:tcW w:w="1524" w:type="pct"/>
            <w:tcBorders>
              <w:top w:val="nil"/>
              <w:left w:val="nil"/>
              <w:bottom w:val="single" w:sz="4" w:space="0" w:color="auto"/>
              <w:right w:val="single" w:sz="4" w:space="0" w:color="auto"/>
            </w:tcBorders>
            <w:shd w:val="clear" w:color="auto" w:fill="auto"/>
            <w:vAlign w:val="center"/>
            <w:hideMark/>
          </w:tcPr>
          <w:p w14:paraId="1C1746B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4401853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7F389285"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989E26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29</w:t>
            </w:r>
          </w:p>
        </w:tc>
        <w:tc>
          <w:tcPr>
            <w:tcW w:w="529" w:type="pct"/>
            <w:tcBorders>
              <w:top w:val="nil"/>
              <w:left w:val="nil"/>
              <w:bottom w:val="single" w:sz="4" w:space="0" w:color="auto"/>
              <w:right w:val="single" w:sz="4" w:space="0" w:color="auto"/>
            </w:tcBorders>
            <w:shd w:val="clear" w:color="auto" w:fill="auto"/>
            <w:noWrap/>
            <w:vAlign w:val="center"/>
            <w:hideMark/>
          </w:tcPr>
          <w:p w14:paraId="19C0468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NP-25.001-0018</w:t>
            </w:r>
          </w:p>
        </w:tc>
        <w:tc>
          <w:tcPr>
            <w:tcW w:w="855" w:type="pct"/>
            <w:tcBorders>
              <w:top w:val="nil"/>
              <w:left w:val="nil"/>
              <w:bottom w:val="single" w:sz="4" w:space="0" w:color="auto"/>
              <w:right w:val="single" w:sz="4" w:space="0" w:color="auto"/>
            </w:tcBorders>
            <w:shd w:val="clear" w:color="auto" w:fill="auto"/>
            <w:vAlign w:val="center"/>
            <w:hideMark/>
          </w:tcPr>
          <w:p w14:paraId="005E046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Придобиване на зенитно-ракетни комплекси</w:t>
            </w:r>
          </w:p>
        </w:tc>
        <w:tc>
          <w:tcPr>
            <w:tcW w:w="436" w:type="pct"/>
            <w:tcBorders>
              <w:top w:val="nil"/>
              <w:left w:val="nil"/>
              <w:bottom w:val="single" w:sz="4" w:space="0" w:color="auto"/>
              <w:right w:val="single" w:sz="4" w:space="0" w:color="auto"/>
            </w:tcBorders>
            <w:shd w:val="clear" w:color="auto" w:fill="auto"/>
            <w:vAlign w:val="center"/>
            <w:hideMark/>
          </w:tcPr>
          <w:p w14:paraId="31DBC41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107 725,0</w:t>
            </w:r>
          </w:p>
        </w:tc>
        <w:tc>
          <w:tcPr>
            <w:tcW w:w="436" w:type="pct"/>
            <w:tcBorders>
              <w:top w:val="nil"/>
              <w:left w:val="nil"/>
              <w:bottom w:val="single" w:sz="4" w:space="0" w:color="auto"/>
              <w:right w:val="single" w:sz="4" w:space="0" w:color="auto"/>
            </w:tcBorders>
            <w:shd w:val="clear" w:color="auto" w:fill="auto"/>
            <w:vAlign w:val="center"/>
            <w:hideMark/>
          </w:tcPr>
          <w:p w14:paraId="56FDF2E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28 819,0</w:t>
            </w:r>
          </w:p>
        </w:tc>
        <w:tc>
          <w:tcPr>
            <w:tcW w:w="436" w:type="pct"/>
            <w:tcBorders>
              <w:top w:val="nil"/>
              <w:left w:val="nil"/>
              <w:bottom w:val="single" w:sz="4" w:space="0" w:color="auto"/>
              <w:right w:val="single" w:sz="4" w:space="0" w:color="auto"/>
            </w:tcBorders>
            <w:shd w:val="clear" w:color="auto" w:fill="auto"/>
            <w:vAlign w:val="center"/>
            <w:hideMark/>
          </w:tcPr>
          <w:p w14:paraId="675B922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56 090,0</w:t>
            </w:r>
          </w:p>
        </w:tc>
        <w:tc>
          <w:tcPr>
            <w:tcW w:w="1524" w:type="pct"/>
            <w:tcBorders>
              <w:top w:val="nil"/>
              <w:left w:val="nil"/>
              <w:bottom w:val="single" w:sz="4" w:space="0" w:color="auto"/>
              <w:right w:val="single" w:sz="4" w:space="0" w:color="auto"/>
            </w:tcBorders>
            <w:shd w:val="clear" w:color="auto" w:fill="auto"/>
            <w:vAlign w:val="center"/>
            <w:hideMark/>
          </w:tcPr>
          <w:p w14:paraId="3F01E78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471B592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795A6AEB"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859F89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30</w:t>
            </w:r>
          </w:p>
        </w:tc>
        <w:tc>
          <w:tcPr>
            <w:tcW w:w="529" w:type="pct"/>
            <w:tcBorders>
              <w:top w:val="nil"/>
              <w:left w:val="nil"/>
              <w:bottom w:val="single" w:sz="4" w:space="0" w:color="auto"/>
              <w:right w:val="single" w:sz="4" w:space="0" w:color="auto"/>
            </w:tcBorders>
            <w:shd w:val="clear" w:color="auto" w:fill="auto"/>
            <w:noWrap/>
            <w:vAlign w:val="center"/>
            <w:hideMark/>
          </w:tcPr>
          <w:p w14:paraId="6EA2B7D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NP-25.001-0036</w:t>
            </w:r>
          </w:p>
        </w:tc>
        <w:tc>
          <w:tcPr>
            <w:tcW w:w="855" w:type="pct"/>
            <w:tcBorders>
              <w:top w:val="nil"/>
              <w:left w:val="nil"/>
              <w:bottom w:val="single" w:sz="4" w:space="0" w:color="auto"/>
              <w:right w:val="single" w:sz="4" w:space="0" w:color="auto"/>
            </w:tcBorders>
            <w:shd w:val="clear" w:color="auto" w:fill="auto"/>
            <w:vAlign w:val="center"/>
            <w:hideMark/>
          </w:tcPr>
          <w:p w14:paraId="7374483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Разработване на поддържащи артилерийски способности чрез придобиване на 155-милиметрови самоходни гаубици</w:t>
            </w:r>
          </w:p>
        </w:tc>
        <w:tc>
          <w:tcPr>
            <w:tcW w:w="436" w:type="pct"/>
            <w:tcBorders>
              <w:top w:val="nil"/>
              <w:left w:val="nil"/>
              <w:bottom w:val="single" w:sz="4" w:space="0" w:color="auto"/>
              <w:right w:val="single" w:sz="4" w:space="0" w:color="auto"/>
            </w:tcBorders>
            <w:shd w:val="clear" w:color="auto" w:fill="auto"/>
            <w:vAlign w:val="center"/>
            <w:hideMark/>
          </w:tcPr>
          <w:p w14:paraId="4F024E8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68C4D7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120 000,0</w:t>
            </w:r>
          </w:p>
        </w:tc>
        <w:tc>
          <w:tcPr>
            <w:tcW w:w="436" w:type="pct"/>
            <w:tcBorders>
              <w:top w:val="nil"/>
              <w:left w:val="nil"/>
              <w:bottom w:val="single" w:sz="4" w:space="0" w:color="auto"/>
              <w:right w:val="single" w:sz="4" w:space="0" w:color="auto"/>
            </w:tcBorders>
            <w:shd w:val="clear" w:color="auto" w:fill="auto"/>
            <w:vAlign w:val="center"/>
            <w:hideMark/>
          </w:tcPr>
          <w:p w14:paraId="6F84AAB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30 000,0</w:t>
            </w:r>
          </w:p>
        </w:tc>
        <w:tc>
          <w:tcPr>
            <w:tcW w:w="1524" w:type="pct"/>
            <w:tcBorders>
              <w:top w:val="nil"/>
              <w:left w:val="nil"/>
              <w:bottom w:val="single" w:sz="4" w:space="0" w:color="auto"/>
              <w:right w:val="single" w:sz="4" w:space="0" w:color="auto"/>
            </w:tcBorders>
            <w:shd w:val="clear" w:color="auto" w:fill="auto"/>
            <w:vAlign w:val="center"/>
            <w:hideMark/>
          </w:tcPr>
          <w:p w14:paraId="4F9527A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2820474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0D0CA001"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CC49F3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31</w:t>
            </w:r>
          </w:p>
        </w:tc>
        <w:tc>
          <w:tcPr>
            <w:tcW w:w="529" w:type="pct"/>
            <w:tcBorders>
              <w:top w:val="nil"/>
              <w:left w:val="nil"/>
              <w:bottom w:val="single" w:sz="4" w:space="0" w:color="auto"/>
              <w:right w:val="single" w:sz="4" w:space="0" w:color="auto"/>
            </w:tcBorders>
            <w:shd w:val="clear" w:color="auto" w:fill="auto"/>
            <w:noWrap/>
            <w:vAlign w:val="center"/>
            <w:hideMark/>
          </w:tcPr>
          <w:p w14:paraId="3E1C3BA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NP-25.001-0035</w:t>
            </w:r>
          </w:p>
        </w:tc>
        <w:tc>
          <w:tcPr>
            <w:tcW w:w="855" w:type="pct"/>
            <w:tcBorders>
              <w:top w:val="nil"/>
              <w:left w:val="nil"/>
              <w:bottom w:val="single" w:sz="4" w:space="0" w:color="auto"/>
              <w:right w:val="single" w:sz="4" w:space="0" w:color="auto"/>
            </w:tcBorders>
            <w:shd w:val="clear" w:color="auto" w:fill="auto"/>
            <w:vAlign w:val="center"/>
            <w:hideMark/>
          </w:tcPr>
          <w:p w14:paraId="5C2A0EA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Придобиване на ракетна система за залпов огън с повишена мобилност </w:t>
            </w:r>
          </w:p>
        </w:tc>
        <w:tc>
          <w:tcPr>
            <w:tcW w:w="436" w:type="pct"/>
            <w:tcBorders>
              <w:top w:val="nil"/>
              <w:left w:val="nil"/>
              <w:bottom w:val="single" w:sz="4" w:space="0" w:color="auto"/>
              <w:right w:val="single" w:sz="4" w:space="0" w:color="auto"/>
            </w:tcBorders>
            <w:shd w:val="clear" w:color="auto" w:fill="auto"/>
            <w:vAlign w:val="center"/>
            <w:hideMark/>
          </w:tcPr>
          <w:p w14:paraId="5480D5F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D9E230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6B28E6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51 000,0</w:t>
            </w:r>
          </w:p>
        </w:tc>
        <w:tc>
          <w:tcPr>
            <w:tcW w:w="1524" w:type="pct"/>
            <w:tcBorders>
              <w:top w:val="nil"/>
              <w:left w:val="nil"/>
              <w:bottom w:val="single" w:sz="4" w:space="0" w:color="auto"/>
              <w:right w:val="single" w:sz="4" w:space="0" w:color="auto"/>
            </w:tcBorders>
            <w:shd w:val="clear" w:color="auto" w:fill="auto"/>
            <w:vAlign w:val="center"/>
            <w:hideMark/>
          </w:tcPr>
          <w:p w14:paraId="6B0DA43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05619E9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17B228D6"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86307D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32</w:t>
            </w:r>
          </w:p>
        </w:tc>
        <w:tc>
          <w:tcPr>
            <w:tcW w:w="529" w:type="pct"/>
            <w:tcBorders>
              <w:top w:val="nil"/>
              <w:left w:val="nil"/>
              <w:bottom w:val="single" w:sz="4" w:space="0" w:color="auto"/>
              <w:right w:val="single" w:sz="4" w:space="0" w:color="auto"/>
            </w:tcBorders>
            <w:shd w:val="clear" w:color="auto" w:fill="auto"/>
            <w:noWrap/>
            <w:vAlign w:val="center"/>
            <w:hideMark/>
          </w:tcPr>
          <w:p w14:paraId="4A31069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NP-26.001-0003</w:t>
            </w:r>
          </w:p>
        </w:tc>
        <w:tc>
          <w:tcPr>
            <w:tcW w:w="855" w:type="pct"/>
            <w:tcBorders>
              <w:top w:val="nil"/>
              <w:left w:val="nil"/>
              <w:bottom w:val="single" w:sz="4" w:space="0" w:color="auto"/>
              <w:right w:val="single" w:sz="4" w:space="0" w:color="auto"/>
            </w:tcBorders>
            <w:shd w:val="clear" w:color="auto" w:fill="auto"/>
            <w:vAlign w:val="center"/>
            <w:hideMark/>
          </w:tcPr>
          <w:p w14:paraId="55D6CB3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Придобиване на системи за откриване и противодействие на безпилотни летателни апарати (БПЛА)</w:t>
            </w:r>
          </w:p>
        </w:tc>
        <w:tc>
          <w:tcPr>
            <w:tcW w:w="436" w:type="pct"/>
            <w:tcBorders>
              <w:top w:val="nil"/>
              <w:left w:val="nil"/>
              <w:bottom w:val="single" w:sz="4" w:space="0" w:color="auto"/>
              <w:right w:val="single" w:sz="4" w:space="0" w:color="auto"/>
            </w:tcBorders>
            <w:shd w:val="clear" w:color="auto" w:fill="auto"/>
            <w:vAlign w:val="center"/>
            <w:hideMark/>
          </w:tcPr>
          <w:p w14:paraId="2C3FAAB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1851A3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17 250,0</w:t>
            </w:r>
          </w:p>
        </w:tc>
        <w:tc>
          <w:tcPr>
            <w:tcW w:w="436" w:type="pct"/>
            <w:tcBorders>
              <w:top w:val="nil"/>
              <w:left w:val="nil"/>
              <w:bottom w:val="single" w:sz="4" w:space="0" w:color="auto"/>
              <w:right w:val="single" w:sz="4" w:space="0" w:color="auto"/>
            </w:tcBorders>
            <w:shd w:val="clear" w:color="auto" w:fill="auto"/>
            <w:vAlign w:val="center"/>
            <w:hideMark/>
          </w:tcPr>
          <w:p w14:paraId="0A4C048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23 000,0</w:t>
            </w:r>
          </w:p>
        </w:tc>
        <w:tc>
          <w:tcPr>
            <w:tcW w:w="1524" w:type="pct"/>
            <w:tcBorders>
              <w:top w:val="nil"/>
              <w:left w:val="nil"/>
              <w:bottom w:val="single" w:sz="4" w:space="0" w:color="auto"/>
              <w:right w:val="single" w:sz="4" w:space="0" w:color="auto"/>
            </w:tcBorders>
            <w:shd w:val="clear" w:color="auto" w:fill="auto"/>
            <w:vAlign w:val="center"/>
            <w:hideMark/>
          </w:tcPr>
          <w:p w14:paraId="21577B2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341B55A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57E374BE"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8D5578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33</w:t>
            </w:r>
          </w:p>
        </w:tc>
        <w:tc>
          <w:tcPr>
            <w:tcW w:w="529" w:type="pct"/>
            <w:tcBorders>
              <w:top w:val="nil"/>
              <w:left w:val="nil"/>
              <w:bottom w:val="single" w:sz="4" w:space="0" w:color="auto"/>
              <w:right w:val="single" w:sz="4" w:space="0" w:color="auto"/>
            </w:tcBorders>
            <w:shd w:val="clear" w:color="auto" w:fill="auto"/>
            <w:noWrap/>
            <w:vAlign w:val="center"/>
            <w:hideMark/>
          </w:tcPr>
          <w:p w14:paraId="1B8CDD2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NP-26.001-0060</w:t>
            </w:r>
          </w:p>
        </w:tc>
        <w:tc>
          <w:tcPr>
            <w:tcW w:w="855" w:type="pct"/>
            <w:tcBorders>
              <w:top w:val="nil"/>
              <w:left w:val="nil"/>
              <w:bottom w:val="single" w:sz="4" w:space="0" w:color="auto"/>
              <w:right w:val="single" w:sz="4" w:space="0" w:color="auto"/>
            </w:tcBorders>
            <w:shd w:val="clear" w:color="auto" w:fill="auto"/>
            <w:vAlign w:val="center"/>
            <w:hideMark/>
          </w:tcPr>
          <w:p w14:paraId="060D9AC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Доставка на 155 мм боеприпаси</w:t>
            </w:r>
          </w:p>
        </w:tc>
        <w:tc>
          <w:tcPr>
            <w:tcW w:w="436" w:type="pct"/>
            <w:tcBorders>
              <w:top w:val="nil"/>
              <w:left w:val="nil"/>
              <w:bottom w:val="single" w:sz="4" w:space="0" w:color="auto"/>
              <w:right w:val="single" w:sz="4" w:space="0" w:color="auto"/>
            </w:tcBorders>
            <w:shd w:val="clear" w:color="auto" w:fill="auto"/>
            <w:vAlign w:val="center"/>
            <w:hideMark/>
          </w:tcPr>
          <w:p w14:paraId="52F6B9A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5E3DFA5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AB9A2F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80 000,0</w:t>
            </w:r>
          </w:p>
        </w:tc>
        <w:tc>
          <w:tcPr>
            <w:tcW w:w="1524" w:type="pct"/>
            <w:tcBorders>
              <w:top w:val="nil"/>
              <w:left w:val="nil"/>
              <w:bottom w:val="single" w:sz="4" w:space="0" w:color="auto"/>
              <w:right w:val="single" w:sz="4" w:space="0" w:color="auto"/>
            </w:tcBorders>
            <w:shd w:val="clear" w:color="auto" w:fill="auto"/>
            <w:vAlign w:val="center"/>
            <w:hideMark/>
          </w:tcPr>
          <w:p w14:paraId="0EACA80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10B7026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5D50C30A"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C0282A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34</w:t>
            </w:r>
          </w:p>
        </w:tc>
        <w:tc>
          <w:tcPr>
            <w:tcW w:w="529" w:type="pct"/>
            <w:tcBorders>
              <w:top w:val="nil"/>
              <w:left w:val="nil"/>
              <w:bottom w:val="single" w:sz="4" w:space="0" w:color="auto"/>
              <w:right w:val="single" w:sz="4" w:space="0" w:color="auto"/>
            </w:tcBorders>
            <w:shd w:val="clear" w:color="auto" w:fill="auto"/>
            <w:noWrap/>
            <w:vAlign w:val="center"/>
            <w:hideMark/>
          </w:tcPr>
          <w:p w14:paraId="175A19A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NP-25.001-0038</w:t>
            </w:r>
          </w:p>
        </w:tc>
        <w:tc>
          <w:tcPr>
            <w:tcW w:w="855" w:type="pct"/>
            <w:tcBorders>
              <w:top w:val="nil"/>
              <w:left w:val="nil"/>
              <w:bottom w:val="single" w:sz="4" w:space="0" w:color="auto"/>
              <w:right w:val="single" w:sz="4" w:space="0" w:color="auto"/>
            </w:tcBorders>
            <w:shd w:val="clear" w:color="auto" w:fill="auto"/>
            <w:vAlign w:val="center"/>
            <w:hideMark/>
          </w:tcPr>
          <w:p w14:paraId="7696FA3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Инфраструктура за усвояване, експлоатация и осигуряване на новия тип боен самолет F-16 Block 70</w:t>
            </w:r>
          </w:p>
        </w:tc>
        <w:tc>
          <w:tcPr>
            <w:tcW w:w="436" w:type="pct"/>
            <w:tcBorders>
              <w:top w:val="nil"/>
              <w:left w:val="nil"/>
              <w:bottom w:val="single" w:sz="4" w:space="0" w:color="auto"/>
              <w:right w:val="single" w:sz="4" w:space="0" w:color="auto"/>
            </w:tcBorders>
            <w:shd w:val="clear" w:color="auto" w:fill="auto"/>
            <w:vAlign w:val="center"/>
            <w:hideMark/>
          </w:tcPr>
          <w:p w14:paraId="190A65C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33 299,8</w:t>
            </w:r>
          </w:p>
        </w:tc>
        <w:tc>
          <w:tcPr>
            <w:tcW w:w="436" w:type="pct"/>
            <w:tcBorders>
              <w:top w:val="nil"/>
              <w:left w:val="nil"/>
              <w:bottom w:val="single" w:sz="4" w:space="0" w:color="auto"/>
              <w:right w:val="single" w:sz="4" w:space="0" w:color="auto"/>
            </w:tcBorders>
            <w:shd w:val="clear" w:color="auto" w:fill="auto"/>
            <w:vAlign w:val="center"/>
            <w:hideMark/>
          </w:tcPr>
          <w:p w14:paraId="3EEE592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31 859,9</w:t>
            </w:r>
          </w:p>
        </w:tc>
        <w:tc>
          <w:tcPr>
            <w:tcW w:w="436" w:type="pct"/>
            <w:tcBorders>
              <w:top w:val="nil"/>
              <w:left w:val="nil"/>
              <w:bottom w:val="single" w:sz="4" w:space="0" w:color="auto"/>
              <w:right w:val="single" w:sz="4" w:space="0" w:color="auto"/>
            </w:tcBorders>
            <w:shd w:val="clear" w:color="auto" w:fill="auto"/>
            <w:vAlign w:val="center"/>
            <w:hideMark/>
          </w:tcPr>
          <w:p w14:paraId="58DE33C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5F7575F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383B7DA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22CACEB3"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E57402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35</w:t>
            </w:r>
          </w:p>
        </w:tc>
        <w:tc>
          <w:tcPr>
            <w:tcW w:w="529" w:type="pct"/>
            <w:tcBorders>
              <w:top w:val="nil"/>
              <w:left w:val="nil"/>
              <w:bottom w:val="single" w:sz="4" w:space="0" w:color="auto"/>
              <w:right w:val="single" w:sz="4" w:space="0" w:color="auto"/>
            </w:tcBorders>
            <w:shd w:val="clear" w:color="auto" w:fill="auto"/>
            <w:noWrap/>
            <w:vAlign w:val="center"/>
            <w:hideMark/>
          </w:tcPr>
          <w:p w14:paraId="7444289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NP-25.003-0012</w:t>
            </w:r>
          </w:p>
        </w:tc>
        <w:tc>
          <w:tcPr>
            <w:tcW w:w="855" w:type="pct"/>
            <w:tcBorders>
              <w:top w:val="nil"/>
              <w:left w:val="nil"/>
              <w:bottom w:val="single" w:sz="4" w:space="0" w:color="auto"/>
              <w:right w:val="single" w:sz="4" w:space="0" w:color="auto"/>
            </w:tcBorders>
            <w:shd w:val="clear" w:color="auto" w:fill="auto"/>
            <w:vAlign w:val="center"/>
            <w:hideMark/>
          </w:tcPr>
          <w:p w14:paraId="75D6641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на пристанищна инфраструктура и удълбочаване акваторията на вмб Варна</w:t>
            </w:r>
          </w:p>
        </w:tc>
        <w:tc>
          <w:tcPr>
            <w:tcW w:w="436" w:type="pct"/>
            <w:tcBorders>
              <w:top w:val="nil"/>
              <w:left w:val="nil"/>
              <w:bottom w:val="single" w:sz="4" w:space="0" w:color="auto"/>
              <w:right w:val="single" w:sz="4" w:space="0" w:color="auto"/>
            </w:tcBorders>
            <w:shd w:val="clear" w:color="auto" w:fill="auto"/>
            <w:vAlign w:val="center"/>
            <w:hideMark/>
          </w:tcPr>
          <w:p w14:paraId="3CCB104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2 521,8</w:t>
            </w:r>
          </w:p>
        </w:tc>
        <w:tc>
          <w:tcPr>
            <w:tcW w:w="436" w:type="pct"/>
            <w:tcBorders>
              <w:top w:val="nil"/>
              <w:left w:val="nil"/>
              <w:bottom w:val="single" w:sz="4" w:space="0" w:color="auto"/>
              <w:right w:val="single" w:sz="4" w:space="0" w:color="auto"/>
            </w:tcBorders>
            <w:shd w:val="clear" w:color="auto" w:fill="auto"/>
            <w:vAlign w:val="center"/>
            <w:hideMark/>
          </w:tcPr>
          <w:p w14:paraId="553CAE7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51 136,4     </w:t>
            </w:r>
          </w:p>
        </w:tc>
        <w:tc>
          <w:tcPr>
            <w:tcW w:w="436" w:type="pct"/>
            <w:tcBorders>
              <w:top w:val="nil"/>
              <w:left w:val="nil"/>
              <w:bottom w:val="single" w:sz="4" w:space="0" w:color="auto"/>
              <w:right w:val="single" w:sz="4" w:space="0" w:color="auto"/>
            </w:tcBorders>
            <w:shd w:val="clear" w:color="auto" w:fill="auto"/>
            <w:vAlign w:val="center"/>
            <w:hideMark/>
          </w:tcPr>
          <w:p w14:paraId="13FCEA7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13 887,2     </w:t>
            </w:r>
          </w:p>
        </w:tc>
        <w:tc>
          <w:tcPr>
            <w:tcW w:w="1524" w:type="pct"/>
            <w:tcBorders>
              <w:top w:val="nil"/>
              <w:left w:val="nil"/>
              <w:bottom w:val="single" w:sz="4" w:space="0" w:color="auto"/>
              <w:right w:val="single" w:sz="4" w:space="0" w:color="auto"/>
            </w:tcBorders>
            <w:shd w:val="clear" w:color="auto" w:fill="auto"/>
            <w:vAlign w:val="center"/>
            <w:hideMark/>
          </w:tcPr>
          <w:p w14:paraId="68BA85C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56AC15B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4DFE1430"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968771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36</w:t>
            </w:r>
          </w:p>
        </w:tc>
        <w:tc>
          <w:tcPr>
            <w:tcW w:w="529" w:type="pct"/>
            <w:tcBorders>
              <w:top w:val="nil"/>
              <w:left w:val="nil"/>
              <w:bottom w:val="single" w:sz="4" w:space="0" w:color="auto"/>
              <w:right w:val="single" w:sz="4" w:space="0" w:color="auto"/>
            </w:tcBorders>
            <w:shd w:val="clear" w:color="auto" w:fill="auto"/>
            <w:noWrap/>
            <w:vAlign w:val="center"/>
            <w:hideMark/>
          </w:tcPr>
          <w:p w14:paraId="17AE04A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NP-25.003-0013</w:t>
            </w:r>
          </w:p>
        </w:tc>
        <w:tc>
          <w:tcPr>
            <w:tcW w:w="855" w:type="pct"/>
            <w:tcBorders>
              <w:top w:val="nil"/>
              <w:left w:val="nil"/>
              <w:bottom w:val="single" w:sz="4" w:space="0" w:color="auto"/>
              <w:right w:val="single" w:sz="4" w:space="0" w:color="auto"/>
            </w:tcBorders>
            <w:shd w:val="clear" w:color="auto" w:fill="auto"/>
            <w:vAlign w:val="center"/>
            <w:hideMark/>
          </w:tcPr>
          <w:p w14:paraId="09F4425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на инфраструктура за съхранение и експлоатация на машини Stryker</w:t>
            </w:r>
          </w:p>
        </w:tc>
        <w:tc>
          <w:tcPr>
            <w:tcW w:w="436" w:type="pct"/>
            <w:tcBorders>
              <w:top w:val="nil"/>
              <w:left w:val="nil"/>
              <w:bottom w:val="single" w:sz="4" w:space="0" w:color="auto"/>
              <w:right w:val="single" w:sz="4" w:space="0" w:color="auto"/>
            </w:tcBorders>
            <w:shd w:val="clear" w:color="auto" w:fill="auto"/>
            <w:vAlign w:val="center"/>
            <w:hideMark/>
          </w:tcPr>
          <w:p w14:paraId="7AA20A1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2 950,1</w:t>
            </w:r>
          </w:p>
        </w:tc>
        <w:tc>
          <w:tcPr>
            <w:tcW w:w="436" w:type="pct"/>
            <w:tcBorders>
              <w:top w:val="nil"/>
              <w:left w:val="nil"/>
              <w:bottom w:val="single" w:sz="4" w:space="0" w:color="auto"/>
              <w:right w:val="single" w:sz="4" w:space="0" w:color="auto"/>
            </w:tcBorders>
            <w:shd w:val="clear" w:color="auto" w:fill="auto"/>
            <w:vAlign w:val="center"/>
            <w:hideMark/>
          </w:tcPr>
          <w:p w14:paraId="356A630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1 268,0</w:t>
            </w:r>
          </w:p>
        </w:tc>
        <w:tc>
          <w:tcPr>
            <w:tcW w:w="436" w:type="pct"/>
            <w:tcBorders>
              <w:top w:val="nil"/>
              <w:left w:val="nil"/>
              <w:bottom w:val="single" w:sz="4" w:space="0" w:color="auto"/>
              <w:right w:val="single" w:sz="4" w:space="0" w:color="auto"/>
            </w:tcBorders>
            <w:shd w:val="clear" w:color="auto" w:fill="auto"/>
            <w:vAlign w:val="center"/>
            <w:hideMark/>
          </w:tcPr>
          <w:p w14:paraId="4D651C5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AFE176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40D5327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23AA1570"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759532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37</w:t>
            </w:r>
          </w:p>
        </w:tc>
        <w:tc>
          <w:tcPr>
            <w:tcW w:w="529" w:type="pct"/>
            <w:tcBorders>
              <w:top w:val="nil"/>
              <w:left w:val="nil"/>
              <w:bottom w:val="single" w:sz="4" w:space="0" w:color="auto"/>
              <w:right w:val="single" w:sz="4" w:space="0" w:color="auto"/>
            </w:tcBorders>
            <w:shd w:val="clear" w:color="auto" w:fill="auto"/>
            <w:noWrap/>
            <w:vAlign w:val="center"/>
            <w:hideMark/>
          </w:tcPr>
          <w:p w14:paraId="28D8A1B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NP-25.001-0032</w:t>
            </w:r>
          </w:p>
        </w:tc>
        <w:tc>
          <w:tcPr>
            <w:tcW w:w="855" w:type="pct"/>
            <w:tcBorders>
              <w:top w:val="nil"/>
              <w:left w:val="nil"/>
              <w:bottom w:val="single" w:sz="4" w:space="0" w:color="auto"/>
              <w:right w:val="single" w:sz="4" w:space="0" w:color="auto"/>
            </w:tcBorders>
            <w:shd w:val="clear" w:color="auto" w:fill="auto"/>
            <w:vAlign w:val="center"/>
            <w:hideMark/>
          </w:tcPr>
          <w:p w14:paraId="19C1B8F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Изграждане на временен полеви лагер в местността ,,Орлето“ и изграждане на инфраструктурни обекти и основен ремонт на съществуващи сгради за разполагане при усилено присъствие на НАТО</w:t>
            </w:r>
          </w:p>
        </w:tc>
        <w:tc>
          <w:tcPr>
            <w:tcW w:w="436" w:type="pct"/>
            <w:tcBorders>
              <w:top w:val="nil"/>
              <w:left w:val="nil"/>
              <w:bottom w:val="single" w:sz="4" w:space="0" w:color="auto"/>
              <w:right w:val="single" w:sz="4" w:space="0" w:color="auto"/>
            </w:tcBorders>
            <w:shd w:val="clear" w:color="auto" w:fill="auto"/>
            <w:vAlign w:val="center"/>
            <w:hideMark/>
          </w:tcPr>
          <w:p w14:paraId="37E08A8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3C2F57D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4 372,8</w:t>
            </w:r>
          </w:p>
        </w:tc>
        <w:tc>
          <w:tcPr>
            <w:tcW w:w="436" w:type="pct"/>
            <w:tcBorders>
              <w:top w:val="nil"/>
              <w:left w:val="nil"/>
              <w:bottom w:val="single" w:sz="4" w:space="0" w:color="auto"/>
              <w:right w:val="single" w:sz="4" w:space="0" w:color="auto"/>
            </w:tcBorders>
            <w:shd w:val="clear" w:color="auto" w:fill="auto"/>
            <w:vAlign w:val="center"/>
            <w:hideMark/>
          </w:tcPr>
          <w:p w14:paraId="7F4A14D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580F7E3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6569B74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1034E6D1"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F0524F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38</w:t>
            </w:r>
          </w:p>
        </w:tc>
        <w:tc>
          <w:tcPr>
            <w:tcW w:w="529" w:type="pct"/>
            <w:tcBorders>
              <w:top w:val="nil"/>
              <w:left w:val="nil"/>
              <w:bottom w:val="single" w:sz="4" w:space="0" w:color="auto"/>
              <w:right w:val="single" w:sz="4" w:space="0" w:color="auto"/>
            </w:tcBorders>
            <w:shd w:val="clear" w:color="auto" w:fill="auto"/>
            <w:noWrap/>
            <w:vAlign w:val="center"/>
            <w:hideMark/>
          </w:tcPr>
          <w:p w14:paraId="1367987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NP-25.001-0031</w:t>
            </w:r>
          </w:p>
        </w:tc>
        <w:tc>
          <w:tcPr>
            <w:tcW w:w="855" w:type="pct"/>
            <w:tcBorders>
              <w:top w:val="nil"/>
              <w:left w:val="nil"/>
              <w:bottom w:val="single" w:sz="4" w:space="0" w:color="auto"/>
              <w:right w:val="single" w:sz="4" w:space="0" w:color="auto"/>
            </w:tcBorders>
            <w:shd w:val="clear" w:color="auto" w:fill="auto"/>
            <w:vAlign w:val="center"/>
            <w:hideMark/>
          </w:tcPr>
          <w:p w14:paraId="0851797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Разполагане в стационарни условия (ремонт на инфраструктурни обекти, газифициране на щаба, оборудване на офиси и работни места) на щаб на дивизия</w:t>
            </w:r>
          </w:p>
        </w:tc>
        <w:tc>
          <w:tcPr>
            <w:tcW w:w="436" w:type="pct"/>
            <w:tcBorders>
              <w:top w:val="nil"/>
              <w:left w:val="nil"/>
              <w:bottom w:val="single" w:sz="4" w:space="0" w:color="auto"/>
              <w:right w:val="single" w:sz="4" w:space="0" w:color="auto"/>
            </w:tcBorders>
            <w:shd w:val="clear" w:color="auto" w:fill="auto"/>
            <w:vAlign w:val="center"/>
            <w:hideMark/>
          </w:tcPr>
          <w:p w14:paraId="38AE328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DD4825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10 354,2</w:t>
            </w:r>
          </w:p>
        </w:tc>
        <w:tc>
          <w:tcPr>
            <w:tcW w:w="436" w:type="pct"/>
            <w:tcBorders>
              <w:top w:val="nil"/>
              <w:left w:val="nil"/>
              <w:bottom w:val="single" w:sz="4" w:space="0" w:color="auto"/>
              <w:right w:val="single" w:sz="4" w:space="0" w:color="auto"/>
            </w:tcBorders>
            <w:shd w:val="clear" w:color="auto" w:fill="auto"/>
            <w:vAlign w:val="center"/>
            <w:hideMark/>
          </w:tcPr>
          <w:p w14:paraId="2C99FB2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2A45116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36B9C7D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00931199"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tcPr>
          <w:p w14:paraId="588793A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39</w:t>
            </w:r>
          </w:p>
        </w:tc>
        <w:tc>
          <w:tcPr>
            <w:tcW w:w="529" w:type="pct"/>
            <w:tcBorders>
              <w:top w:val="nil"/>
              <w:left w:val="nil"/>
              <w:bottom w:val="single" w:sz="4" w:space="0" w:color="auto"/>
              <w:right w:val="single" w:sz="4" w:space="0" w:color="auto"/>
            </w:tcBorders>
            <w:shd w:val="clear" w:color="auto" w:fill="auto"/>
            <w:noWrap/>
            <w:vAlign w:val="center"/>
          </w:tcPr>
          <w:p w14:paraId="643747B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NP-25.001-0030</w:t>
            </w:r>
          </w:p>
        </w:tc>
        <w:tc>
          <w:tcPr>
            <w:tcW w:w="855" w:type="pct"/>
            <w:tcBorders>
              <w:top w:val="nil"/>
              <w:left w:val="nil"/>
              <w:bottom w:val="single" w:sz="4" w:space="0" w:color="auto"/>
              <w:right w:val="single" w:sz="4" w:space="0" w:color="auto"/>
            </w:tcBorders>
            <w:shd w:val="clear" w:color="auto" w:fill="auto"/>
            <w:vAlign w:val="center"/>
          </w:tcPr>
          <w:p w14:paraId="37C6916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Оптически прибори и мерници</w:t>
            </w:r>
          </w:p>
        </w:tc>
        <w:tc>
          <w:tcPr>
            <w:tcW w:w="436" w:type="pct"/>
            <w:tcBorders>
              <w:top w:val="nil"/>
              <w:left w:val="nil"/>
              <w:bottom w:val="single" w:sz="4" w:space="0" w:color="auto"/>
              <w:right w:val="single" w:sz="4" w:space="0" w:color="auto"/>
            </w:tcBorders>
            <w:shd w:val="clear" w:color="auto" w:fill="auto"/>
            <w:vAlign w:val="center"/>
          </w:tcPr>
          <w:p w14:paraId="57C5853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tcPr>
          <w:p w14:paraId="4F949CE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tcPr>
          <w:p w14:paraId="1353D81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1524" w:type="pct"/>
            <w:tcBorders>
              <w:top w:val="nil"/>
              <w:left w:val="nil"/>
              <w:bottom w:val="single" w:sz="4" w:space="0" w:color="auto"/>
              <w:right w:val="single" w:sz="4" w:space="0" w:color="auto"/>
            </w:tcBorders>
            <w:shd w:val="clear" w:color="auto" w:fill="auto"/>
            <w:vAlign w:val="center"/>
          </w:tcPr>
          <w:p w14:paraId="12955DC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tcPr>
          <w:p w14:paraId="073B14A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0177999B"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tcPr>
          <w:p w14:paraId="2516DB6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40</w:t>
            </w:r>
          </w:p>
        </w:tc>
        <w:tc>
          <w:tcPr>
            <w:tcW w:w="529" w:type="pct"/>
            <w:tcBorders>
              <w:top w:val="nil"/>
              <w:left w:val="nil"/>
              <w:bottom w:val="single" w:sz="4" w:space="0" w:color="auto"/>
              <w:right w:val="single" w:sz="4" w:space="0" w:color="auto"/>
            </w:tcBorders>
            <w:shd w:val="clear" w:color="auto" w:fill="auto"/>
            <w:noWrap/>
            <w:vAlign w:val="center"/>
          </w:tcPr>
          <w:p w14:paraId="78EB901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NP-25.003-0011</w:t>
            </w:r>
          </w:p>
        </w:tc>
        <w:tc>
          <w:tcPr>
            <w:tcW w:w="855" w:type="pct"/>
            <w:tcBorders>
              <w:top w:val="nil"/>
              <w:left w:val="nil"/>
              <w:bottom w:val="single" w:sz="4" w:space="0" w:color="auto"/>
              <w:right w:val="single" w:sz="4" w:space="0" w:color="auto"/>
            </w:tcBorders>
            <w:shd w:val="clear" w:color="auto" w:fill="auto"/>
            <w:vAlign w:val="center"/>
          </w:tcPr>
          <w:p w14:paraId="000415B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Инженерна техника и оборудване</w:t>
            </w:r>
          </w:p>
        </w:tc>
        <w:tc>
          <w:tcPr>
            <w:tcW w:w="436" w:type="pct"/>
            <w:tcBorders>
              <w:top w:val="nil"/>
              <w:left w:val="nil"/>
              <w:bottom w:val="single" w:sz="4" w:space="0" w:color="auto"/>
              <w:right w:val="single" w:sz="4" w:space="0" w:color="auto"/>
            </w:tcBorders>
            <w:shd w:val="clear" w:color="auto" w:fill="auto"/>
            <w:vAlign w:val="center"/>
          </w:tcPr>
          <w:p w14:paraId="37C0FA3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tcPr>
          <w:p w14:paraId="014D1FA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tcPr>
          <w:p w14:paraId="06C4061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1524" w:type="pct"/>
            <w:tcBorders>
              <w:top w:val="nil"/>
              <w:left w:val="nil"/>
              <w:bottom w:val="single" w:sz="4" w:space="0" w:color="auto"/>
              <w:right w:val="single" w:sz="4" w:space="0" w:color="auto"/>
            </w:tcBorders>
            <w:shd w:val="clear" w:color="auto" w:fill="auto"/>
            <w:vAlign w:val="center"/>
          </w:tcPr>
          <w:p w14:paraId="292956B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tcPr>
          <w:p w14:paraId="31F0E46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0444E46E"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44C780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41</w:t>
            </w:r>
          </w:p>
        </w:tc>
        <w:tc>
          <w:tcPr>
            <w:tcW w:w="529" w:type="pct"/>
            <w:tcBorders>
              <w:top w:val="nil"/>
              <w:left w:val="nil"/>
              <w:bottom w:val="single" w:sz="4" w:space="0" w:color="auto"/>
              <w:right w:val="single" w:sz="4" w:space="0" w:color="auto"/>
            </w:tcBorders>
            <w:shd w:val="clear" w:color="auto" w:fill="auto"/>
            <w:noWrap/>
            <w:vAlign w:val="center"/>
            <w:hideMark/>
          </w:tcPr>
          <w:p w14:paraId="64A5AD4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NP-25.001-0033</w:t>
            </w:r>
          </w:p>
        </w:tc>
        <w:tc>
          <w:tcPr>
            <w:tcW w:w="855" w:type="pct"/>
            <w:tcBorders>
              <w:top w:val="nil"/>
              <w:left w:val="nil"/>
              <w:bottom w:val="single" w:sz="4" w:space="0" w:color="auto"/>
              <w:right w:val="single" w:sz="4" w:space="0" w:color="auto"/>
            </w:tcBorders>
            <w:shd w:val="clear" w:color="auto" w:fill="auto"/>
            <w:vAlign w:val="center"/>
            <w:hideMark/>
          </w:tcPr>
          <w:p w14:paraId="42F451E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Други инвестиционни проекти за нуждите на Въоръжените сили</w:t>
            </w:r>
          </w:p>
        </w:tc>
        <w:tc>
          <w:tcPr>
            <w:tcW w:w="436" w:type="pct"/>
            <w:tcBorders>
              <w:top w:val="nil"/>
              <w:left w:val="nil"/>
              <w:bottom w:val="single" w:sz="4" w:space="0" w:color="auto"/>
              <w:right w:val="single" w:sz="4" w:space="0" w:color="auto"/>
            </w:tcBorders>
            <w:shd w:val="clear" w:color="auto" w:fill="auto"/>
            <w:vAlign w:val="center"/>
            <w:hideMark/>
          </w:tcPr>
          <w:p w14:paraId="31F6189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4919B89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314 871,9     </w:t>
            </w:r>
          </w:p>
        </w:tc>
        <w:tc>
          <w:tcPr>
            <w:tcW w:w="436" w:type="pct"/>
            <w:tcBorders>
              <w:top w:val="nil"/>
              <w:left w:val="nil"/>
              <w:bottom w:val="single" w:sz="4" w:space="0" w:color="auto"/>
              <w:right w:val="single" w:sz="4" w:space="0" w:color="auto"/>
            </w:tcBorders>
            <w:shd w:val="clear" w:color="auto" w:fill="auto"/>
            <w:vAlign w:val="center"/>
            <w:hideMark/>
          </w:tcPr>
          <w:p w14:paraId="7ACA3B2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241 357,1     </w:t>
            </w:r>
          </w:p>
        </w:tc>
        <w:tc>
          <w:tcPr>
            <w:tcW w:w="1524" w:type="pct"/>
            <w:tcBorders>
              <w:top w:val="nil"/>
              <w:left w:val="nil"/>
              <w:bottom w:val="single" w:sz="4" w:space="0" w:color="auto"/>
              <w:right w:val="single" w:sz="4" w:space="0" w:color="auto"/>
            </w:tcBorders>
            <w:shd w:val="clear" w:color="auto" w:fill="auto"/>
            <w:vAlign w:val="center"/>
            <w:hideMark/>
          </w:tcPr>
          <w:p w14:paraId="3B4B8AD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5C1A9EA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r>
      <w:tr w:rsidR="00761800" w:rsidRPr="00761800" w14:paraId="660067D7"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1FC042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42</w:t>
            </w:r>
          </w:p>
        </w:tc>
        <w:tc>
          <w:tcPr>
            <w:tcW w:w="529" w:type="pct"/>
            <w:tcBorders>
              <w:top w:val="nil"/>
              <w:left w:val="nil"/>
              <w:bottom w:val="single" w:sz="4" w:space="0" w:color="auto"/>
              <w:right w:val="single" w:sz="4" w:space="0" w:color="auto"/>
            </w:tcBorders>
            <w:shd w:val="clear" w:color="auto" w:fill="auto"/>
            <w:noWrap/>
            <w:vAlign w:val="center"/>
            <w:hideMark/>
          </w:tcPr>
          <w:p w14:paraId="1C39701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NP-25.001-0039</w:t>
            </w:r>
          </w:p>
        </w:tc>
        <w:tc>
          <w:tcPr>
            <w:tcW w:w="855" w:type="pct"/>
            <w:tcBorders>
              <w:top w:val="nil"/>
              <w:left w:val="nil"/>
              <w:bottom w:val="single" w:sz="4" w:space="0" w:color="auto"/>
              <w:right w:val="single" w:sz="4" w:space="0" w:color="auto"/>
            </w:tcBorders>
            <w:shd w:val="clear" w:color="auto" w:fill="auto"/>
            <w:vAlign w:val="center"/>
            <w:hideMark/>
          </w:tcPr>
          <w:p w14:paraId="628D12B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Дейности свързани с държавната граница, в т.ч. ремонт и надграждане, и за радио-локационна система за детекция и класификация на ниско летящи обекти до 3 хил. м. по протежение на българо-турската граница</w:t>
            </w:r>
          </w:p>
        </w:tc>
        <w:tc>
          <w:tcPr>
            <w:tcW w:w="436" w:type="pct"/>
            <w:tcBorders>
              <w:top w:val="nil"/>
              <w:left w:val="nil"/>
              <w:bottom w:val="single" w:sz="4" w:space="0" w:color="auto"/>
              <w:right w:val="single" w:sz="4" w:space="0" w:color="auto"/>
            </w:tcBorders>
            <w:shd w:val="clear" w:color="auto" w:fill="auto"/>
            <w:vAlign w:val="center"/>
            <w:hideMark/>
          </w:tcPr>
          <w:p w14:paraId="5913EED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5 864,5</w:t>
            </w:r>
          </w:p>
        </w:tc>
        <w:tc>
          <w:tcPr>
            <w:tcW w:w="436" w:type="pct"/>
            <w:tcBorders>
              <w:top w:val="nil"/>
              <w:left w:val="nil"/>
              <w:bottom w:val="single" w:sz="4" w:space="0" w:color="auto"/>
              <w:right w:val="single" w:sz="4" w:space="0" w:color="auto"/>
            </w:tcBorders>
            <w:shd w:val="clear" w:color="auto" w:fill="auto"/>
            <w:vAlign w:val="center"/>
            <w:hideMark/>
          </w:tcPr>
          <w:p w14:paraId="6CBD96D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405000C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5839DFB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Изградена радиолокационна система за детекция и класификация на ниско летящи обекти и мобилни системи за противодействие на ДУЛС - 1</w:t>
            </w:r>
          </w:p>
        </w:tc>
        <w:tc>
          <w:tcPr>
            <w:tcW w:w="627" w:type="pct"/>
            <w:tcBorders>
              <w:top w:val="nil"/>
              <w:left w:val="nil"/>
              <w:bottom w:val="single" w:sz="4" w:space="0" w:color="auto"/>
              <w:right w:val="single" w:sz="4" w:space="0" w:color="auto"/>
            </w:tcBorders>
            <w:shd w:val="clear" w:color="auto" w:fill="auto"/>
            <w:vAlign w:val="center"/>
            <w:hideMark/>
          </w:tcPr>
          <w:p w14:paraId="3F48C6D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вътрешните работи</w:t>
            </w:r>
          </w:p>
        </w:tc>
      </w:tr>
      <w:tr w:rsidR="00761800" w:rsidRPr="00761800" w14:paraId="128990C2"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89C7F1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43</w:t>
            </w:r>
          </w:p>
        </w:tc>
        <w:tc>
          <w:tcPr>
            <w:tcW w:w="529" w:type="pct"/>
            <w:tcBorders>
              <w:top w:val="nil"/>
              <w:left w:val="nil"/>
              <w:bottom w:val="single" w:sz="4" w:space="0" w:color="auto"/>
              <w:right w:val="single" w:sz="4" w:space="0" w:color="auto"/>
            </w:tcBorders>
            <w:shd w:val="clear" w:color="auto" w:fill="auto"/>
            <w:noWrap/>
            <w:vAlign w:val="center"/>
            <w:hideMark/>
          </w:tcPr>
          <w:p w14:paraId="66C57DD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NP-25.003-0015</w:t>
            </w:r>
          </w:p>
        </w:tc>
        <w:tc>
          <w:tcPr>
            <w:tcW w:w="855" w:type="pct"/>
            <w:tcBorders>
              <w:top w:val="nil"/>
              <w:left w:val="nil"/>
              <w:bottom w:val="single" w:sz="4" w:space="0" w:color="auto"/>
              <w:right w:val="single" w:sz="4" w:space="0" w:color="auto"/>
            </w:tcBorders>
            <w:shd w:val="clear" w:color="auto" w:fill="auto"/>
            <w:vAlign w:val="center"/>
            <w:hideMark/>
          </w:tcPr>
          <w:p w14:paraId="41794FB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Дофинансиране на проект „Подкрепа за развитие на системата за спешна медицинска помощ“</w:t>
            </w:r>
          </w:p>
        </w:tc>
        <w:tc>
          <w:tcPr>
            <w:tcW w:w="436" w:type="pct"/>
            <w:tcBorders>
              <w:top w:val="nil"/>
              <w:left w:val="nil"/>
              <w:bottom w:val="single" w:sz="4" w:space="0" w:color="auto"/>
              <w:right w:val="single" w:sz="4" w:space="0" w:color="auto"/>
            </w:tcBorders>
            <w:shd w:val="clear" w:color="auto" w:fill="auto"/>
            <w:vAlign w:val="center"/>
            <w:hideMark/>
          </w:tcPr>
          <w:p w14:paraId="65F3D23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13 500,0</w:t>
            </w:r>
          </w:p>
        </w:tc>
        <w:tc>
          <w:tcPr>
            <w:tcW w:w="436" w:type="pct"/>
            <w:tcBorders>
              <w:top w:val="nil"/>
              <w:left w:val="nil"/>
              <w:bottom w:val="single" w:sz="4" w:space="0" w:color="auto"/>
              <w:right w:val="single" w:sz="4" w:space="0" w:color="auto"/>
            </w:tcBorders>
            <w:shd w:val="clear" w:color="auto" w:fill="auto"/>
            <w:vAlign w:val="center"/>
            <w:hideMark/>
          </w:tcPr>
          <w:p w14:paraId="55D413F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440EED5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1524" w:type="pct"/>
            <w:tcBorders>
              <w:top w:val="nil"/>
              <w:left w:val="nil"/>
              <w:bottom w:val="single" w:sz="4" w:space="0" w:color="auto"/>
              <w:right w:val="single" w:sz="4" w:space="0" w:color="auto"/>
            </w:tcBorders>
            <w:shd w:val="clear" w:color="auto" w:fill="auto"/>
            <w:vAlign w:val="center"/>
            <w:hideMark/>
          </w:tcPr>
          <w:p w14:paraId="0BB3A05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Модернизирани обекти на спешна медицинска помощ </w:t>
            </w:r>
            <w:r w:rsidRPr="00761800">
              <w:rPr>
                <w:rFonts w:ascii="Times New Roman" w:hAnsi="Times New Roman"/>
                <w:sz w:val="20"/>
                <w:lang w:eastAsia="bg-BG"/>
              </w:rPr>
              <w:br/>
              <w:t>2. Закупени съвременни санитарни превозни средства (линейки)</w:t>
            </w:r>
            <w:r w:rsidRPr="00761800">
              <w:rPr>
                <w:rFonts w:ascii="Times New Roman" w:hAnsi="Times New Roman"/>
                <w:sz w:val="20"/>
                <w:lang w:eastAsia="bg-BG"/>
              </w:rPr>
              <w:br/>
            </w:r>
            <w:r w:rsidRPr="00761800">
              <w:rPr>
                <w:rFonts w:ascii="Times New Roman" w:hAnsi="Times New Roman"/>
                <w:sz w:val="20"/>
                <w:lang w:eastAsia="bg-BG"/>
              </w:rPr>
              <w:br/>
              <w:t xml:space="preserve"> </w:t>
            </w:r>
          </w:p>
        </w:tc>
        <w:tc>
          <w:tcPr>
            <w:tcW w:w="627" w:type="pct"/>
            <w:tcBorders>
              <w:top w:val="nil"/>
              <w:left w:val="nil"/>
              <w:bottom w:val="single" w:sz="4" w:space="0" w:color="auto"/>
              <w:right w:val="single" w:sz="4" w:space="0" w:color="auto"/>
            </w:tcBorders>
            <w:shd w:val="clear" w:color="auto" w:fill="auto"/>
            <w:vAlign w:val="center"/>
            <w:hideMark/>
          </w:tcPr>
          <w:p w14:paraId="051BB20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здравеопазването</w:t>
            </w:r>
          </w:p>
        </w:tc>
      </w:tr>
      <w:tr w:rsidR="00761800" w:rsidRPr="00761800" w14:paraId="4891D6B0"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28330A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44</w:t>
            </w:r>
          </w:p>
        </w:tc>
        <w:tc>
          <w:tcPr>
            <w:tcW w:w="529" w:type="pct"/>
            <w:tcBorders>
              <w:top w:val="nil"/>
              <w:left w:val="nil"/>
              <w:bottom w:val="single" w:sz="4" w:space="0" w:color="auto"/>
              <w:right w:val="single" w:sz="4" w:space="0" w:color="auto"/>
            </w:tcBorders>
            <w:shd w:val="clear" w:color="auto" w:fill="auto"/>
            <w:noWrap/>
            <w:vAlign w:val="center"/>
            <w:hideMark/>
          </w:tcPr>
          <w:p w14:paraId="3DED554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NP-25.001-0040</w:t>
            </w:r>
          </w:p>
        </w:tc>
        <w:tc>
          <w:tcPr>
            <w:tcW w:w="855" w:type="pct"/>
            <w:tcBorders>
              <w:top w:val="nil"/>
              <w:left w:val="nil"/>
              <w:bottom w:val="single" w:sz="4" w:space="0" w:color="auto"/>
              <w:right w:val="single" w:sz="4" w:space="0" w:color="auto"/>
            </w:tcBorders>
            <w:shd w:val="clear" w:color="auto" w:fill="auto"/>
            <w:vAlign w:val="center"/>
            <w:hideMark/>
          </w:tcPr>
          <w:p w14:paraId="54ED2E8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Дофинансиране на проект „Изграждане на инфраструктура за предоставяне на специализирана здравно-социална грижа за деца с увреждания” </w:t>
            </w:r>
          </w:p>
        </w:tc>
        <w:tc>
          <w:tcPr>
            <w:tcW w:w="436" w:type="pct"/>
            <w:tcBorders>
              <w:top w:val="nil"/>
              <w:left w:val="nil"/>
              <w:bottom w:val="single" w:sz="4" w:space="0" w:color="auto"/>
              <w:right w:val="single" w:sz="4" w:space="0" w:color="auto"/>
            </w:tcBorders>
            <w:shd w:val="clear" w:color="auto" w:fill="auto"/>
            <w:vAlign w:val="center"/>
            <w:hideMark/>
          </w:tcPr>
          <w:p w14:paraId="2A1ED18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 -     </w:t>
            </w:r>
          </w:p>
        </w:tc>
        <w:tc>
          <w:tcPr>
            <w:tcW w:w="436" w:type="pct"/>
            <w:tcBorders>
              <w:top w:val="nil"/>
              <w:left w:val="nil"/>
              <w:bottom w:val="single" w:sz="4" w:space="0" w:color="auto"/>
              <w:right w:val="single" w:sz="4" w:space="0" w:color="auto"/>
            </w:tcBorders>
            <w:shd w:val="clear" w:color="auto" w:fill="auto"/>
            <w:vAlign w:val="center"/>
            <w:hideMark/>
          </w:tcPr>
          <w:p w14:paraId="7B59E64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12 000,0</w:t>
            </w:r>
          </w:p>
        </w:tc>
        <w:tc>
          <w:tcPr>
            <w:tcW w:w="436" w:type="pct"/>
            <w:tcBorders>
              <w:top w:val="nil"/>
              <w:left w:val="nil"/>
              <w:bottom w:val="single" w:sz="4" w:space="0" w:color="auto"/>
              <w:right w:val="single" w:sz="4" w:space="0" w:color="auto"/>
            </w:tcBorders>
            <w:shd w:val="clear" w:color="auto" w:fill="auto"/>
            <w:vAlign w:val="center"/>
            <w:hideMark/>
          </w:tcPr>
          <w:p w14:paraId="42E3829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1524" w:type="pct"/>
            <w:tcBorders>
              <w:top w:val="nil"/>
              <w:left w:val="nil"/>
              <w:bottom w:val="single" w:sz="4" w:space="0" w:color="auto"/>
              <w:right w:val="single" w:sz="4" w:space="0" w:color="auto"/>
            </w:tcBorders>
            <w:shd w:val="clear" w:color="auto" w:fill="auto"/>
            <w:vAlign w:val="center"/>
            <w:hideMark/>
          </w:tcPr>
          <w:p w14:paraId="2D15A43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Брой подкрепени обекти на социалната инфраструктура в процеса на деинституционализация </w:t>
            </w:r>
            <w:r w:rsidRPr="00761800">
              <w:rPr>
                <w:rFonts w:ascii="Times New Roman" w:hAnsi="Times New Roman"/>
                <w:sz w:val="20"/>
                <w:lang w:eastAsia="bg-BG"/>
              </w:rPr>
              <w:br/>
              <w:t xml:space="preserve">2. Грижи за децата и образование: Капацитет на подпомогнатата инфраструктура, предназначена за грижи за децата или образование </w:t>
            </w:r>
          </w:p>
        </w:tc>
        <w:tc>
          <w:tcPr>
            <w:tcW w:w="627" w:type="pct"/>
            <w:tcBorders>
              <w:top w:val="nil"/>
              <w:left w:val="nil"/>
              <w:bottom w:val="single" w:sz="4" w:space="0" w:color="auto"/>
              <w:right w:val="single" w:sz="4" w:space="0" w:color="auto"/>
            </w:tcBorders>
            <w:shd w:val="clear" w:color="auto" w:fill="auto"/>
            <w:vAlign w:val="center"/>
            <w:hideMark/>
          </w:tcPr>
          <w:p w14:paraId="32497EC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здравеопазването</w:t>
            </w:r>
          </w:p>
        </w:tc>
      </w:tr>
      <w:tr w:rsidR="00761800" w:rsidRPr="00761800" w14:paraId="06172548"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DE5E67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45</w:t>
            </w:r>
          </w:p>
        </w:tc>
        <w:tc>
          <w:tcPr>
            <w:tcW w:w="529" w:type="pct"/>
            <w:tcBorders>
              <w:top w:val="nil"/>
              <w:left w:val="nil"/>
              <w:bottom w:val="single" w:sz="4" w:space="0" w:color="auto"/>
              <w:right w:val="single" w:sz="4" w:space="0" w:color="auto"/>
            </w:tcBorders>
            <w:shd w:val="clear" w:color="auto" w:fill="auto"/>
            <w:noWrap/>
            <w:vAlign w:val="center"/>
            <w:hideMark/>
          </w:tcPr>
          <w:p w14:paraId="17C75CD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NP-25.001-0041</w:t>
            </w:r>
          </w:p>
        </w:tc>
        <w:tc>
          <w:tcPr>
            <w:tcW w:w="855" w:type="pct"/>
            <w:tcBorders>
              <w:top w:val="nil"/>
              <w:left w:val="nil"/>
              <w:bottom w:val="single" w:sz="4" w:space="0" w:color="auto"/>
              <w:right w:val="single" w:sz="4" w:space="0" w:color="auto"/>
            </w:tcBorders>
            <w:shd w:val="clear" w:color="auto" w:fill="auto"/>
            <w:vAlign w:val="center"/>
            <w:hideMark/>
          </w:tcPr>
          <w:p w14:paraId="5641766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Дофинансиране на проект „Изграждане на инфраструктура за предоставяне на специализирана здравно-социална грижа за деца с увреждания-2”</w:t>
            </w:r>
          </w:p>
        </w:tc>
        <w:tc>
          <w:tcPr>
            <w:tcW w:w="436" w:type="pct"/>
            <w:tcBorders>
              <w:top w:val="nil"/>
              <w:left w:val="nil"/>
              <w:bottom w:val="single" w:sz="4" w:space="0" w:color="auto"/>
              <w:right w:val="single" w:sz="4" w:space="0" w:color="auto"/>
            </w:tcBorders>
            <w:shd w:val="clear" w:color="auto" w:fill="auto"/>
            <w:vAlign w:val="center"/>
            <w:hideMark/>
          </w:tcPr>
          <w:p w14:paraId="28672BA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190252E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2 054,2</w:t>
            </w:r>
          </w:p>
        </w:tc>
        <w:tc>
          <w:tcPr>
            <w:tcW w:w="436" w:type="pct"/>
            <w:tcBorders>
              <w:top w:val="nil"/>
              <w:left w:val="nil"/>
              <w:bottom w:val="single" w:sz="4" w:space="0" w:color="auto"/>
              <w:right w:val="single" w:sz="4" w:space="0" w:color="auto"/>
            </w:tcBorders>
            <w:shd w:val="clear" w:color="auto" w:fill="auto"/>
            <w:vAlign w:val="center"/>
            <w:hideMark/>
          </w:tcPr>
          <w:p w14:paraId="09341CD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1524" w:type="pct"/>
            <w:tcBorders>
              <w:top w:val="nil"/>
              <w:left w:val="nil"/>
              <w:bottom w:val="single" w:sz="4" w:space="0" w:color="auto"/>
              <w:right w:val="single" w:sz="4" w:space="0" w:color="auto"/>
            </w:tcBorders>
            <w:shd w:val="clear" w:color="auto" w:fill="auto"/>
            <w:vAlign w:val="center"/>
            <w:hideMark/>
          </w:tcPr>
          <w:p w14:paraId="2F43870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Брой подкрепени обекти на социалната инфраструктура в процеса на деинституционализация </w:t>
            </w:r>
            <w:r w:rsidRPr="00761800">
              <w:rPr>
                <w:rFonts w:ascii="Times New Roman" w:hAnsi="Times New Roman"/>
                <w:sz w:val="20"/>
                <w:lang w:eastAsia="bg-BG"/>
              </w:rPr>
              <w:br/>
              <w:t xml:space="preserve">2. Грижи за децата и образование: Капацитет на подпомогнатата инфраструктура, предназначена за грижи за децата или образование </w:t>
            </w:r>
          </w:p>
        </w:tc>
        <w:tc>
          <w:tcPr>
            <w:tcW w:w="627" w:type="pct"/>
            <w:tcBorders>
              <w:top w:val="nil"/>
              <w:left w:val="nil"/>
              <w:bottom w:val="single" w:sz="4" w:space="0" w:color="auto"/>
              <w:right w:val="single" w:sz="4" w:space="0" w:color="auto"/>
            </w:tcBorders>
            <w:shd w:val="clear" w:color="auto" w:fill="auto"/>
            <w:vAlign w:val="center"/>
            <w:hideMark/>
          </w:tcPr>
          <w:p w14:paraId="4C9EE07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здравеопазването</w:t>
            </w:r>
          </w:p>
        </w:tc>
      </w:tr>
      <w:tr w:rsidR="00761800" w:rsidRPr="00761800" w14:paraId="4C0D11AA"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0FDF70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46</w:t>
            </w:r>
          </w:p>
        </w:tc>
        <w:tc>
          <w:tcPr>
            <w:tcW w:w="529" w:type="pct"/>
            <w:tcBorders>
              <w:top w:val="nil"/>
              <w:left w:val="nil"/>
              <w:bottom w:val="single" w:sz="4" w:space="0" w:color="auto"/>
              <w:right w:val="single" w:sz="4" w:space="0" w:color="auto"/>
            </w:tcBorders>
            <w:shd w:val="clear" w:color="auto" w:fill="auto"/>
            <w:noWrap/>
            <w:vAlign w:val="center"/>
            <w:hideMark/>
          </w:tcPr>
          <w:p w14:paraId="69FA800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NP-25.001-0045</w:t>
            </w:r>
          </w:p>
        </w:tc>
        <w:tc>
          <w:tcPr>
            <w:tcW w:w="855" w:type="pct"/>
            <w:tcBorders>
              <w:top w:val="nil"/>
              <w:left w:val="nil"/>
              <w:bottom w:val="single" w:sz="4" w:space="0" w:color="auto"/>
              <w:right w:val="single" w:sz="4" w:space="0" w:color="auto"/>
            </w:tcBorders>
            <w:shd w:val="clear" w:color="auto" w:fill="auto"/>
            <w:vAlign w:val="center"/>
            <w:hideMark/>
          </w:tcPr>
          <w:p w14:paraId="4A0ED7D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Дофинансиране на инвестиция С12.I1 „Модернизиране на </w:t>
            </w:r>
            <w:r w:rsidRPr="00761800">
              <w:rPr>
                <w:rFonts w:ascii="Times New Roman" w:hAnsi="Times New Roman"/>
                <w:sz w:val="20"/>
                <w:lang w:eastAsia="bg-BG"/>
              </w:rPr>
              <w:lastRenderedPageBreak/>
              <w:t>лечебни заведения за болнична помощ“</w:t>
            </w:r>
          </w:p>
        </w:tc>
        <w:tc>
          <w:tcPr>
            <w:tcW w:w="436" w:type="pct"/>
            <w:tcBorders>
              <w:top w:val="nil"/>
              <w:left w:val="nil"/>
              <w:bottom w:val="single" w:sz="4" w:space="0" w:color="auto"/>
              <w:right w:val="single" w:sz="4" w:space="0" w:color="auto"/>
            </w:tcBorders>
            <w:shd w:val="clear" w:color="auto" w:fill="auto"/>
            <w:vAlign w:val="center"/>
            <w:hideMark/>
          </w:tcPr>
          <w:p w14:paraId="367A8B7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1 088,5</w:t>
            </w:r>
          </w:p>
        </w:tc>
        <w:tc>
          <w:tcPr>
            <w:tcW w:w="436" w:type="pct"/>
            <w:tcBorders>
              <w:top w:val="nil"/>
              <w:left w:val="nil"/>
              <w:bottom w:val="single" w:sz="4" w:space="0" w:color="auto"/>
              <w:right w:val="single" w:sz="4" w:space="0" w:color="auto"/>
            </w:tcBorders>
            <w:shd w:val="clear" w:color="auto" w:fill="auto"/>
            <w:vAlign w:val="center"/>
            <w:hideMark/>
          </w:tcPr>
          <w:p w14:paraId="1645884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48A1E8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1524" w:type="pct"/>
            <w:tcBorders>
              <w:top w:val="nil"/>
              <w:left w:val="nil"/>
              <w:bottom w:val="single" w:sz="4" w:space="0" w:color="auto"/>
              <w:right w:val="single" w:sz="4" w:space="0" w:color="auto"/>
            </w:tcBorders>
            <w:shd w:val="clear" w:color="auto" w:fill="auto"/>
            <w:vAlign w:val="center"/>
            <w:hideMark/>
          </w:tcPr>
          <w:p w14:paraId="41C1075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Брой доставени апарати</w:t>
            </w:r>
            <w:r w:rsidRPr="00761800">
              <w:rPr>
                <w:rFonts w:ascii="Times New Roman" w:hAnsi="Times New Roman"/>
                <w:sz w:val="20"/>
                <w:lang w:eastAsia="bg-BG"/>
              </w:rPr>
              <w:br/>
              <w:t xml:space="preserve">2. Брой лечебни заведения за болнична помощ, в които ще се доставя апаратура </w:t>
            </w:r>
          </w:p>
        </w:tc>
        <w:tc>
          <w:tcPr>
            <w:tcW w:w="627" w:type="pct"/>
            <w:tcBorders>
              <w:top w:val="nil"/>
              <w:left w:val="nil"/>
              <w:bottom w:val="single" w:sz="4" w:space="0" w:color="auto"/>
              <w:right w:val="single" w:sz="4" w:space="0" w:color="auto"/>
            </w:tcBorders>
            <w:shd w:val="clear" w:color="auto" w:fill="auto"/>
            <w:vAlign w:val="center"/>
            <w:hideMark/>
          </w:tcPr>
          <w:p w14:paraId="2544661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здравеопазването</w:t>
            </w:r>
          </w:p>
        </w:tc>
      </w:tr>
      <w:tr w:rsidR="00761800" w:rsidRPr="00761800" w14:paraId="555ABA43" w14:textId="77777777" w:rsidTr="00406B4D">
        <w:trPr>
          <w:trHeight w:val="127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C6B7F0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47</w:t>
            </w:r>
          </w:p>
        </w:tc>
        <w:tc>
          <w:tcPr>
            <w:tcW w:w="529" w:type="pct"/>
            <w:tcBorders>
              <w:top w:val="nil"/>
              <w:left w:val="nil"/>
              <w:bottom w:val="single" w:sz="4" w:space="0" w:color="auto"/>
              <w:right w:val="single" w:sz="4" w:space="0" w:color="auto"/>
            </w:tcBorders>
            <w:shd w:val="clear" w:color="auto" w:fill="auto"/>
            <w:noWrap/>
            <w:vAlign w:val="center"/>
            <w:hideMark/>
          </w:tcPr>
          <w:p w14:paraId="32F4E1F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NP-25.001-0043</w:t>
            </w:r>
          </w:p>
        </w:tc>
        <w:tc>
          <w:tcPr>
            <w:tcW w:w="855" w:type="pct"/>
            <w:tcBorders>
              <w:top w:val="nil"/>
              <w:left w:val="nil"/>
              <w:bottom w:val="single" w:sz="4" w:space="0" w:color="auto"/>
              <w:right w:val="single" w:sz="4" w:space="0" w:color="auto"/>
            </w:tcBorders>
            <w:shd w:val="clear" w:color="auto" w:fill="auto"/>
            <w:vAlign w:val="center"/>
            <w:hideMark/>
          </w:tcPr>
          <w:p w14:paraId="778DCA4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Дофинансиране на инвестиция C12.I4 „Изграждане на система за оказване на спешна медицинска помощ по въздуха“ </w:t>
            </w:r>
          </w:p>
        </w:tc>
        <w:tc>
          <w:tcPr>
            <w:tcW w:w="436" w:type="pct"/>
            <w:tcBorders>
              <w:top w:val="nil"/>
              <w:left w:val="nil"/>
              <w:bottom w:val="single" w:sz="4" w:space="0" w:color="auto"/>
              <w:right w:val="single" w:sz="4" w:space="0" w:color="auto"/>
            </w:tcBorders>
            <w:shd w:val="clear" w:color="auto" w:fill="auto"/>
            <w:vAlign w:val="center"/>
            <w:hideMark/>
          </w:tcPr>
          <w:p w14:paraId="1596B25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436" w:type="pct"/>
            <w:tcBorders>
              <w:top w:val="nil"/>
              <w:left w:val="nil"/>
              <w:bottom w:val="single" w:sz="4" w:space="0" w:color="auto"/>
              <w:right w:val="single" w:sz="4" w:space="0" w:color="auto"/>
            </w:tcBorders>
            <w:shd w:val="clear" w:color="auto" w:fill="auto"/>
            <w:vAlign w:val="center"/>
            <w:hideMark/>
          </w:tcPr>
          <w:p w14:paraId="51442FE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2 454,2</w:t>
            </w:r>
          </w:p>
        </w:tc>
        <w:tc>
          <w:tcPr>
            <w:tcW w:w="436" w:type="pct"/>
            <w:tcBorders>
              <w:top w:val="nil"/>
              <w:left w:val="nil"/>
              <w:bottom w:val="single" w:sz="4" w:space="0" w:color="auto"/>
              <w:right w:val="single" w:sz="4" w:space="0" w:color="auto"/>
            </w:tcBorders>
            <w:shd w:val="clear" w:color="auto" w:fill="auto"/>
            <w:vAlign w:val="center"/>
            <w:hideMark/>
          </w:tcPr>
          <w:p w14:paraId="3FEFC17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1524" w:type="pct"/>
            <w:tcBorders>
              <w:top w:val="nil"/>
              <w:left w:val="nil"/>
              <w:bottom w:val="single" w:sz="4" w:space="0" w:color="auto"/>
              <w:right w:val="single" w:sz="4" w:space="0" w:color="auto"/>
            </w:tcBorders>
            <w:shd w:val="clear" w:color="auto" w:fill="auto"/>
            <w:vAlign w:val="center"/>
            <w:hideMark/>
          </w:tcPr>
          <w:p w14:paraId="6BDE8DD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Изградена инфраструктура - оперативна база  </w:t>
            </w:r>
          </w:p>
        </w:tc>
        <w:tc>
          <w:tcPr>
            <w:tcW w:w="627" w:type="pct"/>
            <w:tcBorders>
              <w:top w:val="nil"/>
              <w:left w:val="nil"/>
              <w:bottom w:val="single" w:sz="4" w:space="0" w:color="auto"/>
              <w:right w:val="single" w:sz="4" w:space="0" w:color="auto"/>
            </w:tcBorders>
            <w:shd w:val="clear" w:color="auto" w:fill="auto"/>
            <w:vAlign w:val="center"/>
            <w:hideMark/>
          </w:tcPr>
          <w:p w14:paraId="53F411C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здравеопазването</w:t>
            </w:r>
          </w:p>
        </w:tc>
      </w:tr>
      <w:tr w:rsidR="00761800" w:rsidRPr="00761800" w14:paraId="569F7668"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4A8744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48</w:t>
            </w:r>
          </w:p>
        </w:tc>
        <w:tc>
          <w:tcPr>
            <w:tcW w:w="529" w:type="pct"/>
            <w:tcBorders>
              <w:top w:val="nil"/>
              <w:left w:val="nil"/>
              <w:bottom w:val="single" w:sz="4" w:space="0" w:color="auto"/>
              <w:right w:val="single" w:sz="4" w:space="0" w:color="auto"/>
            </w:tcBorders>
            <w:shd w:val="clear" w:color="auto" w:fill="auto"/>
            <w:noWrap/>
            <w:vAlign w:val="center"/>
            <w:hideMark/>
          </w:tcPr>
          <w:p w14:paraId="1D82B79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NP-25.001-0046</w:t>
            </w:r>
          </w:p>
        </w:tc>
        <w:tc>
          <w:tcPr>
            <w:tcW w:w="855" w:type="pct"/>
            <w:tcBorders>
              <w:top w:val="nil"/>
              <w:left w:val="nil"/>
              <w:bottom w:val="single" w:sz="4" w:space="0" w:color="auto"/>
              <w:right w:val="single" w:sz="4" w:space="0" w:color="auto"/>
            </w:tcBorders>
            <w:shd w:val="clear" w:color="auto" w:fill="auto"/>
            <w:vAlign w:val="center"/>
            <w:hideMark/>
          </w:tcPr>
          <w:p w14:paraId="3ACAF5B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Проектиране, изграждане и оборудване на Център за лъчелечение с протонна терапия в УМБАЛ по онкология „Проф. Иван Черноземски“ ЕАД, гр. София</w:t>
            </w:r>
          </w:p>
        </w:tc>
        <w:tc>
          <w:tcPr>
            <w:tcW w:w="436" w:type="pct"/>
            <w:tcBorders>
              <w:top w:val="nil"/>
              <w:left w:val="nil"/>
              <w:bottom w:val="single" w:sz="4" w:space="0" w:color="auto"/>
              <w:right w:val="single" w:sz="4" w:space="0" w:color="auto"/>
            </w:tcBorders>
            <w:shd w:val="clear" w:color="auto" w:fill="auto"/>
            <w:vAlign w:val="center"/>
            <w:hideMark/>
          </w:tcPr>
          <w:p w14:paraId="1741A56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436" w:type="pct"/>
            <w:tcBorders>
              <w:top w:val="nil"/>
              <w:left w:val="nil"/>
              <w:bottom w:val="single" w:sz="4" w:space="0" w:color="auto"/>
              <w:right w:val="single" w:sz="4" w:space="0" w:color="auto"/>
            </w:tcBorders>
            <w:shd w:val="clear" w:color="auto" w:fill="auto"/>
            <w:vAlign w:val="center"/>
            <w:hideMark/>
          </w:tcPr>
          <w:p w14:paraId="4C74440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436" w:type="pct"/>
            <w:tcBorders>
              <w:top w:val="nil"/>
              <w:left w:val="nil"/>
              <w:bottom w:val="single" w:sz="4" w:space="0" w:color="auto"/>
              <w:right w:val="single" w:sz="4" w:space="0" w:color="auto"/>
            </w:tcBorders>
            <w:shd w:val="clear" w:color="auto" w:fill="auto"/>
            <w:vAlign w:val="center"/>
            <w:hideMark/>
          </w:tcPr>
          <w:p w14:paraId="23629CE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16 508,4</w:t>
            </w:r>
          </w:p>
        </w:tc>
        <w:tc>
          <w:tcPr>
            <w:tcW w:w="1524" w:type="pct"/>
            <w:tcBorders>
              <w:top w:val="nil"/>
              <w:left w:val="nil"/>
              <w:bottom w:val="single" w:sz="4" w:space="0" w:color="auto"/>
              <w:right w:val="single" w:sz="4" w:space="0" w:color="auto"/>
            </w:tcBorders>
            <w:shd w:val="clear" w:color="auto" w:fill="auto"/>
            <w:vAlign w:val="center"/>
            <w:hideMark/>
          </w:tcPr>
          <w:p w14:paraId="192B2EE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Изградена и въведен в експлоатация сграда </w:t>
            </w:r>
            <w:r w:rsidRPr="00761800">
              <w:rPr>
                <w:rFonts w:ascii="Times New Roman" w:hAnsi="Times New Roman"/>
                <w:sz w:val="20"/>
                <w:lang w:eastAsia="bg-BG"/>
              </w:rPr>
              <w:br/>
              <w:t xml:space="preserve">2. Доставена, монтирана и пусната в експлоатация апаратура </w:t>
            </w:r>
          </w:p>
        </w:tc>
        <w:tc>
          <w:tcPr>
            <w:tcW w:w="627" w:type="pct"/>
            <w:tcBorders>
              <w:top w:val="nil"/>
              <w:left w:val="nil"/>
              <w:bottom w:val="single" w:sz="4" w:space="0" w:color="auto"/>
              <w:right w:val="single" w:sz="4" w:space="0" w:color="auto"/>
            </w:tcBorders>
            <w:shd w:val="clear" w:color="auto" w:fill="auto"/>
            <w:vAlign w:val="center"/>
            <w:hideMark/>
          </w:tcPr>
          <w:p w14:paraId="28B22E1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здравеопазването</w:t>
            </w:r>
          </w:p>
        </w:tc>
      </w:tr>
      <w:tr w:rsidR="00761800" w:rsidRPr="00761800" w14:paraId="4BC82F5C"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E8E614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49</w:t>
            </w:r>
          </w:p>
        </w:tc>
        <w:tc>
          <w:tcPr>
            <w:tcW w:w="529" w:type="pct"/>
            <w:tcBorders>
              <w:top w:val="nil"/>
              <w:left w:val="nil"/>
              <w:bottom w:val="single" w:sz="4" w:space="0" w:color="auto"/>
              <w:right w:val="single" w:sz="4" w:space="0" w:color="auto"/>
            </w:tcBorders>
            <w:shd w:val="clear" w:color="auto" w:fill="auto"/>
            <w:noWrap/>
            <w:vAlign w:val="center"/>
            <w:hideMark/>
          </w:tcPr>
          <w:p w14:paraId="7735BC8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NP-25.001-0047</w:t>
            </w:r>
          </w:p>
        </w:tc>
        <w:tc>
          <w:tcPr>
            <w:tcW w:w="855" w:type="pct"/>
            <w:tcBorders>
              <w:top w:val="nil"/>
              <w:left w:val="nil"/>
              <w:bottom w:val="single" w:sz="4" w:space="0" w:color="auto"/>
              <w:right w:val="single" w:sz="4" w:space="0" w:color="auto"/>
            </w:tcBorders>
            <w:shd w:val="clear" w:color="auto" w:fill="auto"/>
            <w:vAlign w:val="center"/>
            <w:hideMark/>
          </w:tcPr>
          <w:p w14:paraId="638F411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Реализиране на втори етап - разширение и реконструкция на сградата на НХА-Северен корпус - ул.“Шипка“ № 1</w:t>
            </w:r>
          </w:p>
        </w:tc>
        <w:tc>
          <w:tcPr>
            <w:tcW w:w="436" w:type="pct"/>
            <w:tcBorders>
              <w:top w:val="nil"/>
              <w:left w:val="nil"/>
              <w:bottom w:val="single" w:sz="4" w:space="0" w:color="auto"/>
              <w:right w:val="single" w:sz="4" w:space="0" w:color="auto"/>
            </w:tcBorders>
            <w:shd w:val="clear" w:color="auto" w:fill="auto"/>
            <w:vAlign w:val="center"/>
            <w:hideMark/>
          </w:tcPr>
          <w:p w14:paraId="09C00CE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511,3</w:t>
            </w:r>
          </w:p>
        </w:tc>
        <w:tc>
          <w:tcPr>
            <w:tcW w:w="436" w:type="pct"/>
            <w:tcBorders>
              <w:top w:val="nil"/>
              <w:left w:val="nil"/>
              <w:bottom w:val="single" w:sz="4" w:space="0" w:color="auto"/>
              <w:right w:val="single" w:sz="4" w:space="0" w:color="auto"/>
            </w:tcBorders>
            <w:shd w:val="clear" w:color="auto" w:fill="auto"/>
            <w:vAlign w:val="center"/>
            <w:hideMark/>
          </w:tcPr>
          <w:p w14:paraId="27BBF10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1 022,6</w:t>
            </w:r>
          </w:p>
        </w:tc>
        <w:tc>
          <w:tcPr>
            <w:tcW w:w="436" w:type="pct"/>
            <w:tcBorders>
              <w:top w:val="nil"/>
              <w:left w:val="nil"/>
              <w:bottom w:val="single" w:sz="4" w:space="0" w:color="auto"/>
              <w:right w:val="single" w:sz="4" w:space="0" w:color="auto"/>
            </w:tcBorders>
            <w:shd w:val="clear" w:color="auto" w:fill="auto"/>
            <w:vAlign w:val="center"/>
            <w:hideMark/>
          </w:tcPr>
          <w:p w14:paraId="701B789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68EDC57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изградено разширение и реконструкция на сградата на НХА-Северен корпус - 1</w:t>
            </w:r>
          </w:p>
        </w:tc>
        <w:tc>
          <w:tcPr>
            <w:tcW w:w="627" w:type="pct"/>
            <w:tcBorders>
              <w:top w:val="nil"/>
              <w:left w:val="nil"/>
              <w:bottom w:val="single" w:sz="4" w:space="0" w:color="auto"/>
              <w:right w:val="single" w:sz="4" w:space="0" w:color="auto"/>
            </w:tcBorders>
            <w:shd w:val="clear" w:color="auto" w:fill="auto"/>
            <w:vAlign w:val="center"/>
            <w:hideMark/>
          </w:tcPr>
          <w:p w14:paraId="04BC6DA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образованието и науката</w:t>
            </w:r>
          </w:p>
        </w:tc>
      </w:tr>
      <w:tr w:rsidR="00761800" w:rsidRPr="00761800" w14:paraId="5F8B5EF9"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9CDA80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50</w:t>
            </w:r>
          </w:p>
        </w:tc>
        <w:tc>
          <w:tcPr>
            <w:tcW w:w="529" w:type="pct"/>
            <w:tcBorders>
              <w:top w:val="nil"/>
              <w:left w:val="nil"/>
              <w:bottom w:val="single" w:sz="4" w:space="0" w:color="auto"/>
              <w:right w:val="single" w:sz="4" w:space="0" w:color="auto"/>
            </w:tcBorders>
            <w:shd w:val="clear" w:color="auto" w:fill="auto"/>
            <w:noWrap/>
            <w:vAlign w:val="center"/>
            <w:hideMark/>
          </w:tcPr>
          <w:p w14:paraId="41B3D29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NP-25.002-0048</w:t>
            </w:r>
          </w:p>
        </w:tc>
        <w:tc>
          <w:tcPr>
            <w:tcW w:w="855" w:type="pct"/>
            <w:tcBorders>
              <w:top w:val="nil"/>
              <w:left w:val="nil"/>
              <w:bottom w:val="single" w:sz="4" w:space="0" w:color="auto"/>
              <w:right w:val="single" w:sz="4" w:space="0" w:color="auto"/>
            </w:tcBorders>
            <w:shd w:val="clear" w:color="auto" w:fill="auto"/>
            <w:vAlign w:val="center"/>
            <w:hideMark/>
          </w:tcPr>
          <w:p w14:paraId="2AA2874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Софийски университет „Св. Климент Охридски“ - Изграждане на изчислителен център за изкуствен интелект от Института за научни изследвания в областта на компютърните науки (INSAIT)</w:t>
            </w:r>
          </w:p>
        </w:tc>
        <w:tc>
          <w:tcPr>
            <w:tcW w:w="436" w:type="pct"/>
            <w:tcBorders>
              <w:top w:val="nil"/>
              <w:left w:val="nil"/>
              <w:bottom w:val="single" w:sz="4" w:space="0" w:color="auto"/>
              <w:right w:val="single" w:sz="4" w:space="0" w:color="auto"/>
            </w:tcBorders>
            <w:shd w:val="clear" w:color="auto" w:fill="auto"/>
            <w:vAlign w:val="center"/>
            <w:hideMark/>
          </w:tcPr>
          <w:p w14:paraId="382B9C6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3 500,0</w:t>
            </w:r>
          </w:p>
        </w:tc>
        <w:tc>
          <w:tcPr>
            <w:tcW w:w="436" w:type="pct"/>
            <w:tcBorders>
              <w:top w:val="nil"/>
              <w:left w:val="nil"/>
              <w:bottom w:val="single" w:sz="4" w:space="0" w:color="auto"/>
              <w:right w:val="single" w:sz="4" w:space="0" w:color="auto"/>
            </w:tcBorders>
            <w:shd w:val="clear" w:color="auto" w:fill="auto"/>
            <w:vAlign w:val="center"/>
            <w:hideMark/>
          </w:tcPr>
          <w:p w14:paraId="7C1B384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3 500,0</w:t>
            </w:r>
          </w:p>
        </w:tc>
        <w:tc>
          <w:tcPr>
            <w:tcW w:w="436" w:type="pct"/>
            <w:tcBorders>
              <w:top w:val="nil"/>
              <w:left w:val="nil"/>
              <w:bottom w:val="single" w:sz="4" w:space="0" w:color="auto"/>
              <w:right w:val="single" w:sz="4" w:space="0" w:color="auto"/>
            </w:tcBorders>
            <w:shd w:val="clear" w:color="auto" w:fill="auto"/>
            <w:vAlign w:val="center"/>
            <w:hideMark/>
          </w:tcPr>
          <w:p w14:paraId="3B4B3CC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4 000,0</w:t>
            </w:r>
          </w:p>
        </w:tc>
        <w:tc>
          <w:tcPr>
            <w:tcW w:w="1524" w:type="pct"/>
            <w:tcBorders>
              <w:top w:val="nil"/>
              <w:left w:val="nil"/>
              <w:bottom w:val="single" w:sz="4" w:space="0" w:color="auto"/>
              <w:right w:val="single" w:sz="4" w:space="0" w:color="auto"/>
            </w:tcBorders>
            <w:shd w:val="clear" w:color="auto" w:fill="auto"/>
            <w:vAlign w:val="center"/>
            <w:hideMark/>
          </w:tcPr>
          <w:p w14:paraId="5068A77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изграден изчислителен център за изкуствен интелект от Института за научни изследвания в областта на компютърните науки (INSAIT) - 1</w:t>
            </w:r>
          </w:p>
        </w:tc>
        <w:tc>
          <w:tcPr>
            <w:tcW w:w="627" w:type="pct"/>
            <w:tcBorders>
              <w:top w:val="nil"/>
              <w:left w:val="nil"/>
              <w:bottom w:val="single" w:sz="4" w:space="0" w:color="auto"/>
              <w:right w:val="single" w:sz="4" w:space="0" w:color="auto"/>
            </w:tcBorders>
            <w:shd w:val="clear" w:color="auto" w:fill="auto"/>
            <w:vAlign w:val="center"/>
            <w:hideMark/>
          </w:tcPr>
          <w:p w14:paraId="59EC768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образованието и науката</w:t>
            </w:r>
          </w:p>
        </w:tc>
      </w:tr>
      <w:tr w:rsidR="00761800" w:rsidRPr="00761800" w14:paraId="6589AA28" w14:textId="77777777" w:rsidTr="00406B4D">
        <w:trPr>
          <w:trHeight w:val="58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0C7591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51</w:t>
            </w:r>
          </w:p>
        </w:tc>
        <w:tc>
          <w:tcPr>
            <w:tcW w:w="529" w:type="pct"/>
            <w:tcBorders>
              <w:top w:val="nil"/>
              <w:left w:val="nil"/>
              <w:bottom w:val="single" w:sz="4" w:space="0" w:color="auto"/>
              <w:right w:val="single" w:sz="4" w:space="0" w:color="auto"/>
            </w:tcBorders>
            <w:shd w:val="clear" w:color="auto" w:fill="auto"/>
            <w:noWrap/>
            <w:vAlign w:val="center"/>
            <w:hideMark/>
          </w:tcPr>
          <w:p w14:paraId="7AB0962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NP-25.001-0049</w:t>
            </w:r>
          </w:p>
        </w:tc>
        <w:tc>
          <w:tcPr>
            <w:tcW w:w="855" w:type="pct"/>
            <w:tcBorders>
              <w:top w:val="nil"/>
              <w:left w:val="nil"/>
              <w:bottom w:val="single" w:sz="4" w:space="0" w:color="auto"/>
              <w:right w:val="single" w:sz="4" w:space="0" w:color="auto"/>
            </w:tcBorders>
            <w:shd w:val="clear" w:color="auto" w:fill="auto"/>
            <w:vAlign w:val="center"/>
            <w:hideMark/>
          </w:tcPr>
          <w:p w14:paraId="637D19C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въвеждане на мерки за ЕЕ, реставрация, реконструкция и модернизация на  4 общински образователни институции в гр. Пловдив - Хуманитарна гимназия „Св. Св. Кирил и Методий“, ОУ „Райна Княгиня“, ОУ „Димитър Талев“ и „Яне Сандански“</w:t>
            </w:r>
          </w:p>
        </w:tc>
        <w:tc>
          <w:tcPr>
            <w:tcW w:w="436" w:type="pct"/>
            <w:tcBorders>
              <w:top w:val="nil"/>
              <w:left w:val="nil"/>
              <w:bottom w:val="single" w:sz="4" w:space="0" w:color="auto"/>
              <w:right w:val="single" w:sz="4" w:space="0" w:color="auto"/>
            </w:tcBorders>
            <w:shd w:val="clear" w:color="auto" w:fill="auto"/>
            <w:vAlign w:val="center"/>
            <w:hideMark/>
          </w:tcPr>
          <w:p w14:paraId="5151E05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1 412,2</w:t>
            </w:r>
          </w:p>
        </w:tc>
        <w:tc>
          <w:tcPr>
            <w:tcW w:w="436" w:type="pct"/>
            <w:tcBorders>
              <w:top w:val="nil"/>
              <w:left w:val="nil"/>
              <w:bottom w:val="single" w:sz="4" w:space="0" w:color="auto"/>
              <w:right w:val="single" w:sz="4" w:space="0" w:color="auto"/>
            </w:tcBorders>
            <w:shd w:val="clear" w:color="auto" w:fill="auto"/>
            <w:vAlign w:val="center"/>
            <w:hideMark/>
          </w:tcPr>
          <w:p w14:paraId="4D188B0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4199629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467B0F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образователни общински институции, в които е реализиран основен ремонт, въвеждане на мерки за енергийна ефективност, реставрация, реконструкция и модернизация - 4</w:t>
            </w:r>
          </w:p>
        </w:tc>
        <w:tc>
          <w:tcPr>
            <w:tcW w:w="627" w:type="pct"/>
            <w:tcBorders>
              <w:top w:val="nil"/>
              <w:left w:val="nil"/>
              <w:bottom w:val="single" w:sz="4" w:space="0" w:color="auto"/>
              <w:right w:val="single" w:sz="4" w:space="0" w:color="auto"/>
            </w:tcBorders>
            <w:shd w:val="clear" w:color="auto" w:fill="auto"/>
            <w:vAlign w:val="center"/>
            <w:hideMark/>
          </w:tcPr>
          <w:p w14:paraId="08FCCE7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образованието и науката</w:t>
            </w:r>
          </w:p>
        </w:tc>
      </w:tr>
      <w:tr w:rsidR="00761800" w:rsidRPr="00761800" w14:paraId="0EF3A0B4"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D51B53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52</w:t>
            </w:r>
          </w:p>
        </w:tc>
        <w:tc>
          <w:tcPr>
            <w:tcW w:w="529" w:type="pct"/>
            <w:tcBorders>
              <w:top w:val="nil"/>
              <w:left w:val="nil"/>
              <w:bottom w:val="single" w:sz="4" w:space="0" w:color="auto"/>
              <w:right w:val="single" w:sz="4" w:space="0" w:color="auto"/>
            </w:tcBorders>
            <w:shd w:val="clear" w:color="auto" w:fill="auto"/>
            <w:noWrap/>
            <w:vAlign w:val="center"/>
            <w:hideMark/>
          </w:tcPr>
          <w:p w14:paraId="72A111E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NP-25.003-0027</w:t>
            </w:r>
          </w:p>
        </w:tc>
        <w:tc>
          <w:tcPr>
            <w:tcW w:w="855" w:type="pct"/>
            <w:tcBorders>
              <w:top w:val="nil"/>
              <w:left w:val="nil"/>
              <w:bottom w:val="single" w:sz="4" w:space="0" w:color="auto"/>
              <w:right w:val="single" w:sz="4" w:space="0" w:color="auto"/>
            </w:tcBorders>
            <w:shd w:val="clear" w:color="auto" w:fill="auto"/>
            <w:vAlign w:val="center"/>
            <w:hideMark/>
          </w:tcPr>
          <w:p w14:paraId="2837F95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Конструктивно укрепване на сградата на бившето Военноморско училище </w:t>
            </w:r>
          </w:p>
        </w:tc>
        <w:tc>
          <w:tcPr>
            <w:tcW w:w="436" w:type="pct"/>
            <w:tcBorders>
              <w:top w:val="nil"/>
              <w:left w:val="nil"/>
              <w:bottom w:val="single" w:sz="4" w:space="0" w:color="auto"/>
              <w:right w:val="single" w:sz="4" w:space="0" w:color="auto"/>
            </w:tcBorders>
            <w:shd w:val="clear" w:color="auto" w:fill="auto"/>
            <w:vAlign w:val="center"/>
            <w:hideMark/>
          </w:tcPr>
          <w:p w14:paraId="0664A02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783,0</w:t>
            </w:r>
          </w:p>
        </w:tc>
        <w:tc>
          <w:tcPr>
            <w:tcW w:w="436" w:type="pct"/>
            <w:tcBorders>
              <w:top w:val="nil"/>
              <w:left w:val="nil"/>
              <w:bottom w:val="single" w:sz="4" w:space="0" w:color="auto"/>
              <w:right w:val="single" w:sz="4" w:space="0" w:color="auto"/>
            </w:tcBorders>
            <w:shd w:val="clear" w:color="auto" w:fill="auto"/>
            <w:vAlign w:val="center"/>
            <w:hideMark/>
          </w:tcPr>
          <w:p w14:paraId="5D5F9D3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381F9D5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2FE4530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Укрепена и обезопасена сграда – 1 бр.</w:t>
            </w:r>
          </w:p>
        </w:tc>
        <w:tc>
          <w:tcPr>
            <w:tcW w:w="627" w:type="pct"/>
            <w:tcBorders>
              <w:top w:val="nil"/>
              <w:left w:val="nil"/>
              <w:bottom w:val="single" w:sz="4" w:space="0" w:color="auto"/>
              <w:right w:val="single" w:sz="4" w:space="0" w:color="auto"/>
            </w:tcBorders>
            <w:shd w:val="clear" w:color="auto" w:fill="auto"/>
            <w:vAlign w:val="center"/>
            <w:hideMark/>
          </w:tcPr>
          <w:p w14:paraId="6551D20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0753712C"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368CF6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53</w:t>
            </w:r>
          </w:p>
        </w:tc>
        <w:tc>
          <w:tcPr>
            <w:tcW w:w="529" w:type="pct"/>
            <w:tcBorders>
              <w:top w:val="nil"/>
              <w:left w:val="nil"/>
              <w:bottom w:val="single" w:sz="4" w:space="0" w:color="auto"/>
              <w:right w:val="single" w:sz="4" w:space="0" w:color="auto"/>
            </w:tcBorders>
            <w:shd w:val="clear" w:color="auto" w:fill="auto"/>
            <w:noWrap/>
            <w:vAlign w:val="center"/>
            <w:hideMark/>
          </w:tcPr>
          <w:p w14:paraId="56E9EDE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NP-26.001-0070</w:t>
            </w:r>
          </w:p>
        </w:tc>
        <w:tc>
          <w:tcPr>
            <w:tcW w:w="855" w:type="pct"/>
            <w:tcBorders>
              <w:top w:val="nil"/>
              <w:left w:val="nil"/>
              <w:bottom w:val="single" w:sz="4" w:space="0" w:color="auto"/>
              <w:right w:val="single" w:sz="4" w:space="0" w:color="auto"/>
            </w:tcBorders>
            <w:shd w:val="clear" w:color="auto" w:fill="auto"/>
            <w:vAlign w:val="center"/>
            <w:hideMark/>
          </w:tcPr>
          <w:p w14:paraId="67595D7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и възстановяване на Античен амфитеатър  в София</w:t>
            </w:r>
          </w:p>
        </w:tc>
        <w:tc>
          <w:tcPr>
            <w:tcW w:w="436" w:type="pct"/>
            <w:tcBorders>
              <w:top w:val="nil"/>
              <w:left w:val="nil"/>
              <w:bottom w:val="single" w:sz="4" w:space="0" w:color="auto"/>
              <w:right w:val="single" w:sz="4" w:space="0" w:color="auto"/>
            </w:tcBorders>
            <w:shd w:val="clear" w:color="auto" w:fill="auto"/>
            <w:vAlign w:val="center"/>
            <w:hideMark/>
          </w:tcPr>
          <w:p w14:paraId="6A6352D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7F6D7C7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366,8</w:t>
            </w:r>
          </w:p>
        </w:tc>
        <w:tc>
          <w:tcPr>
            <w:tcW w:w="436" w:type="pct"/>
            <w:tcBorders>
              <w:top w:val="nil"/>
              <w:left w:val="nil"/>
              <w:bottom w:val="single" w:sz="4" w:space="0" w:color="auto"/>
              <w:right w:val="single" w:sz="4" w:space="0" w:color="auto"/>
            </w:tcBorders>
            <w:shd w:val="clear" w:color="auto" w:fill="auto"/>
            <w:vAlign w:val="center"/>
            <w:hideMark/>
          </w:tcPr>
          <w:p w14:paraId="264D895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400,1</w:t>
            </w:r>
          </w:p>
        </w:tc>
        <w:tc>
          <w:tcPr>
            <w:tcW w:w="1524" w:type="pct"/>
            <w:tcBorders>
              <w:top w:val="nil"/>
              <w:left w:val="nil"/>
              <w:bottom w:val="single" w:sz="4" w:space="0" w:color="auto"/>
              <w:right w:val="single" w:sz="4" w:space="0" w:color="auto"/>
            </w:tcBorders>
            <w:shd w:val="clear" w:color="auto" w:fill="auto"/>
            <w:vAlign w:val="center"/>
            <w:hideMark/>
          </w:tcPr>
          <w:p w14:paraId="079AEF2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Възстановяване на Античен амфитеатър  в София- 1 бр</w:t>
            </w:r>
          </w:p>
        </w:tc>
        <w:tc>
          <w:tcPr>
            <w:tcW w:w="627" w:type="pct"/>
            <w:tcBorders>
              <w:top w:val="nil"/>
              <w:left w:val="nil"/>
              <w:bottom w:val="single" w:sz="4" w:space="0" w:color="auto"/>
              <w:right w:val="single" w:sz="4" w:space="0" w:color="auto"/>
            </w:tcBorders>
            <w:shd w:val="clear" w:color="auto" w:fill="auto"/>
            <w:vAlign w:val="center"/>
            <w:hideMark/>
          </w:tcPr>
          <w:p w14:paraId="5DD6750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642D4D08"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729553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54</w:t>
            </w:r>
          </w:p>
        </w:tc>
        <w:tc>
          <w:tcPr>
            <w:tcW w:w="529" w:type="pct"/>
            <w:tcBorders>
              <w:top w:val="nil"/>
              <w:left w:val="nil"/>
              <w:bottom w:val="single" w:sz="4" w:space="0" w:color="auto"/>
              <w:right w:val="single" w:sz="4" w:space="0" w:color="auto"/>
            </w:tcBorders>
            <w:shd w:val="clear" w:color="auto" w:fill="auto"/>
            <w:noWrap/>
            <w:vAlign w:val="center"/>
            <w:hideMark/>
          </w:tcPr>
          <w:p w14:paraId="77B7DE1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NP-25.001-0050</w:t>
            </w:r>
          </w:p>
        </w:tc>
        <w:tc>
          <w:tcPr>
            <w:tcW w:w="855" w:type="pct"/>
            <w:tcBorders>
              <w:top w:val="nil"/>
              <w:left w:val="nil"/>
              <w:bottom w:val="single" w:sz="4" w:space="0" w:color="auto"/>
              <w:right w:val="single" w:sz="4" w:space="0" w:color="auto"/>
            </w:tcBorders>
            <w:shd w:val="clear" w:color="auto" w:fill="auto"/>
            <w:vAlign w:val="center"/>
            <w:hideMark/>
          </w:tcPr>
          <w:p w14:paraId="63D0563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и реконструкция на Концертна зала като многофункционална зала за симфонични концерти и сценични продукции – Държавна опера Пловдив</w:t>
            </w:r>
          </w:p>
        </w:tc>
        <w:tc>
          <w:tcPr>
            <w:tcW w:w="436" w:type="pct"/>
            <w:tcBorders>
              <w:top w:val="nil"/>
              <w:left w:val="nil"/>
              <w:bottom w:val="single" w:sz="4" w:space="0" w:color="auto"/>
              <w:right w:val="single" w:sz="4" w:space="0" w:color="auto"/>
            </w:tcBorders>
            <w:shd w:val="clear" w:color="auto" w:fill="auto"/>
            <w:vAlign w:val="center"/>
            <w:hideMark/>
          </w:tcPr>
          <w:p w14:paraId="4A88AD5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786E93E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1 138,5</w:t>
            </w:r>
          </w:p>
        </w:tc>
        <w:tc>
          <w:tcPr>
            <w:tcW w:w="436" w:type="pct"/>
            <w:tcBorders>
              <w:top w:val="nil"/>
              <w:left w:val="nil"/>
              <w:bottom w:val="single" w:sz="4" w:space="0" w:color="auto"/>
              <w:right w:val="single" w:sz="4" w:space="0" w:color="auto"/>
            </w:tcBorders>
            <w:shd w:val="clear" w:color="auto" w:fill="auto"/>
            <w:vAlign w:val="center"/>
            <w:hideMark/>
          </w:tcPr>
          <w:p w14:paraId="452D190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2 135,7</w:t>
            </w:r>
          </w:p>
        </w:tc>
        <w:tc>
          <w:tcPr>
            <w:tcW w:w="1524" w:type="pct"/>
            <w:tcBorders>
              <w:top w:val="nil"/>
              <w:left w:val="nil"/>
              <w:bottom w:val="single" w:sz="4" w:space="0" w:color="auto"/>
              <w:right w:val="single" w:sz="4" w:space="0" w:color="auto"/>
            </w:tcBorders>
            <w:shd w:val="clear" w:color="auto" w:fill="auto"/>
            <w:vAlign w:val="center"/>
            <w:hideMark/>
          </w:tcPr>
          <w:p w14:paraId="6E26E59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Ремонтирана и обновена Концертна зала на Държавна опера Пловдив – 1 бр.</w:t>
            </w:r>
          </w:p>
        </w:tc>
        <w:tc>
          <w:tcPr>
            <w:tcW w:w="627" w:type="pct"/>
            <w:tcBorders>
              <w:top w:val="nil"/>
              <w:left w:val="nil"/>
              <w:bottom w:val="single" w:sz="4" w:space="0" w:color="auto"/>
              <w:right w:val="single" w:sz="4" w:space="0" w:color="auto"/>
            </w:tcBorders>
            <w:shd w:val="clear" w:color="auto" w:fill="auto"/>
            <w:vAlign w:val="center"/>
            <w:hideMark/>
          </w:tcPr>
          <w:p w14:paraId="65435C0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33337034" w14:textId="77777777" w:rsidTr="00406B4D">
        <w:trPr>
          <w:trHeight w:val="10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8F10E5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55</w:t>
            </w:r>
          </w:p>
        </w:tc>
        <w:tc>
          <w:tcPr>
            <w:tcW w:w="529" w:type="pct"/>
            <w:tcBorders>
              <w:top w:val="nil"/>
              <w:left w:val="nil"/>
              <w:bottom w:val="single" w:sz="4" w:space="0" w:color="auto"/>
              <w:right w:val="single" w:sz="4" w:space="0" w:color="auto"/>
            </w:tcBorders>
            <w:shd w:val="clear" w:color="auto" w:fill="auto"/>
            <w:noWrap/>
            <w:vAlign w:val="center"/>
            <w:hideMark/>
          </w:tcPr>
          <w:p w14:paraId="12C0D33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NP-26.001-0071</w:t>
            </w:r>
          </w:p>
        </w:tc>
        <w:tc>
          <w:tcPr>
            <w:tcW w:w="855" w:type="pct"/>
            <w:tcBorders>
              <w:top w:val="nil"/>
              <w:left w:val="nil"/>
              <w:bottom w:val="single" w:sz="4" w:space="0" w:color="auto"/>
              <w:right w:val="single" w:sz="4" w:space="0" w:color="auto"/>
            </w:tcBorders>
            <w:shd w:val="clear" w:color="auto" w:fill="auto"/>
            <w:vAlign w:val="center"/>
            <w:hideMark/>
          </w:tcPr>
          <w:p w14:paraId="0A72A44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Основен ремонт и реконструкция на: Самостоятелен обект в сграда /СОС/ с идентификатор 68134.164.192.3.1, СОС с идентификатор </w:t>
            </w:r>
            <w:r w:rsidRPr="00761800">
              <w:rPr>
                <w:rFonts w:ascii="Times New Roman" w:hAnsi="Times New Roman"/>
                <w:sz w:val="20"/>
                <w:lang w:eastAsia="bg-BG"/>
              </w:rPr>
              <w:lastRenderedPageBreak/>
              <w:t>68134.614.192.3.2, СОС с идентификатор 68134.614.192.1.23. в гр. София, бул. Ботевградско шосе № 52-А, СОС с идентификатор 68134.614.192.1.46, в гр. София, бул. Ботевградско шосе № 118, бл.111, вх.Б, СОС с идентификатор 68134.703.1357.5.37 в гр. София, ул. Гео Милев № 112, вх.Б, ет.1, за хранилища и др.</w:t>
            </w:r>
          </w:p>
        </w:tc>
        <w:tc>
          <w:tcPr>
            <w:tcW w:w="436" w:type="pct"/>
            <w:tcBorders>
              <w:top w:val="nil"/>
              <w:left w:val="nil"/>
              <w:bottom w:val="single" w:sz="4" w:space="0" w:color="auto"/>
              <w:right w:val="single" w:sz="4" w:space="0" w:color="auto"/>
            </w:tcBorders>
            <w:shd w:val="clear" w:color="auto" w:fill="auto"/>
            <w:vAlign w:val="center"/>
            <w:hideMark/>
          </w:tcPr>
          <w:p w14:paraId="6B1497A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505,2</w:t>
            </w:r>
          </w:p>
        </w:tc>
        <w:tc>
          <w:tcPr>
            <w:tcW w:w="436" w:type="pct"/>
            <w:tcBorders>
              <w:top w:val="nil"/>
              <w:left w:val="nil"/>
              <w:bottom w:val="single" w:sz="4" w:space="0" w:color="auto"/>
              <w:right w:val="single" w:sz="4" w:space="0" w:color="auto"/>
            </w:tcBorders>
            <w:shd w:val="clear" w:color="auto" w:fill="auto"/>
            <w:vAlign w:val="center"/>
            <w:hideMark/>
          </w:tcPr>
          <w:p w14:paraId="100A981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178993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0A9AD96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и реконструкция на Самостоятелни обекти в сгради -4 бр</w:t>
            </w:r>
          </w:p>
        </w:tc>
        <w:tc>
          <w:tcPr>
            <w:tcW w:w="627" w:type="pct"/>
            <w:tcBorders>
              <w:top w:val="nil"/>
              <w:left w:val="nil"/>
              <w:bottom w:val="single" w:sz="4" w:space="0" w:color="auto"/>
              <w:right w:val="single" w:sz="4" w:space="0" w:color="auto"/>
            </w:tcBorders>
            <w:shd w:val="clear" w:color="auto" w:fill="auto"/>
            <w:vAlign w:val="center"/>
            <w:hideMark/>
          </w:tcPr>
          <w:p w14:paraId="7193190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5152915A"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764508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56</w:t>
            </w:r>
          </w:p>
        </w:tc>
        <w:tc>
          <w:tcPr>
            <w:tcW w:w="529" w:type="pct"/>
            <w:tcBorders>
              <w:top w:val="nil"/>
              <w:left w:val="nil"/>
              <w:bottom w:val="single" w:sz="4" w:space="0" w:color="auto"/>
              <w:right w:val="single" w:sz="4" w:space="0" w:color="auto"/>
            </w:tcBorders>
            <w:shd w:val="clear" w:color="auto" w:fill="auto"/>
            <w:noWrap/>
            <w:vAlign w:val="center"/>
            <w:hideMark/>
          </w:tcPr>
          <w:p w14:paraId="3E7262D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NP-25.001-0052</w:t>
            </w:r>
          </w:p>
        </w:tc>
        <w:tc>
          <w:tcPr>
            <w:tcW w:w="855" w:type="pct"/>
            <w:tcBorders>
              <w:top w:val="nil"/>
              <w:left w:val="nil"/>
              <w:bottom w:val="single" w:sz="4" w:space="0" w:color="auto"/>
              <w:right w:val="single" w:sz="4" w:space="0" w:color="auto"/>
            </w:tcBorders>
            <w:shd w:val="clear" w:color="auto" w:fill="auto"/>
            <w:vAlign w:val="center"/>
            <w:hideMark/>
          </w:tcPr>
          <w:p w14:paraId="4546F8D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Реализиране на нов корпус към съществуващата сграда и топла връзка със съществуващата сграда на НУИ „Панайот Пипков“, Плевен</w:t>
            </w:r>
          </w:p>
        </w:tc>
        <w:tc>
          <w:tcPr>
            <w:tcW w:w="436" w:type="pct"/>
            <w:tcBorders>
              <w:top w:val="nil"/>
              <w:left w:val="nil"/>
              <w:bottom w:val="single" w:sz="4" w:space="0" w:color="auto"/>
              <w:right w:val="single" w:sz="4" w:space="0" w:color="auto"/>
            </w:tcBorders>
            <w:shd w:val="clear" w:color="auto" w:fill="auto"/>
            <w:vAlign w:val="center"/>
            <w:hideMark/>
          </w:tcPr>
          <w:p w14:paraId="4EC46FE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1059BB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454,5</w:t>
            </w:r>
          </w:p>
        </w:tc>
        <w:tc>
          <w:tcPr>
            <w:tcW w:w="436" w:type="pct"/>
            <w:tcBorders>
              <w:top w:val="nil"/>
              <w:left w:val="nil"/>
              <w:bottom w:val="single" w:sz="4" w:space="0" w:color="auto"/>
              <w:right w:val="single" w:sz="4" w:space="0" w:color="auto"/>
            </w:tcBorders>
            <w:shd w:val="clear" w:color="auto" w:fill="auto"/>
            <w:vAlign w:val="center"/>
            <w:hideMark/>
          </w:tcPr>
          <w:p w14:paraId="2F33175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561435D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Придобиване /разширяване/ на учебната база – 1 бр.</w:t>
            </w:r>
          </w:p>
        </w:tc>
        <w:tc>
          <w:tcPr>
            <w:tcW w:w="627" w:type="pct"/>
            <w:tcBorders>
              <w:top w:val="nil"/>
              <w:left w:val="nil"/>
              <w:bottom w:val="single" w:sz="4" w:space="0" w:color="auto"/>
              <w:right w:val="single" w:sz="4" w:space="0" w:color="auto"/>
            </w:tcBorders>
            <w:shd w:val="clear" w:color="auto" w:fill="auto"/>
            <w:vAlign w:val="center"/>
            <w:hideMark/>
          </w:tcPr>
          <w:p w14:paraId="6063020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54DBC998"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79F015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57</w:t>
            </w:r>
          </w:p>
        </w:tc>
        <w:tc>
          <w:tcPr>
            <w:tcW w:w="529" w:type="pct"/>
            <w:tcBorders>
              <w:top w:val="nil"/>
              <w:left w:val="nil"/>
              <w:bottom w:val="single" w:sz="4" w:space="0" w:color="auto"/>
              <w:right w:val="single" w:sz="4" w:space="0" w:color="auto"/>
            </w:tcBorders>
            <w:shd w:val="clear" w:color="auto" w:fill="auto"/>
            <w:noWrap/>
            <w:vAlign w:val="center"/>
            <w:hideMark/>
          </w:tcPr>
          <w:p w14:paraId="5A04143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NP-25.003-0021</w:t>
            </w:r>
          </w:p>
        </w:tc>
        <w:tc>
          <w:tcPr>
            <w:tcW w:w="855" w:type="pct"/>
            <w:tcBorders>
              <w:top w:val="nil"/>
              <w:left w:val="nil"/>
              <w:bottom w:val="single" w:sz="4" w:space="0" w:color="auto"/>
              <w:right w:val="single" w:sz="4" w:space="0" w:color="auto"/>
            </w:tcBorders>
            <w:shd w:val="clear" w:color="auto" w:fill="auto"/>
            <w:vAlign w:val="center"/>
            <w:hideMark/>
          </w:tcPr>
          <w:p w14:paraId="6987799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Реконструкция и пристройка на сградата на Театрална работилница „СФУМАТО“</w:t>
            </w:r>
          </w:p>
        </w:tc>
        <w:tc>
          <w:tcPr>
            <w:tcW w:w="436" w:type="pct"/>
            <w:tcBorders>
              <w:top w:val="nil"/>
              <w:left w:val="nil"/>
              <w:bottom w:val="single" w:sz="4" w:space="0" w:color="auto"/>
              <w:right w:val="single" w:sz="4" w:space="0" w:color="auto"/>
            </w:tcBorders>
            <w:shd w:val="clear" w:color="auto" w:fill="auto"/>
            <w:vAlign w:val="center"/>
            <w:hideMark/>
          </w:tcPr>
          <w:p w14:paraId="0D513F6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53,2</w:t>
            </w:r>
          </w:p>
        </w:tc>
        <w:tc>
          <w:tcPr>
            <w:tcW w:w="436" w:type="pct"/>
            <w:tcBorders>
              <w:top w:val="nil"/>
              <w:left w:val="nil"/>
              <w:bottom w:val="single" w:sz="4" w:space="0" w:color="auto"/>
              <w:right w:val="single" w:sz="4" w:space="0" w:color="auto"/>
            </w:tcBorders>
            <w:shd w:val="clear" w:color="auto" w:fill="auto"/>
            <w:vAlign w:val="center"/>
            <w:hideMark/>
          </w:tcPr>
          <w:p w14:paraId="00F9EAD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EB3428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0E0CEC2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Проект Ремонтиран и обновен сграден фонд на СФУМАТО – 1 бр.</w:t>
            </w:r>
          </w:p>
        </w:tc>
        <w:tc>
          <w:tcPr>
            <w:tcW w:w="627" w:type="pct"/>
            <w:tcBorders>
              <w:top w:val="nil"/>
              <w:left w:val="nil"/>
              <w:bottom w:val="single" w:sz="4" w:space="0" w:color="auto"/>
              <w:right w:val="single" w:sz="4" w:space="0" w:color="auto"/>
            </w:tcBorders>
            <w:shd w:val="clear" w:color="auto" w:fill="auto"/>
            <w:vAlign w:val="center"/>
            <w:hideMark/>
          </w:tcPr>
          <w:p w14:paraId="20CC336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2F2C96D0"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ED1BB0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58</w:t>
            </w:r>
          </w:p>
        </w:tc>
        <w:tc>
          <w:tcPr>
            <w:tcW w:w="529" w:type="pct"/>
            <w:tcBorders>
              <w:top w:val="nil"/>
              <w:left w:val="nil"/>
              <w:bottom w:val="single" w:sz="4" w:space="0" w:color="auto"/>
              <w:right w:val="single" w:sz="4" w:space="0" w:color="auto"/>
            </w:tcBorders>
            <w:shd w:val="clear" w:color="auto" w:fill="auto"/>
            <w:noWrap/>
            <w:vAlign w:val="center"/>
            <w:hideMark/>
          </w:tcPr>
          <w:p w14:paraId="1EFFCB0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NP-25.003-0022</w:t>
            </w:r>
          </w:p>
        </w:tc>
        <w:tc>
          <w:tcPr>
            <w:tcW w:w="855" w:type="pct"/>
            <w:tcBorders>
              <w:top w:val="nil"/>
              <w:left w:val="nil"/>
              <w:bottom w:val="single" w:sz="4" w:space="0" w:color="auto"/>
              <w:right w:val="single" w:sz="4" w:space="0" w:color="auto"/>
            </w:tcBorders>
            <w:shd w:val="clear" w:color="auto" w:fill="auto"/>
            <w:vAlign w:val="center"/>
            <w:hideMark/>
          </w:tcPr>
          <w:p w14:paraId="561C0E0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Изграждане на климатична инсталация в сградата на Национална библиотека „Св. св. Кирил и Методий“ </w:t>
            </w:r>
          </w:p>
        </w:tc>
        <w:tc>
          <w:tcPr>
            <w:tcW w:w="436" w:type="pct"/>
            <w:tcBorders>
              <w:top w:val="nil"/>
              <w:left w:val="nil"/>
              <w:bottom w:val="single" w:sz="4" w:space="0" w:color="auto"/>
              <w:right w:val="single" w:sz="4" w:space="0" w:color="auto"/>
            </w:tcBorders>
            <w:shd w:val="clear" w:color="auto" w:fill="auto"/>
            <w:vAlign w:val="center"/>
            <w:hideMark/>
          </w:tcPr>
          <w:p w14:paraId="0D52F78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246,9</w:t>
            </w:r>
          </w:p>
        </w:tc>
        <w:tc>
          <w:tcPr>
            <w:tcW w:w="436" w:type="pct"/>
            <w:tcBorders>
              <w:top w:val="nil"/>
              <w:left w:val="nil"/>
              <w:bottom w:val="single" w:sz="4" w:space="0" w:color="auto"/>
              <w:right w:val="single" w:sz="4" w:space="0" w:color="auto"/>
            </w:tcBorders>
            <w:shd w:val="clear" w:color="auto" w:fill="auto"/>
            <w:vAlign w:val="center"/>
            <w:hideMark/>
          </w:tcPr>
          <w:p w14:paraId="42EE35A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576,0</w:t>
            </w:r>
          </w:p>
        </w:tc>
        <w:tc>
          <w:tcPr>
            <w:tcW w:w="436" w:type="pct"/>
            <w:tcBorders>
              <w:top w:val="nil"/>
              <w:left w:val="nil"/>
              <w:bottom w:val="single" w:sz="4" w:space="0" w:color="auto"/>
              <w:right w:val="single" w:sz="4" w:space="0" w:color="auto"/>
            </w:tcBorders>
            <w:shd w:val="clear" w:color="auto" w:fill="auto"/>
            <w:vAlign w:val="center"/>
            <w:hideMark/>
          </w:tcPr>
          <w:p w14:paraId="478E2CE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45E5C5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Изградена нова климатична инсталация – 1 </w:t>
            </w:r>
          </w:p>
        </w:tc>
        <w:tc>
          <w:tcPr>
            <w:tcW w:w="627" w:type="pct"/>
            <w:tcBorders>
              <w:top w:val="nil"/>
              <w:left w:val="nil"/>
              <w:bottom w:val="single" w:sz="4" w:space="0" w:color="auto"/>
              <w:right w:val="single" w:sz="4" w:space="0" w:color="auto"/>
            </w:tcBorders>
            <w:shd w:val="clear" w:color="auto" w:fill="auto"/>
            <w:vAlign w:val="center"/>
            <w:hideMark/>
          </w:tcPr>
          <w:p w14:paraId="230919B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70BDCD31"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CA283C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59</w:t>
            </w:r>
          </w:p>
        </w:tc>
        <w:tc>
          <w:tcPr>
            <w:tcW w:w="529" w:type="pct"/>
            <w:tcBorders>
              <w:top w:val="nil"/>
              <w:left w:val="nil"/>
              <w:bottom w:val="single" w:sz="4" w:space="0" w:color="auto"/>
              <w:right w:val="single" w:sz="4" w:space="0" w:color="auto"/>
            </w:tcBorders>
            <w:shd w:val="clear" w:color="auto" w:fill="auto"/>
            <w:noWrap/>
            <w:vAlign w:val="center"/>
            <w:hideMark/>
          </w:tcPr>
          <w:p w14:paraId="61A6377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NP-25.003-0028</w:t>
            </w:r>
          </w:p>
        </w:tc>
        <w:tc>
          <w:tcPr>
            <w:tcW w:w="855" w:type="pct"/>
            <w:tcBorders>
              <w:top w:val="nil"/>
              <w:left w:val="nil"/>
              <w:bottom w:val="single" w:sz="4" w:space="0" w:color="auto"/>
              <w:right w:val="single" w:sz="4" w:space="0" w:color="auto"/>
            </w:tcBorders>
            <w:shd w:val="clear" w:color="auto" w:fill="auto"/>
            <w:vAlign w:val="center"/>
            <w:hideMark/>
          </w:tcPr>
          <w:p w14:paraId="40A9D53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Изготвяне на технически проект за изграждане на автоматизирана пожарогасителна инсталация в сградата на Национален исторически музей София </w:t>
            </w:r>
          </w:p>
        </w:tc>
        <w:tc>
          <w:tcPr>
            <w:tcW w:w="436" w:type="pct"/>
            <w:tcBorders>
              <w:top w:val="nil"/>
              <w:left w:val="nil"/>
              <w:bottom w:val="single" w:sz="4" w:space="0" w:color="auto"/>
              <w:right w:val="single" w:sz="4" w:space="0" w:color="auto"/>
            </w:tcBorders>
            <w:shd w:val="clear" w:color="auto" w:fill="auto"/>
            <w:vAlign w:val="center"/>
            <w:hideMark/>
          </w:tcPr>
          <w:p w14:paraId="4E64D5A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61,3</w:t>
            </w:r>
          </w:p>
        </w:tc>
        <w:tc>
          <w:tcPr>
            <w:tcW w:w="436" w:type="pct"/>
            <w:tcBorders>
              <w:top w:val="nil"/>
              <w:left w:val="nil"/>
              <w:bottom w:val="single" w:sz="4" w:space="0" w:color="auto"/>
              <w:right w:val="single" w:sz="4" w:space="0" w:color="auto"/>
            </w:tcBorders>
            <w:shd w:val="clear" w:color="auto" w:fill="auto"/>
            <w:vAlign w:val="center"/>
            <w:hideMark/>
          </w:tcPr>
          <w:p w14:paraId="0D643BA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59508DE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02604E1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Изградена автоматизирана пожарогасителна инсталация – 1 </w:t>
            </w:r>
          </w:p>
        </w:tc>
        <w:tc>
          <w:tcPr>
            <w:tcW w:w="627" w:type="pct"/>
            <w:tcBorders>
              <w:top w:val="nil"/>
              <w:left w:val="nil"/>
              <w:bottom w:val="single" w:sz="4" w:space="0" w:color="auto"/>
              <w:right w:val="single" w:sz="4" w:space="0" w:color="auto"/>
            </w:tcBorders>
            <w:shd w:val="clear" w:color="auto" w:fill="auto"/>
            <w:vAlign w:val="center"/>
            <w:hideMark/>
          </w:tcPr>
          <w:p w14:paraId="43A01E7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7888D8A1"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C75BB5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w:t>
            </w:r>
          </w:p>
        </w:tc>
        <w:tc>
          <w:tcPr>
            <w:tcW w:w="529" w:type="pct"/>
            <w:tcBorders>
              <w:top w:val="nil"/>
              <w:left w:val="nil"/>
              <w:bottom w:val="single" w:sz="4" w:space="0" w:color="auto"/>
              <w:right w:val="single" w:sz="4" w:space="0" w:color="auto"/>
            </w:tcBorders>
            <w:shd w:val="clear" w:color="auto" w:fill="auto"/>
            <w:noWrap/>
            <w:vAlign w:val="center"/>
            <w:hideMark/>
          </w:tcPr>
          <w:p w14:paraId="0BA12A9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NP-25.003-0032</w:t>
            </w:r>
          </w:p>
        </w:tc>
        <w:tc>
          <w:tcPr>
            <w:tcW w:w="855" w:type="pct"/>
            <w:tcBorders>
              <w:top w:val="nil"/>
              <w:left w:val="nil"/>
              <w:bottom w:val="single" w:sz="4" w:space="0" w:color="auto"/>
              <w:right w:val="single" w:sz="4" w:space="0" w:color="auto"/>
            </w:tcBorders>
            <w:shd w:val="clear" w:color="auto" w:fill="auto"/>
            <w:vAlign w:val="center"/>
            <w:hideMark/>
          </w:tcPr>
          <w:p w14:paraId="40EA990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Изготвяне на технически проект за изграждане на център за експериментално куклено изкуство в Държавен куклен театър Стара Загора </w:t>
            </w:r>
          </w:p>
        </w:tc>
        <w:tc>
          <w:tcPr>
            <w:tcW w:w="436" w:type="pct"/>
            <w:tcBorders>
              <w:top w:val="nil"/>
              <w:left w:val="nil"/>
              <w:bottom w:val="single" w:sz="4" w:space="0" w:color="auto"/>
              <w:right w:val="single" w:sz="4" w:space="0" w:color="auto"/>
            </w:tcBorders>
            <w:shd w:val="clear" w:color="auto" w:fill="auto"/>
            <w:vAlign w:val="center"/>
            <w:hideMark/>
          </w:tcPr>
          <w:p w14:paraId="02FC61C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128,8</w:t>
            </w:r>
          </w:p>
        </w:tc>
        <w:tc>
          <w:tcPr>
            <w:tcW w:w="436" w:type="pct"/>
            <w:tcBorders>
              <w:top w:val="nil"/>
              <w:left w:val="nil"/>
              <w:bottom w:val="single" w:sz="4" w:space="0" w:color="auto"/>
              <w:right w:val="single" w:sz="4" w:space="0" w:color="auto"/>
            </w:tcBorders>
            <w:shd w:val="clear" w:color="auto" w:fill="auto"/>
            <w:vAlign w:val="center"/>
            <w:hideMark/>
          </w:tcPr>
          <w:p w14:paraId="2740D64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7D6955B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4D09F18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Изготвен техн. проект за сграда за експериментално куклено изкуство – 1 </w:t>
            </w:r>
          </w:p>
        </w:tc>
        <w:tc>
          <w:tcPr>
            <w:tcW w:w="627" w:type="pct"/>
            <w:tcBorders>
              <w:top w:val="nil"/>
              <w:left w:val="nil"/>
              <w:bottom w:val="single" w:sz="4" w:space="0" w:color="auto"/>
              <w:right w:val="single" w:sz="4" w:space="0" w:color="auto"/>
            </w:tcBorders>
            <w:shd w:val="clear" w:color="auto" w:fill="auto"/>
            <w:vAlign w:val="center"/>
            <w:hideMark/>
          </w:tcPr>
          <w:p w14:paraId="1183636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4041EC55" w14:textId="77777777" w:rsidTr="00406B4D">
        <w:trPr>
          <w:trHeight w:val="25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4EB888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61</w:t>
            </w:r>
          </w:p>
        </w:tc>
        <w:tc>
          <w:tcPr>
            <w:tcW w:w="529" w:type="pct"/>
            <w:tcBorders>
              <w:top w:val="nil"/>
              <w:left w:val="nil"/>
              <w:bottom w:val="single" w:sz="4" w:space="0" w:color="auto"/>
              <w:right w:val="single" w:sz="4" w:space="0" w:color="auto"/>
            </w:tcBorders>
            <w:shd w:val="clear" w:color="auto" w:fill="auto"/>
            <w:noWrap/>
            <w:vAlign w:val="center"/>
            <w:hideMark/>
          </w:tcPr>
          <w:p w14:paraId="4AE0ABF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NP-25.003-0029</w:t>
            </w:r>
          </w:p>
        </w:tc>
        <w:tc>
          <w:tcPr>
            <w:tcW w:w="855" w:type="pct"/>
            <w:tcBorders>
              <w:top w:val="nil"/>
              <w:left w:val="nil"/>
              <w:bottom w:val="single" w:sz="4" w:space="0" w:color="auto"/>
              <w:right w:val="single" w:sz="4" w:space="0" w:color="auto"/>
            </w:tcBorders>
            <w:shd w:val="clear" w:color="auto" w:fill="auto"/>
            <w:vAlign w:val="center"/>
            <w:hideMark/>
          </w:tcPr>
          <w:p w14:paraId="2832A45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Ремонт на покрив на сградата на Национален исторически музей София </w:t>
            </w:r>
          </w:p>
        </w:tc>
        <w:tc>
          <w:tcPr>
            <w:tcW w:w="436" w:type="pct"/>
            <w:tcBorders>
              <w:top w:val="nil"/>
              <w:left w:val="nil"/>
              <w:bottom w:val="single" w:sz="4" w:space="0" w:color="auto"/>
              <w:right w:val="single" w:sz="4" w:space="0" w:color="auto"/>
            </w:tcBorders>
            <w:shd w:val="clear" w:color="auto" w:fill="auto"/>
            <w:vAlign w:val="center"/>
            <w:hideMark/>
          </w:tcPr>
          <w:p w14:paraId="39D73D2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50,0</w:t>
            </w:r>
          </w:p>
        </w:tc>
        <w:tc>
          <w:tcPr>
            <w:tcW w:w="436" w:type="pct"/>
            <w:tcBorders>
              <w:top w:val="nil"/>
              <w:left w:val="nil"/>
              <w:bottom w:val="single" w:sz="4" w:space="0" w:color="auto"/>
              <w:right w:val="single" w:sz="4" w:space="0" w:color="auto"/>
            </w:tcBorders>
            <w:shd w:val="clear" w:color="auto" w:fill="auto"/>
            <w:vAlign w:val="center"/>
            <w:hideMark/>
          </w:tcPr>
          <w:p w14:paraId="1151C6B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940B07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11BDE31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Ремонтиран покрив – 1 </w:t>
            </w:r>
          </w:p>
        </w:tc>
        <w:tc>
          <w:tcPr>
            <w:tcW w:w="627" w:type="pct"/>
            <w:tcBorders>
              <w:top w:val="nil"/>
              <w:left w:val="nil"/>
              <w:bottom w:val="single" w:sz="4" w:space="0" w:color="auto"/>
              <w:right w:val="single" w:sz="4" w:space="0" w:color="auto"/>
            </w:tcBorders>
            <w:shd w:val="clear" w:color="auto" w:fill="auto"/>
            <w:vAlign w:val="center"/>
            <w:hideMark/>
          </w:tcPr>
          <w:p w14:paraId="3CBD2BB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334610D5"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C145A3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62</w:t>
            </w:r>
          </w:p>
        </w:tc>
        <w:tc>
          <w:tcPr>
            <w:tcW w:w="529" w:type="pct"/>
            <w:tcBorders>
              <w:top w:val="nil"/>
              <w:left w:val="nil"/>
              <w:bottom w:val="single" w:sz="4" w:space="0" w:color="auto"/>
              <w:right w:val="single" w:sz="4" w:space="0" w:color="auto"/>
            </w:tcBorders>
            <w:shd w:val="clear" w:color="auto" w:fill="auto"/>
            <w:noWrap/>
            <w:vAlign w:val="center"/>
            <w:hideMark/>
          </w:tcPr>
          <w:p w14:paraId="73D5A19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NP-25.001-0053</w:t>
            </w:r>
          </w:p>
        </w:tc>
        <w:tc>
          <w:tcPr>
            <w:tcW w:w="855" w:type="pct"/>
            <w:tcBorders>
              <w:top w:val="nil"/>
              <w:left w:val="nil"/>
              <w:bottom w:val="single" w:sz="4" w:space="0" w:color="auto"/>
              <w:right w:val="single" w:sz="4" w:space="0" w:color="auto"/>
            </w:tcBorders>
            <w:shd w:val="clear" w:color="auto" w:fill="auto"/>
            <w:vAlign w:val="center"/>
            <w:hideMark/>
          </w:tcPr>
          <w:p w14:paraId="65A4B46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на жилищна сграда – общежитие на Професионална гимназия по каменообработване</w:t>
            </w:r>
          </w:p>
        </w:tc>
        <w:tc>
          <w:tcPr>
            <w:tcW w:w="436" w:type="pct"/>
            <w:tcBorders>
              <w:top w:val="nil"/>
              <w:left w:val="nil"/>
              <w:bottom w:val="single" w:sz="4" w:space="0" w:color="auto"/>
              <w:right w:val="single" w:sz="4" w:space="0" w:color="auto"/>
            </w:tcBorders>
            <w:shd w:val="clear" w:color="auto" w:fill="auto"/>
            <w:vAlign w:val="center"/>
            <w:hideMark/>
          </w:tcPr>
          <w:p w14:paraId="7AA9ED8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618,0</w:t>
            </w:r>
          </w:p>
        </w:tc>
        <w:tc>
          <w:tcPr>
            <w:tcW w:w="436" w:type="pct"/>
            <w:tcBorders>
              <w:top w:val="nil"/>
              <w:left w:val="nil"/>
              <w:bottom w:val="single" w:sz="4" w:space="0" w:color="auto"/>
              <w:right w:val="single" w:sz="4" w:space="0" w:color="auto"/>
            </w:tcBorders>
            <w:shd w:val="clear" w:color="auto" w:fill="auto"/>
            <w:vAlign w:val="center"/>
            <w:hideMark/>
          </w:tcPr>
          <w:p w14:paraId="640ADFA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103435E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E03FBD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на жилищна сграда – общежитие на Професионална гимназия по каменообработване- 1 бр</w:t>
            </w:r>
          </w:p>
        </w:tc>
        <w:tc>
          <w:tcPr>
            <w:tcW w:w="627" w:type="pct"/>
            <w:tcBorders>
              <w:top w:val="nil"/>
              <w:left w:val="nil"/>
              <w:bottom w:val="single" w:sz="4" w:space="0" w:color="auto"/>
              <w:right w:val="single" w:sz="4" w:space="0" w:color="auto"/>
            </w:tcBorders>
            <w:shd w:val="clear" w:color="auto" w:fill="auto"/>
            <w:vAlign w:val="center"/>
            <w:hideMark/>
          </w:tcPr>
          <w:p w14:paraId="39E2222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454BC48E"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200983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63</w:t>
            </w:r>
          </w:p>
        </w:tc>
        <w:tc>
          <w:tcPr>
            <w:tcW w:w="529" w:type="pct"/>
            <w:tcBorders>
              <w:top w:val="nil"/>
              <w:left w:val="nil"/>
              <w:bottom w:val="single" w:sz="4" w:space="0" w:color="auto"/>
              <w:right w:val="single" w:sz="4" w:space="0" w:color="auto"/>
            </w:tcBorders>
            <w:shd w:val="clear" w:color="auto" w:fill="auto"/>
            <w:noWrap/>
            <w:vAlign w:val="center"/>
            <w:hideMark/>
          </w:tcPr>
          <w:p w14:paraId="0BDC51D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NP-25.001-0051</w:t>
            </w:r>
          </w:p>
        </w:tc>
        <w:tc>
          <w:tcPr>
            <w:tcW w:w="855" w:type="pct"/>
            <w:tcBorders>
              <w:top w:val="nil"/>
              <w:left w:val="nil"/>
              <w:bottom w:val="single" w:sz="4" w:space="0" w:color="auto"/>
              <w:right w:val="single" w:sz="4" w:space="0" w:color="auto"/>
            </w:tcBorders>
            <w:shd w:val="clear" w:color="auto" w:fill="auto"/>
            <w:vAlign w:val="center"/>
            <w:hideMark/>
          </w:tcPr>
          <w:p w14:paraId="1E3C997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Изграждане на нов учебен корпус и благоустрояване на училищен двор на НГПИ Тревненска школа </w:t>
            </w:r>
          </w:p>
        </w:tc>
        <w:tc>
          <w:tcPr>
            <w:tcW w:w="436" w:type="pct"/>
            <w:tcBorders>
              <w:top w:val="nil"/>
              <w:left w:val="nil"/>
              <w:bottom w:val="single" w:sz="4" w:space="0" w:color="auto"/>
              <w:right w:val="single" w:sz="4" w:space="0" w:color="auto"/>
            </w:tcBorders>
            <w:shd w:val="clear" w:color="auto" w:fill="auto"/>
            <w:vAlign w:val="center"/>
            <w:hideMark/>
          </w:tcPr>
          <w:p w14:paraId="15D86DC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574,2</w:t>
            </w:r>
          </w:p>
        </w:tc>
        <w:tc>
          <w:tcPr>
            <w:tcW w:w="436" w:type="pct"/>
            <w:tcBorders>
              <w:top w:val="nil"/>
              <w:left w:val="nil"/>
              <w:bottom w:val="single" w:sz="4" w:space="0" w:color="auto"/>
              <w:right w:val="single" w:sz="4" w:space="0" w:color="auto"/>
            </w:tcBorders>
            <w:shd w:val="clear" w:color="auto" w:fill="auto"/>
            <w:vAlign w:val="center"/>
            <w:hideMark/>
          </w:tcPr>
          <w:p w14:paraId="2AF9502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3985AE1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587520E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Изграждане на нов учебен корпус и благоустрояване на училищен двор 1бр.</w:t>
            </w:r>
          </w:p>
        </w:tc>
        <w:tc>
          <w:tcPr>
            <w:tcW w:w="627" w:type="pct"/>
            <w:tcBorders>
              <w:top w:val="nil"/>
              <w:left w:val="nil"/>
              <w:bottom w:val="single" w:sz="4" w:space="0" w:color="auto"/>
              <w:right w:val="single" w:sz="4" w:space="0" w:color="auto"/>
            </w:tcBorders>
            <w:shd w:val="clear" w:color="auto" w:fill="auto"/>
            <w:vAlign w:val="center"/>
            <w:hideMark/>
          </w:tcPr>
          <w:p w14:paraId="207BB7E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705D57EB"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6C0640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64</w:t>
            </w:r>
          </w:p>
        </w:tc>
        <w:tc>
          <w:tcPr>
            <w:tcW w:w="529" w:type="pct"/>
            <w:tcBorders>
              <w:top w:val="nil"/>
              <w:left w:val="nil"/>
              <w:bottom w:val="single" w:sz="4" w:space="0" w:color="auto"/>
              <w:right w:val="single" w:sz="4" w:space="0" w:color="auto"/>
            </w:tcBorders>
            <w:shd w:val="clear" w:color="auto" w:fill="auto"/>
            <w:noWrap/>
            <w:vAlign w:val="center"/>
            <w:hideMark/>
          </w:tcPr>
          <w:p w14:paraId="1DCA8F0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NP-25.003-0023</w:t>
            </w:r>
          </w:p>
        </w:tc>
        <w:tc>
          <w:tcPr>
            <w:tcW w:w="855" w:type="pct"/>
            <w:tcBorders>
              <w:top w:val="nil"/>
              <w:left w:val="nil"/>
              <w:bottom w:val="single" w:sz="4" w:space="0" w:color="auto"/>
              <w:right w:val="single" w:sz="4" w:space="0" w:color="auto"/>
            </w:tcBorders>
            <w:shd w:val="clear" w:color="auto" w:fill="auto"/>
            <w:vAlign w:val="center"/>
            <w:hideMark/>
          </w:tcPr>
          <w:p w14:paraId="7EDEC12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и рехабилитация на климатичната и вентилационна инсталация в сградата на Национална галерия</w:t>
            </w:r>
          </w:p>
        </w:tc>
        <w:tc>
          <w:tcPr>
            <w:tcW w:w="436" w:type="pct"/>
            <w:tcBorders>
              <w:top w:val="nil"/>
              <w:left w:val="nil"/>
              <w:bottom w:val="single" w:sz="4" w:space="0" w:color="auto"/>
              <w:right w:val="single" w:sz="4" w:space="0" w:color="auto"/>
            </w:tcBorders>
            <w:shd w:val="clear" w:color="auto" w:fill="auto"/>
            <w:vAlign w:val="center"/>
            <w:hideMark/>
          </w:tcPr>
          <w:p w14:paraId="42A4264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298,2</w:t>
            </w:r>
          </w:p>
        </w:tc>
        <w:tc>
          <w:tcPr>
            <w:tcW w:w="436" w:type="pct"/>
            <w:tcBorders>
              <w:top w:val="nil"/>
              <w:left w:val="nil"/>
              <w:bottom w:val="single" w:sz="4" w:space="0" w:color="auto"/>
              <w:right w:val="single" w:sz="4" w:space="0" w:color="auto"/>
            </w:tcBorders>
            <w:shd w:val="clear" w:color="auto" w:fill="auto"/>
            <w:vAlign w:val="center"/>
            <w:hideMark/>
          </w:tcPr>
          <w:p w14:paraId="2E5CF4B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3F24ED8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06B9B7E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Придобиване, разширяване на учебна база- 1 бр.</w:t>
            </w:r>
          </w:p>
        </w:tc>
        <w:tc>
          <w:tcPr>
            <w:tcW w:w="627" w:type="pct"/>
            <w:tcBorders>
              <w:top w:val="nil"/>
              <w:left w:val="nil"/>
              <w:bottom w:val="single" w:sz="4" w:space="0" w:color="auto"/>
              <w:right w:val="single" w:sz="4" w:space="0" w:color="auto"/>
            </w:tcBorders>
            <w:shd w:val="clear" w:color="auto" w:fill="auto"/>
            <w:vAlign w:val="center"/>
            <w:hideMark/>
          </w:tcPr>
          <w:p w14:paraId="1DD0DA8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r>
      <w:tr w:rsidR="00761800" w:rsidRPr="00761800" w14:paraId="5F4B0F45"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802C68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65</w:t>
            </w:r>
          </w:p>
        </w:tc>
        <w:tc>
          <w:tcPr>
            <w:tcW w:w="529" w:type="pct"/>
            <w:tcBorders>
              <w:top w:val="nil"/>
              <w:left w:val="nil"/>
              <w:bottom w:val="single" w:sz="4" w:space="0" w:color="auto"/>
              <w:right w:val="single" w:sz="4" w:space="0" w:color="auto"/>
            </w:tcBorders>
            <w:shd w:val="clear" w:color="auto" w:fill="auto"/>
            <w:noWrap/>
            <w:vAlign w:val="center"/>
            <w:hideMark/>
          </w:tcPr>
          <w:p w14:paraId="2D86580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NP-25.001-0068</w:t>
            </w:r>
          </w:p>
        </w:tc>
        <w:tc>
          <w:tcPr>
            <w:tcW w:w="855" w:type="pct"/>
            <w:tcBorders>
              <w:top w:val="nil"/>
              <w:left w:val="nil"/>
              <w:bottom w:val="single" w:sz="4" w:space="0" w:color="auto"/>
              <w:right w:val="single" w:sz="4" w:space="0" w:color="auto"/>
            </w:tcBorders>
            <w:shd w:val="clear" w:color="auto" w:fill="auto"/>
            <w:vAlign w:val="center"/>
            <w:hideMark/>
          </w:tcPr>
          <w:p w14:paraId="15EC90A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АМ „СТРУМА ЛОТ 3.2“</w:t>
            </w:r>
          </w:p>
        </w:tc>
        <w:tc>
          <w:tcPr>
            <w:tcW w:w="436" w:type="pct"/>
            <w:tcBorders>
              <w:top w:val="nil"/>
              <w:left w:val="nil"/>
              <w:bottom w:val="single" w:sz="4" w:space="0" w:color="auto"/>
              <w:right w:val="single" w:sz="4" w:space="0" w:color="auto"/>
            </w:tcBorders>
            <w:shd w:val="clear" w:color="auto" w:fill="auto"/>
            <w:vAlign w:val="center"/>
            <w:hideMark/>
          </w:tcPr>
          <w:p w14:paraId="2F75939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45 129,3</w:t>
            </w:r>
          </w:p>
        </w:tc>
        <w:tc>
          <w:tcPr>
            <w:tcW w:w="436" w:type="pct"/>
            <w:tcBorders>
              <w:top w:val="nil"/>
              <w:left w:val="nil"/>
              <w:bottom w:val="single" w:sz="4" w:space="0" w:color="auto"/>
              <w:right w:val="single" w:sz="4" w:space="0" w:color="auto"/>
            </w:tcBorders>
            <w:shd w:val="clear" w:color="auto" w:fill="auto"/>
            <w:vAlign w:val="center"/>
            <w:hideMark/>
          </w:tcPr>
          <w:p w14:paraId="4CAC8BB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96 551,0</w:t>
            </w:r>
          </w:p>
        </w:tc>
        <w:tc>
          <w:tcPr>
            <w:tcW w:w="436" w:type="pct"/>
            <w:tcBorders>
              <w:top w:val="nil"/>
              <w:left w:val="nil"/>
              <w:bottom w:val="single" w:sz="4" w:space="0" w:color="auto"/>
              <w:right w:val="single" w:sz="4" w:space="0" w:color="auto"/>
            </w:tcBorders>
            <w:shd w:val="clear" w:color="auto" w:fill="auto"/>
            <w:vAlign w:val="center"/>
            <w:hideMark/>
          </w:tcPr>
          <w:p w14:paraId="127875E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103 055,7</w:t>
            </w:r>
          </w:p>
        </w:tc>
        <w:tc>
          <w:tcPr>
            <w:tcW w:w="1524" w:type="pct"/>
            <w:tcBorders>
              <w:top w:val="nil"/>
              <w:left w:val="nil"/>
              <w:bottom w:val="single" w:sz="4" w:space="0" w:color="auto"/>
              <w:right w:val="single" w:sz="4" w:space="0" w:color="auto"/>
            </w:tcBorders>
            <w:shd w:val="clear" w:color="auto" w:fill="auto"/>
            <w:vAlign w:val="center"/>
            <w:hideMark/>
          </w:tcPr>
          <w:p w14:paraId="324FB58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и новоизградени участъци (км) - 28,9</w:t>
            </w:r>
          </w:p>
        </w:tc>
        <w:tc>
          <w:tcPr>
            <w:tcW w:w="627" w:type="pct"/>
            <w:tcBorders>
              <w:top w:val="nil"/>
              <w:left w:val="nil"/>
              <w:bottom w:val="single" w:sz="4" w:space="0" w:color="auto"/>
              <w:right w:val="single" w:sz="4" w:space="0" w:color="auto"/>
            </w:tcBorders>
            <w:shd w:val="clear" w:color="auto" w:fill="auto"/>
            <w:vAlign w:val="center"/>
            <w:hideMark/>
          </w:tcPr>
          <w:p w14:paraId="36F4902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137DDFCE"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D95A18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66</w:t>
            </w:r>
          </w:p>
        </w:tc>
        <w:tc>
          <w:tcPr>
            <w:tcW w:w="529" w:type="pct"/>
            <w:tcBorders>
              <w:top w:val="nil"/>
              <w:left w:val="nil"/>
              <w:bottom w:val="single" w:sz="4" w:space="0" w:color="auto"/>
              <w:right w:val="single" w:sz="4" w:space="0" w:color="auto"/>
            </w:tcBorders>
            <w:shd w:val="clear" w:color="auto" w:fill="auto"/>
            <w:noWrap/>
            <w:vAlign w:val="center"/>
            <w:hideMark/>
          </w:tcPr>
          <w:p w14:paraId="5061D11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NP-25.001-0069</w:t>
            </w:r>
          </w:p>
        </w:tc>
        <w:tc>
          <w:tcPr>
            <w:tcW w:w="855" w:type="pct"/>
            <w:tcBorders>
              <w:top w:val="nil"/>
              <w:left w:val="nil"/>
              <w:bottom w:val="single" w:sz="4" w:space="0" w:color="auto"/>
              <w:right w:val="single" w:sz="4" w:space="0" w:color="auto"/>
            </w:tcBorders>
            <w:shd w:val="clear" w:color="auto" w:fill="auto"/>
            <w:vAlign w:val="center"/>
            <w:hideMark/>
          </w:tcPr>
          <w:p w14:paraId="539F498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Обход на гр. Габрово от км 20+124,50 до км 30+673,48, включително тунел под връх Шипка /ПТС 2021-2027/</w:t>
            </w:r>
          </w:p>
        </w:tc>
        <w:tc>
          <w:tcPr>
            <w:tcW w:w="436" w:type="pct"/>
            <w:tcBorders>
              <w:top w:val="nil"/>
              <w:left w:val="nil"/>
              <w:bottom w:val="single" w:sz="4" w:space="0" w:color="auto"/>
              <w:right w:val="single" w:sz="4" w:space="0" w:color="auto"/>
            </w:tcBorders>
            <w:shd w:val="clear" w:color="auto" w:fill="auto"/>
            <w:vAlign w:val="center"/>
            <w:hideMark/>
          </w:tcPr>
          <w:p w14:paraId="20D4A8A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18 467,9</w:t>
            </w:r>
          </w:p>
        </w:tc>
        <w:tc>
          <w:tcPr>
            <w:tcW w:w="436" w:type="pct"/>
            <w:tcBorders>
              <w:top w:val="nil"/>
              <w:left w:val="nil"/>
              <w:bottom w:val="single" w:sz="4" w:space="0" w:color="auto"/>
              <w:right w:val="single" w:sz="4" w:space="0" w:color="auto"/>
            </w:tcBorders>
            <w:shd w:val="clear" w:color="auto" w:fill="auto"/>
            <w:vAlign w:val="center"/>
            <w:hideMark/>
          </w:tcPr>
          <w:p w14:paraId="19568B4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16 520,7</w:t>
            </w:r>
          </w:p>
        </w:tc>
        <w:tc>
          <w:tcPr>
            <w:tcW w:w="436" w:type="pct"/>
            <w:tcBorders>
              <w:top w:val="nil"/>
              <w:left w:val="nil"/>
              <w:bottom w:val="single" w:sz="4" w:space="0" w:color="auto"/>
              <w:right w:val="single" w:sz="4" w:space="0" w:color="auto"/>
            </w:tcBorders>
            <w:shd w:val="clear" w:color="auto" w:fill="auto"/>
            <w:vAlign w:val="center"/>
            <w:hideMark/>
          </w:tcPr>
          <w:p w14:paraId="282AB5C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25 520,7</w:t>
            </w:r>
          </w:p>
        </w:tc>
        <w:tc>
          <w:tcPr>
            <w:tcW w:w="1524" w:type="pct"/>
            <w:tcBorders>
              <w:top w:val="nil"/>
              <w:left w:val="nil"/>
              <w:bottom w:val="single" w:sz="4" w:space="0" w:color="auto"/>
              <w:right w:val="single" w:sz="4" w:space="0" w:color="auto"/>
            </w:tcBorders>
            <w:shd w:val="clear" w:color="auto" w:fill="auto"/>
            <w:vAlign w:val="center"/>
            <w:hideMark/>
          </w:tcPr>
          <w:p w14:paraId="098C84F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Рехабилитирани и новоизградени участъци (км) - 10,54. </w:t>
            </w:r>
          </w:p>
        </w:tc>
        <w:tc>
          <w:tcPr>
            <w:tcW w:w="627" w:type="pct"/>
            <w:tcBorders>
              <w:top w:val="nil"/>
              <w:left w:val="nil"/>
              <w:bottom w:val="single" w:sz="4" w:space="0" w:color="auto"/>
              <w:right w:val="single" w:sz="4" w:space="0" w:color="auto"/>
            </w:tcBorders>
            <w:shd w:val="clear" w:color="auto" w:fill="auto"/>
            <w:vAlign w:val="center"/>
            <w:hideMark/>
          </w:tcPr>
          <w:p w14:paraId="6ED599E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FE556FA"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EFF8DD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67</w:t>
            </w:r>
          </w:p>
        </w:tc>
        <w:tc>
          <w:tcPr>
            <w:tcW w:w="529" w:type="pct"/>
            <w:tcBorders>
              <w:top w:val="nil"/>
              <w:left w:val="nil"/>
              <w:bottom w:val="single" w:sz="4" w:space="0" w:color="auto"/>
              <w:right w:val="single" w:sz="4" w:space="0" w:color="auto"/>
            </w:tcBorders>
            <w:shd w:val="clear" w:color="auto" w:fill="auto"/>
            <w:noWrap/>
            <w:vAlign w:val="center"/>
            <w:hideMark/>
          </w:tcPr>
          <w:p w14:paraId="0CF07CA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NP-25.001-0084</w:t>
            </w:r>
          </w:p>
        </w:tc>
        <w:tc>
          <w:tcPr>
            <w:tcW w:w="855" w:type="pct"/>
            <w:tcBorders>
              <w:top w:val="nil"/>
              <w:left w:val="nil"/>
              <w:bottom w:val="single" w:sz="4" w:space="0" w:color="auto"/>
              <w:right w:val="single" w:sz="4" w:space="0" w:color="auto"/>
            </w:tcBorders>
            <w:shd w:val="clear" w:color="auto" w:fill="auto"/>
            <w:vAlign w:val="center"/>
            <w:hideMark/>
          </w:tcPr>
          <w:p w14:paraId="00EB7BA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и доизграждане на път III-1102 Салаш – граница Сърбия от км 45+00 до км 50+075,52, област Видин /ПРР 2021-2027/</w:t>
            </w:r>
          </w:p>
        </w:tc>
        <w:tc>
          <w:tcPr>
            <w:tcW w:w="436" w:type="pct"/>
            <w:tcBorders>
              <w:top w:val="nil"/>
              <w:left w:val="nil"/>
              <w:bottom w:val="single" w:sz="4" w:space="0" w:color="auto"/>
              <w:right w:val="single" w:sz="4" w:space="0" w:color="auto"/>
            </w:tcBorders>
            <w:shd w:val="clear" w:color="auto" w:fill="auto"/>
            <w:vAlign w:val="center"/>
            <w:hideMark/>
          </w:tcPr>
          <w:p w14:paraId="64F251E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2 158,3</w:t>
            </w:r>
          </w:p>
        </w:tc>
        <w:tc>
          <w:tcPr>
            <w:tcW w:w="436" w:type="pct"/>
            <w:tcBorders>
              <w:top w:val="nil"/>
              <w:left w:val="nil"/>
              <w:bottom w:val="single" w:sz="4" w:space="0" w:color="auto"/>
              <w:right w:val="single" w:sz="4" w:space="0" w:color="auto"/>
            </w:tcBorders>
            <w:shd w:val="clear" w:color="auto" w:fill="auto"/>
            <w:vAlign w:val="center"/>
            <w:hideMark/>
          </w:tcPr>
          <w:p w14:paraId="3F3C441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121,4</w:t>
            </w:r>
          </w:p>
        </w:tc>
        <w:tc>
          <w:tcPr>
            <w:tcW w:w="436" w:type="pct"/>
            <w:tcBorders>
              <w:top w:val="nil"/>
              <w:left w:val="nil"/>
              <w:bottom w:val="single" w:sz="4" w:space="0" w:color="auto"/>
              <w:right w:val="single" w:sz="4" w:space="0" w:color="auto"/>
            </w:tcBorders>
            <w:shd w:val="clear" w:color="auto" w:fill="auto"/>
            <w:vAlign w:val="center"/>
            <w:hideMark/>
          </w:tcPr>
          <w:p w14:paraId="060DD8E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400,0</w:t>
            </w:r>
          </w:p>
        </w:tc>
        <w:tc>
          <w:tcPr>
            <w:tcW w:w="1524" w:type="pct"/>
            <w:tcBorders>
              <w:top w:val="nil"/>
              <w:left w:val="nil"/>
              <w:bottom w:val="single" w:sz="4" w:space="0" w:color="auto"/>
              <w:right w:val="single" w:sz="4" w:space="0" w:color="auto"/>
            </w:tcBorders>
            <w:shd w:val="clear" w:color="auto" w:fill="auto"/>
            <w:vAlign w:val="center"/>
            <w:hideMark/>
          </w:tcPr>
          <w:p w14:paraId="5C4659D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-5,08</w:t>
            </w:r>
          </w:p>
        </w:tc>
        <w:tc>
          <w:tcPr>
            <w:tcW w:w="627" w:type="pct"/>
            <w:tcBorders>
              <w:top w:val="nil"/>
              <w:left w:val="nil"/>
              <w:bottom w:val="single" w:sz="4" w:space="0" w:color="auto"/>
              <w:right w:val="single" w:sz="4" w:space="0" w:color="auto"/>
            </w:tcBorders>
            <w:shd w:val="clear" w:color="auto" w:fill="auto"/>
            <w:vAlign w:val="center"/>
            <w:hideMark/>
          </w:tcPr>
          <w:p w14:paraId="11F0D9E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4507B51F"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C4694A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68</w:t>
            </w:r>
          </w:p>
        </w:tc>
        <w:tc>
          <w:tcPr>
            <w:tcW w:w="529" w:type="pct"/>
            <w:tcBorders>
              <w:top w:val="nil"/>
              <w:left w:val="nil"/>
              <w:bottom w:val="single" w:sz="4" w:space="0" w:color="auto"/>
              <w:right w:val="single" w:sz="4" w:space="0" w:color="auto"/>
            </w:tcBorders>
            <w:shd w:val="clear" w:color="auto" w:fill="auto"/>
            <w:noWrap/>
            <w:vAlign w:val="center"/>
            <w:hideMark/>
          </w:tcPr>
          <w:p w14:paraId="3AC1B0B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NP-25.001-0089</w:t>
            </w:r>
          </w:p>
        </w:tc>
        <w:tc>
          <w:tcPr>
            <w:tcW w:w="855" w:type="pct"/>
            <w:tcBorders>
              <w:top w:val="nil"/>
              <w:left w:val="nil"/>
              <w:bottom w:val="single" w:sz="4" w:space="0" w:color="auto"/>
              <w:right w:val="single" w:sz="4" w:space="0" w:color="auto"/>
            </w:tcBorders>
            <w:shd w:val="clear" w:color="auto" w:fill="auto"/>
            <w:vAlign w:val="center"/>
            <w:hideMark/>
          </w:tcPr>
          <w:p w14:paraId="33A56BF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на път III-213 Айдемир - Силистра – Калипетрово от км 0+000 до км 14+880, с обща дължина  14,880 км /ПРР 2021-2027/</w:t>
            </w:r>
          </w:p>
        </w:tc>
        <w:tc>
          <w:tcPr>
            <w:tcW w:w="436" w:type="pct"/>
            <w:tcBorders>
              <w:top w:val="nil"/>
              <w:left w:val="nil"/>
              <w:bottom w:val="single" w:sz="4" w:space="0" w:color="auto"/>
              <w:right w:val="single" w:sz="4" w:space="0" w:color="auto"/>
            </w:tcBorders>
            <w:shd w:val="clear" w:color="auto" w:fill="auto"/>
            <w:vAlign w:val="center"/>
            <w:hideMark/>
          </w:tcPr>
          <w:p w14:paraId="6C2BDCD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139,1</w:t>
            </w:r>
          </w:p>
        </w:tc>
        <w:tc>
          <w:tcPr>
            <w:tcW w:w="436" w:type="pct"/>
            <w:tcBorders>
              <w:top w:val="nil"/>
              <w:left w:val="nil"/>
              <w:bottom w:val="single" w:sz="4" w:space="0" w:color="auto"/>
              <w:right w:val="single" w:sz="4" w:space="0" w:color="auto"/>
            </w:tcBorders>
            <w:shd w:val="clear" w:color="auto" w:fill="auto"/>
            <w:vAlign w:val="center"/>
            <w:hideMark/>
          </w:tcPr>
          <w:p w14:paraId="69C4E6F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1 268,1</w:t>
            </w:r>
          </w:p>
        </w:tc>
        <w:tc>
          <w:tcPr>
            <w:tcW w:w="436" w:type="pct"/>
            <w:tcBorders>
              <w:top w:val="nil"/>
              <w:left w:val="nil"/>
              <w:bottom w:val="single" w:sz="4" w:space="0" w:color="auto"/>
              <w:right w:val="single" w:sz="4" w:space="0" w:color="auto"/>
            </w:tcBorders>
            <w:shd w:val="clear" w:color="auto" w:fill="auto"/>
            <w:vAlign w:val="center"/>
            <w:hideMark/>
          </w:tcPr>
          <w:p w14:paraId="41DDAC7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385,8</w:t>
            </w:r>
          </w:p>
        </w:tc>
        <w:tc>
          <w:tcPr>
            <w:tcW w:w="1524" w:type="pct"/>
            <w:tcBorders>
              <w:top w:val="nil"/>
              <w:left w:val="nil"/>
              <w:bottom w:val="single" w:sz="4" w:space="0" w:color="auto"/>
              <w:right w:val="single" w:sz="4" w:space="0" w:color="auto"/>
            </w:tcBorders>
            <w:shd w:val="clear" w:color="auto" w:fill="auto"/>
            <w:vAlign w:val="center"/>
            <w:hideMark/>
          </w:tcPr>
          <w:p w14:paraId="702DE1B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- 14,88</w:t>
            </w:r>
          </w:p>
        </w:tc>
        <w:tc>
          <w:tcPr>
            <w:tcW w:w="627" w:type="pct"/>
            <w:tcBorders>
              <w:top w:val="nil"/>
              <w:left w:val="nil"/>
              <w:bottom w:val="single" w:sz="4" w:space="0" w:color="auto"/>
              <w:right w:val="single" w:sz="4" w:space="0" w:color="auto"/>
            </w:tcBorders>
            <w:shd w:val="clear" w:color="auto" w:fill="auto"/>
            <w:vAlign w:val="center"/>
            <w:hideMark/>
          </w:tcPr>
          <w:p w14:paraId="2B3901D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4DFBBFB6"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3BC4C5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69</w:t>
            </w:r>
          </w:p>
        </w:tc>
        <w:tc>
          <w:tcPr>
            <w:tcW w:w="529" w:type="pct"/>
            <w:tcBorders>
              <w:top w:val="nil"/>
              <w:left w:val="nil"/>
              <w:bottom w:val="single" w:sz="4" w:space="0" w:color="auto"/>
              <w:right w:val="single" w:sz="4" w:space="0" w:color="auto"/>
            </w:tcBorders>
            <w:shd w:val="clear" w:color="auto" w:fill="auto"/>
            <w:noWrap/>
            <w:vAlign w:val="center"/>
            <w:hideMark/>
          </w:tcPr>
          <w:p w14:paraId="79C8820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NP-25.001-0056</w:t>
            </w:r>
          </w:p>
        </w:tc>
        <w:tc>
          <w:tcPr>
            <w:tcW w:w="855" w:type="pct"/>
            <w:tcBorders>
              <w:top w:val="nil"/>
              <w:left w:val="nil"/>
              <w:bottom w:val="single" w:sz="4" w:space="0" w:color="auto"/>
              <w:right w:val="single" w:sz="4" w:space="0" w:color="auto"/>
            </w:tcBorders>
            <w:shd w:val="clear" w:color="auto" w:fill="auto"/>
            <w:vAlign w:val="center"/>
            <w:hideMark/>
          </w:tcPr>
          <w:p w14:paraId="1C317F7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Модернизация на път I-1 (Е79) „Видин - Ботевград“ по три основни позиции, за обособена позиция 1 - Път  I-1 „Видин - п.в. Макреш“ от км 3+757 до км 33+400</w:t>
            </w:r>
          </w:p>
        </w:tc>
        <w:tc>
          <w:tcPr>
            <w:tcW w:w="436" w:type="pct"/>
            <w:tcBorders>
              <w:top w:val="nil"/>
              <w:left w:val="nil"/>
              <w:bottom w:val="single" w:sz="4" w:space="0" w:color="auto"/>
              <w:right w:val="single" w:sz="4" w:space="0" w:color="auto"/>
            </w:tcBorders>
            <w:shd w:val="clear" w:color="auto" w:fill="auto"/>
            <w:vAlign w:val="center"/>
            <w:hideMark/>
          </w:tcPr>
          <w:p w14:paraId="31F3DD2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35 364,2</w:t>
            </w:r>
          </w:p>
        </w:tc>
        <w:tc>
          <w:tcPr>
            <w:tcW w:w="436" w:type="pct"/>
            <w:tcBorders>
              <w:top w:val="nil"/>
              <w:left w:val="nil"/>
              <w:bottom w:val="single" w:sz="4" w:space="0" w:color="auto"/>
              <w:right w:val="single" w:sz="4" w:space="0" w:color="auto"/>
            </w:tcBorders>
            <w:shd w:val="clear" w:color="auto" w:fill="auto"/>
            <w:vAlign w:val="center"/>
            <w:hideMark/>
          </w:tcPr>
          <w:p w14:paraId="73783B1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12 318,6</w:t>
            </w:r>
          </w:p>
        </w:tc>
        <w:tc>
          <w:tcPr>
            <w:tcW w:w="436" w:type="pct"/>
            <w:tcBorders>
              <w:top w:val="nil"/>
              <w:left w:val="nil"/>
              <w:bottom w:val="single" w:sz="4" w:space="0" w:color="auto"/>
              <w:right w:val="single" w:sz="4" w:space="0" w:color="auto"/>
            </w:tcBorders>
            <w:shd w:val="clear" w:color="auto" w:fill="auto"/>
            <w:vAlign w:val="center"/>
            <w:hideMark/>
          </w:tcPr>
          <w:p w14:paraId="667EFED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12 000,0</w:t>
            </w:r>
          </w:p>
        </w:tc>
        <w:tc>
          <w:tcPr>
            <w:tcW w:w="1524" w:type="pct"/>
            <w:tcBorders>
              <w:top w:val="nil"/>
              <w:left w:val="nil"/>
              <w:bottom w:val="single" w:sz="4" w:space="0" w:color="auto"/>
              <w:right w:val="single" w:sz="4" w:space="0" w:color="auto"/>
            </w:tcBorders>
            <w:shd w:val="clear" w:color="auto" w:fill="auto"/>
            <w:vAlign w:val="center"/>
            <w:hideMark/>
          </w:tcPr>
          <w:p w14:paraId="3102C40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и новоизградени участъци (км) - 29,64</w:t>
            </w:r>
          </w:p>
        </w:tc>
        <w:tc>
          <w:tcPr>
            <w:tcW w:w="627" w:type="pct"/>
            <w:tcBorders>
              <w:top w:val="nil"/>
              <w:left w:val="nil"/>
              <w:bottom w:val="single" w:sz="4" w:space="0" w:color="auto"/>
              <w:right w:val="single" w:sz="4" w:space="0" w:color="auto"/>
            </w:tcBorders>
            <w:shd w:val="clear" w:color="auto" w:fill="auto"/>
            <w:vAlign w:val="center"/>
            <w:hideMark/>
          </w:tcPr>
          <w:p w14:paraId="52276FE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1CC3D70B"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DF6931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70</w:t>
            </w:r>
          </w:p>
        </w:tc>
        <w:tc>
          <w:tcPr>
            <w:tcW w:w="529" w:type="pct"/>
            <w:tcBorders>
              <w:top w:val="nil"/>
              <w:left w:val="nil"/>
              <w:bottom w:val="single" w:sz="4" w:space="0" w:color="auto"/>
              <w:right w:val="single" w:sz="4" w:space="0" w:color="auto"/>
            </w:tcBorders>
            <w:shd w:val="clear" w:color="auto" w:fill="auto"/>
            <w:noWrap/>
            <w:vAlign w:val="center"/>
            <w:hideMark/>
          </w:tcPr>
          <w:p w14:paraId="0774C6E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NP-25.001-0070</w:t>
            </w:r>
          </w:p>
        </w:tc>
        <w:tc>
          <w:tcPr>
            <w:tcW w:w="855" w:type="pct"/>
            <w:tcBorders>
              <w:top w:val="nil"/>
              <w:left w:val="nil"/>
              <w:bottom w:val="single" w:sz="4" w:space="0" w:color="auto"/>
              <w:right w:val="single" w:sz="4" w:space="0" w:color="auto"/>
            </w:tcBorders>
            <w:shd w:val="clear" w:color="auto" w:fill="auto"/>
            <w:vAlign w:val="center"/>
            <w:hideMark/>
          </w:tcPr>
          <w:p w14:paraId="25FE2EB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Лот  31А  „Път II-53 Поликраище - Елена - Сливен от км 34+400 до </w:t>
            </w:r>
            <w:r w:rsidRPr="00761800">
              <w:rPr>
                <w:rFonts w:ascii="Times New Roman" w:hAnsi="Times New Roman"/>
                <w:sz w:val="20"/>
                <w:lang w:eastAsia="bg-BG"/>
              </w:rPr>
              <w:lastRenderedPageBreak/>
              <w:t>км 46+290, с обща дължина 11,890 км, област В. Търново“ /ОПРР 2014-2020/</w:t>
            </w:r>
          </w:p>
        </w:tc>
        <w:tc>
          <w:tcPr>
            <w:tcW w:w="436" w:type="pct"/>
            <w:tcBorders>
              <w:top w:val="nil"/>
              <w:left w:val="nil"/>
              <w:bottom w:val="single" w:sz="4" w:space="0" w:color="auto"/>
              <w:right w:val="single" w:sz="4" w:space="0" w:color="auto"/>
            </w:tcBorders>
            <w:shd w:val="clear" w:color="auto" w:fill="auto"/>
            <w:vAlign w:val="center"/>
            <w:hideMark/>
          </w:tcPr>
          <w:p w14:paraId="23538DF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27,2</w:t>
            </w:r>
          </w:p>
        </w:tc>
        <w:tc>
          <w:tcPr>
            <w:tcW w:w="436" w:type="pct"/>
            <w:tcBorders>
              <w:top w:val="nil"/>
              <w:left w:val="nil"/>
              <w:bottom w:val="single" w:sz="4" w:space="0" w:color="auto"/>
              <w:right w:val="single" w:sz="4" w:space="0" w:color="auto"/>
            </w:tcBorders>
            <w:shd w:val="clear" w:color="auto" w:fill="auto"/>
            <w:vAlign w:val="center"/>
            <w:hideMark/>
          </w:tcPr>
          <w:p w14:paraId="577AAC0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18274EB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703436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Обща дължина на реконструирани или модернизирани пътища (км) - 11,89</w:t>
            </w:r>
          </w:p>
        </w:tc>
        <w:tc>
          <w:tcPr>
            <w:tcW w:w="627" w:type="pct"/>
            <w:tcBorders>
              <w:top w:val="nil"/>
              <w:left w:val="nil"/>
              <w:bottom w:val="single" w:sz="4" w:space="0" w:color="auto"/>
              <w:right w:val="single" w:sz="4" w:space="0" w:color="auto"/>
            </w:tcBorders>
            <w:shd w:val="clear" w:color="auto" w:fill="auto"/>
            <w:vAlign w:val="center"/>
            <w:hideMark/>
          </w:tcPr>
          <w:p w14:paraId="133CC0F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Министерство на регионалното </w:t>
            </w:r>
            <w:r w:rsidRPr="00761800">
              <w:rPr>
                <w:rFonts w:ascii="Times New Roman" w:hAnsi="Times New Roman"/>
                <w:sz w:val="20"/>
                <w:lang w:eastAsia="bg-BG"/>
              </w:rPr>
              <w:lastRenderedPageBreak/>
              <w:t>развитие и благоустройството</w:t>
            </w:r>
          </w:p>
        </w:tc>
      </w:tr>
      <w:tr w:rsidR="00761800" w:rsidRPr="00761800" w14:paraId="4380959B"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01D788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71</w:t>
            </w:r>
          </w:p>
        </w:tc>
        <w:tc>
          <w:tcPr>
            <w:tcW w:w="529" w:type="pct"/>
            <w:tcBorders>
              <w:top w:val="nil"/>
              <w:left w:val="nil"/>
              <w:bottom w:val="single" w:sz="4" w:space="0" w:color="auto"/>
              <w:right w:val="single" w:sz="4" w:space="0" w:color="auto"/>
            </w:tcBorders>
            <w:shd w:val="clear" w:color="auto" w:fill="auto"/>
            <w:noWrap/>
            <w:vAlign w:val="center"/>
            <w:hideMark/>
          </w:tcPr>
          <w:p w14:paraId="25A550A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NP-25.001-0071</w:t>
            </w:r>
          </w:p>
        </w:tc>
        <w:tc>
          <w:tcPr>
            <w:tcW w:w="855" w:type="pct"/>
            <w:tcBorders>
              <w:top w:val="nil"/>
              <w:left w:val="nil"/>
              <w:bottom w:val="single" w:sz="4" w:space="0" w:color="auto"/>
              <w:right w:val="single" w:sz="4" w:space="0" w:color="auto"/>
            </w:tcBorders>
            <w:shd w:val="clear" w:color="auto" w:fill="auto"/>
            <w:vAlign w:val="center"/>
            <w:hideMark/>
          </w:tcPr>
          <w:p w14:paraId="5213AAF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Лот  31Б „Път II-53 Поликраище - Елена - Сливен от км 72+200 до км 87+301, с обща дължина 15,101 км, област Сливен“ /ОПРР 2014-2020/</w:t>
            </w:r>
          </w:p>
        </w:tc>
        <w:tc>
          <w:tcPr>
            <w:tcW w:w="436" w:type="pct"/>
            <w:tcBorders>
              <w:top w:val="nil"/>
              <w:left w:val="nil"/>
              <w:bottom w:val="single" w:sz="4" w:space="0" w:color="auto"/>
              <w:right w:val="single" w:sz="4" w:space="0" w:color="auto"/>
            </w:tcBorders>
            <w:shd w:val="clear" w:color="auto" w:fill="auto"/>
            <w:vAlign w:val="center"/>
            <w:hideMark/>
          </w:tcPr>
          <w:p w14:paraId="5792F4E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99,3</w:t>
            </w:r>
          </w:p>
        </w:tc>
        <w:tc>
          <w:tcPr>
            <w:tcW w:w="436" w:type="pct"/>
            <w:tcBorders>
              <w:top w:val="nil"/>
              <w:left w:val="nil"/>
              <w:bottom w:val="single" w:sz="4" w:space="0" w:color="auto"/>
              <w:right w:val="single" w:sz="4" w:space="0" w:color="auto"/>
            </w:tcBorders>
            <w:shd w:val="clear" w:color="auto" w:fill="auto"/>
            <w:vAlign w:val="center"/>
            <w:hideMark/>
          </w:tcPr>
          <w:p w14:paraId="3BCA826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2F9C1F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2293406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Обща дължина на реконструирани или модернизирани пътища (км) - 15,10</w:t>
            </w:r>
          </w:p>
        </w:tc>
        <w:tc>
          <w:tcPr>
            <w:tcW w:w="627" w:type="pct"/>
            <w:tcBorders>
              <w:top w:val="nil"/>
              <w:left w:val="nil"/>
              <w:bottom w:val="single" w:sz="4" w:space="0" w:color="auto"/>
              <w:right w:val="single" w:sz="4" w:space="0" w:color="auto"/>
            </w:tcBorders>
            <w:shd w:val="clear" w:color="auto" w:fill="auto"/>
            <w:vAlign w:val="center"/>
            <w:hideMark/>
          </w:tcPr>
          <w:p w14:paraId="061A8C2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2218360A"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6F82D6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72</w:t>
            </w:r>
          </w:p>
        </w:tc>
        <w:tc>
          <w:tcPr>
            <w:tcW w:w="529" w:type="pct"/>
            <w:tcBorders>
              <w:top w:val="nil"/>
              <w:left w:val="nil"/>
              <w:bottom w:val="single" w:sz="4" w:space="0" w:color="auto"/>
              <w:right w:val="single" w:sz="4" w:space="0" w:color="auto"/>
            </w:tcBorders>
            <w:shd w:val="clear" w:color="auto" w:fill="auto"/>
            <w:noWrap/>
            <w:vAlign w:val="center"/>
            <w:hideMark/>
          </w:tcPr>
          <w:p w14:paraId="69F3B1C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NP-25.001-0063</w:t>
            </w:r>
          </w:p>
        </w:tc>
        <w:tc>
          <w:tcPr>
            <w:tcW w:w="855" w:type="pct"/>
            <w:tcBorders>
              <w:top w:val="nil"/>
              <w:left w:val="nil"/>
              <w:bottom w:val="single" w:sz="4" w:space="0" w:color="auto"/>
              <w:right w:val="single" w:sz="4" w:space="0" w:color="auto"/>
            </w:tcBorders>
            <w:shd w:val="clear" w:color="auto" w:fill="auto"/>
            <w:vAlign w:val="center"/>
            <w:hideMark/>
          </w:tcPr>
          <w:p w14:paraId="44F8BAF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Път I-8 /Калотина-София-Пловдив/ от км 89+170 до км 147+750 с обща дължина 58.58</w:t>
            </w:r>
          </w:p>
        </w:tc>
        <w:tc>
          <w:tcPr>
            <w:tcW w:w="436" w:type="pct"/>
            <w:tcBorders>
              <w:top w:val="nil"/>
              <w:left w:val="nil"/>
              <w:bottom w:val="single" w:sz="4" w:space="0" w:color="auto"/>
              <w:right w:val="single" w:sz="4" w:space="0" w:color="auto"/>
            </w:tcBorders>
            <w:shd w:val="clear" w:color="auto" w:fill="auto"/>
            <w:vAlign w:val="center"/>
            <w:hideMark/>
          </w:tcPr>
          <w:p w14:paraId="1529B07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8 620,9</w:t>
            </w:r>
          </w:p>
        </w:tc>
        <w:tc>
          <w:tcPr>
            <w:tcW w:w="436" w:type="pct"/>
            <w:tcBorders>
              <w:top w:val="nil"/>
              <w:left w:val="nil"/>
              <w:bottom w:val="single" w:sz="4" w:space="0" w:color="auto"/>
              <w:right w:val="single" w:sz="4" w:space="0" w:color="auto"/>
            </w:tcBorders>
            <w:shd w:val="clear" w:color="auto" w:fill="auto"/>
            <w:vAlign w:val="center"/>
            <w:hideMark/>
          </w:tcPr>
          <w:p w14:paraId="7B6355B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1 864,0</w:t>
            </w:r>
          </w:p>
        </w:tc>
        <w:tc>
          <w:tcPr>
            <w:tcW w:w="436" w:type="pct"/>
            <w:tcBorders>
              <w:top w:val="nil"/>
              <w:left w:val="nil"/>
              <w:bottom w:val="single" w:sz="4" w:space="0" w:color="auto"/>
              <w:right w:val="single" w:sz="4" w:space="0" w:color="auto"/>
            </w:tcBorders>
            <w:shd w:val="clear" w:color="auto" w:fill="auto"/>
            <w:vAlign w:val="center"/>
            <w:hideMark/>
          </w:tcPr>
          <w:p w14:paraId="2CDC25D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2 000,0</w:t>
            </w:r>
          </w:p>
        </w:tc>
        <w:tc>
          <w:tcPr>
            <w:tcW w:w="1524" w:type="pct"/>
            <w:tcBorders>
              <w:top w:val="nil"/>
              <w:left w:val="nil"/>
              <w:bottom w:val="single" w:sz="4" w:space="0" w:color="auto"/>
              <w:right w:val="single" w:sz="4" w:space="0" w:color="auto"/>
            </w:tcBorders>
            <w:shd w:val="clear" w:color="auto" w:fill="auto"/>
            <w:vAlign w:val="center"/>
            <w:hideMark/>
          </w:tcPr>
          <w:p w14:paraId="14A3C92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и новоизградени участъци - 58.58 км</w:t>
            </w:r>
          </w:p>
        </w:tc>
        <w:tc>
          <w:tcPr>
            <w:tcW w:w="627" w:type="pct"/>
            <w:tcBorders>
              <w:top w:val="nil"/>
              <w:left w:val="nil"/>
              <w:bottom w:val="single" w:sz="4" w:space="0" w:color="auto"/>
              <w:right w:val="single" w:sz="4" w:space="0" w:color="auto"/>
            </w:tcBorders>
            <w:shd w:val="clear" w:color="auto" w:fill="auto"/>
            <w:vAlign w:val="center"/>
            <w:hideMark/>
          </w:tcPr>
          <w:p w14:paraId="6A67905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4F6B5950"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5DDE37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73</w:t>
            </w:r>
          </w:p>
        </w:tc>
        <w:tc>
          <w:tcPr>
            <w:tcW w:w="529" w:type="pct"/>
            <w:tcBorders>
              <w:top w:val="nil"/>
              <w:left w:val="nil"/>
              <w:bottom w:val="single" w:sz="4" w:space="0" w:color="auto"/>
              <w:right w:val="single" w:sz="4" w:space="0" w:color="auto"/>
            </w:tcBorders>
            <w:shd w:val="clear" w:color="auto" w:fill="auto"/>
            <w:noWrap/>
            <w:vAlign w:val="center"/>
            <w:hideMark/>
          </w:tcPr>
          <w:p w14:paraId="7C6C312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NP-25.001-0072</w:t>
            </w:r>
          </w:p>
        </w:tc>
        <w:tc>
          <w:tcPr>
            <w:tcW w:w="855" w:type="pct"/>
            <w:tcBorders>
              <w:top w:val="nil"/>
              <w:left w:val="nil"/>
              <w:bottom w:val="single" w:sz="4" w:space="0" w:color="auto"/>
              <w:right w:val="single" w:sz="4" w:space="0" w:color="auto"/>
            </w:tcBorders>
            <w:shd w:val="clear" w:color="auto" w:fill="auto"/>
            <w:vAlign w:val="center"/>
            <w:hideMark/>
          </w:tcPr>
          <w:p w14:paraId="5DA6BF1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Път II-86 Средногорци - Рудозем и обход на Рудозем от км 132+920 до км 135+530 /Интеррег VI-А Гърция - България 2021-2027/</w:t>
            </w:r>
          </w:p>
        </w:tc>
        <w:tc>
          <w:tcPr>
            <w:tcW w:w="436" w:type="pct"/>
            <w:tcBorders>
              <w:top w:val="nil"/>
              <w:left w:val="nil"/>
              <w:bottom w:val="single" w:sz="4" w:space="0" w:color="auto"/>
              <w:right w:val="single" w:sz="4" w:space="0" w:color="auto"/>
            </w:tcBorders>
            <w:shd w:val="clear" w:color="auto" w:fill="auto"/>
            <w:vAlign w:val="center"/>
            <w:hideMark/>
          </w:tcPr>
          <w:p w14:paraId="60FCF2F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w:t>
            </w:r>
          </w:p>
        </w:tc>
        <w:tc>
          <w:tcPr>
            <w:tcW w:w="436" w:type="pct"/>
            <w:tcBorders>
              <w:top w:val="nil"/>
              <w:left w:val="nil"/>
              <w:bottom w:val="single" w:sz="4" w:space="0" w:color="auto"/>
              <w:right w:val="single" w:sz="4" w:space="0" w:color="auto"/>
            </w:tcBorders>
            <w:shd w:val="clear" w:color="auto" w:fill="auto"/>
            <w:vAlign w:val="center"/>
            <w:hideMark/>
          </w:tcPr>
          <w:p w14:paraId="630227B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4B9F7C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4D63BA3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Обща дължина на реконструирани или модернизирани пътища (км) - 7,05</w:t>
            </w:r>
          </w:p>
        </w:tc>
        <w:tc>
          <w:tcPr>
            <w:tcW w:w="627" w:type="pct"/>
            <w:tcBorders>
              <w:top w:val="nil"/>
              <w:left w:val="nil"/>
              <w:bottom w:val="single" w:sz="4" w:space="0" w:color="auto"/>
              <w:right w:val="single" w:sz="4" w:space="0" w:color="auto"/>
            </w:tcBorders>
            <w:shd w:val="clear" w:color="auto" w:fill="auto"/>
            <w:vAlign w:val="center"/>
            <w:hideMark/>
          </w:tcPr>
          <w:p w14:paraId="05EC259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668B85FC"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44E402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74</w:t>
            </w:r>
          </w:p>
        </w:tc>
        <w:tc>
          <w:tcPr>
            <w:tcW w:w="529" w:type="pct"/>
            <w:tcBorders>
              <w:top w:val="nil"/>
              <w:left w:val="nil"/>
              <w:bottom w:val="single" w:sz="4" w:space="0" w:color="auto"/>
              <w:right w:val="single" w:sz="4" w:space="0" w:color="auto"/>
            </w:tcBorders>
            <w:shd w:val="clear" w:color="auto" w:fill="auto"/>
            <w:noWrap/>
            <w:vAlign w:val="center"/>
            <w:hideMark/>
          </w:tcPr>
          <w:p w14:paraId="28FF2BA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NP-25.001-0090</w:t>
            </w:r>
          </w:p>
        </w:tc>
        <w:tc>
          <w:tcPr>
            <w:tcW w:w="855" w:type="pct"/>
            <w:tcBorders>
              <w:top w:val="nil"/>
              <w:left w:val="nil"/>
              <w:bottom w:val="single" w:sz="4" w:space="0" w:color="auto"/>
              <w:right w:val="single" w:sz="4" w:space="0" w:color="auto"/>
            </w:tcBorders>
            <w:shd w:val="clear" w:color="auto" w:fill="auto"/>
            <w:vAlign w:val="center"/>
            <w:hideMark/>
          </w:tcPr>
          <w:p w14:paraId="603B3EB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за подобряване организацията на движение на улица „33-ти Свищовски полк“ гр. Свищов /Републикански път II-52/ /ПРР 2021-2027/</w:t>
            </w:r>
          </w:p>
        </w:tc>
        <w:tc>
          <w:tcPr>
            <w:tcW w:w="436" w:type="pct"/>
            <w:tcBorders>
              <w:top w:val="nil"/>
              <w:left w:val="nil"/>
              <w:bottom w:val="single" w:sz="4" w:space="0" w:color="auto"/>
              <w:right w:val="single" w:sz="4" w:space="0" w:color="auto"/>
            </w:tcBorders>
            <w:shd w:val="clear" w:color="auto" w:fill="auto"/>
            <w:vAlign w:val="center"/>
            <w:hideMark/>
          </w:tcPr>
          <w:p w14:paraId="5BE225D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199,6</w:t>
            </w:r>
          </w:p>
        </w:tc>
        <w:tc>
          <w:tcPr>
            <w:tcW w:w="436" w:type="pct"/>
            <w:tcBorders>
              <w:top w:val="nil"/>
              <w:left w:val="nil"/>
              <w:bottom w:val="single" w:sz="4" w:space="0" w:color="auto"/>
              <w:right w:val="single" w:sz="4" w:space="0" w:color="auto"/>
            </w:tcBorders>
            <w:shd w:val="clear" w:color="auto" w:fill="auto"/>
            <w:vAlign w:val="center"/>
            <w:hideMark/>
          </w:tcPr>
          <w:p w14:paraId="0DD33CE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7BD4CE9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2E06AB8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- 1,09</w:t>
            </w:r>
          </w:p>
        </w:tc>
        <w:tc>
          <w:tcPr>
            <w:tcW w:w="627" w:type="pct"/>
            <w:tcBorders>
              <w:top w:val="nil"/>
              <w:left w:val="nil"/>
              <w:bottom w:val="single" w:sz="4" w:space="0" w:color="auto"/>
              <w:right w:val="single" w:sz="4" w:space="0" w:color="auto"/>
            </w:tcBorders>
            <w:shd w:val="clear" w:color="auto" w:fill="auto"/>
            <w:vAlign w:val="center"/>
            <w:hideMark/>
          </w:tcPr>
          <w:p w14:paraId="50EE71A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1E8E7739"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19FFEB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75</w:t>
            </w:r>
          </w:p>
        </w:tc>
        <w:tc>
          <w:tcPr>
            <w:tcW w:w="529" w:type="pct"/>
            <w:tcBorders>
              <w:top w:val="nil"/>
              <w:left w:val="nil"/>
              <w:bottom w:val="single" w:sz="4" w:space="0" w:color="auto"/>
              <w:right w:val="single" w:sz="4" w:space="0" w:color="auto"/>
            </w:tcBorders>
            <w:shd w:val="clear" w:color="auto" w:fill="auto"/>
            <w:noWrap/>
            <w:vAlign w:val="center"/>
            <w:hideMark/>
          </w:tcPr>
          <w:p w14:paraId="41FBC17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NP-25.001-0078</w:t>
            </w:r>
          </w:p>
        </w:tc>
        <w:tc>
          <w:tcPr>
            <w:tcW w:w="855" w:type="pct"/>
            <w:tcBorders>
              <w:top w:val="nil"/>
              <w:left w:val="nil"/>
              <w:bottom w:val="single" w:sz="4" w:space="0" w:color="auto"/>
              <w:right w:val="single" w:sz="4" w:space="0" w:color="auto"/>
            </w:tcBorders>
            <w:shd w:val="clear" w:color="auto" w:fill="auto"/>
            <w:vAlign w:val="center"/>
            <w:hideMark/>
          </w:tcPr>
          <w:p w14:paraId="7238FBC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Трайно укрепване на срутище на републикански път II-16 „Зверино - Елисейна” от км 19+600 до км 19+800, </w:t>
            </w:r>
            <w:r w:rsidRPr="00761800">
              <w:rPr>
                <w:rFonts w:ascii="Times New Roman" w:hAnsi="Times New Roman"/>
                <w:sz w:val="20"/>
                <w:lang w:eastAsia="bg-BG"/>
              </w:rPr>
              <w:lastRenderedPageBreak/>
              <w:t>от км 20+320 до км 21+045 и от км 21+300 до км 21+540, област Враца /ПОС 2021-2027/</w:t>
            </w:r>
          </w:p>
        </w:tc>
        <w:tc>
          <w:tcPr>
            <w:tcW w:w="436" w:type="pct"/>
            <w:tcBorders>
              <w:top w:val="nil"/>
              <w:left w:val="nil"/>
              <w:bottom w:val="single" w:sz="4" w:space="0" w:color="auto"/>
              <w:right w:val="single" w:sz="4" w:space="0" w:color="auto"/>
            </w:tcBorders>
            <w:shd w:val="clear" w:color="auto" w:fill="auto"/>
            <w:vAlign w:val="center"/>
            <w:hideMark/>
          </w:tcPr>
          <w:p w14:paraId="0F1F87B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1 587,5</w:t>
            </w:r>
          </w:p>
        </w:tc>
        <w:tc>
          <w:tcPr>
            <w:tcW w:w="436" w:type="pct"/>
            <w:tcBorders>
              <w:top w:val="nil"/>
              <w:left w:val="nil"/>
              <w:bottom w:val="single" w:sz="4" w:space="0" w:color="auto"/>
              <w:right w:val="single" w:sz="4" w:space="0" w:color="auto"/>
            </w:tcBorders>
            <w:shd w:val="clear" w:color="auto" w:fill="auto"/>
            <w:vAlign w:val="center"/>
            <w:hideMark/>
          </w:tcPr>
          <w:p w14:paraId="47A7291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990,1</w:t>
            </w:r>
          </w:p>
        </w:tc>
        <w:tc>
          <w:tcPr>
            <w:tcW w:w="436" w:type="pct"/>
            <w:tcBorders>
              <w:top w:val="nil"/>
              <w:left w:val="nil"/>
              <w:bottom w:val="single" w:sz="4" w:space="0" w:color="auto"/>
              <w:right w:val="single" w:sz="4" w:space="0" w:color="auto"/>
            </w:tcBorders>
            <w:shd w:val="clear" w:color="auto" w:fill="auto"/>
            <w:vAlign w:val="center"/>
            <w:hideMark/>
          </w:tcPr>
          <w:p w14:paraId="72E1140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928,6</w:t>
            </w:r>
          </w:p>
        </w:tc>
        <w:tc>
          <w:tcPr>
            <w:tcW w:w="1524" w:type="pct"/>
            <w:tcBorders>
              <w:top w:val="nil"/>
              <w:left w:val="nil"/>
              <w:bottom w:val="single" w:sz="4" w:space="0" w:color="auto"/>
              <w:right w:val="single" w:sz="4" w:space="0" w:color="auto"/>
            </w:tcBorders>
            <w:shd w:val="clear" w:color="auto" w:fill="auto"/>
            <w:vAlign w:val="center"/>
            <w:hideMark/>
          </w:tcPr>
          <w:p w14:paraId="3FC9355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укрепени участъци от РПМ, засегнати от неблагоприятни геодннамичнн процеси -1</w:t>
            </w:r>
          </w:p>
        </w:tc>
        <w:tc>
          <w:tcPr>
            <w:tcW w:w="627" w:type="pct"/>
            <w:tcBorders>
              <w:top w:val="nil"/>
              <w:left w:val="nil"/>
              <w:bottom w:val="single" w:sz="4" w:space="0" w:color="auto"/>
              <w:right w:val="single" w:sz="4" w:space="0" w:color="auto"/>
            </w:tcBorders>
            <w:shd w:val="clear" w:color="auto" w:fill="auto"/>
            <w:vAlign w:val="center"/>
            <w:hideMark/>
          </w:tcPr>
          <w:p w14:paraId="25112A3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B5B3F0F"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A80925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76</w:t>
            </w:r>
          </w:p>
        </w:tc>
        <w:tc>
          <w:tcPr>
            <w:tcW w:w="529" w:type="pct"/>
            <w:tcBorders>
              <w:top w:val="nil"/>
              <w:left w:val="nil"/>
              <w:bottom w:val="single" w:sz="4" w:space="0" w:color="auto"/>
              <w:right w:val="single" w:sz="4" w:space="0" w:color="auto"/>
            </w:tcBorders>
            <w:shd w:val="clear" w:color="auto" w:fill="auto"/>
            <w:noWrap/>
            <w:vAlign w:val="center"/>
            <w:hideMark/>
          </w:tcPr>
          <w:p w14:paraId="117BA64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NP-25.001-0065</w:t>
            </w:r>
          </w:p>
        </w:tc>
        <w:tc>
          <w:tcPr>
            <w:tcW w:w="855" w:type="pct"/>
            <w:tcBorders>
              <w:top w:val="nil"/>
              <w:left w:val="nil"/>
              <w:bottom w:val="single" w:sz="4" w:space="0" w:color="auto"/>
              <w:right w:val="single" w:sz="4" w:space="0" w:color="auto"/>
            </w:tcBorders>
            <w:shd w:val="clear" w:color="auto" w:fill="auto"/>
            <w:vAlign w:val="center"/>
            <w:hideMark/>
          </w:tcPr>
          <w:p w14:paraId="4FA7610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Тунел „Топли дол“ на АМ „Хемус“ при км 39+562,30</w:t>
            </w:r>
          </w:p>
        </w:tc>
        <w:tc>
          <w:tcPr>
            <w:tcW w:w="436" w:type="pct"/>
            <w:tcBorders>
              <w:top w:val="nil"/>
              <w:left w:val="nil"/>
              <w:bottom w:val="single" w:sz="4" w:space="0" w:color="auto"/>
              <w:right w:val="single" w:sz="4" w:space="0" w:color="auto"/>
            </w:tcBorders>
            <w:shd w:val="clear" w:color="auto" w:fill="auto"/>
            <w:vAlign w:val="center"/>
            <w:hideMark/>
          </w:tcPr>
          <w:p w14:paraId="634295A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3 785,1</w:t>
            </w:r>
          </w:p>
        </w:tc>
        <w:tc>
          <w:tcPr>
            <w:tcW w:w="436" w:type="pct"/>
            <w:tcBorders>
              <w:top w:val="nil"/>
              <w:left w:val="nil"/>
              <w:bottom w:val="single" w:sz="4" w:space="0" w:color="auto"/>
              <w:right w:val="single" w:sz="4" w:space="0" w:color="auto"/>
            </w:tcBorders>
            <w:shd w:val="clear" w:color="auto" w:fill="auto"/>
            <w:vAlign w:val="center"/>
            <w:hideMark/>
          </w:tcPr>
          <w:p w14:paraId="0C73D30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2 317,8</w:t>
            </w:r>
          </w:p>
        </w:tc>
        <w:tc>
          <w:tcPr>
            <w:tcW w:w="436" w:type="pct"/>
            <w:tcBorders>
              <w:top w:val="nil"/>
              <w:left w:val="nil"/>
              <w:bottom w:val="single" w:sz="4" w:space="0" w:color="auto"/>
              <w:right w:val="single" w:sz="4" w:space="0" w:color="auto"/>
            </w:tcBorders>
            <w:shd w:val="clear" w:color="auto" w:fill="auto"/>
            <w:vAlign w:val="center"/>
            <w:hideMark/>
          </w:tcPr>
          <w:p w14:paraId="52747A1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3 000,0</w:t>
            </w:r>
          </w:p>
        </w:tc>
        <w:tc>
          <w:tcPr>
            <w:tcW w:w="1524" w:type="pct"/>
            <w:tcBorders>
              <w:top w:val="nil"/>
              <w:left w:val="nil"/>
              <w:bottom w:val="single" w:sz="4" w:space="0" w:color="auto"/>
              <w:right w:val="single" w:sz="4" w:space="0" w:color="auto"/>
            </w:tcBorders>
            <w:shd w:val="clear" w:color="auto" w:fill="auto"/>
            <w:vAlign w:val="center"/>
            <w:hideMark/>
          </w:tcPr>
          <w:p w14:paraId="597C41B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и новоизградени участъци (км) - 0,5</w:t>
            </w:r>
          </w:p>
        </w:tc>
        <w:tc>
          <w:tcPr>
            <w:tcW w:w="627" w:type="pct"/>
            <w:tcBorders>
              <w:top w:val="nil"/>
              <w:left w:val="nil"/>
              <w:bottom w:val="single" w:sz="4" w:space="0" w:color="auto"/>
              <w:right w:val="single" w:sz="4" w:space="0" w:color="auto"/>
            </w:tcBorders>
            <w:shd w:val="clear" w:color="auto" w:fill="auto"/>
            <w:vAlign w:val="center"/>
            <w:hideMark/>
          </w:tcPr>
          <w:p w14:paraId="0EF2956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E465818" w14:textId="77777777" w:rsidTr="00406B4D">
        <w:trPr>
          <w:trHeight w:val="6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68EC85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77</w:t>
            </w:r>
          </w:p>
        </w:tc>
        <w:tc>
          <w:tcPr>
            <w:tcW w:w="529" w:type="pct"/>
            <w:tcBorders>
              <w:top w:val="nil"/>
              <w:left w:val="nil"/>
              <w:bottom w:val="single" w:sz="4" w:space="0" w:color="auto"/>
              <w:right w:val="single" w:sz="4" w:space="0" w:color="auto"/>
            </w:tcBorders>
            <w:shd w:val="clear" w:color="auto" w:fill="auto"/>
            <w:noWrap/>
            <w:vAlign w:val="center"/>
            <w:hideMark/>
          </w:tcPr>
          <w:p w14:paraId="6EA96E2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NP-25.001-0062</w:t>
            </w:r>
          </w:p>
        </w:tc>
        <w:tc>
          <w:tcPr>
            <w:tcW w:w="855" w:type="pct"/>
            <w:tcBorders>
              <w:top w:val="nil"/>
              <w:left w:val="nil"/>
              <w:bottom w:val="single" w:sz="4" w:space="0" w:color="auto"/>
              <w:right w:val="single" w:sz="4" w:space="0" w:color="auto"/>
            </w:tcBorders>
            <w:shd w:val="clear" w:color="auto" w:fill="auto"/>
            <w:vAlign w:val="center"/>
            <w:hideMark/>
          </w:tcPr>
          <w:p w14:paraId="74F49EB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Път I-1 „Път II-17 - гара Яна“ от км 214+686 до км 237+553“ </w:t>
            </w:r>
          </w:p>
        </w:tc>
        <w:tc>
          <w:tcPr>
            <w:tcW w:w="436" w:type="pct"/>
            <w:tcBorders>
              <w:top w:val="nil"/>
              <w:left w:val="nil"/>
              <w:bottom w:val="single" w:sz="4" w:space="0" w:color="auto"/>
              <w:right w:val="single" w:sz="4" w:space="0" w:color="auto"/>
            </w:tcBorders>
            <w:shd w:val="clear" w:color="auto" w:fill="auto"/>
            <w:vAlign w:val="center"/>
            <w:hideMark/>
          </w:tcPr>
          <w:p w14:paraId="677ADC8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2 712,5</w:t>
            </w:r>
          </w:p>
        </w:tc>
        <w:tc>
          <w:tcPr>
            <w:tcW w:w="436" w:type="pct"/>
            <w:tcBorders>
              <w:top w:val="nil"/>
              <w:left w:val="nil"/>
              <w:bottom w:val="single" w:sz="4" w:space="0" w:color="auto"/>
              <w:right w:val="single" w:sz="4" w:space="0" w:color="auto"/>
            </w:tcBorders>
            <w:shd w:val="clear" w:color="auto" w:fill="auto"/>
            <w:vAlign w:val="center"/>
            <w:hideMark/>
          </w:tcPr>
          <w:p w14:paraId="6F6B0A7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5 000,0</w:t>
            </w:r>
          </w:p>
        </w:tc>
        <w:tc>
          <w:tcPr>
            <w:tcW w:w="436" w:type="pct"/>
            <w:tcBorders>
              <w:top w:val="nil"/>
              <w:left w:val="nil"/>
              <w:bottom w:val="single" w:sz="4" w:space="0" w:color="auto"/>
              <w:right w:val="single" w:sz="4" w:space="0" w:color="auto"/>
            </w:tcBorders>
            <w:shd w:val="clear" w:color="auto" w:fill="auto"/>
            <w:vAlign w:val="center"/>
            <w:hideMark/>
          </w:tcPr>
          <w:p w14:paraId="787D9F3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3 000,0</w:t>
            </w:r>
          </w:p>
        </w:tc>
        <w:tc>
          <w:tcPr>
            <w:tcW w:w="1524" w:type="pct"/>
            <w:tcBorders>
              <w:top w:val="nil"/>
              <w:left w:val="nil"/>
              <w:bottom w:val="single" w:sz="4" w:space="0" w:color="auto"/>
              <w:right w:val="single" w:sz="4" w:space="0" w:color="auto"/>
            </w:tcBorders>
            <w:shd w:val="clear" w:color="auto" w:fill="auto"/>
            <w:vAlign w:val="center"/>
            <w:hideMark/>
          </w:tcPr>
          <w:p w14:paraId="06520A7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и новоизградени участъци (км) - 22,87</w:t>
            </w:r>
          </w:p>
        </w:tc>
        <w:tc>
          <w:tcPr>
            <w:tcW w:w="627" w:type="pct"/>
            <w:tcBorders>
              <w:top w:val="nil"/>
              <w:left w:val="nil"/>
              <w:bottom w:val="single" w:sz="4" w:space="0" w:color="auto"/>
              <w:right w:val="single" w:sz="4" w:space="0" w:color="auto"/>
            </w:tcBorders>
            <w:shd w:val="clear" w:color="auto" w:fill="auto"/>
            <w:vAlign w:val="center"/>
            <w:hideMark/>
          </w:tcPr>
          <w:p w14:paraId="1468A9C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E8C487F"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BAE3C8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78</w:t>
            </w:r>
          </w:p>
        </w:tc>
        <w:tc>
          <w:tcPr>
            <w:tcW w:w="529" w:type="pct"/>
            <w:tcBorders>
              <w:top w:val="nil"/>
              <w:left w:val="nil"/>
              <w:bottom w:val="single" w:sz="4" w:space="0" w:color="auto"/>
              <w:right w:val="single" w:sz="4" w:space="0" w:color="auto"/>
            </w:tcBorders>
            <w:shd w:val="clear" w:color="auto" w:fill="auto"/>
            <w:noWrap/>
            <w:vAlign w:val="center"/>
            <w:hideMark/>
          </w:tcPr>
          <w:p w14:paraId="2655D10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NP-25.001-0058</w:t>
            </w:r>
          </w:p>
        </w:tc>
        <w:tc>
          <w:tcPr>
            <w:tcW w:w="855" w:type="pct"/>
            <w:tcBorders>
              <w:top w:val="nil"/>
              <w:left w:val="nil"/>
              <w:bottom w:val="single" w:sz="4" w:space="0" w:color="auto"/>
              <w:right w:val="single" w:sz="4" w:space="0" w:color="auto"/>
            </w:tcBorders>
            <w:shd w:val="clear" w:color="auto" w:fill="auto"/>
            <w:vAlign w:val="center"/>
            <w:hideMark/>
          </w:tcPr>
          <w:p w14:paraId="4540D14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Път І-1 /Е-79/ Мездра – Ботевград  от км 161+367 до км 194 +122 и от км 174+800 до км 194+122</w:t>
            </w:r>
          </w:p>
        </w:tc>
        <w:tc>
          <w:tcPr>
            <w:tcW w:w="436" w:type="pct"/>
            <w:tcBorders>
              <w:top w:val="nil"/>
              <w:left w:val="nil"/>
              <w:bottom w:val="single" w:sz="4" w:space="0" w:color="auto"/>
              <w:right w:val="single" w:sz="4" w:space="0" w:color="auto"/>
            </w:tcBorders>
            <w:shd w:val="clear" w:color="auto" w:fill="auto"/>
            <w:vAlign w:val="center"/>
            <w:hideMark/>
          </w:tcPr>
          <w:p w14:paraId="62A9ABE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23 371,4</w:t>
            </w:r>
          </w:p>
        </w:tc>
        <w:tc>
          <w:tcPr>
            <w:tcW w:w="436" w:type="pct"/>
            <w:tcBorders>
              <w:top w:val="nil"/>
              <w:left w:val="nil"/>
              <w:bottom w:val="single" w:sz="4" w:space="0" w:color="auto"/>
              <w:right w:val="single" w:sz="4" w:space="0" w:color="auto"/>
            </w:tcBorders>
            <w:shd w:val="clear" w:color="auto" w:fill="auto"/>
            <w:vAlign w:val="center"/>
            <w:hideMark/>
          </w:tcPr>
          <w:p w14:paraId="223449E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12 373,4</w:t>
            </w:r>
          </w:p>
        </w:tc>
        <w:tc>
          <w:tcPr>
            <w:tcW w:w="436" w:type="pct"/>
            <w:tcBorders>
              <w:top w:val="nil"/>
              <w:left w:val="nil"/>
              <w:bottom w:val="single" w:sz="4" w:space="0" w:color="auto"/>
              <w:right w:val="single" w:sz="4" w:space="0" w:color="auto"/>
            </w:tcBorders>
            <w:shd w:val="clear" w:color="auto" w:fill="auto"/>
            <w:vAlign w:val="center"/>
            <w:hideMark/>
          </w:tcPr>
          <w:p w14:paraId="4B0326D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5 000,0</w:t>
            </w:r>
          </w:p>
        </w:tc>
        <w:tc>
          <w:tcPr>
            <w:tcW w:w="1524" w:type="pct"/>
            <w:tcBorders>
              <w:top w:val="nil"/>
              <w:left w:val="nil"/>
              <w:bottom w:val="single" w:sz="4" w:space="0" w:color="auto"/>
              <w:right w:val="single" w:sz="4" w:space="0" w:color="auto"/>
            </w:tcBorders>
            <w:shd w:val="clear" w:color="auto" w:fill="auto"/>
            <w:vAlign w:val="center"/>
            <w:hideMark/>
          </w:tcPr>
          <w:p w14:paraId="52F5C15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и новоизградени участъци (км) - 32,70</w:t>
            </w:r>
          </w:p>
        </w:tc>
        <w:tc>
          <w:tcPr>
            <w:tcW w:w="627" w:type="pct"/>
            <w:tcBorders>
              <w:top w:val="nil"/>
              <w:left w:val="nil"/>
              <w:bottom w:val="single" w:sz="4" w:space="0" w:color="auto"/>
              <w:right w:val="single" w:sz="4" w:space="0" w:color="auto"/>
            </w:tcBorders>
            <w:shd w:val="clear" w:color="auto" w:fill="auto"/>
            <w:vAlign w:val="center"/>
            <w:hideMark/>
          </w:tcPr>
          <w:p w14:paraId="39084D5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3A091539"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6C5D89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79</w:t>
            </w:r>
          </w:p>
        </w:tc>
        <w:tc>
          <w:tcPr>
            <w:tcW w:w="529" w:type="pct"/>
            <w:tcBorders>
              <w:top w:val="nil"/>
              <w:left w:val="nil"/>
              <w:bottom w:val="single" w:sz="4" w:space="0" w:color="auto"/>
              <w:right w:val="single" w:sz="4" w:space="0" w:color="auto"/>
            </w:tcBorders>
            <w:shd w:val="clear" w:color="auto" w:fill="auto"/>
            <w:noWrap/>
            <w:vAlign w:val="center"/>
            <w:hideMark/>
          </w:tcPr>
          <w:p w14:paraId="5F1342B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NP-25.001-0061</w:t>
            </w:r>
          </w:p>
        </w:tc>
        <w:tc>
          <w:tcPr>
            <w:tcW w:w="855" w:type="pct"/>
            <w:tcBorders>
              <w:top w:val="nil"/>
              <w:left w:val="nil"/>
              <w:bottom w:val="single" w:sz="4" w:space="0" w:color="auto"/>
              <w:right w:val="single" w:sz="4" w:space="0" w:color="auto"/>
            </w:tcBorders>
            <w:shd w:val="clear" w:color="auto" w:fill="auto"/>
            <w:vAlign w:val="center"/>
            <w:hideMark/>
          </w:tcPr>
          <w:p w14:paraId="00F35E3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Мост над р. Дунав на път I-2 „Русе - Разград“ от км 0+000 до км 1+057</w:t>
            </w:r>
          </w:p>
        </w:tc>
        <w:tc>
          <w:tcPr>
            <w:tcW w:w="436" w:type="pct"/>
            <w:tcBorders>
              <w:top w:val="nil"/>
              <w:left w:val="nil"/>
              <w:bottom w:val="single" w:sz="4" w:space="0" w:color="auto"/>
              <w:right w:val="single" w:sz="4" w:space="0" w:color="auto"/>
            </w:tcBorders>
            <w:shd w:val="clear" w:color="auto" w:fill="auto"/>
            <w:vAlign w:val="center"/>
            <w:hideMark/>
          </w:tcPr>
          <w:p w14:paraId="137247D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8 202,7</w:t>
            </w:r>
          </w:p>
        </w:tc>
        <w:tc>
          <w:tcPr>
            <w:tcW w:w="436" w:type="pct"/>
            <w:tcBorders>
              <w:top w:val="nil"/>
              <w:left w:val="nil"/>
              <w:bottom w:val="single" w:sz="4" w:space="0" w:color="auto"/>
              <w:right w:val="single" w:sz="4" w:space="0" w:color="auto"/>
            </w:tcBorders>
            <w:shd w:val="clear" w:color="auto" w:fill="auto"/>
            <w:vAlign w:val="center"/>
            <w:hideMark/>
          </w:tcPr>
          <w:p w14:paraId="223BA1A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5 000,0</w:t>
            </w:r>
          </w:p>
        </w:tc>
        <w:tc>
          <w:tcPr>
            <w:tcW w:w="436" w:type="pct"/>
            <w:tcBorders>
              <w:top w:val="nil"/>
              <w:left w:val="nil"/>
              <w:bottom w:val="single" w:sz="4" w:space="0" w:color="auto"/>
              <w:right w:val="single" w:sz="4" w:space="0" w:color="auto"/>
            </w:tcBorders>
            <w:shd w:val="clear" w:color="auto" w:fill="auto"/>
            <w:vAlign w:val="center"/>
            <w:hideMark/>
          </w:tcPr>
          <w:p w14:paraId="64B4999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7F75B80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и новоизградени участъци - 1,06</w:t>
            </w:r>
          </w:p>
        </w:tc>
        <w:tc>
          <w:tcPr>
            <w:tcW w:w="627" w:type="pct"/>
            <w:tcBorders>
              <w:top w:val="nil"/>
              <w:left w:val="nil"/>
              <w:bottom w:val="single" w:sz="4" w:space="0" w:color="auto"/>
              <w:right w:val="single" w:sz="4" w:space="0" w:color="auto"/>
            </w:tcBorders>
            <w:shd w:val="clear" w:color="auto" w:fill="auto"/>
            <w:vAlign w:val="center"/>
            <w:hideMark/>
          </w:tcPr>
          <w:p w14:paraId="62217EC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2CED1D9" w14:textId="77777777" w:rsidTr="00406B4D">
        <w:trPr>
          <w:trHeight w:val="1719"/>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97FF46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80</w:t>
            </w:r>
          </w:p>
        </w:tc>
        <w:tc>
          <w:tcPr>
            <w:tcW w:w="529" w:type="pct"/>
            <w:tcBorders>
              <w:top w:val="nil"/>
              <w:left w:val="nil"/>
              <w:bottom w:val="single" w:sz="4" w:space="0" w:color="auto"/>
              <w:right w:val="single" w:sz="4" w:space="0" w:color="auto"/>
            </w:tcBorders>
            <w:shd w:val="clear" w:color="auto" w:fill="auto"/>
            <w:noWrap/>
            <w:vAlign w:val="center"/>
            <w:hideMark/>
          </w:tcPr>
          <w:p w14:paraId="0CCF5B2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NP-25.001-0059</w:t>
            </w:r>
          </w:p>
        </w:tc>
        <w:tc>
          <w:tcPr>
            <w:tcW w:w="855" w:type="pct"/>
            <w:tcBorders>
              <w:top w:val="nil"/>
              <w:left w:val="nil"/>
              <w:bottom w:val="single" w:sz="4" w:space="0" w:color="auto"/>
              <w:right w:val="single" w:sz="4" w:space="0" w:color="auto"/>
            </w:tcBorders>
            <w:shd w:val="clear" w:color="auto" w:fill="auto"/>
            <w:vAlign w:val="center"/>
            <w:hideMark/>
          </w:tcPr>
          <w:p w14:paraId="09E88AD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Изграждане на участъци от АМ Хемус: участък 1 от км 87+800 до км 103+060 вкл. пътен възел „Дерманци; участък 2 от края на пътен възел Дерманци до пресичането с път III-3005 вкл. Пътен възел Каленик, от км 103+060 до км 122+260; участък 3 от края на пътен възел Каленик до пресичането с път II-35 </w:t>
            </w:r>
            <w:r w:rsidRPr="00761800">
              <w:rPr>
                <w:rFonts w:ascii="Times New Roman" w:hAnsi="Times New Roman"/>
                <w:sz w:val="20"/>
                <w:lang w:eastAsia="bg-BG"/>
              </w:rPr>
              <w:lastRenderedPageBreak/>
              <w:t>вкл. пътен възел Плевен от км 122+260 до км 139+340; участък 4 от края на пътен възел Плевен до път III-301 вкл. пътен възел Летница от км 139+340 до км 166+144.09; участък 5 от края на пътен възел Летница до път III--303 вкл. пътен възел от км 166+144.09 до км 189+344 и участък 6 от края на пътен възел на път III--303 до път I-5 вкл. пътен възел от км 189+344 до км 222+000</w:t>
            </w:r>
          </w:p>
        </w:tc>
        <w:tc>
          <w:tcPr>
            <w:tcW w:w="436" w:type="pct"/>
            <w:tcBorders>
              <w:top w:val="nil"/>
              <w:left w:val="nil"/>
              <w:bottom w:val="single" w:sz="4" w:space="0" w:color="auto"/>
              <w:right w:val="single" w:sz="4" w:space="0" w:color="auto"/>
            </w:tcBorders>
            <w:shd w:val="clear" w:color="auto" w:fill="auto"/>
            <w:vAlign w:val="center"/>
            <w:hideMark/>
          </w:tcPr>
          <w:p w14:paraId="3922F8E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24 329,7</w:t>
            </w:r>
          </w:p>
        </w:tc>
        <w:tc>
          <w:tcPr>
            <w:tcW w:w="436" w:type="pct"/>
            <w:tcBorders>
              <w:top w:val="nil"/>
              <w:left w:val="nil"/>
              <w:bottom w:val="single" w:sz="4" w:space="0" w:color="auto"/>
              <w:right w:val="single" w:sz="4" w:space="0" w:color="auto"/>
            </w:tcBorders>
            <w:shd w:val="clear" w:color="auto" w:fill="auto"/>
            <w:vAlign w:val="center"/>
            <w:hideMark/>
          </w:tcPr>
          <w:p w14:paraId="0DB3828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6 912,9</w:t>
            </w:r>
          </w:p>
        </w:tc>
        <w:tc>
          <w:tcPr>
            <w:tcW w:w="436" w:type="pct"/>
            <w:tcBorders>
              <w:top w:val="nil"/>
              <w:left w:val="nil"/>
              <w:bottom w:val="single" w:sz="4" w:space="0" w:color="auto"/>
              <w:right w:val="single" w:sz="4" w:space="0" w:color="auto"/>
            </w:tcBorders>
            <w:shd w:val="clear" w:color="auto" w:fill="auto"/>
            <w:vAlign w:val="center"/>
            <w:hideMark/>
          </w:tcPr>
          <w:p w14:paraId="3AA20E0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21 990,9</w:t>
            </w:r>
          </w:p>
        </w:tc>
        <w:tc>
          <w:tcPr>
            <w:tcW w:w="1524" w:type="pct"/>
            <w:tcBorders>
              <w:top w:val="nil"/>
              <w:left w:val="nil"/>
              <w:bottom w:val="single" w:sz="4" w:space="0" w:color="auto"/>
              <w:right w:val="single" w:sz="4" w:space="0" w:color="auto"/>
            </w:tcBorders>
            <w:shd w:val="clear" w:color="auto" w:fill="auto"/>
            <w:vAlign w:val="center"/>
            <w:hideMark/>
          </w:tcPr>
          <w:p w14:paraId="76016F8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и новоизградени участъци (км) - 134,20</w:t>
            </w:r>
          </w:p>
        </w:tc>
        <w:tc>
          <w:tcPr>
            <w:tcW w:w="627" w:type="pct"/>
            <w:tcBorders>
              <w:top w:val="nil"/>
              <w:left w:val="nil"/>
              <w:bottom w:val="single" w:sz="4" w:space="0" w:color="auto"/>
              <w:right w:val="single" w:sz="4" w:space="0" w:color="auto"/>
            </w:tcBorders>
            <w:shd w:val="clear" w:color="auto" w:fill="auto"/>
            <w:vAlign w:val="center"/>
            <w:hideMark/>
          </w:tcPr>
          <w:p w14:paraId="3021268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71FDD6C9" w14:textId="77777777" w:rsidTr="00406B4D">
        <w:trPr>
          <w:trHeight w:val="33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355210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81</w:t>
            </w:r>
          </w:p>
        </w:tc>
        <w:tc>
          <w:tcPr>
            <w:tcW w:w="529" w:type="pct"/>
            <w:tcBorders>
              <w:top w:val="nil"/>
              <w:left w:val="nil"/>
              <w:bottom w:val="single" w:sz="4" w:space="0" w:color="auto"/>
              <w:right w:val="single" w:sz="4" w:space="0" w:color="auto"/>
            </w:tcBorders>
            <w:shd w:val="clear" w:color="auto" w:fill="auto"/>
            <w:noWrap/>
            <w:vAlign w:val="center"/>
            <w:hideMark/>
          </w:tcPr>
          <w:p w14:paraId="03E140C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NP-25.001-0057</w:t>
            </w:r>
          </w:p>
        </w:tc>
        <w:tc>
          <w:tcPr>
            <w:tcW w:w="855" w:type="pct"/>
            <w:tcBorders>
              <w:top w:val="nil"/>
              <w:left w:val="nil"/>
              <w:bottom w:val="single" w:sz="4" w:space="0" w:color="auto"/>
              <w:right w:val="single" w:sz="4" w:space="0" w:color="auto"/>
            </w:tcBorders>
            <w:shd w:val="clear" w:color="auto" w:fill="auto"/>
            <w:vAlign w:val="center"/>
            <w:hideMark/>
          </w:tcPr>
          <w:p w14:paraId="737DAE2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Модернизация на път I-1 (Е79) „Видин - Ботевград“ от км 33+400 до км 102+060 (км 99+193 – километраж по проект), разделен на пет участъка:</w:t>
            </w:r>
            <w:r w:rsidRPr="00761800">
              <w:rPr>
                <w:rFonts w:ascii="Times New Roman" w:hAnsi="Times New Roman"/>
                <w:sz w:val="20"/>
                <w:lang w:eastAsia="bg-BG"/>
              </w:rPr>
              <w:br/>
              <w:t xml:space="preserve">Участък 1 – Път I-1 „п.в. Макреш – п.в. Бела“: от км 33+400 (километраж по проект) до км 47+000 (километраж по проект), с дължина 13,600 км; </w:t>
            </w:r>
            <w:r w:rsidRPr="00761800">
              <w:rPr>
                <w:rFonts w:ascii="Times New Roman" w:hAnsi="Times New Roman"/>
                <w:sz w:val="20"/>
                <w:lang w:eastAsia="bg-BG"/>
              </w:rPr>
              <w:br/>
              <w:t xml:space="preserve">Участък 2 – Път I-1 „п.в. Бела - Ружинци“: от км 47+000 (километраж по проект) до км 61+750 (км </w:t>
            </w:r>
            <w:r w:rsidRPr="00761800">
              <w:rPr>
                <w:rFonts w:ascii="Times New Roman" w:hAnsi="Times New Roman"/>
                <w:sz w:val="20"/>
                <w:lang w:eastAsia="bg-BG"/>
              </w:rPr>
              <w:lastRenderedPageBreak/>
              <w:t xml:space="preserve">58+128,47 - километраж по проект), с дължина 11,128.47 км; </w:t>
            </w:r>
            <w:r w:rsidRPr="00761800">
              <w:rPr>
                <w:rFonts w:ascii="Times New Roman" w:hAnsi="Times New Roman"/>
                <w:sz w:val="20"/>
                <w:lang w:eastAsia="bg-BG"/>
              </w:rPr>
              <w:br/>
              <w:t xml:space="preserve">Участък 3 – Път I-1 „Ружинци – п.в. Белотинци“: от км 58+128,47 (километраж по проект) ≡ км 61+750 (километраж по съществуващ път І-1) до км 73+520 (километраж по проект), с дължина 15,391.53 км; </w:t>
            </w:r>
            <w:r w:rsidRPr="00761800">
              <w:rPr>
                <w:rFonts w:ascii="Times New Roman" w:hAnsi="Times New Roman"/>
                <w:sz w:val="20"/>
                <w:lang w:eastAsia="bg-BG"/>
              </w:rPr>
              <w:br/>
              <w:t xml:space="preserve">Участък 4 – „п.в. Белотинци – п.в. Винище“: от км 73+520 (километраж по проект) до км 85+520 (километраж по проект), с дължина 12,000 км; </w:t>
            </w:r>
            <w:r w:rsidRPr="00761800">
              <w:rPr>
                <w:rFonts w:ascii="Times New Roman" w:hAnsi="Times New Roman"/>
                <w:sz w:val="20"/>
                <w:lang w:eastAsia="bg-BG"/>
              </w:rPr>
              <w:br/>
              <w:t>Участък 5 – „п.в. Винище – Обход на гр. Монтана“: от км 85+520 (километраж по проект) до км 102+060 (км 99+193 по проект), с дължина 13,673 км.“</w:t>
            </w:r>
          </w:p>
        </w:tc>
        <w:tc>
          <w:tcPr>
            <w:tcW w:w="436" w:type="pct"/>
            <w:tcBorders>
              <w:top w:val="nil"/>
              <w:left w:val="nil"/>
              <w:bottom w:val="single" w:sz="4" w:space="0" w:color="auto"/>
              <w:right w:val="single" w:sz="4" w:space="0" w:color="auto"/>
            </w:tcBorders>
            <w:shd w:val="clear" w:color="auto" w:fill="auto"/>
            <w:vAlign w:val="center"/>
            <w:hideMark/>
          </w:tcPr>
          <w:p w14:paraId="378E4AE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10 000,0</w:t>
            </w:r>
          </w:p>
        </w:tc>
        <w:tc>
          <w:tcPr>
            <w:tcW w:w="436" w:type="pct"/>
            <w:tcBorders>
              <w:top w:val="nil"/>
              <w:left w:val="nil"/>
              <w:bottom w:val="single" w:sz="4" w:space="0" w:color="auto"/>
              <w:right w:val="single" w:sz="4" w:space="0" w:color="auto"/>
            </w:tcBorders>
            <w:shd w:val="clear" w:color="auto" w:fill="auto"/>
            <w:vAlign w:val="center"/>
            <w:hideMark/>
          </w:tcPr>
          <w:p w14:paraId="68DB95B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18 330,6</w:t>
            </w:r>
          </w:p>
        </w:tc>
        <w:tc>
          <w:tcPr>
            <w:tcW w:w="436" w:type="pct"/>
            <w:tcBorders>
              <w:top w:val="nil"/>
              <w:left w:val="nil"/>
              <w:bottom w:val="single" w:sz="4" w:space="0" w:color="auto"/>
              <w:right w:val="single" w:sz="4" w:space="0" w:color="auto"/>
            </w:tcBorders>
            <w:shd w:val="clear" w:color="auto" w:fill="auto"/>
            <w:vAlign w:val="center"/>
            <w:hideMark/>
          </w:tcPr>
          <w:p w14:paraId="4B0C8B7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18 000,0</w:t>
            </w:r>
          </w:p>
        </w:tc>
        <w:tc>
          <w:tcPr>
            <w:tcW w:w="1524" w:type="pct"/>
            <w:tcBorders>
              <w:top w:val="nil"/>
              <w:left w:val="nil"/>
              <w:bottom w:val="single" w:sz="4" w:space="0" w:color="auto"/>
              <w:right w:val="single" w:sz="4" w:space="0" w:color="auto"/>
            </w:tcBorders>
            <w:shd w:val="clear" w:color="auto" w:fill="auto"/>
            <w:vAlign w:val="center"/>
            <w:hideMark/>
          </w:tcPr>
          <w:p w14:paraId="3B4F2E3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и новоизградени участъци (км) - 68,66</w:t>
            </w:r>
          </w:p>
        </w:tc>
        <w:tc>
          <w:tcPr>
            <w:tcW w:w="627" w:type="pct"/>
            <w:tcBorders>
              <w:top w:val="nil"/>
              <w:left w:val="nil"/>
              <w:bottom w:val="single" w:sz="4" w:space="0" w:color="auto"/>
              <w:right w:val="single" w:sz="4" w:space="0" w:color="auto"/>
            </w:tcBorders>
            <w:shd w:val="clear" w:color="auto" w:fill="auto"/>
            <w:vAlign w:val="center"/>
            <w:hideMark/>
          </w:tcPr>
          <w:p w14:paraId="67ACF9F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14A1B440"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225D25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82</w:t>
            </w:r>
          </w:p>
        </w:tc>
        <w:tc>
          <w:tcPr>
            <w:tcW w:w="529" w:type="pct"/>
            <w:tcBorders>
              <w:top w:val="nil"/>
              <w:left w:val="nil"/>
              <w:bottom w:val="single" w:sz="4" w:space="0" w:color="auto"/>
              <w:right w:val="single" w:sz="4" w:space="0" w:color="auto"/>
            </w:tcBorders>
            <w:shd w:val="clear" w:color="auto" w:fill="auto"/>
            <w:noWrap/>
            <w:vAlign w:val="center"/>
            <w:hideMark/>
          </w:tcPr>
          <w:p w14:paraId="7003D84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NP-26.001-0072</w:t>
            </w:r>
          </w:p>
        </w:tc>
        <w:tc>
          <w:tcPr>
            <w:tcW w:w="855" w:type="pct"/>
            <w:tcBorders>
              <w:top w:val="nil"/>
              <w:left w:val="nil"/>
              <w:bottom w:val="single" w:sz="4" w:space="0" w:color="auto"/>
              <w:right w:val="single" w:sz="4" w:space="0" w:color="auto"/>
            </w:tcBorders>
            <w:shd w:val="clear" w:color="auto" w:fill="auto"/>
            <w:vAlign w:val="center"/>
            <w:hideMark/>
          </w:tcPr>
          <w:p w14:paraId="5E8D193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Проект 101181277 — 23-EU-DIG-5G TRACKS  № 24-00-496/25.02.2025 /Механизъм за свързване на Европа 2.0 2021-2027/</w:t>
            </w:r>
          </w:p>
        </w:tc>
        <w:tc>
          <w:tcPr>
            <w:tcW w:w="436" w:type="pct"/>
            <w:tcBorders>
              <w:top w:val="nil"/>
              <w:left w:val="nil"/>
              <w:bottom w:val="single" w:sz="4" w:space="0" w:color="auto"/>
              <w:right w:val="single" w:sz="4" w:space="0" w:color="auto"/>
            </w:tcBorders>
            <w:shd w:val="clear" w:color="auto" w:fill="auto"/>
            <w:vAlign w:val="center"/>
            <w:hideMark/>
          </w:tcPr>
          <w:p w14:paraId="660D7C3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w:t>
            </w:r>
          </w:p>
        </w:tc>
        <w:tc>
          <w:tcPr>
            <w:tcW w:w="436" w:type="pct"/>
            <w:tcBorders>
              <w:top w:val="nil"/>
              <w:left w:val="nil"/>
              <w:bottom w:val="single" w:sz="4" w:space="0" w:color="auto"/>
              <w:right w:val="single" w:sz="4" w:space="0" w:color="auto"/>
            </w:tcBorders>
            <w:shd w:val="clear" w:color="auto" w:fill="auto"/>
            <w:vAlign w:val="center"/>
            <w:hideMark/>
          </w:tcPr>
          <w:p w14:paraId="2E643CE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w:t>
            </w:r>
          </w:p>
        </w:tc>
        <w:tc>
          <w:tcPr>
            <w:tcW w:w="436" w:type="pct"/>
            <w:tcBorders>
              <w:top w:val="nil"/>
              <w:left w:val="nil"/>
              <w:bottom w:val="single" w:sz="4" w:space="0" w:color="auto"/>
              <w:right w:val="single" w:sz="4" w:space="0" w:color="auto"/>
            </w:tcBorders>
            <w:shd w:val="clear" w:color="auto" w:fill="auto"/>
            <w:vAlign w:val="center"/>
            <w:hideMark/>
          </w:tcPr>
          <w:p w14:paraId="56803BD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16,0</w:t>
            </w:r>
          </w:p>
        </w:tc>
        <w:tc>
          <w:tcPr>
            <w:tcW w:w="1524" w:type="pct"/>
            <w:tcBorders>
              <w:top w:val="nil"/>
              <w:left w:val="nil"/>
              <w:bottom w:val="single" w:sz="4" w:space="0" w:color="auto"/>
              <w:right w:val="single" w:sz="4" w:space="0" w:color="auto"/>
            </w:tcBorders>
            <w:shd w:val="clear" w:color="auto" w:fill="auto"/>
            <w:vAlign w:val="center"/>
            <w:hideMark/>
          </w:tcPr>
          <w:p w14:paraId="108542A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Изграждане на метеорологични станции - 8 бр.</w:t>
            </w:r>
          </w:p>
        </w:tc>
        <w:tc>
          <w:tcPr>
            <w:tcW w:w="627" w:type="pct"/>
            <w:tcBorders>
              <w:top w:val="nil"/>
              <w:left w:val="nil"/>
              <w:bottom w:val="single" w:sz="4" w:space="0" w:color="auto"/>
              <w:right w:val="single" w:sz="4" w:space="0" w:color="auto"/>
            </w:tcBorders>
            <w:shd w:val="clear" w:color="auto" w:fill="auto"/>
            <w:vAlign w:val="center"/>
            <w:hideMark/>
          </w:tcPr>
          <w:p w14:paraId="635A274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3DB8A977"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A8CAC7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83</w:t>
            </w:r>
          </w:p>
        </w:tc>
        <w:tc>
          <w:tcPr>
            <w:tcW w:w="529" w:type="pct"/>
            <w:tcBorders>
              <w:top w:val="nil"/>
              <w:left w:val="nil"/>
              <w:bottom w:val="single" w:sz="4" w:space="0" w:color="auto"/>
              <w:right w:val="single" w:sz="4" w:space="0" w:color="auto"/>
            </w:tcBorders>
            <w:shd w:val="clear" w:color="auto" w:fill="auto"/>
            <w:noWrap/>
            <w:vAlign w:val="center"/>
            <w:hideMark/>
          </w:tcPr>
          <w:p w14:paraId="21C1AB2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NP-26.001-0073</w:t>
            </w:r>
          </w:p>
        </w:tc>
        <w:tc>
          <w:tcPr>
            <w:tcW w:w="855" w:type="pct"/>
            <w:tcBorders>
              <w:top w:val="nil"/>
              <w:left w:val="nil"/>
              <w:bottom w:val="single" w:sz="4" w:space="0" w:color="auto"/>
              <w:right w:val="single" w:sz="4" w:space="0" w:color="auto"/>
            </w:tcBorders>
            <w:shd w:val="clear" w:color="auto" w:fill="auto"/>
            <w:vAlign w:val="center"/>
            <w:hideMark/>
          </w:tcPr>
          <w:p w14:paraId="1DCEA63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Трайно укрепване на срутище на републикански път II-58 „ (Конуш-Черноочене) - Комунига „ в участъка от км 4+250 до 4+450, област Кърджали /ПОС 2021-2027/</w:t>
            </w:r>
          </w:p>
        </w:tc>
        <w:tc>
          <w:tcPr>
            <w:tcW w:w="436" w:type="pct"/>
            <w:tcBorders>
              <w:top w:val="nil"/>
              <w:left w:val="nil"/>
              <w:bottom w:val="single" w:sz="4" w:space="0" w:color="auto"/>
              <w:right w:val="single" w:sz="4" w:space="0" w:color="auto"/>
            </w:tcBorders>
            <w:shd w:val="clear" w:color="auto" w:fill="auto"/>
            <w:vAlign w:val="center"/>
            <w:hideMark/>
          </w:tcPr>
          <w:p w14:paraId="1BCA8F2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436" w:type="pct"/>
            <w:tcBorders>
              <w:top w:val="nil"/>
              <w:left w:val="nil"/>
              <w:bottom w:val="single" w:sz="4" w:space="0" w:color="auto"/>
              <w:right w:val="single" w:sz="4" w:space="0" w:color="auto"/>
            </w:tcBorders>
            <w:shd w:val="clear" w:color="auto" w:fill="auto"/>
            <w:vAlign w:val="center"/>
            <w:hideMark/>
          </w:tcPr>
          <w:p w14:paraId="44E28D7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436" w:type="pct"/>
            <w:tcBorders>
              <w:top w:val="nil"/>
              <w:left w:val="nil"/>
              <w:bottom w:val="single" w:sz="4" w:space="0" w:color="auto"/>
              <w:right w:val="single" w:sz="4" w:space="0" w:color="auto"/>
            </w:tcBorders>
            <w:shd w:val="clear" w:color="auto" w:fill="auto"/>
            <w:vAlign w:val="center"/>
            <w:hideMark/>
          </w:tcPr>
          <w:p w14:paraId="425A780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114,4</w:t>
            </w:r>
          </w:p>
        </w:tc>
        <w:tc>
          <w:tcPr>
            <w:tcW w:w="1524" w:type="pct"/>
            <w:tcBorders>
              <w:top w:val="nil"/>
              <w:left w:val="nil"/>
              <w:bottom w:val="single" w:sz="4" w:space="0" w:color="auto"/>
              <w:right w:val="single" w:sz="4" w:space="0" w:color="auto"/>
            </w:tcBorders>
            <w:shd w:val="clear" w:color="auto" w:fill="auto"/>
            <w:vAlign w:val="center"/>
            <w:hideMark/>
          </w:tcPr>
          <w:p w14:paraId="23BAB3C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укрепени участъци от РПМ, засегнати от неблагоприятни геодннамичнн процеси -1</w:t>
            </w:r>
          </w:p>
        </w:tc>
        <w:tc>
          <w:tcPr>
            <w:tcW w:w="627" w:type="pct"/>
            <w:tcBorders>
              <w:top w:val="nil"/>
              <w:left w:val="nil"/>
              <w:bottom w:val="single" w:sz="4" w:space="0" w:color="auto"/>
              <w:right w:val="single" w:sz="4" w:space="0" w:color="auto"/>
            </w:tcBorders>
            <w:shd w:val="clear" w:color="auto" w:fill="auto"/>
            <w:vAlign w:val="center"/>
            <w:hideMark/>
          </w:tcPr>
          <w:p w14:paraId="4C8FA4F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EF913C6"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04A1F3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84</w:t>
            </w:r>
          </w:p>
        </w:tc>
        <w:tc>
          <w:tcPr>
            <w:tcW w:w="529" w:type="pct"/>
            <w:tcBorders>
              <w:top w:val="nil"/>
              <w:left w:val="nil"/>
              <w:bottom w:val="single" w:sz="4" w:space="0" w:color="auto"/>
              <w:right w:val="single" w:sz="4" w:space="0" w:color="auto"/>
            </w:tcBorders>
            <w:shd w:val="clear" w:color="auto" w:fill="auto"/>
            <w:noWrap/>
            <w:vAlign w:val="center"/>
            <w:hideMark/>
          </w:tcPr>
          <w:p w14:paraId="669D14F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NP-26.001-0074</w:t>
            </w:r>
          </w:p>
        </w:tc>
        <w:tc>
          <w:tcPr>
            <w:tcW w:w="855" w:type="pct"/>
            <w:tcBorders>
              <w:top w:val="nil"/>
              <w:left w:val="nil"/>
              <w:bottom w:val="single" w:sz="4" w:space="0" w:color="auto"/>
              <w:right w:val="single" w:sz="4" w:space="0" w:color="auto"/>
            </w:tcBorders>
            <w:shd w:val="clear" w:color="auto" w:fill="auto"/>
            <w:vAlign w:val="center"/>
            <w:hideMark/>
          </w:tcPr>
          <w:p w14:paraId="33393AC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Път II-53 „Ямбол - Средец“ Обходен път Ямбол юг - ново от км 144+575 до км 147+824.90 /ПРР 2021-2027/</w:t>
            </w:r>
          </w:p>
        </w:tc>
        <w:tc>
          <w:tcPr>
            <w:tcW w:w="436" w:type="pct"/>
            <w:tcBorders>
              <w:top w:val="nil"/>
              <w:left w:val="nil"/>
              <w:bottom w:val="single" w:sz="4" w:space="0" w:color="auto"/>
              <w:right w:val="single" w:sz="4" w:space="0" w:color="auto"/>
            </w:tcBorders>
            <w:shd w:val="clear" w:color="auto" w:fill="auto"/>
            <w:vAlign w:val="center"/>
            <w:hideMark/>
          </w:tcPr>
          <w:p w14:paraId="35913E0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005B34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0,1</w:t>
            </w:r>
          </w:p>
        </w:tc>
        <w:tc>
          <w:tcPr>
            <w:tcW w:w="436" w:type="pct"/>
            <w:tcBorders>
              <w:top w:val="nil"/>
              <w:left w:val="nil"/>
              <w:bottom w:val="single" w:sz="4" w:space="0" w:color="auto"/>
              <w:right w:val="single" w:sz="4" w:space="0" w:color="auto"/>
            </w:tcBorders>
            <w:shd w:val="clear" w:color="auto" w:fill="auto"/>
            <w:vAlign w:val="center"/>
            <w:hideMark/>
          </w:tcPr>
          <w:p w14:paraId="15BB02E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0,1</w:t>
            </w:r>
          </w:p>
        </w:tc>
        <w:tc>
          <w:tcPr>
            <w:tcW w:w="1524" w:type="pct"/>
            <w:tcBorders>
              <w:top w:val="nil"/>
              <w:left w:val="nil"/>
              <w:bottom w:val="single" w:sz="4" w:space="0" w:color="auto"/>
              <w:right w:val="single" w:sz="4" w:space="0" w:color="auto"/>
            </w:tcBorders>
            <w:shd w:val="clear" w:color="auto" w:fill="auto"/>
            <w:vAlign w:val="center"/>
            <w:hideMark/>
          </w:tcPr>
          <w:p w14:paraId="426C4C6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и новоизградени участъци - 3.25 км</w:t>
            </w:r>
          </w:p>
        </w:tc>
        <w:tc>
          <w:tcPr>
            <w:tcW w:w="627" w:type="pct"/>
            <w:tcBorders>
              <w:top w:val="nil"/>
              <w:left w:val="nil"/>
              <w:bottom w:val="single" w:sz="4" w:space="0" w:color="auto"/>
              <w:right w:val="single" w:sz="4" w:space="0" w:color="auto"/>
            </w:tcBorders>
            <w:shd w:val="clear" w:color="auto" w:fill="auto"/>
            <w:vAlign w:val="center"/>
            <w:hideMark/>
          </w:tcPr>
          <w:p w14:paraId="4FBB495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20E7F8F1"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478813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85</w:t>
            </w:r>
          </w:p>
        </w:tc>
        <w:tc>
          <w:tcPr>
            <w:tcW w:w="529" w:type="pct"/>
            <w:tcBorders>
              <w:top w:val="nil"/>
              <w:left w:val="nil"/>
              <w:bottom w:val="single" w:sz="4" w:space="0" w:color="auto"/>
              <w:right w:val="single" w:sz="4" w:space="0" w:color="auto"/>
            </w:tcBorders>
            <w:shd w:val="clear" w:color="auto" w:fill="auto"/>
            <w:noWrap/>
            <w:vAlign w:val="center"/>
            <w:hideMark/>
          </w:tcPr>
          <w:p w14:paraId="6E024FE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NP-26.001-0075</w:t>
            </w:r>
          </w:p>
        </w:tc>
        <w:tc>
          <w:tcPr>
            <w:tcW w:w="855" w:type="pct"/>
            <w:tcBorders>
              <w:top w:val="nil"/>
              <w:left w:val="nil"/>
              <w:bottom w:val="single" w:sz="4" w:space="0" w:color="auto"/>
              <w:right w:val="single" w:sz="4" w:space="0" w:color="auto"/>
            </w:tcBorders>
            <w:shd w:val="clear" w:color="auto" w:fill="auto"/>
            <w:vAlign w:val="center"/>
            <w:hideMark/>
          </w:tcPr>
          <w:p w14:paraId="69C150B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Tрайни, възстановителни и укрепителни дейности на републикански път III-514 „Горна Оряховица-Велико Търново“ от км 48+828 до км 49+155 и от км 51+350 до км 51+650 /ПОС 2021-2027/</w:t>
            </w:r>
          </w:p>
        </w:tc>
        <w:tc>
          <w:tcPr>
            <w:tcW w:w="436" w:type="pct"/>
            <w:tcBorders>
              <w:top w:val="nil"/>
              <w:left w:val="nil"/>
              <w:bottom w:val="single" w:sz="4" w:space="0" w:color="auto"/>
              <w:right w:val="single" w:sz="4" w:space="0" w:color="auto"/>
            </w:tcBorders>
            <w:shd w:val="clear" w:color="auto" w:fill="auto"/>
            <w:vAlign w:val="center"/>
            <w:hideMark/>
          </w:tcPr>
          <w:p w14:paraId="3841CAF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1,5</w:t>
            </w:r>
          </w:p>
        </w:tc>
        <w:tc>
          <w:tcPr>
            <w:tcW w:w="436" w:type="pct"/>
            <w:tcBorders>
              <w:top w:val="nil"/>
              <w:left w:val="nil"/>
              <w:bottom w:val="single" w:sz="4" w:space="0" w:color="auto"/>
              <w:right w:val="single" w:sz="4" w:space="0" w:color="auto"/>
            </w:tcBorders>
            <w:shd w:val="clear" w:color="auto" w:fill="auto"/>
            <w:vAlign w:val="center"/>
            <w:hideMark/>
          </w:tcPr>
          <w:p w14:paraId="4F13CA0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w:t>
            </w:r>
          </w:p>
        </w:tc>
        <w:tc>
          <w:tcPr>
            <w:tcW w:w="436" w:type="pct"/>
            <w:tcBorders>
              <w:top w:val="nil"/>
              <w:left w:val="nil"/>
              <w:bottom w:val="single" w:sz="4" w:space="0" w:color="auto"/>
              <w:right w:val="single" w:sz="4" w:space="0" w:color="auto"/>
            </w:tcBorders>
            <w:shd w:val="clear" w:color="auto" w:fill="auto"/>
            <w:vAlign w:val="center"/>
            <w:hideMark/>
          </w:tcPr>
          <w:p w14:paraId="453980A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0,8</w:t>
            </w:r>
          </w:p>
        </w:tc>
        <w:tc>
          <w:tcPr>
            <w:tcW w:w="1524" w:type="pct"/>
            <w:tcBorders>
              <w:top w:val="nil"/>
              <w:left w:val="nil"/>
              <w:bottom w:val="single" w:sz="4" w:space="0" w:color="auto"/>
              <w:right w:val="single" w:sz="4" w:space="0" w:color="auto"/>
            </w:tcBorders>
            <w:shd w:val="clear" w:color="auto" w:fill="auto"/>
            <w:vAlign w:val="center"/>
            <w:hideMark/>
          </w:tcPr>
          <w:p w14:paraId="4A08420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укрепени участъци от РПМ, засегнати от неблагоприятни геодннамичнн процеси -1</w:t>
            </w:r>
          </w:p>
        </w:tc>
        <w:tc>
          <w:tcPr>
            <w:tcW w:w="627" w:type="pct"/>
            <w:tcBorders>
              <w:top w:val="nil"/>
              <w:left w:val="nil"/>
              <w:bottom w:val="single" w:sz="4" w:space="0" w:color="auto"/>
              <w:right w:val="single" w:sz="4" w:space="0" w:color="auto"/>
            </w:tcBorders>
            <w:shd w:val="clear" w:color="auto" w:fill="auto"/>
            <w:vAlign w:val="center"/>
            <w:hideMark/>
          </w:tcPr>
          <w:p w14:paraId="39DAFB5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648E3039"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E45F6F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86</w:t>
            </w:r>
          </w:p>
        </w:tc>
        <w:tc>
          <w:tcPr>
            <w:tcW w:w="529" w:type="pct"/>
            <w:tcBorders>
              <w:top w:val="nil"/>
              <w:left w:val="nil"/>
              <w:bottom w:val="single" w:sz="4" w:space="0" w:color="auto"/>
              <w:right w:val="single" w:sz="4" w:space="0" w:color="auto"/>
            </w:tcBorders>
            <w:shd w:val="clear" w:color="auto" w:fill="auto"/>
            <w:noWrap/>
            <w:vAlign w:val="center"/>
            <w:hideMark/>
          </w:tcPr>
          <w:p w14:paraId="5D202B2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NP-26.001-0076</w:t>
            </w:r>
          </w:p>
        </w:tc>
        <w:tc>
          <w:tcPr>
            <w:tcW w:w="855" w:type="pct"/>
            <w:tcBorders>
              <w:top w:val="nil"/>
              <w:left w:val="nil"/>
              <w:bottom w:val="single" w:sz="4" w:space="0" w:color="auto"/>
              <w:right w:val="single" w:sz="4" w:space="0" w:color="auto"/>
            </w:tcBorders>
            <w:shd w:val="clear" w:color="auto" w:fill="auto"/>
            <w:vAlign w:val="center"/>
            <w:hideMark/>
          </w:tcPr>
          <w:p w14:paraId="36249E0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III-1008 „Изграждане на нов ГКПП Струмяни – Берово „Клепало“ /ПРР 2021-2027/</w:t>
            </w:r>
          </w:p>
        </w:tc>
        <w:tc>
          <w:tcPr>
            <w:tcW w:w="436" w:type="pct"/>
            <w:tcBorders>
              <w:top w:val="nil"/>
              <w:left w:val="nil"/>
              <w:bottom w:val="single" w:sz="4" w:space="0" w:color="auto"/>
              <w:right w:val="single" w:sz="4" w:space="0" w:color="auto"/>
            </w:tcBorders>
            <w:shd w:val="clear" w:color="auto" w:fill="auto"/>
            <w:vAlign w:val="center"/>
            <w:hideMark/>
          </w:tcPr>
          <w:p w14:paraId="35CF867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7565D90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0,1</w:t>
            </w:r>
          </w:p>
        </w:tc>
        <w:tc>
          <w:tcPr>
            <w:tcW w:w="436" w:type="pct"/>
            <w:tcBorders>
              <w:top w:val="nil"/>
              <w:left w:val="nil"/>
              <w:bottom w:val="single" w:sz="4" w:space="0" w:color="auto"/>
              <w:right w:val="single" w:sz="4" w:space="0" w:color="auto"/>
            </w:tcBorders>
            <w:shd w:val="clear" w:color="auto" w:fill="auto"/>
            <w:vAlign w:val="center"/>
            <w:hideMark/>
          </w:tcPr>
          <w:p w14:paraId="5F44711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0,1</w:t>
            </w:r>
          </w:p>
        </w:tc>
        <w:tc>
          <w:tcPr>
            <w:tcW w:w="1524" w:type="pct"/>
            <w:tcBorders>
              <w:top w:val="nil"/>
              <w:left w:val="nil"/>
              <w:bottom w:val="single" w:sz="4" w:space="0" w:color="auto"/>
              <w:right w:val="single" w:sz="4" w:space="0" w:color="auto"/>
            </w:tcBorders>
            <w:shd w:val="clear" w:color="auto" w:fill="auto"/>
            <w:vAlign w:val="center"/>
            <w:hideMark/>
          </w:tcPr>
          <w:p w14:paraId="5FB316A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Новоизградени участъци - 8.196 км</w:t>
            </w:r>
          </w:p>
        </w:tc>
        <w:tc>
          <w:tcPr>
            <w:tcW w:w="627" w:type="pct"/>
            <w:tcBorders>
              <w:top w:val="nil"/>
              <w:left w:val="nil"/>
              <w:bottom w:val="single" w:sz="4" w:space="0" w:color="auto"/>
              <w:right w:val="single" w:sz="4" w:space="0" w:color="auto"/>
            </w:tcBorders>
            <w:shd w:val="clear" w:color="auto" w:fill="auto"/>
            <w:vAlign w:val="center"/>
            <w:hideMark/>
          </w:tcPr>
          <w:p w14:paraId="747917A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A4F71D8"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DDCD59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87</w:t>
            </w:r>
          </w:p>
        </w:tc>
        <w:tc>
          <w:tcPr>
            <w:tcW w:w="529" w:type="pct"/>
            <w:tcBorders>
              <w:top w:val="nil"/>
              <w:left w:val="nil"/>
              <w:bottom w:val="single" w:sz="4" w:space="0" w:color="auto"/>
              <w:right w:val="single" w:sz="4" w:space="0" w:color="auto"/>
            </w:tcBorders>
            <w:shd w:val="clear" w:color="auto" w:fill="auto"/>
            <w:noWrap/>
            <w:vAlign w:val="center"/>
            <w:hideMark/>
          </w:tcPr>
          <w:p w14:paraId="5BFB0EB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NP-26.001-0077</w:t>
            </w:r>
          </w:p>
        </w:tc>
        <w:tc>
          <w:tcPr>
            <w:tcW w:w="855" w:type="pct"/>
            <w:tcBorders>
              <w:top w:val="nil"/>
              <w:left w:val="nil"/>
              <w:bottom w:val="single" w:sz="4" w:space="0" w:color="auto"/>
              <w:right w:val="single" w:sz="4" w:space="0" w:color="auto"/>
            </w:tcBorders>
            <w:shd w:val="clear" w:color="auto" w:fill="auto"/>
            <w:vAlign w:val="center"/>
            <w:hideMark/>
          </w:tcPr>
          <w:p w14:paraId="4970954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Трайно укрепване на пътното платно и на срутище на републикански път III-637 „Вулкан - Пенкьовци“ в участъците от км 10+700 до км 10+900 и от км 12+500 до </w:t>
            </w:r>
            <w:r w:rsidRPr="00761800">
              <w:rPr>
                <w:rFonts w:ascii="Times New Roman" w:hAnsi="Times New Roman"/>
                <w:sz w:val="20"/>
                <w:lang w:eastAsia="bg-BG"/>
              </w:rPr>
              <w:lastRenderedPageBreak/>
              <w:t>км 12+600, област Перник /ПОС 2021-2027/</w:t>
            </w:r>
          </w:p>
        </w:tc>
        <w:tc>
          <w:tcPr>
            <w:tcW w:w="436" w:type="pct"/>
            <w:tcBorders>
              <w:top w:val="nil"/>
              <w:left w:val="nil"/>
              <w:bottom w:val="single" w:sz="4" w:space="0" w:color="auto"/>
              <w:right w:val="single" w:sz="4" w:space="0" w:color="auto"/>
            </w:tcBorders>
            <w:shd w:val="clear" w:color="auto" w:fill="auto"/>
            <w:vAlign w:val="center"/>
            <w:hideMark/>
          </w:tcPr>
          <w:p w14:paraId="7F1B252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4,9</w:t>
            </w:r>
          </w:p>
        </w:tc>
        <w:tc>
          <w:tcPr>
            <w:tcW w:w="436" w:type="pct"/>
            <w:tcBorders>
              <w:top w:val="nil"/>
              <w:left w:val="nil"/>
              <w:bottom w:val="single" w:sz="4" w:space="0" w:color="auto"/>
              <w:right w:val="single" w:sz="4" w:space="0" w:color="auto"/>
            </w:tcBorders>
            <w:shd w:val="clear" w:color="auto" w:fill="auto"/>
            <w:vAlign w:val="center"/>
            <w:hideMark/>
          </w:tcPr>
          <w:p w14:paraId="4F6DF02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47A3336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5AF6EBF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Изготвен технически проект - 1 бр.</w:t>
            </w:r>
          </w:p>
        </w:tc>
        <w:tc>
          <w:tcPr>
            <w:tcW w:w="627" w:type="pct"/>
            <w:tcBorders>
              <w:top w:val="nil"/>
              <w:left w:val="nil"/>
              <w:bottom w:val="single" w:sz="4" w:space="0" w:color="auto"/>
              <w:right w:val="single" w:sz="4" w:space="0" w:color="auto"/>
            </w:tcBorders>
            <w:shd w:val="clear" w:color="auto" w:fill="auto"/>
            <w:vAlign w:val="center"/>
            <w:hideMark/>
          </w:tcPr>
          <w:p w14:paraId="4DC6AFB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574152C"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4CF431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88</w:t>
            </w:r>
          </w:p>
        </w:tc>
        <w:tc>
          <w:tcPr>
            <w:tcW w:w="529" w:type="pct"/>
            <w:tcBorders>
              <w:top w:val="nil"/>
              <w:left w:val="nil"/>
              <w:bottom w:val="single" w:sz="4" w:space="0" w:color="auto"/>
              <w:right w:val="single" w:sz="4" w:space="0" w:color="auto"/>
            </w:tcBorders>
            <w:shd w:val="clear" w:color="auto" w:fill="auto"/>
            <w:noWrap/>
            <w:vAlign w:val="center"/>
            <w:hideMark/>
          </w:tcPr>
          <w:p w14:paraId="0E4C7D4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NP-26.001-0078</w:t>
            </w:r>
          </w:p>
        </w:tc>
        <w:tc>
          <w:tcPr>
            <w:tcW w:w="855" w:type="pct"/>
            <w:tcBorders>
              <w:top w:val="nil"/>
              <w:left w:val="nil"/>
              <w:bottom w:val="single" w:sz="4" w:space="0" w:color="auto"/>
              <w:right w:val="single" w:sz="4" w:space="0" w:color="auto"/>
            </w:tcBorders>
            <w:shd w:val="clear" w:color="auto" w:fill="auto"/>
            <w:vAlign w:val="center"/>
            <w:hideMark/>
          </w:tcPr>
          <w:p w14:paraId="276DE22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Трайно укрепване на пътното платно на републикански път II-62 „о.п. Кюстендил - о. п. Дупница извън урбанизирана територия“ в участъците от км 19+530 до км 19+650, от км 23+456 до км 23+800 и от 35+280 до км 35+300, област Кюстендил /ПОС 2021-2027/</w:t>
            </w:r>
          </w:p>
        </w:tc>
        <w:tc>
          <w:tcPr>
            <w:tcW w:w="436" w:type="pct"/>
            <w:tcBorders>
              <w:top w:val="nil"/>
              <w:left w:val="nil"/>
              <w:bottom w:val="single" w:sz="4" w:space="0" w:color="auto"/>
              <w:right w:val="single" w:sz="4" w:space="0" w:color="auto"/>
            </w:tcBorders>
            <w:shd w:val="clear" w:color="auto" w:fill="auto"/>
            <w:vAlign w:val="center"/>
            <w:hideMark/>
          </w:tcPr>
          <w:p w14:paraId="3D8AE81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9,2</w:t>
            </w:r>
          </w:p>
        </w:tc>
        <w:tc>
          <w:tcPr>
            <w:tcW w:w="436" w:type="pct"/>
            <w:tcBorders>
              <w:top w:val="nil"/>
              <w:left w:val="nil"/>
              <w:bottom w:val="single" w:sz="4" w:space="0" w:color="auto"/>
              <w:right w:val="single" w:sz="4" w:space="0" w:color="auto"/>
            </w:tcBorders>
            <w:shd w:val="clear" w:color="auto" w:fill="auto"/>
            <w:vAlign w:val="center"/>
            <w:hideMark/>
          </w:tcPr>
          <w:p w14:paraId="14F5702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6DB4BF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45FD785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Изготвен технически проект - 1 бр.</w:t>
            </w:r>
          </w:p>
        </w:tc>
        <w:tc>
          <w:tcPr>
            <w:tcW w:w="627" w:type="pct"/>
            <w:tcBorders>
              <w:top w:val="nil"/>
              <w:left w:val="nil"/>
              <w:bottom w:val="single" w:sz="4" w:space="0" w:color="auto"/>
              <w:right w:val="single" w:sz="4" w:space="0" w:color="auto"/>
            </w:tcBorders>
            <w:shd w:val="clear" w:color="auto" w:fill="auto"/>
            <w:vAlign w:val="center"/>
            <w:hideMark/>
          </w:tcPr>
          <w:p w14:paraId="27FDFA3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6628CCE3"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15D1DF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89</w:t>
            </w:r>
          </w:p>
        </w:tc>
        <w:tc>
          <w:tcPr>
            <w:tcW w:w="529" w:type="pct"/>
            <w:tcBorders>
              <w:top w:val="nil"/>
              <w:left w:val="nil"/>
              <w:bottom w:val="single" w:sz="4" w:space="0" w:color="auto"/>
              <w:right w:val="single" w:sz="4" w:space="0" w:color="auto"/>
            </w:tcBorders>
            <w:shd w:val="clear" w:color="auto" w:fill="auto"/>
            <w:noWrap/>
            <w:vAlign w:val="center"/>
            <w:hideMark/>
          </w:tcPr>
          <w:p w14:paraId="4C54470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NP-25.001-0073</w:t>
            </w:r>
          </w:p>
        </w:tc>
        <w:tc>
          <w:tcPr>
            <w:tcW w:w="855" w:type="pct"/>
            <w:tcBorders>
              <w:top w:val="nil"/>
              <w:left w:val="nil"/>
              <w:bottom w:val="single" w:sz="4" w:space="0" w:color="auto"/>
              <w:right w:val="single" w:sz="4" w:space="0" w:color="auto"/>
            </w:tcBorders>
            <w:shd w:val="clear" w:color="auto" w:fill="auto"/>
            <w:vAlign w:val="center"/>
            <w:hideMark/>
          </w:tcPr>
          <w:p w14:paraId="5836BD4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Изработване на технически проект и строителство на виадукт при км 134+380 на Път II-86 Средногорци - Рудозем - преминаване на пътния участък чрез изграждане на армонасипно съоръжение /Интеррег VI-А Гърция - България 2021-2027/</w:t>
            </w:r>
          </w:p>
        </w:tc>
        <w:tc>
          <w:tcPr>
            <w:tcW w:w="436" w:type="pct"/>
            <w:tcBorders>
              <w:top w:val="nil"/>
              <w:left w:val="nil"/>
              <w:bottom w:val="single" w:sz="4" w:space="0" w:color="auto"/>
              <w:right w:val="single" w:sz="4" w:space="0" w:color="auto"/>
            </w:tcBorders>
            <w:shd w:val="clear" w:color="auto" w:fill="auto"/>
            <w:vAlign w:val="center"/>
            <w:hideMark/>
          </w:tcPr>
          <w:p w14:paraId="47071FE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w:t>
            </w:r>
          </w:p>
        </w:tc>
        <w:tc>
          <w:tcPr>
            <w:tcW w:w="436" w:type="pct"/>
            <w:tcBorders>
              <w:top w:val="nil"/>
              <w:left w:val="nil"/>
              <w:bottom w:val="single" w:sz="4" w:space="0" w:color="auto"/>
              <w:right w:val="single" w:sz="4" w:space="0" w:color="auto"/>
            </w:tcBorders>
            <w:shd w:val="clear" w:color="auto" w:fill="auto"/>
            <w:vAlign w:val="center"/>
            <w:hideMark/>
          </w:tcPr>
          <w:p w14:paraId="7760EBF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w:t>
            </w:r>
          </w:p>
        </w:tc>
        <w:tc>
          <w:tcPr>
            <w:tcW w:w="436" w:type="pct"/>
            <w:tcBorders>
              <w:top w:val="nil"/>
              <w:left w:val="nil"/>
              <w:bottom w:val="single" w:sz="4" w:space="0" w:color="auto"/>
              <w:right w:val="single" w:sz="4" w:space="0" w:color="auto"/>
            </w:tcBorders>
            <w:shd w:val="clear" w:color="auto" w:fill="auto"/>
            <w:vAlign w:val="center"/>
            <w:hideMark/>
          </w:tcPr>
          <w:p w14:paraId="5C48476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5BE825F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участъци/в т.ч. аварийни дейности/ - 0.2 км</w:t>
            </w:r>
          </w:p>
        </w:tc>
        <w:tc>
          <w:tcPr>
            <w:tcW w:w="627" w:type="pct"/>
            <w:tcBorders>
              <w:top w:val="nil"/>
              <w:left w:val="nil"/>
              <w:bottom w:val="single" w:sz="4" w:space="0" w:color="auto"/>
              <w:right w:val="single" w:sz="4" w:space="0" w:color="auto"/>
            </w:tcBorders>
            <w:shd w:val="clear" w:color="auto" w:fill="auto"/>
            <w:vAlign w:val="center"/>
            <w:hideMark/>
          </w:tcPr>
          <w:p w14:paraId="74045B2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4D72105C"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64920D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90</w:t>
            </w:r>
          </w:p>
        </w:tc>
        <w:tc>
          <w:tcPr>
            <w:tcW w:w="529" w:type="pct"/>
            <w:tcBorders>
              <w:top w:val="nil"/>
              <w:left w:val="nil"/>
              <w:bottom w:val="single" w:sz="4" w:space="0" w:color="auto"/>
              <w:right w:val="single" w:sz="4" w:space="0" w:color="auto"/>
            </w:tcBorders>
            <w:shd w:val="clear" w:color="auto" w:fill="auto"/>
            <w:noWrap/>
            <w:vAlign w:val="center"/>
            <w:hideMark/>
          </w:tcPr>
          <w:p w14:paraId="7E7CD18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NP-25.001-0075</w:t>
            </w:r>
          </w:p>
        </w:tc>
        <w:tc>
          <w:tcPr>
            <w:tcW w:w="855" w:type="pct"/>
            <w:tcBorders>
              <w:top w:val="nil"/>
              <w:left w:val="nil"/>
              <w:bottom w:val="single" w:sz="4" w:space="0" w:color="auto"/>
              <w:right w:val="single" w:sz="4" w:space="0" w:color="auto"/>
            </w:tcBorders>
            <w:shd w:val="clear" w:color="auto" w:fill="auto"/>
            <w:vAlign w:val="center"/>
            <w:hideMark/>
          </w:tcPr>
          <w:p w14:paraId="157F45E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Трайно укрепване на пътното платно на републикански път III-662 „Твърдица - Елена“ в участъците от км 38+372 до км 38+392, от км </w:t>
            </w:r>
            <w:r w:rsidRPr="00761800">
              <w:rPr>
                <w:rFonts w:ascii="Times New Roman" w:hAnsi="Times New Roman"/>
                <w:sz w:val="20"/>
                <w:lang w:eastAsia="bg-BG"/>
              </w:rPr>
              <w:lastRenderedPageBreak/>
              <w:t>39+168 до км 39+208, от км 40+126 до км 40+136, от км 40+225 до км 40+285, от км 40+550 до км 40+630 и от км 41+115 до км 41+135, област Сливен /ПОС 2021-2027/</w:t>
            </w:r>
          </w:p>
        </w:tc>
        <w:tc>
          <w:tcPr>
            <w:tcW w:w="436" w:type="pct"/>
            <w:tcBorders>
              <w:top w:val="nil"/>
              <w:left w:val="nil"/>
              <w:bottom w:val="single" w:sz="4" w:space="0" w:color="auto"/>
              <w:right w:val="single" w:sz="4" w:space="0" w:color="auto"/>
            </w:tcBorders>
            <w:shd w:val="clear" w:color="auto" w:fill="auto"/>
            <w:vAlign w:val="center"/>
            <w:hideMark/>
          </w:tcPr>
          <w:p w14:paraId="4EAA176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1,0</w:t>
            </w:r>
          </w:p>
        </w:tc>
        <w:tc>
          <w:tcPr>
            <w:tcW w:w="436" w:type="pct"/>
            <w:tcBorders>
              <w:top w:val="nil"/>
              <w:left w:val="nil"/>
              <w:bottom w:val="single" w:sz="4" w:space="0" w:color="auto"/>
              <w:right w:val="single" w:sz="4" w:space="0" w:color="auto"/>
            </w:tcBorders>
            <w:shd w:val="clear" w:color="auto" w:fill="auto"/>
            <w:vAlign w:val="center"/>
            <w:hideMark/>
          </w:tcPr>
          <w:p w14:paraId="6E5155E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w:t>
            </w:r>
          </w:p>
        </w:tc>
        <w:tc>
          <w:tcPr>
            <w:tcW w:w="436" w:type="pct"/>
            <w:tcBorders>
              <w:top w:val="nil"/>
              <w:left w:val="nil"/>
              <w:bottom w:val="single" w:sz="4" w:space="0" w:color="auto"/>
              <w:right w:val="single" w:sz="4" w:space="0" w:color="auto"/>
            </w:tcBorders>
            <w:shd w:val="clear" w:color="auto" w:fill="auto"/>
            <w:vAlign w:val="center"/>
            <w:hideMark/>
          </w:tcPr>
          <w:p w14:paraId="4159B70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w:t>
            </w:r>
          </w:p>
        </w:tc>
        <w:tc>
          <w:tcPr>
            <w:tcW w:w="1524" w:type="pct"/>
            <w:tcBorders>
              <w:top w:val="nil"/>
              <w:left w:val="nil"/>
              <w:bottom w:val="single" w:sz="4" w:space="0" w:color="auto"/>
              <w:right w:val="single" w:sz="4" w:space="0" w:color="auto"/>
            </w:tcBorders>
            <w:shd w:val="clear" w:color="auto" w:fill="auto"/>
            <w:vAlign w:val="center"/>
            <w:hideMark/>
          </w:tcPr>
          <w:p w14:paraId="29CEF98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укрепени участъци от РПМ, засегнати от неблагоприятни геодннамичнн процеси -1</w:t>
            </w:r>
          </w:p>
        </w:tc>
        <w:tc>
          <w:tcPr>
            <w:tcW w:w="627" w:type="pct"/>
            <w:tcBorders>
              <w:top w:val="nil"/>
              <w:left w:val="nil"/>
              <w:bottom w:val="single" w:sz="4" w:space="0" w:color="auto"/>
              <w:right w:val="single" w:sz="4" w:space="0" w:color="auto"/>
            </w:tcBorders>
            <w:shd w:val="clear" w:color="auto" w:fill="auto"/>
            <w:vAlign w:val="center"/>
            <w:hideMark/>
          </w:tcPr>
          <w:p w14:paraId="0447B18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79C82226"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BEA797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91</w:t>
            </w:r>
          </w:p>
        </w:tc>
        <w:tc>
          <w:tcPr>
            <w:tcW w:w="529" w:type="pct"/>
            <w:tcBorders>
              <w:top w:val="nil"/>
              <w:left w:val="nil"/>
              <w:bottom w:val="single" w:sz="4" w:space="0" w:color="auto"/>
              <w:right w:val="single" w:sz="4" w:space="0" w:color="auto"/>
            </w:tcBorders>
            <w:shd w:val="clear" w:color="auto" w:fill="auto"/>
            <w:noWrap/>
            <w:vAlign w:val="center"/>
            <w:hideMark/>
          </w:tcPr>
          <w:p w14:paraId="5D43384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NP-25.001-0076</w:t>
            </w:r>
          </w:p>
        </w:tc>
        <w:tc>
          <w:tcPr>
            <w:tcW w:w="855" w:type="pct"/>
            <w:tcBorders>
              <w:top w:val="nil"/>
              <w:left w:val="nil"/>
              <w:bottom w:val="single" w:sz="4" w:space="0" w:color="auto"/>
              <w:right w:val="single" w:sz="4" w:space="0" w:color="auto"/>
            </w:tcBorders>
            <w:shd w:val="clear" w:color="auto" w:fill="auto"/>
            <w:vAlign w:val="center"/>
            <w:hideMark/>
          </w:tcPr>
          <w:p w14:paraId="76D2D86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Трайно укрепване на пътното платно на републикански път III-662 „Твърдица - Елена” в участъците от км 47+495 до км 47+535, от км 47+800 до км 48+000 и от км 53+650 до км 53+950, област Велико Търново /ПОС 2021-2027/</w:t>
            </w:r>
          </w:p>
        </w:tc>
        <w:tc>
          <w:tcPr>
            <w:tcW w:w="436" w:type="pct"/>
            <w:tcBorders>
              <w:top w:val="nil"/>
              <w:left w:val="nil"/>
              <w:bottom w:val="single" w:sz="4" w:space="0" w:color="auto"/>
              <w:right w:val="single" w:sz="4" w:space="0" w:color="auto"/>
            </w:tcBorders>
            <w:shd w:val="clear" w:color="auto" w:fill="auto"/>
            <w:vAlign w:val="center"/>
            <w:hideMark/>
          </w:tcPr>
          <w:p w14:paraId="11C4D4B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50,0</w:t>
            </w:r>
          </w:p>
        </w:tc>
        <w:tc>
          <w:tcPr>
            <w:tcW w:w="436" w:type="pct"/>
            <w:tcBorders>
              <w:top w:val="nil"/>
              <w:left w:val="nil"/>
              <w:bottom w:val="single" w:sz="4" w:space="0" w:color="auto"/>
              <w:right w:val="single" w:sz="4" w:space="0" w:color="auto"/>
            </w:tcBorders>
            <w:shd w:val="clear" w:color="auto" w:fill="auto"/>
            <w:vAlign w:val="center"/>
            <w:hideMark/>
          </w:tcPr>
          <w:p w14:paraId="4722311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w:t>
            </w:r>
          </w:p>
        </w:tc>
        <w:tc>
          <w:tcPr>
            <w:tcW w:w="436" w:type="pct"/>
            <w:tcBorders>
              <w:top w:val="nil"/>
              <w:left w:val="nil"/>
              <w:bottom w:val="single" w:sz="4" w:space="0" w:color="auto"/>
              <w:right w:val="single" w:sz="4" w:space="0" w:color="auto"/>
            </w:tcBorders>
            <w:shd w:val="clear" w:color="auto" w:fill="auto"/>
            <w:vAlign w:val="center"/>
            <w:hideMark/>
          </w:tcPr>
          <w:p w14:paraId="05C26F2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60,0</w:t>
            </w:r>
          </w:p>
        </w:tc>
        <w:tc>
          <w:tcPr>
            <w:tcW w:w="1524" w:type="pct"/>
            <w:tcBorders>
              <w:top w:val="nil"/>
              <w:left w:val="nil"/>
              <w:bottom w:val="single" w:sz="4" w:space="0" w:color="auto"/>
              <w:right w:val="single" w:sz="4" w:space="0" w:color="auto"/>
            </w:tcBorders>
            <w:shd w:val="clear" w:color="auto" w:fill="auto"/>
            <w:vAlign w:val="center"/>
            <w:hideMark/>
          </w:tcPr>
          <w:p w14:paraId="0F2E708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укрепени участъци от РПМ, засегнати от неблагоприятни геодннамичнн процеси -1</w:t>
            </w:r>
          </w:p>
        </w:tc>
        <w:tc>
          <w:tcPr>
            <w:tcW w:w="627" w:type="pct"/>
            <w:tcBorders>
              <w:top w:val="nil"/>
              <w:left w:val="nil"/>
              <w:bottom w:val="single" w:sz="4" w:space="0" w:color="auto"/>
              <w:right w:val="single" w:sz="4" w:space="0" w:color="auto"/>
            </w:tcBorders>
            <w:shd w:val="clear" w:color="auto" w:fill="auto"/>
            <w:vAlign w:val="center"/>
            <w:hideMark/>
          </w:tcPr>
          <w:p w14:paraId="039EAFB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37D8BF9F"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DD2F2C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92</w:t>
            </w:r>
          </w:p>
        </w:tc>
        <w:tc>
          <w:tcPr>
            <w:tcW w:w="529" w:type="pct"/>
            <w:tcBorders>
              <w:top w:val="nil"/>
              <w:left w:val="nil"/>
              <w:bottom w:val="single" w:sz="4" w:space="0" w:color="auto"/>
              <w:right w:val="single" w:sz="4" w:space="0" w:color="auto"/>
            </w:tcBorders>
            <w:shd w:val="clear" w:color="auto" w:fill="auto"/>
            <w:noWrap/>
            <w:vAlign w:val="center"/>
            <w:hideMark/>
          </w:tcPr>
          <w:p w14:paraId="70B7C62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NP-25.001-0077</w:t>
            </w:r>
          </w:p>
        </w:tc>
        <w:tc>
          <w:tcPr>
            <w:tcW w:w="855" w:type="pct"/>
            <w:tcBorders>
              <w:top w:val="nil"/>
              <w:left w:val="nil"/>
              <w:bottom w:val="single" w:sz="4" w:space="0" w:color="auto"/>
              <w:right w:val="single" w:sz="4" w:space="0" w:color="auto"/>
            </w:tcBorders>
            <w:shd w:val="clear" w:color="auto" w:fill="auto"/>
            <w:vAlign w:val="center"/>
            <w:hideMark/>
          </w:tcPr>
          <w:p w14:paraId="5538CF0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Трайно укрепване на пътното платно на път III-181 „СОП/ - Бистрица - Железница - Алино - граница Перник“ в участъка от км 24+340 до км 24+400, област София /ПОС 2021-2027/</w:t>
            </w:r>
          </w:p>
        </w:tc>
        <w:tc>
          <w:tcPr>
            <w:tcW w:w="436" w:type="pct"/>
            <w:tcBorders>
              <w:top w:val="nil"/>
              <w:left w:val="nil"/>
              <w:bottom w:val="single" w:sz="4" w:space="0" w:color="auto"/>
              <w:right w:val="single" w:sz="4" w:space="0" w:color="auto"/>
            </w:tcBorders>
            <w:shd w:val="clear" w:color="auto" w:fill="auto"/>
            <w:vAlign w:val="center"/>
            <w:hideMark/>
          </w:tcPr>
          <w:p w14:paraId="7F6B473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w:t>
            </w:r>
          </w:p>
        </w:tc>
        <w:tc>
          <w:tcPr>
            <w:tcW w:w="436" w:type="pct"/>
            <w:tcBorders>
              <w:top w:val="nil"/>
              <w:left w:val="nil"/>
              <w:bottom w:val="single" w:sz="4" w:space="0" w:color="auto"/>
              <w:right w:val="single" w:sz="4" w:space="0" w:color="auto"/>
            </w:tcBorders>
            <w:shd w:val="clear" w:color="auto" w:fill="auto"/>
            <w:vAlign w:val="center"/>
            <w:hideMark/>
          </w:tcPr>
          <w:p w14:paraId="5198C72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w:t>
            </w:r>
          </w:p>
        </w:tc>
        <w:tc>
          <w:tcPr>
            <w:tcW w:w="436" w:type="pct"/>
            <w:tcBorders>
              <w:top w:val="nil"/>
              <w:left w:val="nil"/>
              <w:bottom w:val="single" w:sz="4" w:space="0" w:color="auto"/>
              <w:right w:val="single" w:sz="4" w:space="0" w:color="auto"/>
            </w:tcBorders>
            <w:shd w:val="clear" w:color="auto" w:fill="auto"/>
            <w:vAlign w:val="center"/>
            <w:hideMark/>
          </w:tcPr>
          <w:p w14:paraId="6D1BFA0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w:t>
            </w:r>
          </w:p>
        </w:tc>
        <w:tc>
          <w:tcPr>
            <w:tcW w:w="1524" w:type="pct"/>
            <w:tcBorders>
              <w:top w:val="nil"/>
              <w:left w:val="nil"/>
              <w:bottom w:val="single" w:sz="4" w:space="0" w:color="auto"/>
              <w:right w:val="single" w:sz="4" w:space="0" w:color="auto"/>
            </w:tcBorders>
            <w:shd w:val="clear" w:color="auto" w:fill="auto"/>
            <w:vAlign w:val="center"/>
            <w:hideMark/>
          </w:tcPr>
          <w:p w14:paraId="6554C65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укрепени участъци от РПМ, засегнати от неблагоприятни геодннамичнн процеси -1</w:t>
            </w:r>
          </w:p>
        </w:tc>
        <w:tc>
          <w:tcPr>
            <w:tcW w:w="627" w:type="pct"/>
            <w:tcBorders>
              <w:top w:val="nil"/>
              <w:left w:val="nil"/>
              <w:bottom w:val="single" w:sz="4" w:space="0" w:color="auto"/>
              <w:right w:val="single" w:sz="4" w:space="0" w:color="auto"/>
            </w:tcBorders>
            <w:shd w:val="clear" w:color="auto" w:fill="auto"/>
            <w:vAlign w:val="center"/>
            <w:hideMark/>
          </w:tcPr>
          <w:p w14:paraId="004A277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7C6E3CE1"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13C03D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93</w:t>
            </w:r>
          </w:p>
        </w:tc>
        <w:tc>
          <w:tcPr>
            <w:tcW w:w="529" w:type="pct"/>
            <w:tcBorders>
              <w:top w:val="nil"/>
              <w:left w:val="nil"/>
              <w:bottom w:val="single" w:sz="4" w:space="0" w:color="auto"/>
              <w:right w:val="single" w:sz="4" w:space="0" w:color="auto"/>
            </w:tcBorders>
            <w:shd w:val="clear" w:color="auto" w:fill="auto"/>
            <w:noWrap/>
            <w:vAlign w:val="center"/>
            <w:hideMark/>
          </w:tcPr>
          <w:p w14:paraId="466D19F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NP-25.001-0079</w:t>
            </w:r>
          </w:p>
        </w:tc>
        <w:tc>
          <w:tcPr>
            <w:tcW w:w="855" w:type="pct"/>
            <w:tcBorders>
              <w:top w:val="nil"/>
              <w:left w:val="nil"/>
              <w:bottom w:val="single" w:sz="4" w:space="0" w:color="auto"/>
              <w:right w:val="single" w:sz="4" w:space="0" w:color="auto"/>
            </w:tcBorders>
            <w:shd w:val="clear" w:color="auto" w:fill="auto"/>
            <w:vAlign w:val="center"/>
            <w:hideMark/>
          </w:tcPr>
          <w:p w14:paraId="628ADD8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на път II-37 „Етрополе - Златица“ от км 20+964 до км 35+580 и от км 42+810 до км 44+820, на територията на Софийска област /ПРР 2021-2027/</w:t>
            </w:r>
          </w:p>
        </w:tc>
        <w:tc>
          <w:tcPr>
            <w:tcW w:w="436" w:type="pct"/>
            <w:tcBorders>
              <w:top w:val="nil"/>
              <w:left w:val="nil"/>
              <w:bottom w:val="single" w:sz="4" w:space="0" w:color="auto"/>
              <w:right w:val="single" w:sz="4" w:space="0" w:color="auto"/>
            </w:tcBorders>
            <w:shd w:val="clear" w:color="auto" w:fill="auto"/>
            <w:vAlign w:val="center"/>
            <w:hideMark/>
          </w:tcPr>
          <w:p w14:paraId="0462072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0,7</w:t>
            </w:r>
          </w:p>
        </w:tc>
        <w:tc>
          <w:tcPr>
            <w:tcW w:w="436" w:type="pct"/>
            <w:tcBorders>
              <w:top w:val="nil"/>
              <w:left w:val="nil"/>
              <w:bottom w:val="single" w:sz="4" w:space="0" w:color="auto"/>
              <w:right w:val="single" w:sz="4" w:space="0" w:color="auto"/>
            </w:tcBorders>
            <w:shd w:val="clear" w:color="auto" w:fill="auto"/>
            <w:vAlign w:val="center"/>
            <w:hideMark/>
          </w:tcPr>
          <w:p w14:paraId="3FB8F4A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75,0</w:t>
            </w:r>
          </w:p>
        </w:tc>
        <w:tc>
          <w:tcPr>
            <w:tcW w:w="436" w:type="pct"/>
            <w:tcBorders>
              <w:top w:val="nil"/>
              <w:left w:val="nil"/>
              <w:bottom w:val="single" w:sz="4" w:space="0" w:color="auto"/>
              <w:right w:val="single" w:sz="4" w:space="0" w:color="auto"/>
            </w:tcBorders>
            <w:shd w:val="clear" w:color="auto" w:fill="auto"/>
            <w:vAlign w:val="center"/>
            <w:hideMark/>
          </w:tcPr>
          <w:p w14:paraId="358D845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582,1</w:t>
            </w:r>
          </w:p>
        </w:tc>
        <w:tc>
          <w:tcPr>
            <w:tcW w:w="1524" w:type="pct"/>
            <w:tcBorders>
              <w:top w:val="nil"/>
              <w:left w:val="nil"/>
              <w:bottom w:val="single" w:sz="4" w:space="0" w:color="auto"/>
              <w:right w:val="single" w:sz="4" w:space="0" w:color="auto"/>
            </w:tcBorders>
            <w:shd w:val="clear" w:color="auto" w:fill="auto"/>
            <w:vAlign w:val="center"/>
            <w:hideMark/>
          </w:tcPr>
          <w:p w14:paraId="111A5B1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-16.63</w:t>
            </w:r>
          </w:p>
        </w:tc>
        <w:tc>
          <w:tcPr>
            <w:tcW w:w="627" w:type="pct"/>
            <w:tcBorders>
              <w:top w:val="nil"/>
              <w:left w:val="nil"/>
              <w:bottom w:val="single" w:sz="4" w:space="0" w:color="auto"/>
              <w:right w:val="single" w:sz="4" w:space="0" w:color="auto"/>
            </w:tcBorders>
            <w:shd w:val="clear" w:color="auto" w:fill="auto"/>
            <w:vAlign w:val="center"/>
            <w:hideMark/>
          </w:tcPr>
          <w:p w14:paraId="3B2458C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56C0229"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C22703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94</w:t>
            </w:r>
          </w:p>
        </w:tc>
        <w:tc>
          <w:tcPr>
            <w:tcW w:w="529" w:type="pct"/>
            <w:tcBorders>
              <w:top w:val="nil"/>
              <w:left w:val="nil"/>
              <w:bottom w:val="single" w:sz="4" w:space="0" w:color="auto"/>
              <w:right w:val="single" w:sz="4" w:space="0" w:color="auto"/>
            </w:tcBorders>
            <w:shd w:val="clear" w:color="auto" w:fill="auto"/>
            <w:noWrap/>
            <w:vAlign w:val="center"/>
            <w:hideMark/>
          </w:tcPr>
          <w:p w14:paraId="4038883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NP-25.001-0082</w:t>
            </w:r>
          </w:p>
        </w:tc>
        <w:tc>
          <w:tcPr>
            <w:tcW w:w="855" w:type="pct"/>
            <w:tcBorders>
              <w:top w:val="nil"/>
              <w:left w:val="nil"/>
              <w:bottom w:val="single" w:sz="4" w:space="0" w:color="auto"/>
              <w:right w:val="single" w:sz="4" w:space="0" w:color="auto"/>
            </w:tcBorders>
            <w:shd w:val="clear" w:color="auto" w:fill="auto"/>
            <w:vAlign w:val="center"/>
            <w:hideMark/>
          </w:tcPr>
          <w:p w14:paraId="53CF48D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на път II-35 „Троян - Кърнаре“ от км 84+725 до км 125+349 /ПРР 2021-2027/</w:t>
            </w:r>
          </w:p>
        </w:tc>
        <w:tc>
          <w:tcPr>
            <w:tcW w:w="436" w:type="pct"/>
            <w:tcBorders>
              <w:top w:val="nil"/>
              <w:left w:val="nil"/>
              <w:bottom w:val="single" w:sz="4" w:space="0" w:color="auto"/>
              <w:right w:val="single" w:sz="4" w:space="0" w:color="auto"/>
            </w:tcBorders>
            <w:shd w:val="clear" w:color="auto" w:fill="auto"/>
            <w:vAlign w:val="center"/>
            <w:hideMark/>
          </w:tcPr>
          <w:p w14:paraId="522AB1F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4AFABB6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1,5</w:t>
            </w:r>
          </w:p>
        </w:tc>
        <w:tc>
          <w:tcPr>
            <w:tcW w:w="436" w:type="pct"/>
            <w:tcBorders>
              <w:top w:val="nil"/>
              <w:left w:val="nil"/>
              <w:bottom w:val="single" w:sz="4" w:space="0" w:color="auto"/>
              <w:right w:val="single" w:sz="4" w:space="0" w:color="auto"/>
            </w:tcBorders>
            <w:shd w:val="clear" w:color="auto" w:fill="auto"/>
            <w:vAlign w:val="center"/>
            <w:hideMark/>
          </w:tcPr>
          <w:p w14:paraId="0FF45AB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w:t>
            </w:r>
          </w:p>
        </w:tc>
        <w:tc>
          <w:tcPr>
            <w:tcW w:w="1524" w:type="pct"/>
            <w:tcBorders>
              <w:top w:val="nil"/>
              <w:left w:val="nil"/>
              <w:bottom w:val="single" w:sz="4" w:space="0" w:color="auto"/>
              <w:right w:val="single" w:sz="4" w:space="0" w:color="auto"/>
            </w:tcBorders>
            <w:shd w:val="clear" w:color="auto" w:fill="auto"/>
            <w:vAlign w:val="center"/>
            <w:hideMark/>
          </w:tcPr>
          <w:p w14:paraId="2C49522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-40.62</w:t>
            </w:r>
          </w:p>
        </w:tc>
        <w:tc>
          <w:tcPr>
            <w:tcW w:w="627" w:type="pct"/>
            <w:tcBorders>
              <w:top w:val="nil"/>
              <w:left w:val="nil"/>
              <w:bottom w:val="single" w:sz="4" w:space="0" w:color="auto"/>
              <w:right w:val="single" w:sz="4" w:space="0" w:color="auto"/>
            </w:tcBorders>
            <w:shd w:val="clear" w:color="auto" w:fill="auto"/>
            <w:vAlign w:val="center"/>
            <w:hideMark/>
          </w:tcPr>
          <w:p w14:paraId="13E1B86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7AF489C"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B9BC85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95</w:t>
            </w:r>
          </w:p>
        </w:tc>
        <w:tc>
          <w:tcPr>
            <w:tcW w:w="529" w:type="pct"/>
            <w:tcBorders>
              <w:top w:val="nil"/>
              <w:left w:val="nil"/>
              <w:bottom w:val="single" w:sz="4" w:space="0" w:color="auto"/>
              <w:right w:val="single" w:sz="4" w:space="0" w:color="auto"/>
            </w:tcBorders>
            <w:shd w:val="clear" w:color="auto" w:fill="auto"/>
            <w:noWrap/>
            <w:vAlign w:val="center"/>
            <w:hideMark/>
          </w:tcPr>
          <w:p w14:paraId="1260BB1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NP-25.001-0083</w:t>
            </w:r>
          </w:p>
        </w:tc>
        <w:tc>
          <w:tcPr>
            <w:tcW w:w="855" w:type="pct"/>
            <w:tcBorders>
              <w:top w:val="nil"/>
              <w:left w:val="nil"/>
              <w:bottom w:val="single" w:sz="4" w:space="0" w:color="auto"/>
              <w:right w:val="single" w:sz="4" w:space="0" w:color="auto"/>
            </w:tcBorders>
            <w:shd w:val="clear" w:color="auto" w:fill="auto"/>
            <w:vAlign w:val="center"/>
            <w:hideMark/>
          </w:tcPr>
          <w:p w14:paraId="23F56DB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Западен обход на гр. Ямбол от км 147+824.90 до км 148+890.35,  с дължина 1,065 км, област Ямбол /ПРР 2021-2027/</w:t>
            </w:r>
          </w:p>
        </w:tc>
        <w:tc>
          <w:tcPr>
            <w:tcW w:w="436" w:type="pct"/>
            <w:tcBorders>
              <w:top w:val="nil"/>
              <w:left w:val="nil"/>
              <w:bottom w:val="single" w:sz="4" w:space="0" w:color="auto"/>
              <w:right w:val="single" w:sz="4" w:space="0" w:color="auto"/>
            </w:tcBorders>
            <w:shd w:val="clear" w:color="auto" w:fill="auto"/>
            <w:vAlign w:val="center"/>
            <w:hideMark/>
          </w:tcPr>
          <w:p w14:paraId="197FE17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59F8C0E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3,8</w:t>
            </w:r>
          </w:p>
        </w:tc>
        <w:tc>
          <w:tcPr>
            <w:tcW w:w="436" w:type="pct"/>
            <w:tcBorders>
              <w:top w:val="nil"/>
              <w:left w:val="nil"/>
              <w:bottom w:val="single" w:sz="4" w:space="0" w:color="auto"/>
              <w:right w:val="single" w:sz="4" w:space="0" w:color="auto"/>
            </w:tcBorders>
            <w:shd w:val="clear" w:color="auto" w:fill="auto"/>
            <w:vAlign w:val="center"/>
            <w:hideMark/>
          </w:tcPr>
          <w:p w14:paraId="370E679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5,1</w:t>
            </w:r>
          </w:p>
        </w:tc>
        <w:tc>
          <w:tcPr>
            <w:tcW w:w="1524" w:type="pct"/>
            <w:tcBorders>
              <w:top w:val="nil"/>
              <w:left w:val="nil"/>
              <w:bottom w:val="single" w:sz="4" w:space="0" w:color="auto"/>
              <w:right w:val="single" w:sz="4" w:space="0" w:color="auto"/>
            </w:tcBorders>
            <w:shd w:val="clear" w:color="auto" w:fill="auto"/>
            <w:vAlign w:val="center"/>
            <w:hideMark/>
          </w:tcPr>
          <w:p w14:paraId="3EA8F2B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Новоизградени участъци - 1.07 км</w:t>
            </w:r>
          </w:p>
        </w:tc>
        <w:tc>
          <w:tcPr>
            <w:tcW w:w="627" w:type="pct"/>
            <w:tcBorders>
              <w:top w:val="nil"/>
              <w:left w:val="nil"/>
              <w:bottom w:val="single" w:sz="4" w:space="0" w:color="auto"/>
              <w:right w:val="single" w:sz="4" w:space="0" w:color="auto"/>
            </w:tcBorders>
            <w:shd w:val="clear" w:color="auto" w:fill="auto"/>
            <w:vAlign w:val="center"/>
            <w:hideMark/>
          </w:tcPr>
          <w:p w14:paraId="7274D8D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2D27264F"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A814B6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96</w:t>
            </w:r>
          </w:p>
        </w:tc>
        <w:tc>
          <w:tcPr>
            <w:tcW w:w="529" w:type="pct"/>
            <w:tcBorders>
              <w:top w:val="nil"/>
              <w:left w:val="nil"/>
              <w:bottom w:val="single" w:sz="4" w:space="0" w:color="auto"/>
              <w:right w:val="single" w:sz="4" w:space="0" w:color="auto"/>
            </w:tcBorders>
            <w:shd w:val="clear" w:color="auto" w:fill="auto"/>
            <w:noWrap/>
            <w:vAlign w:val="center"/>
            <w:hideMark/>
          </w:tcPr>
          <w:p w14:paraId="7D37B51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NP-25.001-0087</w:t>
            </w:r>
          </w:p>
        </w:tc>
        <w:tc>
          <w:tcPr>
            <w:tcW w:w="855" w:type="pct"/>
            <w:tcBorders>
              <w:top w:val="nil"/>
              <w:left w:val="nil"/>
              <w:bottom w:val="single" w:sz="4" w:space="0" w:color="auto"/>
              <w:right w:val="single" w:sz="4" w:space="0" w:color="auto"/>
            </w:tcBorders>
            <w:shd w:val="clear" w:color="auto" w:fill="auto"/>
            <w:vAlign w:val="center"/>
            <w:hideMark/>
          </w:tcPr>
          <w:p w14:paraId="5D2B366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на път II-11 „Граница ОПУ-Видин – Лом – Граница ОПУ-Враца“ от км 23+167 до км 46+781.19 (=км 46+880 по задание), с дължина 23.614 км, на територията на община Лом, област Монтана /ПРР 2021-2027/</w:t>
            </w:r>
          </w:p>
        </w:tc>
        <w:tc>
          <w:tcPr>
            <w:tcW w:w="436" w:type="pct"/>
            <w:tcBorders>
              <w:top w:val="nil"/>
              <w:left w:val="nil"/>
              <w:bottom w:val="single" w:sz="4" w:space="0" w:color="auto"/>
              <w:right w:val="single" w:sz="4" w:space="0" w:color="auto"/>
            </w:tcBorders>
            <w:shd w:val="clear" w:color="auto" w:fill="auto"/>
            <w:vAlign w:val="center"/>
            <w:hideMark/>
          </w:tcPr>
          <w:p w14:paraId="5DD301C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3 101,5</w:t>
            </w:r>
          </w:p>
        </w:tc>
        <w:tc>
          <w:tcPr>
            <w:tcW w:w="436" w:type="pct"/>
            <w:tcBorders>
              <w:top w:val="nil"/>
              <w:left w:val="nil"/>
              <w:bottom w:val="single" w:sz="4" w:space="0" w:color="auto"/>
              <w:right w:val="single" w:sz="4" w:space="0" w:color="auto"/>
            </w:tcBorders>
            <w:shd w:val="clear" w:color="auto" w:fill="auto"/>
            <w:vAlign w:val="center"/>
            <w:hideMark/>
          </w:tcPr>
          <w:p w14:paraId="02F832D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372,5</w:t>
            </w:r>
          </w:p>
        </w:tc>
        <w:tc>
          <w:tcPr>
            <w:tcW w:w="436" w:type="pct"/>
            <w:tcBorders>
              <w:top w:val="nil"/>
              <w:left w:val="nil"/>
              <w:bottom w:val="single" w:sz="4" w:space="0" w:color="auto"/>
              <w:right w:val="single" w:sz="4" w:space="0" w:color="auto"/>
            </w:tcBorders>
            <w:shd w:val="clear" w:color="auto" w:fill="auto"/>
            <w:vAlign w:val="center"/>
            <w:hideMark/>
          </w:tcPr>
          <w:p w14:paraId="06C446F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600,0</w:t>
            </w:r>
          </w:p>
        </w:tc>
        <w:tc>
          <w:tcPr>
            <w:tcW w:w="1524" w:type="pct"/>
            <w:tcBorders>
              <w:top w:val="nil"/>
              <w:left w:val="nil"/>
              <w:bottom w:val="single" w:sz="4" w:space="0" w:color="auto"/>
              <w:right w:val="single" w:sz="4" w:space="0" w:color="auto"/>
            </w:tcBorders>
            <w:shd w:val="clear" w:color="auto" w:fill="auto"/>
            <w:vAlign w:val="center"/>
            <w:hideMark/>
          </w:tcPr>
          <w:p w14:paraId="32E437A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-23.71</w:t>
            </w:r>
          </w:p>
        </w:tc>
        <w:tc>
          <w:tcPr>
            <w:tcW w:w="627" w:type="pct"/>
            <w:tcBorders>
              <w:top w:val="nil"/>
              <w:left w:val="nil"/>
              <w:bottom w:val="single" w:sz="4" w:space="0" w:color="auto"/>
              <w:right w:val="single" w:sz="4" w:space="0" w:color="auto"/>
            </w:tcBorders>
            <w:shd w:val="clear" w:color="auto" w:fill="auto"/>
            <w:vAlign w:val="center"/>
            <w:hideMark/>
          </w:tcPr>
          <w:p w14:paraId="7838913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25425A63"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1F57F9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97</w:t>
            </w:r>
          </w:p>
        </w:tc>
        <w:tc>
          <w:tcPr>
            <w:tcW w:w="529" w:type="pct"/>
            <w:tcBorders>
              <w:top w:val="nil"/>
              <w:left w:val="nil"/>
              <w:bottom w:val="single" w:sz="4" w:space="0" w:color="auto"/>
              <w:right w:val="single" w:sz="4" w:space="0" w:color="auto"/>
            </w:tcBorders>
            <w:shd w:val="clear" w:color="auto" w:fill="auto"/>
            <w:noWrap/>
            <w:vAlign w:val="center"/>
            <w:hideMark/>
          </w:tcPr>
          <w:p w14:paraId="522C83F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NP-25.001-0088</w:t>
            </w:r>
          </w:p>
        </w:tc>
        <w:tc>
          <w:tcPr>
            <w:tcW w:w="855" w:type="pct"/>
            <w:tcBorders>
              <w:top w:val="nil"/>
              <w:left w:val="nil"/>
              <w:bottom w:val="single" w:sz="4" w:space="0" w:color="auto"/>
              <w:right w:val="single" w:sz="4" w:space="0" w:color="auto"/>
            </w:tcBorders>
            <w:shd w:val="clear" w:color="auto" w:fill="auto"/>
            <w:vAlign w:val="center"/>
            <w:hideMark/>
          </w:tcPr>
          <w:p w14:paraId="10D093B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на път II-11 „Граница ОПУ-Видин – Лом – Граница ОПУ-Враца“ от км 49+691 до км 78+884.24 (=км 78+820 по задание), с дължина 29,193 км, на територията на общините Лом и Вълчедръм, област Монтана /ПРР 2021-2027/</w:t>
            </w:r>
          </w:p>
        </w:tc>
        <w:tc>
          <w:tcPr>
            <w:tcW w:w="436" w:type="pct"/>
            <w:tcBorders>
              <w:top w:val="nil"/>
              <w:left w:val="nil"/>
              <w:bottom w:val="single" w:sz="4" w:space="0" w:color="auto"/>
              <w:right w:val="single" w:sz="4" w:space="0" w:color="auto"/>
            </w:tcBorders>
            <w:shd w:val="clear" w:color="auto" w:fill="auto"/>
            <w:vAlign w:val="center"/>
            <w:hideMark/>
          </w:tcPr>
          <w:p w14:paraId="2CBEE72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3 101,5</w:t>
            </w:r>
          </w:p>
        </w:tc>
        <w:tc>
          <w:tcPr>
            <w:tcW w:w="436" w:type="pct"/>
            <w:tcBorders>
              <w:top w:val="nil"/>
              <w:left w:val="nil"/>
              <w:bottom w:val="single" w:sz="4" w:space="0" w:color="auto"/>
              <w:right w:val="single" w:sz="4" w:space="0" w:color="auto"/>
            </w:tcBorders>
            <w:shd w:val="clear" w:color="auto" w:fill="auto"/>
            <w:vAlign w:val="center"/>
            <w:hideMark/>
          </w:tcPr>
          <w:p w14:paraId="32B5EA8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151,1</w:t>
            </w:r>
          </w:p>
        </w:tc>
        <w:tc>
          <w:tcPr>
            <w:tcW w:w="436" w:type="pct"/>
            <w:tcBorders>
              <w:top w:val="nil"/>
              <w:left w:val="nil"/>
              <w:bottom w:val="single" w:sz="4" w:space="0" w:color="auto"/>
              <w:right w:val="single" w:sz="4" w:space="0" w:color="auto"/>
            </w:tcBorders>
            <w:shd w:val="clear" w:color="auto" w:fill="auto"/>
            <w:vAlign w:val="center"/>
            <w:hideMark/>
          </w:tcPr>
          <w:p w14:paraId="07F31B7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301,3</w:t>
            </w:r>
          </w:p>
        </w:tc>
        <w:tc>
          <w:tcPr>
            <w:tcW w:w="1524" w:type="pct"/>
            <w:tcBorders>
              <w:top w:val="nil"/>
              <w:left w:val="nil"/>
              <w:bottom w:val="single" w:sz="4" w:space="0" w:color="auto"/>
              <w:right w:val="single" w:sz="4" w:space="0" w:color="auto"/>
            </w:tcBorders>
            <w:shd w:val="clear" w:color="auto" w:fill="auto"/>
            <w:vAlign w:val="center"/>
            <w:hideMark/>
          </w:tcPr>
          <w:p w14:paraId="147105E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-29.13</w:t>
            </w:r>
          </w:p>
        </w:tc>
        <w:tc>
          <w:tcPr>
            <w:tcW w:w="627" w:type="pct"/>
            <w:tcBorders>
              <w:top w:val="nil"/>
              <w:left w:val="nil"/>
              <w:bottom w:val="single" w:sz="4" w:space="0" w:color="auto"/>
              <w:right w:val="single" w:sz="4" w:space="0" w:color="auto"/>
            </w:tcBorders>
            <w:shd w:val="clear" w:color="auto" w:fill="auto"/>
            <w:vAlign w:val="center"/>
            <w:hideMark/>
          </w:tcPr>
          <w:p w14:paraId="4EFB99A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418C41E"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D923CB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98</w:t>
            </w:r>
          </w:p>
        </w:tc>
        <w:tc>
          <w:tcPr>
            <w:tcW w:w="529" w:type="pct"/>
            <w:tcBorders>
              <w:top w:val="nil"/>
              <w:left w:val="nil"/>
              <w:bottom w:val="single" w:sz="4" w:space="0" w:color="auto"/>
              <w:right w:val="single" w:sz="4" w:space="0" w:color="auto"/>
            </w:tcBorders>
            <w:shd w:val="clear" w:color="auto" w:fill="auto"/>
            <w:noWrap/>
            <w:vAlign w:val="center"/>
            <w:hideMark/>
          </w:tcPr>
          <w:p w14:paraId="6E300D8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NP-25.001-0085</w:t>
            </w:r>
          </w:p>
        </w:tc>
        <w:tc>
          <w:tcPr>
            <w:tcW w:w="855" w:type="pct"/>
            <w:tcBorders>
              <w:top w:val="nil"/>
              <w:left w:val="nil"/>
              <w:bottom w:val="single" w:sz="4" w:space="0" w:color="auto"/>
              <w:right w:val="single" w:sz="4" w:space="0" w:color="auto"/>
            </w:tcBorders>
            <w:shd w:val="clear" w:color="auto" w:fill="auto"/>
            <w:vAlign w:val="center"/>
            <w:hideMark/>
          </w:tcPr>
          <w:p w14:paraId="4483ADD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Основен ремонт на път III-1401 Вещица – Белоградчик от км на път III-1401 Вещица – Белоградчик от км </w:t>
            </w:r>
            <w:r w:rsidRPr="00761800">
              <w:rPr>
                <w:rFonts w:ascii="Times New Roman" w:hAnsi="Times New Roman"/>
                <w:sz w:val="20"/>
                <w:lang w:eastAsia="bg-BG"/>
              </w:rPr>
              <w:lastRenderedPageBreak/>
              <w:t>34+400 до км 43+300, в землищата на селата Вещица и Дъбравка и гр. Белоградчик, община Белоградчик /ПРР 2021-2027/</w:t>
            </w:r>
          </w:p>
        </w:tc>
        <w:tc>
          <w:tcPr>
            <w:tcW w:w="436" w:type="pct"/>
            <w:tcBorders>
              <w:top w:val="nil"/>
              <w:left w:val="nil"/>
              <w:bottom w:val="single" w:sz="4" w:space="0" w:color="auto"/>
              <w:right w:val="single" w:sz="4" w:space="0" w:color="auto"/>
            </w:tcBorders>
            <w:shd w:val="clear" w:color="auto" w:fill="auto"/>
            <w:vAlign w:val="center"/>
            <w:hideMark/>
          </w:tcPr>
          <w:p w14:paraId="0AAFE03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0,7</w:t>
            </w:r>
          </w:p>
        </w:tc>
        <w:tc>
          <w:tcPr>
            <w:tcW w:w="436" w:type="pct"/>
            <w:tcBorders>
              <w:top w:val="nil"/>
              <w:left w:val="nil"/>
              <w:bottom w:val="single" w:sz="4" w:space="0" w:color="auto"/>
              <w:right w:val="single" w:sz="4" w:space="0" w:color="auto"/>
            </w:tcBorders>
            <w:shd w:val="clear" w:color="auto" w:fill="auto"/>
            <w:vAlign w:val="center"/>
            <w:hideMark/>
          </w:tcPr>
          <w:p w14:paraId="1838E3F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0,5</w:t>
            </w:r>
          </w:p>
        </w:tc>
        <w:tc>
          <w:tcPr>
            <w:tcW w:w="436" w:type="pct"/>
            <w:tcBorders>
              <w:top w:val="nil"/>
              <w:left w:val="nil"/>
              <w:bottom w:val="single" w:sz="4" w:space="0" w:color="auto"/>
              <w:right w:val="single" w:sz="4" w:space="0" w:color="auto"/>
            </w:tcBorders>
            <w:shd w:val="clear" w:color="auto" w:fill="auto"/>
            <w:vAlign w:val="center"/>
            <w:hideMark/>
          </w:tcPr>
          <w:p w14:paraId="598F241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185,0</w:t>
            </w:r>
          </w:p>
        </w:tc>
        <w:tc>
          <w:tcPr>
            <w:tcW w:w="1524" w:type="pct"/>
            <w:tcBorders>
              <w:top w:val="nil"/>
              <w:left w:val="nil"/>
              <w:bottom w:val="single" w:sz="4" w:space="0" w:color="auto"/>
              <w:right w:val="single" w:sz="4" w:space="0" w:color="auto"/>
            </w:tcBorders>
            <w:shd w:val="clear" w:color="auto" w:fill="auto"/>
            <w:vAlign w:val="center"/>
            <w:hideMark/>
          </w:tcPr>
          <w:p w14:paraId="6369907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-8.9</w:t>
            </w:r>
          </w:p>
        </w:tc>
        <w:tc>
          <w:tcPr>
            <w:tcW w:w="627" w:type="pct"/>
            <w:tcBorders>
              <w:top w:val="nil"/>
              <w:left w:val="nil"/>
              <w:bottom w:val="single" w:sz="4" w:space="0" w:color="auto"/>
              <w:right w:val="single" w:sz="4" w:space="0" w:color="auto"/>
            </w:tcBorders>
            <w:shd w:val="clear" w:color="auto" w:fill="auto"/>
            <w:vAlign w:val="center"/>
            <w:hideMark/>
          </w:tcPr>
          <w:p w14:paraId="63D882A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F8BD649"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528740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99</w:t>
            </w:r>
          </w:p>
        </w:tc>
        <w:tc>
          <w:tcPr>
            <w:tcW w:w="529" w:type="pct"/>
            <w:tcBorders>
              <w:top w:val="nil"/>
              <w:left w:val="nil"/>
              <w:bottom w:val="single" w:sz="4" w:space="0" w:color="auto"/>
              <w:right w:val="single" w:sz="4" w:space="0" w:color="auto"/>
            </w:tcBorders>
            <w:shd w:val="clear" w:color="auto" w:fill="auto"/>
            <w:noWrap/>
            <w:vAlign w:val="center"/>
            <w:hideMark/>
          </w:tcPr>
          <w:p w14:paraId="3BF76B0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NP-25.001-0086</w:t>
            </w:r>
          </w:p>
        </w:tc>
        <w:tc>
          <w:tcPr>
            <w:tcW w:w="855" w:type="pct"/>
            <w:tcBorders>
              <w:top w:val="nil"/>
              <w:left w:val="nil"/>
              <w:bottom w:val="single" w:sz="4" w:space="0" w:color="auto"/>
              <w:right w:val="single" w:sz="4" w:space="0" w:color="auto"/>
            </w:tcBorders>
            <w:shd w:val="clear" w:color="auto" w:fill="auto"/>
            <w:vAlign w:val="center"/>
            <w:hideMark/>
          </w:tcPr>
          <w:p w14:paraId="1DD1165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Основен ремонт на път III-1102 Кладоруб – Салаш от км 26+500 до км 34+824, в землищата на селата Вещица и Върба, община Белоградчик и землище на с. Кладоруб, община Димово /ПРР 2021-2027/</w:t>
            </w:r>
          </w:p>
        </w:tc>
        <w:tc>
          <w:tcPr>
            <w:tcW w:w="436" w:type="pct"/>
            <w:tcBorders>
              <w:top w:val="nil"/>
              <w:left w:val="nil"/>
              <w:bottom w:val="single" w:sz="4" w:space="0" w:color="auto"/>
              <w:right w:val="single" w:sz="4" w:space="0" w:color="auto"/>
            </w:tcBorders>
            <w:shd w:val="clear" w:color="auto" w:fill="auto"/>
            <w:vAlign w:val="center"/>
            <w:hideMark/>
          </w:tcPr>
          <w:p w14:paraId="7953406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0,7</w:t>
            </w:r>
          </w:p>
        </w:tc>
        <w:tc>
          <w:tcPr>
            <w:tcW w:w="436" w:type="pct"/>
            <w:tcBorders>
              <w:top w:val="nil"/>
              <w:left w:val="nil"/>
              <w:bottom w:val="single" w:sz="4" w:space="0" w:color="auto"/>
              <w:right w:val="single" w:sz="4" w:space="0" w:color="auto"/>
            </w:tcBorders>
            <w:shd w:val="clear" w:color="auto" w:fill="auto"/>
            <w:vAlign w:val="center"/>
            <w:hideMark/>
          </w:tcPr>
          <w:p w14:paraId="09D9A03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0,5</w:t>
            </w:r>
          </w:p>
        </w:tc>
        <w:tc>
          <w:tcPr>
            <w:tcW w:w="436" w:type="pct"/>
            <w:tcBorders>
              <w:top w:val="nil"/>
              <w:left w:val="nil"/>
              <w:bottom w:val="single" w:sz="4" w:space="0" w:color="auto"/>
              <w:right w:val="single" w:sz="4" w:space="0" w:color="auto"/>
            </w:tcBorders>
            <w:shd w:val="clear" w:color="auto" w:fill="auto"/>
            <w:vAlign w:val="center"/>
            <w:hideMark/>
          </w:tcPr>
          <w:p w14:paraId="7CE4CCE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152,1</w:t>
            </w:r>
          </w:p>
        </w:tc>
        <w:tc>
          <w:tcPr>
            <w:tcW w:w="1524" w:type="pct"/>
            <w:tcBorders>
              <w:top w:val="nil"/>
              <w:left w:val="nil"/>
              <w:bottom w:val="single" w:sz="4" w:space="0" w:color="auto"/>
              <w:right w:val="single" w:sz="4" w:space="0" w:color="auto"/>
            </w:tcBorders>
            <w:shd w:val="clear" w:color="auto" w:fill="auto"/>
            <w:vAlign w:val="center"/>
            <w:hideMark/>
          </w:tcPr>
          <w:p w14:paraId="7096839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-8.32</w:t>
            </w:r>
          </w:p>
        </w:tc>
        <w:tc>
          <w:tcPr>
            <w:tcW w:w="627" w:type="pct"/>
            <w:tcBorders>
              <w:top w:val="nil"/>
              <w:left w:val="nil"/>
              <w:bottom w:val="single" w:sz="4" w:space="0" w:color="auto"/>
              <w:right w:val="single" w:sz="4" w:space="0" w:color="auto"/>
            </w:tcBorders>
            <w:shd w:val="clear" w:color="auto" w:fill="auto"/>
            <w:vAlign w:val="center"/>
            <w:hideMark/>
          </w:tcPr>
          <w:p w14:paraId="59438D2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33AC85DF"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2A8675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100</w:t>
            </w:r>
          </w:p>
        </w:tc>
        <w:tc>
          <w:tcPr>
            <w:tcW w:w="529" w:type="pct"/>
            <w:tcBorders>
              <w:top w:val="nil"/>
              <w:left w:val="nil"/>
              <w:bottom w:val="single" w:sz="4" w:space="0" w:color="auto"/>
              <w:right w:val="single" w:sz="4" w:space="0" w:color="auto"/>
            </w:tcBorders>
            <w:shd w:val="clear" w:color="auto" w:fill="auto"/>
            <w:noWrap/>
            <w:vAlign w:val="center"/>
            <w:hideMark/>
          </w:tcPr>
          <w:p w14:paraId="11905C2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NP-25.001-0091</w:t>
            </w:r>
          </w:p>
        </w:tc>
        <w:tc>
          <w:tcPr>
            <w:tcW w:w="855" w:type="pct"/>
            <w:tcBorders>
              <w:top w:val="nil"/>
              <w:left w:val="nil"/>
              <w:bottom w:val="single" w:sz="4" w:space="0" w:color="auto"/>
              <w:right w:val="single" w:sz="4" w:space="0" w:color="auto"/>
            </w:tcBorders>
            <w:shd w:val="clear" w:color="auto" w:fill="auto"/>
            <w:vAlign w:val="center"/>
            <w:hideMark/>
          </w:tcPr>
          <w:p w14:paraId="6A2B1F5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Реконструкция на улица: Св. Княз Борис І /част от път ІІІ 514/  От кръстовище на ул. „19 Февруари“ с ул. „Св. Княз Борис I“ гр. Горна Оряховица (км. 42+642) до връзката на път III – 514 със Северен обходен път на гр. Горна Оряховица (км. 37+790) /ПРР 2021-2027/</w:t>
            </w:r>
          </w:p>
        </w:tc>
        <w:tc>
          <w:tcPr>
            <w:tcW w:w="436" w:type="pct"/>
            <w:tcBorders>
              <w:top w:val="nil"/>
              <w:left w:val="nil"/>
              <w:bottom w:val="single" w:sz="4" w:space="0" w:color="auto"/>
              <w:right w:val="single" w:sz="4" w:space="0" w:color="auto"/>
            </w:tcBorders>
            <w:shd w:val="clear" w:color="auto" w:fill="auto"/>
            <w:vAlign w:val="center"/>
            <w:hideMark/>
          </w:tcPr>
          <w:p w14:paraId="135DB2F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10,5</w:t>
            </w:r>
          </w:p>
        </w:tc>
        <w:tc>
          <w:tcPr>
            <w:tcW w:w="436" w:type="pct"/>
            <w:tcBorders>
              <w:top w:val="nil"/>
              <w:left w:val="nil"/>
              <w:bottom w:val="single" w:sz="4" w:space="0" w:color="auto"/>
              <w:right w:val="single" w:sz="4" w:space="0" w:color="auto"/>
            </w:tcBorders>
            <w:shd w:val="clear" w:color="auto" w:fill="auto"/>
            <w:vAlign w:val="center"/>
            <w:hideMark/>
          </w:tcPr>
          <w:p w14:paraId="0CA81C6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54,4</w:t>
            </w:r>
          </w:p>
        </w:tc>
        <w:tc>
          <w:tcPr>
            <w:tcW w:w="436" w:type="pct"/>
            <w:tcBorders>
              <w:top w:val="nil"/>
              <w:left w:val="nil"/>
              <w:bottom w:val="single" w:sz="4" w:space="0" w:color="auto"/>
              <w:right w:val="single" w:sz="4" w:space="0" w:color="auto"/>
            </w:tcBorders>
            <w:shd w:val="clear" w:color="auto" w:fill="auto"/>
            <w:vAlign w:val="center"/>
            <w:hideMark/>
          </w:tcPr>
          <w:p w14:paraId="28557CD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373,5</w:t>
            </w:r>
          </w:p>
        </w:tc>
        <w:tc>
          <w:tcPr>
            <w:tcW w:w="1524" w:type="pct"/>
            <w:tcBorders>
              <w:top w:val="nil"/>
              <w:left w:val="nil"/>
              <w:bottom w:val="single" w:sz="4" w:space="0" w:color="auto"/>
              <w:right w:val="single" w:sz="4" w:space="0" w:color="auto"/>
            </w:tcBorders>
            <w:shd w:val="clear" w:color="auto" w:fill="auto"/>
            <w:vAlign w:val="center"/>
            <w:hideMark/>
          </w:tcPr>
          <w:p w14:paraId="72A4435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-4.85</w:t>
            </w:r>
          </w:p>
        </w:tc>
        <w:tc>
          <w:tcPr>
            <w:tcW w:w="627" w:type="pct"/>
            <w:tcBorders>
              <w:top w:val="nil"/>
              <w:left w:val="nil"/>
              <w:bottom w:val="single" w:sz="4" w:space="0" w:color="auto"/>
              <w:right w:val="single" w:sz="4" w:space="0" w:color="auto"/>
            </w:tcBorders>
            <w:shd w:val="clear" w:color="auto" w:fill="auto"/>
            <w:vAlign w:val="center"/>
            <w:hideMark/>
          </w:tcPr>
          <w:p w14:paraId="22B9242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2345FF7"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C987B1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101</w:t>
            </w:r>
          </w:p>
        </w:tc>
        <w:tc>
          <w:tcPr>
            <w:tcW w:w="529" w:type="pct"/>
            <w:tcBorders>
              <w:top w:val="nil"/>
              <w:left w:val="nil"/>
              <w:bottom w:val="single" w:sz="4" w:space="0" w:color="auto"/>
              <w:right w:val="single" w:sz="4" w:space="0" w:color="auto"/>
            </w:tcBorders>
            <w:shd w:val="clear" w:color="auto" w:fill="auto"/>
            <w:noWrap/>
            <w:vAlign w:val="center"/>
            <w:hideMark/>
          </w:tcPr>
          <w:p w14:paraId="00B76C0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NP-25.001-0092</w:t>
            </w:r>
          </w:p>
        </w:tc>
        <w:tc>
          <w:tcPr>
            <w:tcW w:w="855" w:type="pct"/>
            <w:tcBorders>
              <w:top w:val="nil"/>
              <w:left w:val="nil"/>
              <w:bottom w:val="single" w:sz="4" w:space="0" w:color="auto"/>
              <w:right w:val="single" w:sz="4" w:space="0" w:color="auto"/>
            </w:tcBorders>
            <w:shd w:val="clear" w:color="auto" w:fill="auto"/>
            <w:vAlign w:val="center"/>
            <w:hideMark/>
          </w:tcPr>
          <w:p w14:paraId="17B87C2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Реконструкция  на участък от път III-5003 с дължина 3 км. /От км. 0+000 до км. 3+000/ От връзката на северен обходен път с път III – </w:t>
            </w:r>
            <w:r w:rsidRPr="00761800">
              <w:rPr>
                <w:rFonts w:ascii="Times New Roman" w:hAnsi="Times New Roman"/>
                <w:sz w:val="20"/>
                <w:lang w:eastAsia="bg-BG"/>
              </w:rPr>
              <w:lastRenderedPageBreak/>
              <w:t>5003 (км. 3+000) до връзката с път I-5 при км. 89+200 (с. Поликраище) /ПРР 2021-2027/</w:t>
            </w:r>
          </w:p>
        </w:tc>
        <w:tc>
          <w:tcPr>
            <w:tcW w:w="436" w:type="pct"/>
            <w:tcBorders>
              <w:top w:val="nil"/>
              <w:left w:val="nil"/>
              <w:bottom w:val="single" w:sz="4" w:space="0" w:color="auto"/>
              <w:right w:val="single" w:sz="4" w:space="0" w:color="auto"/>
            </w:tcBorders>
            <w:shd w:val="clear" w:color="auto" w:fill="auto"/>
            <w:vAlign w:val="center"/>
            <w:hideMark/>
          </w:tcPr>
          <w:p w14:paraId="1B7F805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1,5</w:t>
            </w:r>
          </w:p>
        </w:tc>
        <w:tc>
          <w:tcPr>
            <w:tcW w:w="436" w:type="pct"/>
            <w:tcBorders>
              <w:top w:val="nil"/>
              <w:left w:val="nil"/>
              <w:bottom w:val="single" w:sz="4" w:space="0" w:color="auto"/>
              <w:right w:val="single" w:sz="4" w:space="0" w:color="auto"/>
            </w:tcBorders>
            <w:shd w:val="clear" w:color="auto" w:fill="auto"/>
            <w:vAlign w:val="center"/>
            <w:hideMark/>
          </w:tcPr>
          <w:p w14:paraId="056B7A5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15,1</w:t>
            </w:r>
          </w:p>
        </w:tc>
        <w:tc>
          <w:tcPr>
            <w:tcW w:w="436" w:type="pct"/>
            <w:tcBorders>
              <w:top w:val="nil"/>
              <w:left w:val="nil"/>
              <w:bottom w:val="single" w:sz="4" w:space="0" w:color="auto"/>
              <w:right w:val="single" w:sz="4" w:space="0" w:color="auto"/>
            </w:tcBorders>
            <w:shd w:val="clear" w:color="auto" w:fill="auto"/>
            <w:vAlign w:val="center"/>
            <w:hideMark/>
          </w:tcPr>
          <w:p w14:paraId="0741069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106,1</w:t>
            </w:r>
          </w:p>
        </w:tc>
        <w:tc>
          <w:tcPr>
            <w:tcW w:w="1524" w:type="pct"/>
            <w:tcBorders>
              <w:top w:val="nil"/>
              <w:left w:val="nil"/>
              <w:bottom w:val="single" w:sz="4" w:space="0" w:color="auto"/>
              <w:right w:val="single" w:sz="4" w:space="0" w:color="auto"/>
            </w:tcBorders>
            <w:shd w:val="clear" w:color="auto" w:fill="auto"/>
            <w:vAlign w:val="center"/>
            <w:hideMark/>
          </w:tcPr>
          <w:p w14:paraId="64A628F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-3.0</w:t>
            </w:r>
          </w:p>
        </w:tc>
        <w:tc>
          <w:tcPr>
            <w:tcW w:w="627" w:type="pct"/>
            <w:tcBorders>
              <w:top w:val="nil"/>
              <w:left w:val="nil"/>
              <w:bottom w:val="single" w:sz="4" w:space="0" w:color="auto"/>
              <w:right w:val="single" w:sz="4" w:space="0" w:color="auto"/>
            </w:tcBorders>
            <w:shd w:val="clear" w:color="auto" w:fill="auto"/>
            <w:vAlign w:val="center"/>
            <w:hideMark/>
          </w:tcPr>
          <w:p w14:paraId="557EF2C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1337220"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E52258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102</w:t>
            </w:r>
          </w:p>
        </w:tc>
        <w:tc>
          <w:tcPr>
            <w:tcW w:w="529" w:type="pct"/>
            <w:tcBorders>
              <w:top w:val="nil"/>
              <w:left w:val="nil"/>
              <w:bottom w:val="single" w:sz="4" w:space="0" w:color="auto"/>
              <w:right w:val="single" w:sz="4" w:space="0" w:color="auto"/>
            </w:tcBorders>
            <w:shd w:val="clear" w:color="auto" w:fill="auto"/>
            <w:noWrap/>
            <w:vAlign w:val="center"/>
            <w:hideMark/>
          </w:tcPr>
          <w:p w14:paraId="207678A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NP-25.001-0093</w:t>
            </w:r>
          </w:p>
        </w:tc>
        <w:tc>
          <w:tcPr>
            <w:tcW w:w="855" w:type="pct"/>
            <w:tcBorders>
              <w:top w:val="nil"/>
              <w:left w:val="nil"/>
              <w:bottom w:val="single" w:sz="4" w:space="0" w:color="auto"/>
              <w:right w:val="single" w:sz="4" w:space="0" w:color="auto"/>
            </w:tcBorders>
            <w:shd w:val="clear" w:color="auto" w:fill="auto"/>
            <w:vAlign w:val="center"/>
            <w:hideMark/>
          </w:tcPr>
          <w:p w14:paraId="7BFE4EA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Път III-2903 „гр. Генерал Тошево — с. Къпиново — с. Изворово — с. Красен — с. Росица — с. Лозница“ от км 0+000 до км 11 +770 /ПРР 2021-2027/</w:t>
            </w:r>
          </w:p>
        </w:tc>
        <w:tc>
          <w:tcPr>
            <w:tcW w:w="436" w:type="pct"/>
            <w:tcBorders>
              <w:top w:val="nil"/>
              <w:left w:val="nil"/>
              <w:bottom w:val="single" w:sz="4" w:space="0" w:color="auto"/>
              <w:right w:val="single" w:sz="4" w:space="0" w:color="auto"/>
            </w:tcBorders>
            <w:shd w:val="clear" w:color="auto" w:fill="auto"/>
            <w:vAlign w:val="center"/>
            <w:hideMark/>
          </w:tcPr>
          <w:p w14:paraId="661CC6F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436" w:type="pct"/>
            <w:tcBorders>
              <w:top w:val="nil"/>
              <w:left w:val="nil"/>
              <w:bottom w:val="single" w:sz="4" w:space="0" w:color="auto"/>
              <w:right w:val="single" w:sz="4" w:space="0" w:color="auto"/>
            </w:tcBorders>
            <w:shd w:val="clear" w:color="auto" w:fill="auto"/>
            <w:vAlign w:val="center"/>
            <w:hideMark/>
          </w:tcPr>
          <w:p w14:paraId="7909F1A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110,0</w:t>
            </w:r>
          </w:p>
        </w:tc>
        <w:tc>
          <w:tcPr>
            <w:tcW w:w="436" w:type="pct"/>
            <w:tcBorders>
              <w:top w:val="nil"/>
              <w:left w:val="nil"/>
              <w:bottom w:val="single" w:sz="4" w:space="0" w:color="auto"/>
              <w:right w:val="single" w:sz="4" w:space="0" w:color="auto"/>
            </w:tcBorders>
            <w:shd w:val="clear" w:color="auto" w:fill="auto"/>
            <w:vAlign w:val="center"/>
            <w:hideMark/>
          </w:tcPr>
          <w:p w14:paraId="0D87B00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200,0</w:t>
            </w:r>
          </w:p>
        </w:tc>
        <w:tc>
          <w:tcPr>
            <w:tcW w:w="1524" w:type="pct"/>
            <w:tcBorders>
              <w:top w:val="nil"/>
              <w:left w:val="nil"/>
              <w:bottom w:val="single" w:sz="4" w:space="0" w:color="auto"/>
              <w:right w:val="single" w:sz="4" w:space="0" w:color="auto"/>
            </w:tcBorders>
            <w:shd w:val="clear" w:color="auto" w:fill="auto"/>
            <w:vAlign w:val="center"/>
            <w:hideMark/>
          </w:tcPr>
          <w:p w14:paraId="29784D1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-11.77</w:t>
            </w:r>
          </w:p>
        </w:tc>
        <w:tc>
          <w:tcPr>
            <w:tcW w:w="627" w:type="pct"/>
            <w:tcBorders>
              <w:top w:val="nil"/>
              <w:left w:val="nil"/>
              <w:bottom w:val="single" w:sz="4" w:space="0" w:color="auto"/>
              <w:right w:val="single" w:sz="4" w:space="0" w:color="auto"/>
            </w:tcBorders>
            <w:shd w:val="clear" w:color="auto" w:fill="auto"/>
            <w:vAlign w:val="center"/>
            <w:hideMark/>
          </w:tcPr>
          <w:p w14:paraId="07332C3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79A1DFA5"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DAE080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103</w:t>
            </w:r>
          </w:p>
        </w:tc>
        <w:tc>
          <w:tcPr>
            <w:tcW w:w="529" w:type="pct"/>
            <w:tcBorders>
              <w:top w:val="nil"/>
              <w:left w:val="nil"/>
              <w:bottom w:val="single" w:sz="4" w:space="0" w:color="auto"/>
              <w:right w:val="single" w:sz="4" w:space="0" w:color="auto"/>
            </w:tcBorders>
            <w:shd w:val="clear" w:color="auto" w:fill="auto"/>
            <w:noWrap/>
            <w:vAlign w:val="center"/>
            <w:hideMark/>
          </w:tcPr>
          <w:p w14:paraId="587786B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NP-25.001-0094</w:t>
            </w:r>
          </w:p>
        </w:tc>
        <w:tc>
          <w:tcPr>
            <w:tcW w:w="855" w:type="pct"/>
            <w:tcBorders>
              <w:top w:val="nil"/>
              <w:left w:val="nil"/>
              <w:bottom w:val="single" w:sz="4" w:space="0" w:color="auto"/>
              <w:right w:val="single" w:sz="4" w:space="0" w:color="auto"/>
            </w:tcBorders>
            <w:shd w:val="clear" w:color="auto" w:fill="auto"/>
            <w:vAlign w:val="center"/>
            <w:hideMark/>
          </w:tcPr>
          <w:p w14:paraId="7C77992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Път III-2904 „с. Захари Стояново - с. Дуранкулак“ от км 0+000 до км 17+772 /ПРР 2021-2027/</w:t>
            </w:r>
          </w:p>
        </w:tc>
        <w:tc>
          <w:tcPr>
            <w:tcW w:w="436" w:type="pct"/>
            <w:tcBorders>
              <w:top w:val="nil"/>
              <w:left w:val="nil"/>
              <w:bottom w:val="single" w:sz="4" w:space="0" w:color="auto"/>
              <w:right w:val="single" w:sz="4" w:space="0" w:color="auto"/>
            </w:tcBorders>
            <w:shd w:val="clear" w:color="auto" w:fill="auto"/>
            <w:vAlign w:val="center"/>
            <w:hideMark/>
          </w:tcPr>
          <w:p w14:paraId="133A7CD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436" w:type="pct"/>
            <w:tcBorders>
              <w:top w:val="nil"/>
              <w:left w:val="nil"/>
              <w:bottom w:val="single" w:sz="4" w:space="0" w:color="auto"/>
              <w:right w:val="single" w:sz="4" w:space="0" w:color="auto"/>
            </w:tcBorders>
            <w:shd w:val="clear" w:color="auto" w:fill="auto"/>
            <w:vAlign w:val="center"/>
            <w:hideMark/>
          </w:tcPr>
          <w:p w14:paraId="45D4866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120,0</w:t>
            </w:r>
          </w:p>
        </w:tc>
        <w:tc>
          <w:tcPr>
            <w:tcW w:w="436" w:type="pct"/>
            <w:tcBorders>
              <w:top w:val="nil"/>
              <w:left w:val="nil"/>
              <w:bottom w:val="single" w:sz="4" w:space="0" w:color="auto"/>
              <w:right w:val="single" w:sz="4" w:space="0" w:color="auto"/>
            </w:tcBorders>
            <w:shd w:val="clear" w:color="auto" w:fill="auto"/>
            <w:vAlign w:val="center"/>
            <w:hideMark/>
          </w:tcPr>
          <w:p w14:paraId="0534AA4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300,0</w:t>
            </w:r>
          </w:p>
        </w:tc>
        <w:tc>
          <w:tcPr>
            <w:tcW w:w="1524" w:type="pct"/>
            <w:tcBorders>
              <w:top w:val="nil"/>
              <w:left w:val="nil"/>
              <w:bottom w:val="single" w:sz="4" w:space="0" w:color="auto"/>
              <w:right w:val="single" w:sz="4" w:space="0" w:color="auto"/>
            </w:tcBorders>
            <w:shd w:val="clear" w:color="auto" w:fill="auto"/>
            <w:vAlign w:val="center"/>
            <w:hideMark/>
          </w:tcPr>
          <w:p w14:paraId="5076557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RCO 46 Дължина на реконструираните или модернизирани пътища — извън трансевропсйската транспортна мрежа (км) -17.77</w:t>
            </w:r>
          </w:p>
        </w:tc>
        <w:tc>
          <w:tcPr>
            <w:tcW w:w="627" w:type="pct"/>
            <w:tcBorders>
              <w:top w:val="nil"/>
              <w:left w:val="nil"/>
              <w:bottom w:val="single" w:sz="4" w:space="0" w:color="auto"/>
              <w:right w:val="single" w:sz="4" w:space="0" w:color="auto"/>
            </w:tcBorders>
            <w:shd w:val="clear" w:color="auto" w:fill="auto"/>
            <w:vAlign w:val="center"/>
            <w:hideMark/>
          </w:tcPr>
          <w:p w14:paraId="66B99BF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7B84FD52"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20DB99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104</w:t>
            </w:r>
          </w:p>
        </w:tc>
        <w:tc>
          <w:tcPr>
            <w:tcW w:w="529" w:type="pct"/>
            <w:tcBorders>
              <w:top w:val="nil"/>
              <w:left w:val="nil"/>
              <w:bottom w:val="single" w:sz="4" w:space="0" w:color="auto"/>
              <w:right w:val="single" w:sz="4" w:space="0" w:color="auto"/>
            </w:tcBorders>
            <w:shd w:val="clear" w:color="auto" w:fill="auto"/>
            <w:noWrap/>
            <w:vAlign w:val="center"/>
            <w:hideMark/>
          </w:tcPr>
          <w:p w14:paraId="7396EC3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NP-25.001-0096</w:t>
            </w:r>
          </w:p>
        </w:tc>
        <w:tc>
          <w:tcPr>
            <w:tcW w:w="855" w:type="pct"/>
            <w:tcBorders>
              <w:top w:val="nil"/>
              <w:left w:val="nil"/>
              <w:bottom w:val="single" w:sz="4" w:space="0" w:color="auto"/>
              <w:right w:val="single" w:sz="4" w:space="0" w:color="auto"/>
            </w:tcBorders>
            <w:shd w:val="clear" w:color="auto" w:fill="auto"/>
            <w:vAlign w:val="center"/>
            <w:hideMark/>
          </w:tcPr>
          <w:p w14:paraId="7FEFEF0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Обходи на гр. Хасково /ПРР 2021-2027/</w:t>
            </w:r>
          </w:p>
        </w:tc>
        <w:tc>
          <w:tcPr>
            <w:tcW w:w="436" w:type="pct"/>
            <w:tcBorders>
              <w:top w:val="nil"/>
              <w:left w:val="nil"/>
              <w:bottom w:val="single" w:sz="4" w:space="0" w:color="auto"/>
              <w:right w:val="single" w:sz="4" w:space="0" w:color="auto"/>
            </w:tcBorders>
            <w:shd w:val="clear" w:color="auto" w:fill="auto"/>
            <w:vAlign w:val="center"/>
            <w:hideMark/>
          </w:tcPr>
          <w:p w14:paraId="32B31BF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1C43D26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7,6</w:t>
            </w:r>
          </w:p>
        </w:tc>
        <w:tc>
          <w:tcPr>
            <w:tcW w:w="436" w:type="pct"/>
            <w:tcBorders>
              <w:top w:val="nil"/>
              <w:left w:val="nil"/>
              <w:bottom w:val="single" w:sz="4" w:space="0" w:color="auto"/>
              <w:right w:val="single" w:sz="4" w:space="0" w:color="auto"/>
            </w:tcBorders>
            <w:shd w:val="clear" w:color="auto" w:fill="auto"/>
            <w:vAlign w:val="center"/>
            <w:hideMark/>
          </w:tcPr>
          <w:p w14:paraId="70EAA74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10,2</w:t>
            </w:r>
          </w:p>
        </w:tc>
        <w:tc>
          <w:tcPr>
            <w:tcW w:w="1524" w:type="pct"/>
            <w:tcBorders>
              <w:top w:val="nil"/>
              <w:left w:val="nil"/>
              <w:bottom w:val="single" w:sz="4" w:space="0" w:color="auto"/>
              <w:right w:val="single" w:sz="4" w:space="0" w:color="auto"/>
            </w:tcBorders>
            <w:shd w:val="clear" w:color="auto" w:fill="auto"/>
            <w:vAlign w:val="center"/>
            <w:hideMark/>
          </w:tcPr>
          <w:p w14:paraId="752153E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Новоизградени участъци - 11.72 км</w:t>
            </w:r>
          </w:p>
        </w:tc>
        <w:tc>
          <w:tcPr>
            <w:tcW w:w="627" w:type="pct"/>
            <w:tcBorders>
              <w:top w:val="nil"/>
              <w:left w:val="nil"/>
              <w:bottom w:val="single" w:sz="4" w:space="0" w:color="auto"/>
              <w:right w:val="single" w:sz="4" w:space="0" w:color="auto"/>
            </w:tcBorders>
            <w:shd w:val="clear" w:color="auto" w:fill="auto"/>
            <w:vAlign w:val="center"/>
            <w:hideMark/>
          </w:tcPr>
          <w:p w14:paraId="1A9C5C1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7C8BE7D9"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7F72A6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105</w:t>
            </w:r>
          </w:p>
        </w:tc>
        <w:tc>
          <w:tcPr>
            <w:tcW w:w="529" w:type="pct"/>
            <w:tcBorders>
              <w:top w:val="nil"/>
              <w:left w:val="nil"/>
              <w:bottom w:val="single" w:sz="4" w:space="0" w:color="auto"/>
              <w:right w:val="single" w:sz="4" w:space="0" w:color="auto"/>
            </w:tcBorders>
            <w:shd w:val="clear" w:color="auto" w:fill="auto"/>
            <w:noWrap/>
            <w:vAlign w:val="center"/>
            <w:hideMark/>
          </w:tcPr>
          <w:p w14:paraId="20217AD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NP-25.001-0097</w:t>
            </w:r>
          </w:p>
        </w:tc>
        <w:tc>
          <w:tcPr>
            <w:tcW w:w="855" w:type="pct"/>
            <w:tcBorders>
              <w:top w:val="nil"/>
              <w:left w:val="nil"/>
              <w:bottom w:val="single" w:sz="4" w:space="0" w:color="auto"/>
              <w:right w:val="single" w:sz="4" w:space="0" w:color="auto"/>
            </w:tcBorders>
            <w:shd w:val="clear" w:color="auto" w:fill="auto"/>
            <w:vAlign w:val="center"/>
            <w:hideMark/>
          </w:tcPr>
          <w:p w14:paraId="3F718AE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Изграждане на път II-11 Мизия - Оряхово - Крушовене, участък „Обход на гр. Оряхово“, с дължина 8,770 км, област Враца“ /ПРР 2021-2027/</w:t>
            </w:r>
          </w:p>
        </w:tc>
        <w:tc>
          <w:tcPr>
            <w:tcW w:w="436" w:type="pct"/>
            <w:tcBorders>
              <w:top w:val="nil"/>
              <w:left w:val="nil"/>
              <w:bottom w:val="single" w:sz="4" w:space="0" w:color="auto"/>
              <w:right w:val="single" w:sz="4" w:space="0" w:color="auto"/>
            </w:tcBorders>
            <w:shd w:val="clear" w:color="auto" w:fill="auto"/>
            <w:vAlign w:val="center"/>
            <w:hideMark/>
          </w:tcPr>
          <w:p w14:paraId="01E9A33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101,9</w:t>
            </w:r>
          </w:p>
        </w:tc>
        <w:tc>
          <w:tcPr>
            <w:tcW w:w="436" w:type="pct"/>
            <w:tcBorders>
              <w:top w:val="nil"/>
              <w:left w:val="nil"/>
              <w:bottom w:val="single" w:sz="4" w:space="0" w:color="auto"/>
              <w:right w:val="single" w:sz="4" w:space="0" w:color="auto"/>
            </w:tcBorders>
            <w:shd w:val="clear" w:color="auto" w:fill="auto"/>
            <w:vAlign w:val="center"/>
            <w:hideMark/>
          </w:tcPr>
          <w:p w14:paraId="7B2862A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45,6</w:t>
            </w:r>
          </w:p>
        </w:tc>
        <w:tc>
          <w:tcPr>
            <w:tcW w:w="436" w:type="pct"/>
            <w:tcBorders>
              <w:top w:val="nil"/>
              <w:left w:val="nil"/>
              <w:bottom w:val="single" w:sz="4" w:space="0" w:color="auto"/>
              <w:right w:val="single" w:sz="4" w:space="0" w:color="auto"/>
            </w:tcBorders>
            <w:shd w:val="clear" w:color="auto" w:fill="auto"/>
            <w:vAlign w:val="center"/>
            <w:hideMark/>
          </w:tcPr>
          <w:p w14:paraId="575CA3E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333,8</w:t>
            </w:r>
          </w:p>
        </w:tc>
        <w:tc>
          <w:tcPr>
            <w:tcW w:w="1524" w:type="pct"/>
            <w:tcBorders>
              <w:top w:val="nil"/>
              <w:left w:val="nil"/>
              <w:bottom w:val="single" w:sz="4" w:space="0" w:color="auto"/>
              <w:right w:val="single" w:sz="4" w:space="0" w:color="auto"/>
            </w:tcBorders>
            <w:shd w:val="clear" w:color="auto" w:fill="auto"/>
            <w:vAlign w:val="center"/>
            <w:hideMark/>
          </w:tcPr>
          <w:p w14:paraId="1809284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Новоизградени участъци - 8.77 км</w:t>
            </w:r>
          </w:p>
        </w:tc>
        <w:tc>
          <w:tcPr>
            <w:tcW w:w="627" w:type="pct"/>
            <w:tcBorders>
              <w:top w:val="nil"/>
              <w:left w:val="nil"/>
              <w:bottom w:val="single" w:sz="4" w:space="0" w:color="auto"/>
              <w:right w:val="single" w:sz="4" w:space="0" w:color="auto"/>
            </w:tcBorders>
            <w:shd w:val="clear" w:color="auto" w:fill="auto"/>
            <w:vAlign w:val="center"/>
            <w:hideMark/>
          </w:tcPr>
          <w:p w14:paraId="325B886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BA26DD8"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E4A5E4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106</w:t>
            </w:r>
          </w:p>
        </w:tc>
        <w:tc>
          <w:tcPr>
            <w:tcW w:w="529" w:type="pct"/>
            <w:tcBorders>
              <w:top w:val="nil"/>
              <w:left w:val="nil"/>
              <w:bottom w:val="single" w:sz="4" w:space="0" w:color="auto"/>
              <w:right w:val="single" w:sz="4" w:space="0" w:color="auto"/>
            </w:tcBorders>
            <w:shd w:val="clear" w:color="auto" w:fill="auto"/>
            <w:noWrap/>
            <w:vAlign w:val="center"/>
            <w:hideMark/>
          </w:tcPr>
          <w:p w14:paraId="260F99B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NP-25.001-0098</w:t>
            </w:r>
          </w:p>
        </w:tc>
        <w:tc>
          <w:tcPr>
            <w:tcW w:w="855" w:type="pct"/>
            <w:tcBorders>
              <w:top w:val="nil"/>
              <w:left w:val="nil"/>
              <w:bottom w:val="single" w:sz="4" w:space="0" w:color="auto"/>
              <w:right w:val="single" w:sz="4" w:space="0" w:color="auto"/>
            </w:tcBorders>
            <w:shd w:val="clear" w:color="auto" w:fill="auto"/>
            <w:vAlign w:val="center"/>
            <w:hideMark/>
          </w:tcPr>
          <w:p w14:paraId="3F89E09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Проектиране на пътна мрежа</w:t>
            </w:r>
          </w:p>
        </w:tc>
        <w:tc>
          <w:tcPr>
            <w:tcW w:w="436" w:type="pct"/>
            <w:tcBorders>
              <w:top w:val="nil"/>
              <w:left w:val="nil"/>
              <w:bottom w:val="single" w:sz="4" w:space="0" w:color="auto"/>
              <w:right w:val="single" w:sz="4" w:space="0" w:color="auto"/>
            </w:tcBorders>
            <w:shd w:val="clear" w:color="auto" w:fill="auto"/>
            <w:vAlign w:val="center"/>
            <w:hideMark/>
          </w:tcPr>
          <w:p w14:paraId="277A078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13 588,7</w:t>
            </w:r>
          </w:p>
        </w:tc>
        <w:tc>
          <w:tcPr>
            <w:tcW w:w="436" w:type="pct"/>
            <w:tcBorders>
              <w:top w:val="nil"/>
              <w:left w:val="nil"/>
              <w:bottom w:val="single" w:sz="4" w:space="0" w:color="auto"/>
              <w:right w:val="single" w:sz="4" w:space="0" w:color="auto"/>
            </w:tcBorders>
            <w:shd w:val="clear" w:color="auto" w:fill="auto"/>
            <w:vAlign w:val="center"/>
            <w:hideMark/>
          </w:tcPr>
          <w:p w14:paraId="0F7EA30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18 965,8</w:t>
            </w:r>
          </w:p>
        </w:tc>
        <w:tc>
          <w:tcPr>
            <w:tcW w:w="436" w:type="pct"/>
            <w:tcBorders>
              <w:top w:val="nil"/>
              <w:left w:val="nil"/>
              <w:bottom w:val="single" w:sz="4" w:space="0" w:color="auto"/>
              <w:right w:val="single" w:sz="4" w:space="0" w:color="auto"/>
            </w:tcBorders>
            <w:shd w:val="clear" w:color="auto" w:fill="auto"/>
            <w:vAlign w:val="center"/>
            <w:hideMark/>
          </w:tcPr>
          <w:p w14:paraId="0840074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14 253,5</w:t>
            </w:r>
          </w:p>
        </w:tc>
        <w:tc>
          <w:tcPr>
            <w:tcW w:w="1524" w:type="pct"/>
            <w:tcBorders>
              <w:top w:val="nil"/>
              <w:left w:val="nil"/>
              <w:bottom w:val="single" w:sz="4" w:space="0" w:color="auto"/>
              <w:right w:val="single" w:sz="4" w:space="0" w:color="auto"/>
            </w:tcBorders>
            <w:shd w:val="clear" w:color="auto" w:fill="auto"/>
            <w:vAlign w:val="center"/>
            <w:hideMark/>
          </w:tcPr>
          <w:p w14:paraId="1B62EA5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Изготвени идейни и технически проекти за обекти от РПМ – за основен ремонт и ново строителство, в т.ч. и комплексни доклади за оценка на съответствието на инвестиционните проекти с основните изисквания към строежите - 157 бр.</w:t>
            </w:r>
          </w:p>
        </w:tc>
        <w:tc>
          <w:tcPr>
            <w:tcW w:w="627" w:type="pct"/>
            <w:tcBorders>
              <w:top w:val="nil"/>
              <w:left w:val="nil"/>
              <w:bottom w:val="single" w:sz="4" w:space="0" w:color="auto"/>
              <w:right w:val="single" w:sz="4" w:space="0" w:color="auto"/>
            </w:tcBorders>
            <w:shd w:val="clear" w:color="auto" w:fill="auto"/>
            <w:vAlign w:val="center"/>
            <w:hideMark/>
          </w:tcPr>
          <w:p w14:paraId="3CC48EA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BBFBBE8"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15CDFF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107</w:t>
            </w:r>
          </w:p>
        </w:tc>
        <w:tc>
          <w:tcPr>
            <w:tcW w:w="529" w:type="pct"/>
            <w:tcBorders>
              <w:top w:val="nil"/>
              <w:left w:val="nil"/>
              <w:bottom w:val="single" w:sz="4" w:space="0" w:color="auto"/>
              <w:right w:val="single" w:sz="4" w:space="0" w:color="auto"/>
            </w:tcBorders>
            <w:shd w:val="clear" w:color="auto" w:fill="auto"/>
            <w:noWrap/>
            <w:vAlign w:val="center"/>
            <w:hideMark/>
          </w:tcPr>
          <w:p w14:paraId="6309FC0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NP-26.001-0079</w:t>
            </w:r>
          </w:p>
        </w:tc>
        <w:tc>
          <w:tcPr>
            <w:tcW w:w="855" w:type="pct"/>
            <w:tcBorders>
              <w:top w:val="nil"/>
              <w:left w:val="nil"/>
              <w:bottom w:val="single" w:sz="4" w:space="0" w:color="auto"/>
              <w:right w:val="single" w:sz="4" w:space="0" w:color="auto"/>
            </w:tcBorders>
            <w:shd w:val="clear" w:color="auto" w:fill="auto"/>
            <w:vAlign w:val="center"/>
            <w:hideMark/>
          </w:tcPr>
          <w:p w14:paraId="1116497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Автомагистрала „Русе – Велико Търново“ от км 76+040 до км 133+240</w:t>
            </w:r>
          </w:p>
        </w:tc>
        <w:tc>
          <w:tcPr>
            <w:tcW w:w="436" w:type="pct"/>
            <w:tcBorders>
              <w:top w:val="nil"/>
              <w:left w:val="nil"/>
              <w:bottom w:val="single" w:sz="4" w:space="0" w:color="auto"/>
              <w:right w:val="single" w:sz="4" w:space="0" w:color="auto"/>
            </w:tcBorders>
            <w:shd w:val="clear" w:color="auto" w:fill="auto"/>
            <w:vAlign w:val="center"/>
            <w:hideMark/>
          </w:tcPr>
          <w:p w14:paraId="1F0D7D5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38EA9B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31 408,1</w:t>
            </w:r>
          </w:p>
        </w:tc>
        <w:tc>
          <w:tcPr>
            <w:tcW w:w="436" w:type="pct"/>
            <w:tcBorders>
              <w:top w:val="nil"/>
              <w:left w:val="nil"/>
              <w:bottom w:val="single" w:sz="4" w:space="0" w:color="auto"/>
              <w:right w:val="single" w:sz="4" w:space="0" w:color="auto"/>
            </w:tcBorders>
            <w:shd w:val="clear" w:color="auto" w:fill="auto"/>
            <w:vAlign w:val="center"/>
            <w:hideMark/>
          </w:tcPr>
          <w:p w14:paraId="7312421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31 881,5</w:t>
            </w:r>
          </w:p>
        </w:tc>
        <w:tc>
          <w:tcPr>
            <w:tcW w:w="1524" w:type="pct"/>
            <w:tcBorders>
              <w:top w:val="nil"/>
              <w:left w:val="nil"/>
              <w:bottom w:val="single" w:sz="4" w:space="0" w:color="auto"/>
              <w:right w:val="single" w:sz="4" w:space="0" w:color="auto"/>
            </w:tcBorders>
            <w:shd w:val="clear" w:color="auto" w:fill="auto"/>
            <w:vAlign w:val="center"/>
            <w:hideMark/>
          </w:tcPr>
          <w:p w14:paraId="1E7DB64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Рехабилитирани и новоизградени участъци (км) - 57,2</w:t>
            </w:r>
          </w:p>
        </w:tc>
        <w:tc>
          <w:tcPr>
            <w:tcW w:w="627" w:type="pct"/>
            <w:tcBorders>
              <w:top w:val="nil"/>
              <w:left w:val="nil"/>
              <w:bottom w:val="single" w:sz="4" w:space="0" w:color="auto"/>
              <w:right w:val="single" w:sz="4" w:space="0" w:color="auto"/>
            </w:tcBorders>
            <w:shd w:val="clear" w:color="auto" w:fill="auto"/>
            <w:vAlign w:val="center"/>
            <w:hideMark/>
          </w:tcPr>
          <w:p w14:paraId="57C5D66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42FDAF83"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598A8D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108</w:t>
            </w:r>
          </w:p>
        </w:tc>
        <w:tc>
          <w:tcPr>
            <w:tcW w:w="529" w:type="pct"/>
            <w:tcBorders>
              <w:top w:val="nil"/>
              <w:left w:val="nil"/>
              <w:bottom w:val="single" w:sz="4" w:space="0" w:color="auto"/>
              <w:right w:val="single" w:sz="4" w:space="0" w:color="auto"/>
            </w:tcBorders>
            <w:shd w:val="clear" w:color="auto" w:fill="auto"/>
            <w:noWrap/>
            <w:vAlign w:val="center"/>
            <w:hideMark/>
          </w:tcPr>
          <w:p w14:paraId="2C92401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NP-25.001-0099</w:t>
            </w:r>
          </w:p>
        </w:tc>
        <w:tc>
          <w:tcPr>
            <w:tcW w:w="855" w:type="pct"/>
            <w:tcBorders>
              <w:top w:val="nil"/>
              <w:left w:val="nil"/>
              <w:bottom w:val="single" w:sz="4" w:space="0" w:color="auto"/>
              <w:right w:val="single" w:sz="4" w:space="0" w:color="auto"/>
            </w:tcBorders>
            <w:shd w:val="clear" w:color="auto" w:fill="auto"/>
            <w:vAlign w:val="center"/>
            <w:hideMark/>
          </w:tcPr>
          <w:p w14:paraId="01B148C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СМР - ПЪТНА МРЕЖА</w:t>
            </w:r>
          </w:p>
        </w:tc>
        <w:tc>
          <w:tcPr>
            <w:tcW w:w="436" w:type="pct"/>
            <w:tcBorders>
              <w:top w:val="nil"/>
              <w:left w:val="nil"/>
              <w:bottom w:val="single" w:sz="4" w:space="0" w:color="auto"/>
              <w:right w:val="single" w:sz="4" w:space="0" w:color="auto"/>
            </w:tcBorders>
            <w:shd w:val="clear" w:color="auto" w:fill="auto"/>
            <w:vAlign w:val="center"/>
            <w:hideMark/>
          </w:tcPr>
          <w:p w14:paraId="0941203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113 910,2</w:t>
            </w:r>
          </w:p>
        </w:tc>
        <w:tc>
          <w:tcPr>
            <w:tcW w:w="436" w:type="pct"/>
            <w:tcBorders>
              <w:top w:val="nil"/>
              <w:left w:val="nil"/>
              <w:bottom w:val="single" w:sz="4" w:space="0" w:color="auto"/>
              <w:right w:val="single" w:sz="4" w:space="0" w:color="auto"/>
            </w:tcBorders>
            <w:shd w:val="clear" w:color="auto" w:fill="auto"/>
            <w:vAlign w:val="center"/>
            <w:hideMark/>
          </w:tcPr>
          <w:p w14:paraId="227E448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71 103,5</w:t>
            </w:r>
          </w:p>
        </w:tc>
        <w:tc>
          <w:tcPr>
            <w:tcW w:w="436" w:type="pct"/>
            <w:tcBorders>
              <w:top w:val="nil"/>
              <w:left w:val="nil"/>
              <w:bottom w:val="single" w:sz="4" w:space="0" w:color="auto"/>
              <w:right w:val="single" w:sz="4" w:space="0" w:color="auto"/>
            </w:tcBorders>
            <w:shd w:val="clear" w:color="auto" w:fill="auto"/>
            <w:vAlign w:val="center"/>
            <w:hideMark/>
          </w:tcPr>
          <w:p w14:paraId="6118291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104 916,8</w:t>
            </w:r>
          </w:p>
        </w:tc>
        <w:tc>
          <w:tcPr>
            <w:tcW w:w="1524" w:type="pct"/>
            <w:tcBorders>
              <w:top w:val="nil"/>
              <w:left w:val="nil"/>
              <w:bottom w:val="single" w:sz="4" w:space="0" w:color="auto"/>
              <w:right w:val="single" w:sz="4" w:space="0" w:color="auto"/>
            </w:tcBorders>
            <w:shd w:val="clear" w:color="auto" w:fill="auto"/>
            <w:vAlign w:val="center"/>
            <w:hideMark/>
          </w:tcPr>
          <w:p w14:paraId="76ECD5B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Обща дължина на реконструирани или модернизирани пътища (км) - 563.398</w:t>
            </w:r>
          </w:p>
        </w:tc>
        <w:tc>
          <w:tcPr>
            <w:tcW w:w="627" w:type="pct"/>
            <w:tcBorders>
              <w:top w:val="nil"/>
              <w:left w:val="nil"/>
              <w:bottom w:val="single" w:sz="4" w:space="0" w:color="auto"/>
              <w:right w:val="single" w:sz="4" w:space="0" w:color="auto"/>
            </w:tcBorders>
            <w:shd w:val="clear" w:color="auto" w:fill="auto"/>
            <w:vAlign w:val="center"/>
            <w:hideMark/>
          </w:tcPr>
          <w:p w14:paraId="76D0CAB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45B9C827"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943172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109</w:t>
            </w:r>
          </w:p>
        </w:tc>
        <w:tc>
          <w:tcPr>
            <w:tcW w:w="529" w:type="pct"/>
            <w:tcBorders>
              <w:top w:val="nil"/>
              <w:left w:val="nil"/>
              <w:bottom w:val="single" w:sz="4" w:space="0" w:color="auto"/>
              <w:right w:val="single" w:sz="4" w:space="0" w:color="auto"/>
            </w:tcBorders>
            <w:shd w:val="clear" w:color="auto" w:fill="auto"/>
            <w:noWrap/>
            <w:vAlign w:val="center"/>
            <w:hideMark/>
          </w:tcPr>
          <w:p w14:paraId="3DDAD4A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NP-25.001-0111</w:t>
            </w:r>
          </w:p>
        </w:tc>
        <w:tc>
          <w:tcPr>
            <w:tcW w:w="855" w:type="pct"/>
            <w:tcBorders>
              <w:top w:val="nil"/>
              <w:left w:val="nil"/>
              <w:bottom w:val="single" w:sz="4" w:space="0" w:color="auto"/>
              <w:right w:val="single" w:sz="4" w:space="0" w:color="auto"/>
            </w:tcBorders>
            <w:shd w:val="clear" w:color="auto" w:fill="auto"/>
            <w:vAlign w:val="center"/>
            <w:hideMark/>
          </w:tcPr>
          <w:p w14:paraId="0F1C129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Изпълнение на дейности за подобряване енергийната ефективност на 48 многофамилни жилищни сгради на територията на шест общини: Столична община, Добрич, Каварна, Хасково, Тутракан и Пловдив</w:t>
            </w:r>
          </w:p>
        </w:tc>
        <w:tc>
          <w:tcPr>
            <w:tcW w:w="436" w:type="pct"/>
            <w:tcBorders>
              <w:top w:val="nil"/>
              <w:left w:val="nil"/>
              <w:bottom w:val="single" w:sz="4" w:space="0" w:color="auto"/>
              <w:right w:val="single" w:sz="4" w:space="0" w:color="auto"/>
            </w:tcBorders>
            <w:shd w:val="clear" w:color="auto" w:fill="auto"/>
            <w:vAlign w:val="center"/>
            <w:hideMark/>
          </w:tcPr>
          <w:p w14:paraId="4300CB4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17 438,9</w:t>
            </w:r>
          </w:p>
        </w:tc>
        <w:tc>
          <w:tcPr>
            <w:tcW w:w="436" w:type="pct"/>
            <w:tcBorders>
              <w:top w:val="nil"/>
              <w:left w:val="nil"/>
              <w:bottom w:val="single" w:sz="4" w:space="0" w:color="auto"/>
              <w:right w:val="single" w:sz="4" w:space="0" w:color="auto"/>
            </w:tcBorders>
            <w:shd w:val="clear" w:color="auto" w:fill="auto"/>
            <w:vAlign w:val="center"/>
            <w:hideMark/>
          </w:tcPr>
          <w:p w14:paraId="1082EF4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3 213,4</w:t>
            </w:r>
          </w:p>
        </w:tc>
        <w:tc>
          <w:tcPr>
            <w:tcW w:w="436" w:type="pct"/>
            <w:tcBorders>
              <w:top w:val="nil"/>
              <w:left w:val="nil"/>
              <w:bottom w:val="single" w:sz="4" w:space="0" w:color="auto"/>
              <w:right w:val="single" w:sz="4" w:space="0" w:color="auto"/>
            </w:tcBorders>
            <w:shd w:val="clear" w:color="auto" w:fill="auto"/>
            <w:vAlign w:val="center"/>
            <w:hideMark/>
          </w:tcPr>
          <w:p w14:paraId="0A2369F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0BA5E2E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Разгъната застроена площ в кв.м. - 364 867,17</w:t>
            </w:r>
          </w:p>
        </w:tc>
        <w:tc>
          <w:tcPr>
            <w:tcW w:w="627" w:type="pct"/>
            <w:tcBorders>
              <w:top w:val="nil"/>
              <w:left w:val="nil"/>
              <w:bottom w:val="single" w:sz="4" w:space="0" w:color="auto"/>
              <w:right w:val="single" w:sz="4" w:space="0" w:color="auto"/>
            </w:tcBorders>
            <w:shd w:val="clear" w:color="auto" w:fill="auto"/>
            <w:vAlign w:val="center"/>
            <w:hideMark/>
          </w:tcPr>
          <w:p w14:paraId="75FEA98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152CA96F"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340579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110</w:t>
            </w:r>
          </w:p>
        </w:tc>
        <w:tc>
          <w:tcPr>
            <w:tcW w:w="529" w:type="pct"/>
            <w:tcBorders>
              <w:top w:val="nil"/>
              <w:left w:val="nil"/>
              <w:bottom w:val="single" w:sz="4" w:space="0" w:color="auto"/>
              <w:right w:val="single" w:sz="4" w:space="0" w:color="auto"/>
            </w:tcBorders>
            <w:shd w:val="clear" w:color="auto" w:fill="auto"/>
            <w:noWrap/>
            <w:vAlign w:val="center"/>
            <w:hideMark/>
          </w:tcPr>
          <w:p w14:paraId="566DD48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NP-25.001-0100</w:t>
            </w:r>
          </w:p>
        </w:tc>
        <w:tc>
          <w:tcPr>
            <w:tcW w:w="855" w:type="pct"/>
            <w:tcBorders>
              <w:top w:val="nil"/>
              <w:left w:val="nil"/>
              <w:bottom w:val="single" w:sz="4" w:space="0" w:color="auto"/>
              <w:right w:val="single" w:sz="4" w:space="0" w:color="auto"/>
            </w:tcBorders>
            <w:shd w:val="clear" w:color="auto" w:fill="auto"/>
            <w:vAlign w:val="center"/>
            <w:hideMark/>
          </w:tcPr>
          <w:p w14:paraId="4E7F75F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Брегоукрепване в района на крайбрежна плажна ивица на  гр. Ахтопол, община Царево</w:t>
            </w:r>
          </w:p>
        </w:tc>
        <w:tc>
          <w:tcPr>
            <w:tcW w:w="436" w:type="pct"/>
            <w:tcBorders>
              <w:top w:val="nil"/>
              <w:left w:val="nil"/>
              <w:bottom w:val="single" w:sz="4" w:space="0" w:color="auto"/>
              <w:right w:val="single" w:sz="4" w:space="0" w:color="auto"/>
            </w:tcBorders>
            <w:shd w:val="clear" w:color="auto" w:fill="auto"/>
            <w:vAlign w:val="center"/>
            <w:hideMark/>
          </w:tcPr>
          <w:p w14:paraId="0ADC9E2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837,6</w:t>
            </w:r>
          </w:p>
        </w:tc>
        <w:tc>
          <w:tcPr>
            <w:tcW w:w="436" w:type="pct"/>
            <w:tcBorders>
              <w:top w:val="nil"/>
              <w:left w:val="nil"/>
              <w:bottom w:val="single" w:sz="4" w:space="0" w:color="auto"/>
              <w:right w:val="single" w:sz="4" w:space="0" w:color="auto"/>
            </w:tcBorders>
            <w:shd w:val="clear" w:color="auto" w:fill="auto"/>
            <w:vAlign w:val="center"/>
            <w:hideMark/>
          </w:tcPr>
          <w:p w14:paraId="4CAC24D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30D604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3339BC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Завършен геозащитен обект (бр.) - 1</w:t>
            </w:r>
          </w:p>
        </w:tc>
        <w:tc>
          <w:tcPr>
            <w:tcW w:w="627" w:type="pct"/>
            <w:tcBorders>
              <w:top w:val="nil"/>
              <w:left w:val="nil"/>
              <w:bottom w:val="single" w:sz="4" w:space="0" w:color="auto"/>
              <w:right w:val="single" w:sz="4" w:space="0" w:color="auto"/>
            </w:tcBorders>
            <w:shd w:val="clear" w:color="auto" w:fill="auto"/>
            <w:vAlign w:val="center"/>
            <w:hideMark/>
          </w:tcPr>
          <w:p w14:paraId="5DEAD65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3CF77C0F"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D6CD02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111</w:t>
            </w:r>
          </w:p>
        </w:tc>
        <w:tc>
          <w:tcPr>
            <w:tcW w:w="529" w:type="pct"/>
            <w:tcBorders>
              <w:top w:val="nil"/>
              <w:left w:val="nil"/>
              <w:bottom w:val="single" w:sz="4" w:space="0" w:color="auto"/>
              <w:right w:val="single" w:sz="4" w:space="0" w:color="auto"/>
            </w:tcBorders>
            <w:shd w:val="clear" w:color="auto" w:fill="auto"/>
            <w:noWrap/>
            <w:vAlign w:val="center"/>
            <w:hideMark/>
          </w:tcPr>
          <w:p w14:paraId="027A574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NP-25.001-0101</w:t>
            </w:r>
          </w:p>
        </w:tc>
        <w:tc>
          <w:tcPr>
            <w:tcW w:w="855" w:type="pct"/>
            <w:tcBorders>
              <w:top w:val="nil"/>
              <w:left w:val="nil"/>
              <w:bottom w:val="single" w:sz="4" w:space="0" w:color="auto"/>
              <w:right w:val="single" w:sz="4" w:space="0" w:color="auto"/>
            </w:tcBorders>
            <w:shd w:val="clear" w:color="auto" w:fill="auto"/>
            <w:vAlign w:val="center"/>
            <w:hideMark/>
          </w:tcPr>
          <w:p w14:paraId="2A7373B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Ремонтно-възстановителни работи на брегоукрепителните съоръжения – плажна зона, гр. Варна</w:t>
            </w:r>
          </w:p>
        </w:tc>
        <w:tc>
          <w:tcPr>
            <w:tcW w:w="436" w:type="pct"/>
            <w:tcBorders>
              <w:top w:val="nil"/>
              <w:left w:val="nil"/>
              <w:bottom w:val="single" w:sz="4" w:space="0" w:color="auto"/>
              <w:right w:val="single" w:sz="4" w:space="0" w:color="auto"/>
            </w:tcBorders>
            <w:shd w:val="clear" w:color="auto" w:fill="auto"/>
            <w:vAlign w:val="center"/>
            <w:hideMark/>
          </w:tcPr>
          <w:p w14:paraId="2A2C334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1 498,3</w:t>
            </w:r>
          </w:p>
        </w:tc>
        <w:tc>
          <w:tcPr>
            <w:tcW w:w="436" w:type="pct"/>
            <w:tcBorders>
              <w:top w:val="nil"/>
              <w:left w:val="nil"/>
              <w:bottom w:val="single" w:sz="4" w:space="0" w:color="auto"/>
              <w:right w:val="single" w:sz="4" w:space="0" w:color="auto"/>
            </w:tcBorders>
            <w:shd w:val="clear" w:color="auto" w:fill="auto"/>
            <w:vAlign w:val="center"/>
            <w:hideMark/>
          </w:tcPr>
          <w:p w14:paraId="7CB7901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2 822,6</w:t>
            </w:r>
          </w:p>
        </w:tc>
        <w:tc>
          <w:tcPr>
            <w:tcW w:w="436" w:type="pct"/>
            <w:tcBorders>
              <w:top w:val="nil"/>
              <w:left w:val="nil"/>
              <w:bottom w:val="single" w:sz="4" w:space="0" w:color="auto"/>
              <w:right w:val="single" w:sz="4" w:space="0" w:color="auto"/>
            </w:tcBorders>
            <w:shd w:val="clear" w:color="auto" w:fill="auto"/>
            <w:vAlign w:val="center"/>
            <w:hideMark/>
          </w:tcPr>
          <w:p w14:paraId="2920B5A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3 230,2</w:t>
            </w:r>
          </w:p>
        </w:tc>
        <w:tc>
          <w:tcPr>
            <w:tcW w:w="1524" w:type="pct"/>
            <w:tcBorders>
              <w:top w:val="nil"/>
              <w:left w:val="nil"/>
              <w:bottom w:val="single" w:sz="4" w:space="0" w:color="auto"/>
              <w:right w:val="single" w:sz="4" w:space="0" w:color="auto"/>
            </w:tcBorders>
            <w:shd w:val="clear" w:color="auto" w:fill="auto"/>
            <w:vAlign w:val="center"/>
            <w:hideMark/>
          </w:tcPr>
          <w:p w14:paraId="66E4962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Завършен геозащитен обект (бр.) - 1</w:t>
            </w:r>
          </w:p>
        </w:tc>
        <w:tc>
          <w:tcPr>
            <w:tcW w:w="627" w:type="pct"/>
            <w:tcBorders>
              <w:top w:val="nil"/>
              <w:left w:val="nil"/>
              <w:bottom w:val="single" w:sz="4" w:space="0" w:color="auto"/>
              <w:right w:val="single" w:sz="4" w:space="0" w:color="auto"/>
            </w:tcBorders>
            <w:shd w:val="clear" w:color="auto" w:fill="auto"/>
            <w:vAlign w:val="center"/>
            <w:hideMark/>
          </w:tcPr>
          <w:p w14:paraId="6A61975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3CBD97CD"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D5F1FA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112</w:t>
            </w:r>
          </w:p>
        </w:tc>
        <w:tc>
          <w:tcPr>
            <w:tcW w:w="529" w:type="pct"/>
            <w:tcBorders>
              <w:top w:val="nil"/>
              <w:left w:val="nil"/>
              <w:bottom w:val="single" w:sz="4" w:space="0" w:color="auto"/>
              <w:right w:val="single" w:sz="4" w:space="0" w:color="auto"/>
            </w:tcBorders>
            <w:shd w:val="clear" w:color="auto" w:fill="auto"/>
            <w:noWrap/>
            <w:vAlign w:val="center"/>
            <w:hideMark/>
          </w:tcPr>
          <w:p w14:paraId="454EC34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NP-25.001-0105</w:t>
            </w:r>
          </w:p>
        </w:tc>
        <w:tc>
          <w:tcPr>
            <w:tcW w:w="855" w:type="pct"/>
            <w:tcBorders>
              <w:top w:val="nil"/>
              <w:left w:val="nil"/>
              <w:bottom w:val="single" w:sz="4" w:space="0" w:color="auto"/>
              <w:right w:val="single" w:sz="4" w:space="0" w:color="auto"/>
            </w:tcBorders>
            <w:shd w:val="clear" w:color="auto" w:fill="auto"/>
            <w:vAlign w:val="center"/>
            <w:hideMark/>
          </w:tcPr>
          <w:p w14:paraId="79A5703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Дамба Албена Балчик - участък от к. к. „Албена“ до Момчилово дере - технически проект</w:t>
            </w:r>
          </w:p>
        </w:tc>
        <w:tc>
          <w:tcPr>
            <w:tcW w:w="436" w:type="pct"/>
            <w:tcBorders>
              <w:top w:val="nil"/>
              <w:left w:val="nil"/>
              <w:bottom w:val="single" w:sz="4" w:space="0" w:color="auto"/>
              <w:right w:val="single" w:sz="4" w:space="0" w:color="auto"/>
            </w:tcBorders>
            <w:shd w:val="clear" w:color="auto" w:fill="auto"/>
            <w:vAlign w:val="center"/>
            <w:hideMark/>
          </w:tcPr>
          <w:p w14:paraId="5AD026B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30,0</w:t>
            </w:r>
          </w:p>
        </w:tc>
        <w:tc>
          <w:tcPr>
            <w:tcW w:w="436" w:type="pct"/>
            <w:tcBorders>
              <w:top w:val="nil"/>
              <w:left w:val="nil"/>
              <w:bottom w:val="single" w:sz="4" w:space="0" w:color="auto"/>
              <w:right w:val="single" w:sz="4" w:space="0" w:color="auto"/>
            </w:tcBorders>
            <w:shd w:val="clear" w:color="auto" w:fill="auto"/>
            <w:vAlign w:val="center"/>
            <w:hideMark/>
          </w:tcPr>
          <w:p w14:paraId="7E69D77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3D7C487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1 000,0</w:t>
            </w:r>
          </w:p>
        </w:tc>
        <w:tc>
          <w:tcPr>
            <w:tcW w:w="1524" w:type="pct"/>
            <w:tcBorders>
              <w:top w:val="nil"/>
              <w:left w:val="nil"/>
              <w:bottom w:val="single" w:sz="4" w:space="0" w:color="auto"/>
              <w:right w:val="single" w:sz="4" w:space="0" w:color="auto"/>
            </w:tcBorders>
            <w:shd w:val="clear" w:color="auto" w:fill="auto"/>
            <w:vAlign w:val="center"/>
            <w:hideMark/>
          </w:tcPr>
          <w:p w14:paraId="63F52C3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Проекто-проучвателни работи (инвестиционен проект по смисъла на ЗУТ) (бр.) - 1</w:t>
            </w:r>
          </w:p>
        </w:tc>
        <w:tc>
          <w:tcPr>
            <w:tcW w:w="627" w:type="pct"/>
            <w:tcBorders>
              <w:top w:val="nil"/>
              <w:left w:val="nil"/>
              <w:bottom w:val="single" w:sz="4" w:space="0" w:color="auto"/>
              <w:right w:val="single" w:sz="4" w:space="0" w:color="auto"/>
            </w:tcBorders>
            <w:shd w:val="clear" w:color="auto" w:fill="auto"/>
            <w:vAlign w:val="center"/>
            <w:hideMark/>
          </w:tcPr>
          <w:p w14:paraId="4FAD0C4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1E21B71D"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075654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113</w:t>
            </w:r>
          </w:p>
        </w:tc>
        <w:tc>
          <w:tcPr>
            <w:tcW w:w="529" w:type="pct"/>
            <w:tcBorders>
              <w:top w:val="nil"/>
              <w:left w:val="nil"/>
              <w:bottom w:val="single" w:sz="4" w:space="0" w:color="auto"/>
              <w:right w:val="single" w:sz="4" w:space="0" w:color="auto"/>
            </w:tcBorders>
            <w:shd w:val="clear" w:color="auto" w:fill="auto"/>
            <w:noWrap/>
            <w:vAlign w:val="center"/>
            <w:hideMark/>
          </w:tcPr>
          <w:p w14:paraId="42BBD59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NP-25.001-0106</w:t>
            </w:r>
          </w:p>
        </w:tc>
        <w:tc>
          <w:tcPr>
            <w:tcW w:w="855" w:type="pct"/>
            <w:tcBorders>
              <w:top w:val="nil"/>
              <w:left w:val="nil"/>
              <w:bottom w:val="single" w:sz="4" w:space="0" w:color="auto"/>
              <w:right w:val="single" w:sz="4" w:space="0" w:color="auto"/>
            </w:tcBorders>
            <w:shd w:val="clear" w:color="auto" w:fill="auto"/>
            <w:vAlign w:val="center"/>
            <w:hideMark/>
          </w:tcPr>
          <w:p w14:paraId="3AFD2E6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Неотложни укрепителни и/или отводнителни работи в района на сп. „Фара“, община Аксаково - ППР</w:t>
            </w:r>
          </w:p>
        </w:tc>
        <w:tc>
          <w:tcPr>
            <w:tcW w:w="436" w:type="pct"/>
            <w:tcBorders>
              <w:top w:val="nil"/>
              <w:left w:val="nil"/>
              <w:bottom w:val="single" w:sz="4" w:space="0" w:color="auto"/>
              <w:right w:val="single" w:sz="4" w:space="0" w:color="auto"/>
            </w:tcBorders>
            <w:shd w:val="clear" w:color="auto" w:fill="auto"/>
            <w:vAlign w:val="center"/>
            <w:hideMark/>
          </w:tcPr>
          <w:p w14:paraId="1DE9587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10,2</w:t>
            </w:r>
          </w:p>
        </w:tc>
        <w:tc>
          <w:tcPr>
            <w:tcW w:w="436" w:type="pct"/>
            <w:tcBorders>
              <w:top w:val="nil"/>
              <w:left w:val="nil"/>
              <w:bottom w:val="single" w:sz="4" w:space="0" w:color="auto"/>
              <w:right w:val="single" w:sz="4" w:space="0" w:color="auto"/>
            </w:tcBorders>
            <w:shd w:val="clear" w:color="auto" w:fill="auto"/>
            <w:vAlign w:val="center"/>
            <w:hideMark/>
          </w:tcPr>
          <w:p w14:paraId="1BF3B88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118,6</w:t>
            </w:r>
          </w:p>
        </w:tc>
        <w:tc>
          <w:tcPr>
            <w:tcW w:w="436" w:type="pct"/>
            <w:tcBorders>
              <w:top w:val="nil"/>
              <w:left w:val="nil"/>
              <w:bottom w:val="single" w:sz="4" w:space="0" w:color="auto"/>
              <w:right w:val="single" w:sz="4" w:space="0" w:color="auto"/>
            </w:tcBorders>
            <w:shd w:val="clear" w:color="auto" w:fill="auto"/>
            <w:vAlign w:val="center"/>
            <w:hideMark/>
          </w:tcPr>
          <w:p w14:paraId="6FFAF11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08FF648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Проекто-проучвателни работи (инвестиционен проeкт по смисъла на ЗУТ) (бр.) - 1</w:t>
            </w:r>
          </w:p>
        </w:tc>
        <w:tc>
          <w:tcPr>
            <w:tcW w:w="627" w:type="pct"/>
            <w:tcBorders>
              <w:top w:val="nil"/>
              <w:left w:val="nil"/>
              <w:bottom w:val="single" w:sz="4" w:space="0" w:color="auto"/>
              <w:right w:val="single" w:sz="4" w:space="0" w:color="auto"/>
            </w:tcBorders>
            <w:shd w:val="clear" w:color="auto" w:fill="auto"/>
            <w:vAlign w:val="center"/>
            <w:hideMark/>
          </w:tcPr>
          <w:p w14:paraId="48C08E5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3B998C8D"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E7A91A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114</w:t>
            </w:r>
          </w:p>
        </w:tc>
        <w:tc>
          <w:tcPr>
            <w:tcW w:w="529" w:type="pct"/>
            <w:tcBorders>
              <w:top w:val="nil"/>
              <w:left w:val="nil"/>
              <w:bottom w:val="single" w:sz="4" w:space="0" w:color="auto"/>
              <w:right w:val="single" w:sz="4" w:space="0" w:color="auto"/>
            </w:tcBorders>
            <w:shd w:val="clear" w:color="auto" w:fill="auto"/>
            <w:noWrap/>
            <w:vAlign w:val="center"/>
            <w:hideMark/>
          </w:tcPr>
          <w:p w14:paraId="0F327D6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NP-25.001-0107</w:t>
            </w:r>
          </w:p>
        </w:tc>
        <w:tc>
          <w:tcPr>
            <w:tcW w:w="855" w:type="pct"/>
            <w:tcBorders>
              <w:top w:val="nil"/>
              <w:left w:val="nil"/>
              <w:bottom w:val="single" w:sz="4" w:space="0" w:color="auto"/>
              <w:right w:val="single" w:sz="4" w:space="0" w:color="auto"/>
            </w:tcBorders>
            <w:shd w:val="clear" w:color="auto" w:fill="auto"/>
            <w:vAlign w:val="center"/>
            <w:hideMark/>
          </w:tcPr>
          <w:p w14:paraId="1F0181B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Защита и укрепване на десния бряг на река Дунав от км 481.8 до км 484 в района на гр. Мартен, община Русе, област Русе - ППР - трансфер за Областна администрация Русе</w:t>
            </w:r>
          </w:p>
        </w:tc>
        <w:tc>
          <w:tcPr>
            <w:tcW w:w="436" w:type="pct"/>
            <w:tcBorders>
              <w:top w:val="nil"/>
              <w:left w:val="nil"/>
              <w:bottom w:val="single" w:sz="4" w:space="0" w:color="auto"/>
              <w:right w:val="single" w:sz="4" w:space="0" w:color="auto"/>
            </w:tcBorders>
            <w:shd w:val="clear" w:color="auto" w:fill="auto"/>
            <w:vAlign w:val="center"/>
            <w:hideMark/>
          </w:tcPr>
          <w:p w14:paraId="17D9B37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33,5</w:t>
            </w:r>
          </w:p>
        </w:tc>
        <w:tc>
          <w:tcPr>
            <w:tcW w:w="436" w:type="pct"/>
            <w:tcBorders>
              <w:top w:val="nil"/>
              <w:left w:val="nil"/>
              <w:bottom w:val="single" w:sz="4" w:space="0" w:color="auto"/>
              <w:right w:val="single" w:sz="4" w:space="0" w:color="auto"/>
            </w:tcBorders>
            <w:shd w:val="clear" w:color="auto" w:fill="auto"/>
            <w:vAlign w:val="center"/>
            <w:hideMark/>
          </w:tcPr>
          <w:p w14:paraId="15C6338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FB4437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718E3D7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Проекто-проучвателни работи (инженерно-геоложко, хидрогеоложко и хидроложко проучванe и инвестиционен проект по смисъла на ЗУТ) (бр.) - 1</w:t>
            </w:r>
          </w:p>
        </w:tc>
        <w:tc>
          <w:tcPr>
            <w:tcW w:w="627" w:type="pct"/>
            <w:tcBorders>
              <w:top w:val="nil"/>
              <w:left w:val="nil"/>
              <w:bottom w:val="single" w:sz="4" w:space="0" w:color="auto"/>
              <w:right w:val="single" w:sz="4" w:space="0" w:color="auto"/>
            </w:tcBorders>
            <w:shd w:val="clear" w:color="auto" w:fill="auto"/>
            <w:vAlign w:val="center"/>
            <w:hideMark/>
          </w:tcPr>
          <w:p w14:paraId="78D918C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16EEB94"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CB1BE7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115</w:t>
            </w:r>
          </w:p>
        </w:tc>
        <w:tc>
          <w:tcPr>
            <w:tcW w:w="529" w:type="pct"/>
            <w:tcBorders>
              <w:top w:val="nil"/>
              <w:left w:val="nil"/>
              <w:bottom w:val="single" w:sz="4" w:space="0" w:color="auto"/>
              <w:right w:val="single" w:sz="4" w:space="0" w:color="auto"/>
            </w:tcBorders>
            <w:shd w:val="clear" w:color="auto" w:fill="auto"/>
            <w:noWrap/>
            <w:vAlign w:val="center"/>
            <w:hideMark/>
          </w:tcPr>
          <w:p w14:paraId="19E57CE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NP-25.001-0109</w:t>
            </w:r>
          </w:p>
        </w:tc>
        <w:tc>
          <w:tcPr>
            <w:tcW w:w="855" w:type="pct"/>
            <w:tcBorders>
              <w:top w:val="nil"/>
              <w:left w:val="nil"/>
              <w:bottom w:val="single" w:sz="4" w:space="0" w:color="auto"/>
              <w:right w:val="single" w:sz="4" w:space="0" w:color="auto"/>
            </w:tcBorders>
            <w:shd w:val="clear" w:color="auto" w:fill="auto"/>
            <w:vAlign w:val="center"/>
            <w:hideMark/>
          </w:tcPr>
          <w:p w14:paraId="13F58C4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Укрепителни мероприятия на дере с прилежащи полегати и стръмни склонове в обхвата на имоти № 803, 804, 805, 806, 807 в кв. 62 по плана на с. Пиргово, ул. „Пиргос“, община Иваново - СМР - трансфер за община Иваново</w:t>
            </w:r>
          </w:p>
        </w:tc>
        <w:tc>
          <w:tcPr>
            <w:tcW w:w="436" w:type="pct"/>
            <w:tcBorders>
              <w:top w:val="nil"/>
              <w:left w:val="nil"/>
              <w:bottom w:val="single" w:sz="4" w:space="0" w:color="auto"/>
              <w:right w:val="single" w:sz="4" w:space="0" w:color="auto"/>
            </w:tcBorders>
            <w:shd w:val="clear" w:color="auto" w:fill="auto"/>
            <w:vAlign w:val="center"/>
            <w:hideMark/>
          </w:tcPr>
          <w:p w14:paraId="4E142C6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511,3</w:t>
            </w:r>
          </w:p>
        </w:tc>
        <w:tc>
          <w:tcPr>
            <w:tcW w:w="436" w:type="pct"/>
            <w:tcBorders>
              <w:top w:val="nil"/>
              <w:left w:val="nil"/>
              <w:bottom w:val="single" w:sz="4" w:space="0" w:color="auto"/>
              <w:right w:val="single" w:sz="4" w:space="0" w:color="auto"/>
            </w:tcBorders>
            <w:shd w:val="clear" w:color="auto" w:fill="auto"/>
            <w:vAlign w:val="center"/>
            <w:hideMark/>
          </w:tcPr>
          <w:p w14:paraId="76F861B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782,0</w:t>
            </w:r>
          </w:p>
        </w:tc>
        <w:tc>
          <w:tcPr>
            <w:tcW w:w="436" w:type="pct"/>
            <w:tcBorders>
              <w:top w:val="nil"/>
              <w:left w:val="nil"/>
              <w:bottom w:val="single" w:sz="4" w:space="0" w:color="auto"/>
              <w:right w:val="single" w:sz="4" w:space="0" w:color="auto"/>
            </w:tcBorders>
            <w:shd w:val="clear" w:color="auto" w:fill="auto"/>
            <w:vAlign w:val="center"/>
            <w:hideMark/>
          </w:tcPr>
          <w:p w14:paraId="31CA158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0A7D64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Завършен геозащитен обект (бр.) - 1</w:t>
            </w:r>
          </w:p>
        </w:tc>
        <w:tc>
          <w:tcPr>
            <w:tcW w:w="627" w:type="pct"/>
            <w:tcBorders>
              <w:top w:val="nil"/>
              <w:left w:val="nil"/>
              <w:bottom w:val="single" w:sz="4" w:space="0" w:color="auto"/>
              <w:right w:val="single" w:sz="4" w:space="0" w:color="auto"/>
            </w:tcBorders>
            <w:shd w:val="clear" w:color="auto" w:fill="auto"/>
            <w:vAlign w:val="center"/>
            <w:hideMark/>
          </w:tcPr>
          <w:p w14:paraId="31D4F2A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E7CF6AD"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7507BF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116</w:t>
            </w:r>
          </w:p>
        </w:tc>
        <w:tc>
          <w:tcPr>
            <w:tcW w:w="529" w:type="pct"/>
            <w:tcBorders>
              <w:top w:val="nil"/>
              <w:left w:val="nil"/>
              <w:bottom w:val="single" w:sz="4" w:space="0" w:color="auto"/>
              <w:right w:val="single" w:sz="4" w:space="0" w:color="auto"/>
            </w:tcBorders>
            <w:shd w:val="clear" w:color="auto" w:fill="auto"/>
            <w:noWrap/>
            <w:vAlign w:val="center"/>
            <w:hideMark/>
          </w:tcPr>
          <w:p w14:paraId="55B0551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NP-25.003-0062</w:t>
            </w:r>
          </w:p>
        </w:tc>
        <w:tc>
          <w:tcPr>
            <w:tcW w:w="855" w:type="pct"/>
            <w:tcBorders>
              <w:top w:val="nil"/>
              <w:left w:val="nil"/>
              <w:bottom w:val="single" w:sz="4" w:space="0" w:color="auto"/>
              <w:right w:val="single" w:sz="4" w:space="0" w:color="auto"/>
            </w:tcBorders>
            <w:shd w:val="clear" w:color="auto" w:fill="auto"/>
            <w:vAlign w:val="center"/>
            <w:hideMark/>
          </w:tcPr>
          <w:p w14:paraId="68BE6E6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Укрепване на свлачище №  VTR28.65766.01.16, град Свищов - СМР - трансфер за община Свищов</w:t>
            </w:r>
          </w:p>
        </w:tc>
        <w:tc>
          <w:tcPr>
            <w:tcW w:w="436" w:type="pct"/>
            <w:tcBorders>
              <w:top w:val="nil"/>
              <w:left w:val="nil"/>
              <w:bottom w:val="single" w:sz="4" w:space="0" w:color="auto"/>
              <w:right w:val="single" w:sz="4" w:space="0" w:color="auto"/>
            </w:tcBorders>
            <w:shd w:val="clear" w:color="auto" w:fill="auto"/>
            <w:vAlign w:val="center"/>
            <w:hideMark/>
          </w:tcPr>
          <w:p w14:paraId="6C9E9E6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2 556,5</w:t>
            </w:r>
          </w:p>
        </w:tc>
        <w:tc>
          <w:tcPr>
            <w:tcW w:w="436" w:type="pct"/>
            <w:tcBorders>
              <w:top w:val="nil"/>
              <w:left w:val="nil"/>
              <w:bottom w:val="single" w:sz="4" w:space="0" w:color="auto"/>
              <w:right w:val="single" w:sz="4" w:space="0" w:color="auto"/>
            </w:tcBorders>
            <w:shd w:val="clear" w:color="auto" w:fill="auto"/>
            <w:vAlign w:val="center"/>
            <w:hideMark/>
          </w:tcPr>
          <w:p w14:paraId="1C30346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1 789,5</w:t>
            </w:r>
          </w:p>
        </w:tc>
        <w:tc>
          <w:tcPr>
            <w:tcW w:w="436" w:type="pct"/>
            <w:tcBorders>
              <w:top w:val="nil"/>
              <w:left w:val="nil"/>
              <w:bottom w:val="single" w:sz="4" w:space="0" w:color="auto"/>
              <w:right w:val="single" w:sz="4" w:space="0" w:color="auto"/>
            </w:tcBorders>
            <w:shd w:val="clear" w:color="auto" w:fill="auto"/>
            <w:vAlign w:val="center"/>
            <w:hideMark/>
          </w:tcPr>
          <w:p w14:paraId="005742D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316,2</w:t>
            </w:r>
          </w:p>
        </w:tc>
        <w:tc>
          <w:tcPr>
            <w:tcW w:w="1524" w:type="pct"/>
            <w:tcBorders>
              <w:top w:val="nil"/>
              <w:left w:val="nil"/>
              <w:bottom w:val="single" w:sz="4" w:space="0" w:color="auto"/>
              <w:right w:val="single" w:sz="4" w:space="0" w:color="auto"/>
            </w:tcBorders>
            <w:shd w:val="clear" w:color="auto" w:fill="auto"/>
            <w:vAlign w:val="center"/>
            <w:hideMark/>
          </w:tcPr>
          <w:p w14:paraId="2EABE96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Завършен геозащитен обект (бр.) - 1</w:t>
            </w:r>
          </w:p>
        </w:tc>
        <w:tc>
          <w:tcPr>
            <w:tcW w:w="627" w:type="pct"/>
            <w:tcBorders>
              <w:top w:val="nil"/>
              <w:left w:val="nil"/>
              <w:bottom w:val="single" w:sz="4" w:space="0" w:color="auto"/>
              <w:right w:val="single" w:sz="4" w:space="0" w:color="auto"/>
            </w:tcBorders>
            <w:shd w:val="clear" w:color="auto" w:fill="auto"/>
            <w:vAlign w:val="center"/>
            <w:hideMark/>
          </w:tcPr>
          <w:p w14:paraId="1425F03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1CC48FA8"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B10010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117</w:t>
            </w:r>
          </w:p>
        </w:tc>
        <w:tc>
          <w:tcPr>
            <w:tcW w:w="529" w:type="pct"/>
            <w:tcBorders>
              <w:top w:val="nil"/>
              <w:left w:val="nil"/>
              <w:bottom w:val="single" w:sz="4" w:space="0" w:color="auto"/>
              <w:right w:val="single" w:sz="4" w:space="0" w:color="auto"/>
            </w:tcBorders>
            <w:shd w:val="clear" w:color="auto" w:fill="auto"/>
            <w:noWrap/>
            <w:vAlign w:val="center"/>
            <w:hideMark/>
          </w:tcPr>
          <w:p w14:paraId="6004032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NP-25.003-0056</w:t>
            </w:r>
          </w:p>
        </w:tc>
        <w:tc>
          <w:tcPr>
            <w:tcW w:w="855" w:type="pct"/>
            <w:tcBorders>
              <w:top w:val="nil"/>
              <w:left w:val="nil"/>
              <w:bottom w:val="single" w:sz="4" w:space="0" w:color="auto"/>
              <w:right w:val="single" w:sz="4" w:space="0" w:color="auto"/>
            </w:tcBorders>
            <w:shd w:val="clear" w:color="auto" w:fill="auto"/>
            <w:vAlign w:val="center"/>
            <w:hideMark/>
          </w:tcPr>
          <w:p w14:paraId="14FA674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Укрепване свлачище № PVN24.56722.14, ЗМ „Кайлъка“, гр. Плевен, област Плевен - ППР - трансфер за Областна администрация Плевен</w:t>
            </w:r>
          </w:p>
        </w:tc>
        <w:tc>
          <w:tcPr>
            <w:tcW w:w="436" w:type="pct"/>
            <w:tcBorders>
              <w:top w:val="nil"/>
              <w:left w:val="nil"/>
              <w:bottom w:val="single" w:sz="4" w:space="0" w:color="auto"/>
              <w:right w:val="single" w:sz="4" w:space="0" w:color="auto"/>
            </w:tcBorders>
            <w:shd w:val="clear" w:color="auto" w:fill="auto"/>
            <w:vAlign w:val="center"/>
            <w:hideMark/>
          </w:tcPr>
          <w:p w14:paraId="6558124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58,9</w:t>
            </w:r>
          </w:p>
        </w:tc>
        <w:tc>
          <w:tcPr>
            <w:tcW w:w="436" w:type="pct"/>
            <w:tcBorders>
              <w:top w:val="nil"/>
              <w:left w:val="nil"/>
              <w:bottom w:val="single" w:sz="4" w:space="0" w:color="auto"/>
              <w:right w:val="single" w:sz="4" w:space="0" w:color="auto"/>
            </w:tcBorders>
            <w:shd w:val="clear" w:color="auto" w:fill="auto"/>
            <w:vAlign w:val="center"/>
            <w:hideMark/>
          </w:tcPr>
          <w:p w14:paraId="7EC1728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5E5364E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405202A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Проекто-проучвателни работи (изготвен доклад за извършено инженерно-геоложко проучване) - 1</w:t>
            </w:r>
            <w:r w:rsidRPr="00761800">
              <w:rPr>
                <w:rFonts w:ascii="Times New Roman" w:hAnsi="Times New Roman"/>
                <w:sz w:val="20"/>
                <w:lang w:eastAsia="bg-BG"/>
              </w:rPr>
              <w:br/>
              <w:t>2. Проекто-проучвателни работи (изработен инвестиционен проект по смисъла на ЗУТ) - 1</w:t>
            </w:r>
          </w:p>
        </w:tc>
        <w:tc>
          <w:tcPr>
            <w:tcW w:w="627" w:type="pct"/>
            <w:tcBorders>
              <w:top w:val="nil"/>
              <w:left w:val="nil"/>
              <w:bottom w:val="single" w:sz="4" w:space="0" w:color="auto"/>
              <w:right w:val="single" w:sz="4" w:space="0" w:color="auto"/>
            </w:tcBorders>
            <w:shd w:val="clear" w:color="auto" w:fill="auto"/>
            <w:vAlign w:val="center"/>
            <w:hideMark/>
          </w:tcPr>
          <w:p w14:paraId="253C7E4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2A868E28"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BC7E62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118</w:t>
            </w:r>
          </w:p>
        </w:tc>
        <w:tc>
          <w:tcPr>
            <w:tcW w:w="529" w:type="pct"/>
            <w:tcBorders>
              <w:top w:val="nil"/>
              <w:left w:val="nil"/>
              <w:bottom w:val="single" w:sz="4" w:space="0" w:color="auto"/>
              <w:right w:val="single" w:sz="4" w:space="0" w:color="auto"/>
            </w:tcBorders>
            <w:shd w:val="clear" w:color="auto" w:fill="auto"/>
            <w:noWrap/>
            <w:vAlign w:val="center"/>
            <w:hideMark/>
          </w:tcPr>
          <w:p w14:paraId="7ED5B3B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NP-25.003-0053</w:t>
            </w:r>
          </w:p>
        </w:tc>
        <w:tc>
          <w:tcPr>
            <w:tcW w:w="855" w:type="pct"/>
            <w:tcBorders>
              <w:top w:val="nil"/>
              <w:left w:val="nil"/>
              <w:bottom w:val="single" w:sz="4" w:space="0" w:color="auto"/>
              <w:right w:val="single" w:sz="4" w:space="0" w:color="auto"/>
            </w:tcBorders>
            <w:shd w:val="clear" w:color="auto" w:fill="auto"/>
            <w:vAlign w:val="center"/>
            <w:hideMark/>
          </w:tcPr>
          <w:p w14:paraId="675B96B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Брегоукрепване къмпинг „Европа“ – нос Лахна – Почивна станция на Министерство на отбраната – първи участък”, община Поморие - ППР и СМР</w:t>
            </w:r>
          </w:p>
        </w:tc>
        <w:tc>
          <w:tcPr>
            <w:tcW w:w="436" w:type="pct"/>
            <w:tcBorders>
              <w:top w:val="nil"/>
              <w:left w:val="nil"/>
              <w:bottom w:val="single" w:sz="4" w:space="0" w:color="auto"/>
              <w:right w:val="single" w:sz="4" w:space="0" w:color="auto"/>
            </w:tcBorders>
            <w:shd w:val="clear" w:color="auto" w:fill="auto"/>
            <w:vAlign w:val="center"/>
            <w:hideMark/>
          </w:tcPr>
          <w:p w14:paraId="3FB1EFC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w:t>
            </w:r>
          </w:p>
        </w:tc>
        <w:tc>
          <w:tcPr>
            <w:tcW w:w="436" w:type="pct"/>
            <w:tcBorders>
              <w:top w:val="nil"/>
              <w:left w:val="nil"/>
              <w:bottom w:val="single" w:sz="4" w:space="0" w:color="auto"/>
              <w:right w:val="single" w:sz="4" w:space="0" w:color="auto"/>
            </w:tcBorders>
            <w:shd w:val="clear" w:color="auto" w:fill="auto"/>
            <w:vAlign w:val="center"/>
            <w:hideMark/>
          </w:tcPr>
          <w:p w14:paraId="2848847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33,6</w:t>
            </w:r>
          </w:p>
        </w:tc>
        <w:tc>
          <w:tcPr>
            <w:tcW w:w="436" w:type="pct"/>
            <w:tcBorders>
              <w:top w:val="nil"/>
              <w:left w:val="nil"/>
              <w:bottom w:val="single" w:sz="4" w:space="0" w:color="auto"/>
              <w:right w:val="single" w:sz="4" w:space="0" w:color="auto"/>
            </w:tcBorders>
            <w:shd w:val="clear" w:color="auto" w:fill="auto"/>
            <w:vAlign w:val="center"/>
            <w:hideMark/>
          </w:tcPr>
          <w:p w14:paraId="010E23D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1 000,0</w:t>
            </w:r>
          </w:p>
        </w:tc>
        <w:tc>
          <w:tcPr>
            <w:tcW w:w="1524" w:type="pct"/>
            <w:tcBorders>
              <w:top w:val="nil"/>
              <w:left w:val="nil"/>
              <w:bottom w:val="single" w:sz="4" w:space="0" w:color="auto"/>
              <w:right w:val="single" w:sz="4" w:space="0" w:color="auto"/>
            </w:tcBorders>
            <w:shd w:val="clear" w:color="auto" w:fill="auto"/>
            <w:vAlign w:val="center"/>
            <w:hideMark/>
          </w:tcPr>
          <w:p w14:paraId="1681D6C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Проекто-проучвателни работи (инвестиционен проект по смисъла на ЗУТ) (бр.) - 1</w:t>
            </w:r>
            <w:r w:rsidRPr="00761800">
              <w:rPr>
                <w:rFonts w:ascii="Times New Roman" w:hAnsi="Times New Roman"/>
                <w:sz w:val="20"/>
                <w:lang w:eastAsia="bg-BG"/>
              </w:rPr>
              <w:br/>
              <w:t>2. Завършен геозащитен обект (бр.) - 1</w:t>
            </w:r>
          </w:p>
        </w:tc>
        <w:tc>
          <w:tcPr>
            <w:tcW w:w="627" w:type="pct"/>
            <w:tcBorders>
              <w:top w:val="nil"/>
              <w:left w:val="nil"/>
              <w:bottom w:val="single" w:sz="4" w:space="0" w:color="auto"/>
              <w:right w:val="single" w:sz="4" w:space="0" w:color="auto"/>
            </w:tcBorders>
            <w:shd w:val="clear" w:color="auto" w:fill="auto"/>
            <w:vAlign w:val="center"/>
            <w:hideMark/>
          </w:tcPr>
          <w:p w14:paraId="0E1A85A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6DC444A7"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70869F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119</w:t>
            </w:r>
          </w:p>
        </w:tc>
        <w:tc>
          <w:tcPr>
            <w:tcW w:w="529" w:type="pct"/>
            <w:tcBorders>
              <w:top w:val="nil"/>
              <w:left w:val="nil"/>
              <w:bottom w:val="single" w:sz="4" w:space="0" w:color="auto"/>
              <w:right w:val="single" w:sz="4" w:space="0" w:color="auto"/>
            </w:tcBorders>
            <w:shd w:val="clear" w:color="auto" w:fill="auto"/>
            <w:noWrap/>
            <w:vAlign w:val="center"/>
            <w:hideMark/>
          </w:tcPr>
          <w:p w14:paraId="68D6DBB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NP-25.001-0104</w:t>
            </w:r>
          </w:p>
        </w:tc>
        <w:tc>
          <w:tcPr>
            <w:tcW w:w="855" w:type="pct"/>
            <w:tcBorders>
              <w:top w:val="nil"/>
              <w:left w:val="nil"/>
              <w:bottom w:val="single" w:sz="4" w:space="0" w:color="auto"/>
              <w:right w:val="single" w:sz="4" w:space="0" w:color="auto"/>
            </w:tcBorders>
            <w:shd w:val="clear" w:color="auto" w:fill="auto"/>
            <w:vAlign w:val="center"/>
            <w:hideMark/>
          </w:tcPr>
          <w:p w14:paraId="15B925D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Проект „Развитие на общинска инфраструктура“ - изграждане на яз. „Луда Яна“ и ПСПВ</w:t>
            </w:r>
          </w:p>
        </w:tc>
        <w:tc>
          <w:tcPr>
            <w:tcW w:w="436" w:type="pct"/>
            <w:tcBorders>
              <w:top w:val="nil"/>
              <w:left w:val="nil"/>
              <w:bottom w:val="single" w:sz="4" w:space="0" w:color="auto"/>
              <w:right w:val="single" w:sz="4" w:space="0" w:color="auto"/>
            </w:tcBorders>
            <w:shd w:val="clear" w:color="auto" w:fill="auto"/>
            <w:vAlign w:val="center"/>
            <w:hideMark/>
          </w:tcPr>
          <w:p w14:paraId="7AEE47A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9 474,9</w:t>
            </w:r>
          </w:p>
        </w:tc>
        <w:tc>
          <w:tcPr>
            <w:tcW w:w="436" w:type="pct"/>
            <w:tcBorders>
              <w:top w:val="nil"/>
              <w:left w:val="nil"/>
              <w:bottom w:val="single" w:sz="4" w:space="0" w:color="auto"/>
              <w:right w:val="single" w:sz="4" w:space="0" w:color="auto"/>
            </w:tcBorders>
            <w:shd w:val="clear" w:color="auto" w:fill="auto"/>
            <w:vAlign w:val="center"/>
            <w:hideMark/>
          </w:tcPr>
          <w:p w14:paraId="223EDC1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08ED1F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62191E7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Физически напредък на обекта - 100 %</w:t>
            </w:r>
          </w:p>
        </w:tc>
        <w:tc>
          <w:tcPr>
            <w:tcW w:w="627" w:type="pct"/>
            <w:tcBorders>
              <w:top w:val="nil"/>
              <w:left w:val="nil"/>
              <w:bottom w:val="single" w:sz="4" w:space="0" w:color="auto"/>
              <w:right w:val="single" w:sz="4" w:space="0" w:color="auto"/>
            </w:tcBorders>
            <w:shd w:val="clear" w:color="auto" w:fill="auto"/>
            <w:vAlign w:val="center"/>
            <w:hideMark/>
          </w:tcPr>
          <w:p w14:paraId="78B25DC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B215B5B" w14:textId="77777777" w:rsidTr="00406B4D">
        <w:trPr>
          <w:trHeight w:val="127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D8A9EB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120</w:t>
            </w:r>
          </w:p>
        </w:tc>
        <w:tc>
          <w:tcPr>
            <w:tcW w:w="529" w:type="pct"/>
            <w:tcBorders>
              <w:top w:val="nil"/>
              <w:left w:val="nil"/>
              <w:bottom w:val="single" w:sz="4" w:space="0" w:color="auto"/>
              <w:right w:val="single" w:sz="4" w:space="0" w:color="auto"/>
            </w:tcBorders>
            <w:shd w:val="clear" w:color="auto" w:fill="auto"/>
            <w:noWrap/>
            <w:vAlign w:val="center"/>
            <w:hideMark/>
          </w:tcPr>
          <w:p w14:paraId="69F6FF6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NP-25.003-0077</w:t>
            </w:r>
          </w:p>
        </w:tc>
        <w:tc>
          <w:tcPr>
            <w:tcW w:w="855" w:type="pct"/>
            <w:tcBorders>
              <w:top w:val="nil"/>
              <w:left w:val="nil"/>
              <w:bottom w:val="single" w:sz="4" w:space="0" w:color="auto"/>
              <w:right w:val="single" w:sz="4" w:space="0" w:color="auto"/>
            </w:tcBorders>
            <w:shd w:val="clear" w:color="auto" w:fill="auto"/>
            <w:vAlign w:val="center"/>
            <w:hideMark/>
          </w:tcPr>
          <w:p w14:paraId="43B041F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Водоснабдителна система „Черни Осъм“ - ПИП, ПУП, проектиране и строителство: </w:t>
            </w:r>
            <w:r w:rsidRPr="00761800">
              <w:rPr>
                <w:rFonts w:ascii="Times New Roman" w:hAnsi="Times New Roman"/>
                <w:sz w:val="20"/>
                <w:lang w:eastAsia="bg-BG"/>
              </w:rPr>
              <w:br/>
              <w:t>Реконструкция на магистрални водопроводи на териториите на областите Ловеч и Плевен;</w:t>
            </w:r>
            <w:r w:rsidRPr="00761800">
              <w:rPr>
                <w:rFonts w:ascii="Times New Roman" w:hAnsi="Times New Roman"/>
                <w:sz w:val="20"/>
                <w:lang w:eastAsia="bg-BG"/>
              </w:rPr>
              <w:br/>
              <w:t>ПСПВ „Черни Осъм“, язовир „Черни Осъм“, ВЕЦ - 2 бр.</w:t>
            </w:r>
          </w:p>
        </w:tc>
        <w:tc>
          <w:tcPr>
            <w:tcW w:w="436" w:type="pct"/>
            <w:tcBorders>
              <w:top w:val="nil"/>
              <w:left w:val="nil"/>
              <w:bottom w:val="single" w:sz="4" w:space="0" w:color="auto"/>
              <w:right w:val="single" w:sz="4" w:space="0" w:color="auto"/>
            </w:tcBorders>
            <w:shd w:val="clear" w:color="auto" w:fill="auto"/>
            <w:vAlign w:val="center"/>
            <w:hideMark/>
          </w:tcPr>
          <w:p w14:paraId="5BDEB79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371,1</w:t>
            </w:r>
          </w:p>
        </w:tc>
        <w:tc>
          <w:tcPr>
            <w:tcW w:w="436" w:type="pct"/>
            <w:tcBorders>
              <w:top w:val="nil"/>
              <w:left w:val="nil"/>
              <w:bottom w:val="single" w:sz="4" w:space="0" w:color="auto"/>
              <w:right w:val="single" w:sz="4" w:space="0" w:color="auto"/>
            </w:tcBorders>
            <w:shd w:val="clear" w:color="auto" w:fill="auto"/>
            <w:vAlign w:val="center"/>
            <w:hideMark/>
          </w:tcPr>
          <w:p w14:paraId="0A36953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856,1</w:t>
            </w:r>
          </w:p>
        </w:tc>
        <w:tc>
          <w:tcPr>
            <w:tcW w:w="436" w:type="pct"/>
            <w:tcBorders>
              <w:top w:val="nil"/>
              <w:left w:val="nil"/>
              <w:bottom w:val="single" w:sz="4" w:space="0" w:color="auto"/>
              <w:right w:val="single" w:sz="4" w:space="0" w:color="auto"/>
            </w:tcBorders>
            <w:shd w:val="clear" w:color="auto" w:fill="auto"/>
            <w:vAlign w:val="center"/>
            <w:hideMark/>
          </w:tcPr>
          <w:p w14:paraId="6B074C0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0,0</w:t>
            </w:r>
          </w:p>
        </w:tc>
        <w:tc>
          <w:tcPr>
            <w:tcW w:w="1524" w:type="pct"/>
            <w:tcBorders>
              <w:top w:val="nil"/>
              <w:left w:val="nil"/>
              <w:bottom w:val="single" w:sz="4" w:space="0" w:color="auto"/>
              <w:right w:val="single" w:sz="4" w:space="0" w:color="auto"/>
            </w:tcBorders>
            <w:shd w:val="clear" w:color="auto" w:fill="auto"/>
            <w:vAlign w:val="center"/>
            <w:hideMark/>
          </w:tcPr>
          <w:p w14:paraId="11FB80D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Изготвено ПИП - прединвестиционно проучване - 1</w:t>
            </w:r>
            <w:r w:rsidRPr="00761800">
              <w:rPr>
                <w:rFonts w:ascii="Times New Roman" w:hAnsi="Times New Roman"/>
                <w:sz w:val="20"/>
                <w:lang w:eastAsia="bg-BG"/>
              </w:rPr>
              <w:br/>
              <w:t>2. Изготвен ПУП - проект за подробен устройствен план - 1</w:t>
            </w:r>
          </w:p>
        </w:tc>
        <w:tc>
          <w:tcPr>
            <w:tcW w:w="627" w:type="pct"/>
            <w:tcBorders>
              <w:top w:val="nil"/>
              <w:left w:val="nil"/>
              <w:bottom w:val="single" w:sz="4" w:space="0" w:color="auto"/>
              <w:right w:val="single" w:sz="4" w:space="0" w:color="auto"/>
            </w:tcBorders>
            <w:shd w:val="clear" w:color="auto" w:fill="auto"/>
            <w:vAlign w:val="center"/>
            <w:hideMark/>
          </w:tcPr>
          <w:p w14:paraId="788B17E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770D4FAB"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9BA628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121</w:t>
            </w:r>
          </w:p>
        </w:tc>
        <w:tc>
          <w:tcPr>
            <w:tcW w:w="529" w:type="pct"/>
            <w:tcBorders>
              <w:top w:val="nil"/>
              <w:left w:val="nil"/>
              <w:bottom w:val="single" w:sz="4" w:space="0" w:color="auto"/>
              <w:right w:val="single" w:sz="4" w:space="0" w:color="auto"/>
            </w:tcBorders>
            <w:shd w:val="clear" w:color="auto" w:fill="auto"/>
            <w:noWrap/>
            <w:vAlign w:val="center"/>
            <w:hideMark/>
          </w:tcPr>
          <w:p w14:paraId="1E630F9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NP-25.003-0079</w:t>
            </w:r>
          </w:p>
        </w:tc>
        <w:tc>
          <w:tcPr>
            <w:tcW w:w="855" w:type="pct"/>
            <w:tcBorders>
              <w:top w:val="nil"/>
              <w:left w:val="nil"/>
              <w:bottom w:val="single" w:sz="4" w:space="0" w:color="auto"/>
              <w:right w:val="single" w:sz="4" w:space="0" w:color="auto"/>
            </w:tcBorders>
            <w:shd w:val="clear" w:color="auto" w:fill="auto"/>
            <w:vAlign w:val="center"/>
            <w:hideMark/>
          </w:tcPr>
          <w:p w14:paraId="595ADED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Обследване, проектиране, СМР, АН и СН на ПСПВ Сливен</w:t>
            </w:r>
          </w:p>
        </w:tc>
        <w:tc>
          <w:tcPr>
            <w:tcW w:w="436" w:type="pct"/>
            <w:tcBorders>
              <w:top w:val="nil"/>
              <w:left w:val="nil"/>
              <w:bottom w:val="single" w:sz="4" w:space="0" w:color="auto"/>
              <w:right w:val="single" w:sz="4" w:space="0" w:color="auto"/>
            </w:tcBorders>
            <w:shd w:val="clear" w:color="auto" w:fill="auto"/>
            <w:vAlign w:val="center"/>
            <w:hideMark/>
          </w:tcPr>
          <w:p w14:paraId="0E22B72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2 399,5</w:t>
            </w:r>
          </w:p>
        </w:tc>
        <w:tc>
          <w:tcPr>
            <w:tcW w:w="436" w:type="pct"/>
            <w:tcBorders>
              <w:top w:val="nil"/>
              <w:left w:val="nil"/>
              <w:bottom w:val="single" w:sz="4" w:space="0" w:color="auto"/>
              <w:right w:val="single" w:sz="4" w:space="0" w:color="auto"/>
            </w:tcBorders>
            <w:shd w:val="clear" w:color="auto" w:fill="auto"/>
            <w:vAlign w:val="center"/>
            <w:hideMark/>
          </w:tcPr>
          <w:p w14:paraId="64D9ABC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3 499,2</w:t>
            </w:r>
          </w:p>
        </w:tc>
        <w:tc>
          <w:tcPr>
            <w:tcW w:w="436" w:type="pct"/>
            <w:tcBorders>
              <w:top w:val="nil"/>
              <w:left w:val="nil"/>
              <w:bottom w:val="single" w:sz="4" w:space="0" w:color="auto"/>
              <w:right w:val="single" w:sz="4" w:space="0" w:color="auto"/>
            </w:tcBorders>
            <w:shd w:val="clear" w:color="auto" w:fill="auto"/>
            <w:vAlign w:val="center"/>
            <w:hideMark/>
          </w:tcPr>
          <w:p w14:paraId="0DA01C9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2 023,7</w:t>
            </w:r>
          </w:p>
        </w:tc>
        <w:tc>
          <w:tcPr>
            <w:tcW w:w="1524" w:type="pct"/>
            <w:tcBorders>
              <w:top w:val="nil"/>
              <w:left w:val="nil"/>
              <w:bottom w:val="single" w:sz="4" w:space="0" w:color="auto"/>
              <w:right w:val="single" w:sz="4" w:space="0" w:color="auto"/>
            </w:tcBorders>
            <w:shd w:val="clear" w:color="auto" w:fill="auto"/>
            <w:vAlign w:val="center"/>
            <w:hideMark/>
          </w:tcPr>
          <w:p w14:paraId="52753C7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Изготвен инвестиционен проект  - 1</w:t>
            </w:r>
            <w:r w:rsidRPr="00761800">
              <w:rPr>
                <w:rFonts w:ascii="Times New Roman" w:hAnsi="Times New Roman"/>
                <w:sz w:val="20"/>
                <w:lang w:eastAsia="bg-BG"/>
              </w:rPr>
              <w:br/>
              <w:t>2. Физически напредък на обекта - 100 %</w:t>
            </w:r>
          </w:p>
        </w:tc>
        <w:tc>
          <w:tcPr>
            <w:tcW w:w="627" w:type="pct"/>
            <w:tcBorders>
              <w:top w:val="nil"/>
              <w:left w:val="nil"/>
              <w:bottom w:val="single" w:sz="4" w:space="0" w:color="auto"/>
              <w:right w:val="single" w:sz="4" w:space="0" w:color="auto"/>
            </w:tcBorders>
            <w:shd w:val="clear" w:color="auto" w:fill="auto"/>
            <w:vAlign w:val="center"/>
            <w:hideMark/>
          </w:tcPr>
          <w:p w14:paraId="769CC3B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Министерство на регионалното </w:t>
            </w:r>
            <w:r w:rsidRPr="00761800">
              <w:rPr>
                <w:rFonts w:ascii="Times New Roman" w:hAnsi="Times New Roman"/>
                <w:sz w:val="20"/>
                <w:lang w:eastAsia="bg-BG"/>
              </w:rPr>
              <w:lastRenderedPageBreak/>
              <w:t>развитие и благоустройството</w:t>
            </w:r>
          </w:p>
        </w:tc>
      </w:tr>
      <w:tr w:rsidR="00761800" w:rsidRPr="00761800" w14:paraId="2C0E6CF4"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4B64DA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122</w:t>
            </w:r>
          </w:p>
        </w:tc>
        <w:tc>
          <w:tcPr>
            <w:tcW w:w="529" w:type="pct"/>
            <w:tcBorders>
              <w:top w:val="nil"/>
              <w:left w:val="nil"/>
              <w:bottom w:val="single" w:sz="4" w:space="0" w:color="auto"/>
              <w:right w:val="single" w:sz="4" w:space="0" w:color="auto"/>
            </w:tcBorders>
            <w:shd w:val="clear" w:color="auto" w:fill="auto"/>
            <w:noWrap/>
            <w:vAlign w:val="center"/>
            <w:hideMark/>
          </w:tcPr>
          <w:p w14:paraId="70CCF2B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NP-25.003-0081</w:t>
            </w:r>
          </w:p>
        </w:tc>
        <w:tc>
          <w:tcPr>
            <w:tcW w:w="855" w:type="pct"/>
            <w:tcBorders>
              <w:top w:val="nil"/>
              <w:left w:val="nil"/>
              <w:bottom w:val="single" w:sz="4" w:space="0" w:color="auto"/>
              <w:right w:val="single" w:sz="4" w:space="0" w:color="auto"/>
            </w:tcBorders>
            <w:shd w:val="clear" w:color="auto" w:fill="auto"/>
            <w:vAlign w:val="center"/>
            <w:hideMark/>
          </w:tcPr>
          <w:p w14:paraId="0188B03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Обследване на изпълненото строителство на изградена язовирна стена  Кюстендил и съоръжения към нея, находящи се в землищата на с. Богослов и с. Слокощица, община Кюстендил</w:t>
            </w:r>
          </w:p>
        </w:tc>
        <w:tc>
          <w:tcPr>
            <w:tcW w:w="436" w:type="pct"/>
            <w:tcBorders>
              <w:top w:val="nil"/>
              <w:left w:val="nil"/>
              <w:bottom w:val="single" w:sz="4" w:space="0" w:color="auto"/>
              <w:right w:val="single" w:sz="4" w:space="0" w:color="auto"/>
            </w:tcBorders>
            <w:shd w:val="clear" w:color="auto" w:fill="auto"/>
            <w:vAlign w:val="center"/>
            <w:hideMark/>
          </w:tcPr>
          <w:p w14:paraId="73DD4ED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153,4</w:t>
            </w:r>
          </w:p>
        </w:tc>
        <w:tc>
          <w:tcPr>
            <w:tcW w:w="436" w:type="pct"/>
            <w:tcBorders>
              <w:top w:val="nil"/>
              <w:left w:val="nil"/>
              <w:bottom w:val="single" w:sz="4" w:space="0" w:color="auto"/>
              <w:right w:val="single" w:sz="4" w:space="0" w:color="auto"/>
            </w:tcBorders>
            <w:shd w:val="clear" w:color="auto" w:fill="auto"/>
            <w:vAlign w:val="center"/>
            <w:hideMark/>
          </w:tcPr>
          <w:p w14:paraId="0C26DA5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4993E6A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4A041F0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Изготвен Доклад от обследване - 1</w:t>
            </w:r>
          </w:p>
        </w:tc>
        <w:tc>
          <w:tcPr>
            <w:tcW w:w="627" w:type="pct"/>
            <w:tcBorders>
              <w:top w:val="nil"/>
              <w:left w:val="nil"/>
              <w:bottom w:val="single" w:sz="4" w:space="0" w:color="auto"/>
              <w:right w:val="single" w:sz="4" w:space="0" w:color="auto"/>
            </w:tcBorders>
            <w:shd w:val="clear" w:color="auto" w:fill="auto"/>
            <w:vAlign w:val="center"/>
            <w:hideMark/>
          </w:tcPr>
          <w:p w14:paraId="1B266C1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7F830C84"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0768D0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123</w:t>
            </w:r>
          </w:p>
        </w:tc>
        <w:tc>
          <w:tcPr>
            <w:tcW w:w="529" w:type="pct"/>
            <w:tcBorders>
              <w:top w:val="nil"/>
              <w:left w:val="nil"/>
              <w:bottom w:val="single" w:sz="4" w:space="0" w:color="auto"/>
              <w:right w:val="single" w:sz="4" w:space="0" w:color="auto"/>
            </w:tcBorders>
            <w:shd w:val="clear" w:color="auto" w:fill="auto"/>
            <w:noWrap/>
            <w:vAlign w:val="center"/>
            <w:hideMark/>
          </w:tcPr>
          <w:p w14:paraId="1F0C3A5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NP-26.001-0019</w:t>
            </w:r>
          </w:p>
        </w:tc>
        <w:tc>
          <w:tcPr>
            <w:tcW w:w="855" w:type="pct"/>
            <w:tcBorders>
              <w:top w:val="nil"/>
              <w:left w:val="nil"/>
              <w:bottom w:val="single" w:sz="4" w:space="0" w:color="auto"/>
              <w:right w:val="single" w:sz="4" w:space="0" w:color="auto"/>
            </w:tcBorders>
            <w:shd w:val="clear" w:color="auto" w:fill="auto"/>
            <w:vAlign w:val="center"/>
            <w:hideMark/>
          </w:tcPr>
          <w:p w14:paraId="33266FA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Изготвяне на прединвестиционно проучване (ПИП) за обект „Водоснабдителна система Александър Стамболийски“</w:t>
            </w:r>
          </w:p>
        </w:tc>
        <w:tc>
          <w:tcPr>
            <w:tcW w:w="436" w:type="pct"/>
            <w:tcBorders>
              <w:top w:val="nil"/>
              <w:left w:val="nil"/>
              <w:bottom w:val="single" w:sz="4" w:space="0" w:color="auto"/>
              <w:right w:val="single" w:sz="4" w:space="0" w:color="auto"/>
            </w:tcBorders>
            <w:shd w:val="clear" w:color="auto" w:fill="auto"/>
            <w:vAlign w:val="center"/>
            <w:hideMark/>
          </w:tcPr>
          <w:p w14:paraId="64950F0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640,0</w:t>
            </w:r>
          </w:p>
        </w:tc>
        <w:tc>
          <w:tcPr>
            <w:tcW w:w="436" w:type="pct"/>
            <w:tcBorders>
              <w:top w:val="nil"/>
              <w:left w:val="nil"/>
              <w:bottom w:val="single" w:sz="4" w:space="0" w:color="auto"/>
              <w:right w:val="single" w:sz="4" w:space="0" w:color="auto"/>
            </w:tcBorders>
            <w:shd w:val="clear" w:color="auto" w:fill="auto"/>
            <w:vAlign w:val="center"/>
            <w:hideMark/>
          </w:tcPr>
          <w:p w14:paraId="456FACA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640,0</w:t>
            </w:r>
          </w:p>
        </w:tc>
        <w:tc>
          <w:tcPr>
            <w:tcW w:w="436" w:type="pct"/>
            <w:tcBorders>
              <w:top w:val="nil"/>
              <w:left w:val="nil"/>
              <w:bottom w:val="single" w:sz="4" w:space="0" w:color="auto"/>
              <w:right w:val="single" w:sz="4" w:space="0" w:color="auto"/>
            </w:tcBorders>
            <w:shd w:val="clear" w:color="auto" w:fill="auto"/>
            <w:vAlign w:val="center"/>
            <w:hideMark/>
          </w:tcPr>
          <w:p w14:paraId="683F8CA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690505B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Изготвено ПИП - прединвестиционно проучване - 1</w:t>
            </w:r>
          </w:p>
        </w:tc>
        <w:tc>
          <w:tcPr>
            <w:tcW w:w="627" w:type="pct"/>
            <w:tcBorders>
              <w:top w:val="nil"/>
              <w:left w:val="nil"/>
              <w:bottom w:val="single" w:sz="4" w:space="0" w:color="auto"/>
              <w:right w:val="single" w:sz="4" w:space="0" w:color="auto"/>
            </w:tcBorders>
            <w:shd w:val="clear" w:color="auto" w:fill="auto"/>
            <w:vAlign w:val="center"/>
            <w:hideMark/>
          </w:tcPr>
          <w:p w14:paraId="00BA20A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310CDA60"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184151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124</w:t>
            </w:r>
          </w:p>
        </w:tc>
        <w:tc>
          <w:tcPr>
            <w:tcW w:w="529" w:type="pct"/>
            <w:tcBorders>
              <w:top w:val="nil"/>
              <w:left w:val="nil"/>
              <w:bottom w:val="single" w:sz="4" w:space="0" w:color="auto"/>
              <w:right w:val="single" w:sz="4" w:space="0" w:color="auto"/>
            </w:tcBorders>
            <w:shd w:val="clear" w:color="auto" w:fill="auto"/>
            <w:noWrap/>
            <w:vAlign w:val="center"/>
            <w:hideMark/>
          </w:tcPr>
          <w:p w14:paraId="232A29B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NP-25.003-0078</w:t>
            </w:r>
          </w:p>
        </w:tc>
        <w:tc>
          <w:tcPr>
            <w:tcW w:w="855" w:type="pct"/>
            <w:tcBorders>
              <w:top w:val="nil"/>
              <w:left w:val="nil"/>
              <w:bottom w:val="single" w:sz="4" w:space="0" w:color="auto"/>
              <w:right w:val="single" w:sz="4" w:space="0" w:color="auto"/>
            </w:tcBorders>
            <w:shd w:val="clear" w:color="auto" w:fill="auto"/>
            <w:vAlign w:val="center"/>
            <w:hideMark/>
          </w:tcPr>
          <w:p w14:paraId="2390005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Подобряване на водоснабдяването на териториите на общините Севлиево, Габрово и Дряново: Язовир „Бяла“ - прединвестиционно проучване, изготвяне на техническа документация и строителство</w:t>
            </w:r>
          </w:p>
        </w:tc>
        <w:tc>
          <w:tcPr>
            <w:tcW w:w="436" w:type="pct"/>
            <w:tcBorders>
              <w:top w:val="nil"/>
              <w:left w:val="nil"/>
              <w:bottom w:val="single" w:sz="4" w:space="0" w:color="auto"/>
              <w:right w:val="single" w:sz="4" w:space="0" w:color="auto"/>
            </w:tcBorders>
            <w:shd w:val="clear" w:color="auto" w:fill="auto"/>
            <w:vAlign w:val="center"/>
            <w:hideMark/>
          </w:tcPr>
          <w:p w14:paraId="6669EAC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102,0</w:t>
            </w:r>
          </w:p>
        </w:tc>
        <w:tc>
          <w:tcPr>
            <w:tcW w:w="436" w:type="pct"/>
            <w:tcBorders>
              <w:top w:val="nil"/>
              <w:left w:val="nil"/>
              <w:bottom w:val="single" w:sz="4" w:space="0" w:color="auto"/>
              <w:right w:val="single" w:sz="4" w:space="0" w:color="auto"/>
            </w:tcBorders>
            <w:shd w:val="clear" w:color="auto" w:fill="auto"/>
            <w:vAlign w:val="center"/>
            <w:hideMark/>
          </w:tcPr>
          <w:p w14:paraId="0861116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EE5D4A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7 580,6</w:t>
            </w:r>
          </w:p>
        </w:tc>
        <w:tc>
          <w:tcPr>
            <w:tcW w:w="1524" w:type="pct"/>
            <w:tcBorders>
              <w:top w:val="nil"/>
              <w:left w:val="nil"/>
              <w:bottom w:val="single" w:sz="4" w:space="0" w:color="auto"/>
              <w:right w:val="single" w:sz="4" w:space="0" w:color="auto"/>
            </w:tcBorders>
            <w:shd w:val="clear" w:color="auto" w:fill="auto"/>
            <w:vAlign w:val="center"/>
            <w:hideMark/>
          </w:tcPr>
          <w:p w14:paraId="221C70B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Изготвено ПИП - прединвестиционно проучване - 1</w:t>
            </w:r>
            <w:r w:rsidRPr="00761800">
              <w:rPr>
                <w:rFonts w:ascii="Times New Roman" w:hAnsi="Times New Roman"/>
                <w:sz w:val="20"/>
                <w:lang w:eastAsia="bg-BG"/>
              </w:rPr>
              <w:br/>
              <w:t>2. Изготвен Инвестиционен проект  - 1</w:t>
            </w:r>
            <w:r w:rsidRPr="00761800">
              <w:rPr>
                <w:rFonts w:ascii="Times New Roman" w:hAnsi="Times New Roman"/>
                <w:sz w:val="20"/>
                <w:lang w:eastAsia="bg-BG"/>
              </w:rPr>
              <w:br/>
              <w:t>3. Физически напредък на обекта - 15 %.</w:t>
            </w:r>
          </w:p>
        </w:tc>
        <w:tc>
          <w:tcPr>
            <w:tcW w:w="627" w:type="pct"/>
            <w:tcBorders>
              <w:top w:val="nil"/>
              <w:left w:val="nil"/>
              <w:bottom w:val="single" w:sz="4" w:space="0" w:color="auto"/>
              <w:right w:val="single" w:sz="4" w:space="0" w:color="auto"/>
            </w:tcBorders>
            <w:shd w:val="clear" w:color="auto" w:fill="auto"/>
            <w:vAlign w:val="center"/>
            <w:hideMark/>
          </w:tcPr>
          <w:p w14:paraId="381C4EE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37A4489"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5226D8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125</w:t>
            </w:r>
          </w:p>
        </w:tc>
        <w:tc>
          <w:tcPr>
            <w:tcW w:w="529" w:type="pct"/>
            <w:tcBorders>
              <w:top w:val="nil"/>
              <w:left w:val="nil"/>
              <w:bottom w:val="single" w:sz="4" w:space="0" w:color="auto"/>
              <w:right w:val="single" w:sz="4" w:space="0" w:color="auto"/>
            </w:tcBorders>
            <w:shd w:val="clear" w:color="auto" w:fill="auto"/>
            <w:noWrap/>
            <w:vAlign w:val="center"/>
            <w:hideMark/>
          </w:tcPr>
          <w:p w14:paraId="24D0363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NP-25.003-0080</w:t>
            </w:r>
          </w:p>
        </w:tc>
        <w:tc>
          <w:tcPr>
            <w:tcW w:w="855" w:type="pct"/>
            <w:tcBorders>
              <w:top w:val="nil"/>
              <w:left w:val="nil"/>
              <w:bottom w:val="single" w:sz="4" w:space="0" w:color="auto"/>
              <w:right w:val="single" w:sz="4" w:space="0" w:color="auto"/>
            </w:tcBorders>
            <w:shd w:val="clear" w:color="auto" w:fill="auto"/>
            <w:vAlign w:val="center"/>
            <w:hideMark/>
          </w:tcPr>
          <w:p w14:paraId="62BCF74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Хидровъзел „Христо Смирненски“ - Съставяне на технически паспорт на съоръженията, проектиране</w:t>
            </w:r>
          </w:p>
        </w:tc>
        <w:tc>
          <w:tcPr>
            <w:tcW w:w="436" w:type="pct"/>
            <w:tcBorders>
              <w:top w:val="nil"/>
              <w:left w:val="nil"/>
              <w:bottom w:val="single" w:sz="4" w:space="0" w:color="auto"/>
              <w:right w:val="single" w:sz="4" w:space="0" w:color="auto"/>
            </w:tcBorders>
            <w:shd w:val="clear" w:color="auto" w:fill="auto"/>
            <w:vAlign w:val="center"/>
            <w:hideMark/>
          </w:tcPr>
          <w:p w14:paraId="066859E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120,0</w:t>
            </w:r>
          </w:p>
        </w:tc>
        <w:tc>
          <w:tcPr>
            <w:tcW w:w="436" w:type="pct"/>
            <w:tcBorders>
              <w:top w:val="nil"/>
              <w:left w:val="nil"/>
              <w:bottom w:val="single" w:sz="4" w:space="0" w:color="auto"/>
              <w:right w:val="single" w:sz="4" w:space="0" w:color="auto"/>
            </w:tcBorders>
            <w:shd w:val="clear" w:color="auto" w:fill="auto"/>
            <w:vAlign w:val="center"/>
            <w:hideMark/>
          </w:tcPr>
          <w:p w14:paraId="6C4EDD3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64,0</w:t>
            </w:r>
          </w:p>
        </w:tc>
        <w:tc>
          <w:tcPr>
            <w:tcW w:w="436" w:type="pct"/>
            <w:tcBorders>
              <w:top w:val="nil"/>
              <w:left w:val="nil"/>
              <w:bottom w:val="single" w:sz="4" w:space="0" w:color="auto"/>
              <w:right w:val="single" w:sz="4" w:space="0" w:color="auto"/>
            </w:tcBorders>
            <w:shd w:val="clear" w:color="auto" w:fill="auto"/>
            <w:vAlign w:val="center"/>
            <w:hideMark/>
          </w:tcPr>
          <w:p w14:paraId="2888A9E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0,0</w:t>
            </w:r>
          </w:p>
        </w:tc>
        <w:tc>
          <w:tcPr>
            <w:tcW w:w="1524" w:type="pct"/>
            <w:tcBorders>
              <w:top w:val="nil"/>
              <w:left w:val="nil"/>
              <w:bottom w:val="single" w:sz="4" w:space="0" w:color="auto"/>
              <w:right w:val="single" w:sz="4" w:space="0" w:color="auto"/>
            </w:tcBorders>
            <w:shd w:val="clear" w:color="auto" w:fill="auto"/>
            <w:vAlign w:val="center"/>
            <w:hideMark/>
          </w:tcPr>
          <w:p w14:paraId="1DEB85C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Технически паспорт - 1</w:t>
            </w:r>
          </w:p>
        </w:tc>
        <w:tc>
          <w:tcPr>
            <w:tcW w:w="627" w:type="pct"/>
            <w:tcBorders>
              <w:top w:val="nil"/>
              <w:left w:val="nil"/>
              <w:bottom w:val="single" w:sz="4" w:space="0" w:color="auto"/>
              <w:right w:val="single" w:sz="4" w:space="0" w:color="auto"/>
            </w:tcBorders>
            <w:shd w:val="clear" w:color="auto" w:fill="auto"/>
            <w:vAlign w:val="center"/>
            <w:hideMark/>
          </w:tcPr>
          <w:p w14:paraId="6F78AC6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6D48318"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4A3E4E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126</w:t>
            </w:r>
          </w:p>
        </w:tc>
        <w:tc>
          <w:tcPr>
            <w:tcW w:w="529" w:type="pct"/>
            <w:tcBorders>
              <w:top w:val="nil"/>
              <w:left w:val="nil"/>
              <w:bottom w:val="single" w:sz="4" w:space="0" w:color="auto"/>
              <w:right w:val="single" w:sz="4" w:space="0" w:color="auto"/>
            </w:tcBorders>
            <w:shd w:val="clear" w:color="auto" w:fill="auto"/>
            <w:noWrap/>
            <w:vAlign w:val="center"/>
            <w:hideMark/>
          </w:tcPr>
          <w:p w14:paraId="1E91676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NP-26.001-0020</w:t>
            </w:r>
          </w:p>
        </w:tc>
        <w:tc>
          <w:tcPr>
            <w:tcW w:w="855" w:type="pct"/>
            <w:tcBorders>
              <w:top w:val="nil"/>
              <w:left w:val="nil"/>
              <w:bottom w:val="single" w:sz="4" w:space="0" w:color="auto"/>
              <w:right w:val="single" w:sz="4" w:space="0" w:color="auto"/>
            </w:tcBorders>
            <w:shd w:val="clear" w:color="auto" w:fill="auto"/>
            <w:vAlign w:val="center"/>
            <w:hideMark/>
          </w:tcPr>
          <w:p w14:paraId="4B38D36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Изготвяне на прединвестиционно проучване (ПИП) за обект „Водоснабдителна система Луда Яна“</w:t>
            </w:r>
          </w:p>
        </w:tc>
        <w:tc>
          <w:tcPr>
            <w:tcW w:w="436" w:type="pct"/>
            <w:tcBorders>
              <w:top w:val="nil"/>
              <w:left w:val="nil"/>
              <w:bottom w:val="single" w:sz="4" w:space="0" w:color="auto"/>
              <w:right w:val="single" w:sz="4" w:space="0" w:color="auto"/>
            </w:tcBorders>
            <w:shd w:val="clear" w:color="auto" w:fill="auto"/>
            <w:vAlign w:val="center"/>
            <w:hideMark/>
          </w:tcPr>
          <w:p w14:paraId="5E13E3D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444,0</w:t>
            </w:r>
          </w:p>
        </w:tc>
        <w:tc>
          <w:tcPr>
            <w:tcW w:w="436" w:type="pct"/>
            <w:tcBorders>
              <w:top w:val="nil"/>
              <w:left w:val="nil"/>
              <w:bottom w:val="single" w:sz="4" w:space="0" w:color="auto"/>
              <w:right w:val="single" w:sz="4" w:space="0" w:color="auto"/>
            </w:tcBorders>
            <w:shd w:val="clear" w:color="auto" w:fill="auto"/>
            <w:vAlign w:val="center"/>
            <w:hideMark/>
          </w:tcPr>
          <w:p w14:paraId="3C18E13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600,0</w:t>
            </w:r>
          </w:p>
        </w:tc>
        <w:tc>
          <w:tcPr>
            <w:tcW w:w="436" w:type="pct"/>
            <w:tcBorders>
              <w:top w:val="nil"/>
              <w:left w:val="nil"/>
              <w:bottom w:val="single" w:sz="4" w:space="0" w:color="auto"/>
              <w:right w:val="single" w:sz="4" w:space="0" w:color="auto"/>
            </w:tcBorders>
            <w:shd w:val="clear" w:color="auto" w:fill="auto"/>
            <w:vAlign w:val="center"/>
            <w:hideMark/>
          </w:tcPr>
          <w:p w14:paraId="2184A53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78C4001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Изготвено ПИП - Прединвестиционно проучване - бр. 1</w:t>
            </w:r>
          </w:p>
        </w:tc>
        <w:tc>
          <w:tcPr>
            <w:tcW w:w="627" w:type="pct"/>
            <w:tcBorders>
              <w:top w:val="nil"/>
              <w:left w:val="nil"/>
              <w:bottom w:val="single" w:sz="4" w:space="0" w:color="auto"/>
              <w:right w:val="single" w:sz="4" w:space="0" w:color="auto"/>
            </w:tcBorders>
            <w:shd w:val="clear" w:color="auto" w:fill="auto"/>
            <w:vAlign w:val="center"/>
            <w:hideMark/>
          </w:tcPr>
          <w:p w14:paraId="1244073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6276E217"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1B6149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127</w:t>
            </w:r>
          </w:p>
        </w:tc>
        <w:tc>
          <w:tcPr>
            <w:tcW w:w="529" w:type="pct"/>
            <w:tcBorders>
              <w:top w:val="nil"/>
              <w:left w:val="nil"/>
              <w:bottom w:val="single" w:sz="4" w:space="0" w:color="auto"/>
              <w:right w:val="single" w:sz="4" w:space="0" w:color="auto"/>
            </w:tcBorders>
            <w:shd w:val="clear" w:color="auto" w:fill="auto"/>
            <w:noWrap/>
            <w:vAlign w:val="center"/>
            <w:hideMark/>
          </w:tcPr>
          <w:p w14:paraId="3140119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NP-26.001-0021</w:t>
            </w:r>
          </w:p>
        </w:tc>
        <w:tc>
          <w:tcPr>
            <w:tcW w:w="855" w:type="pct"/>
            <w:tcBorders>
              <w:top w:val="nil"/>
              <w:left w:val="nil"/>
              <w:bottom w:val="single" w:sz="4" w:space="0" w:color="auto"/>
              <w:right w:val="single" w:sz="4" w:space="0" w:color="auto"/>
            </w:tcBorders>
            <w:shd w:val="clear" w:color="auto" w:fill="auto"/>
            <w:vAlign w:val="center"/>
            <w:hideMark/>
          </w:tcPr>
          <w:p w14:paraId="01F06F1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Проектиране и ПУП-ПП за обект: Реконструкция на водопровод - подмяна или рехабилитация на стоманени тръби Ф500 в обхвата на съществуващ обект водоснабдяване на група Мадан</w:t>
            </w:r>
          </w:p>
        </w:tc>
        <w:tc>
          <w:tcPr>
            <w:tcW w:w="436" w:type="pct"/>
            <w:tcBorders>
              <w:top w:val="nil"/>
              <w:left w:val="nil"/>
              <w:bottom w:val="single" w:sz="4" w:space="0" w:color="auto"/>
              <w:right w:val="single" w:sz="4" w:space="0" w:color="auto"/>
            </w:tcBorders>
            <w:shd w:val="clear" w:color="auto" w:fill="auto"/>
            <w:vAlign w:val="center"/>
            <w:hideMark/>
          </w:tcPr>
          <w:p w14:paraId="7FE2313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320,0</w:t>
            </w:r>
          </w:p>
        </w:tc>
        <w:tc>
          <w:tcPr>
            <w:tcW w:w="436" w:type="pct"/>
            <w:tcBorders>
              <w:top w:val="nil"/>
              <w:left w:val="nil"/>
              <w:bottom w:val="single" w:sz="4" w:space="0" w:color="auto"/>
              <w:right w:val="single" w:sz="4" w:space="0" w:color="auto"/>
            </w:tcBorders>
            <w:shd w:val="clear" w:color="auto" w:fill="auto"/>
            <w:vAlign w:val="center"/>
            <w:hideMark/>
          </w:tcPr>
          <w:p w14:paraId="238650B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195,3</w:t>
            </w:r>
          </w:p>
        </w:tc>
        <w:tc>
          <w:tcPr>
            <w:tcW w:w="436" w:type="pct"/>
            <w:tcBorders>
              <w:top w:val="nil"/>
              <w:left w:val="nil"/>
              <w:bottom w:val="single" w:sz="4" w:space="0" w:color="auto"/>
              <w:right w:val="single" w:sz="4" w:space="0" w:color="auto"/>
            </w:tcBorders>
            <w:shd w:val="clear" w:color="auto" w:fill="auto"/>
            <w:vAlign w:val="center"/>
            <w:hideMark/>
          </w:tcPr>
          <w:p w14:paraId="72D254B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0A08D61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Изготвен Инвестиционен проект - бр. 1</w:t>
            </w:r>
            <w:r w:rsidRPr="00761800">
              <w:rPr>
                <w:rFonts w:ascii="Times New Roman" w:hAnsi="Times New Roman"/>
                <w:sz w:val="20"/>
                <w:lang w:eastAsia="bg-BG"/>
              </w:rPr>
              <w:br/>
              <w:t>2. Изготвен ПУП - проект за подробен устройствен план - бр. 1</w:t>
            </w:r>
          </w:p>
        </w:tc>
        <w:tc>
          <w:tcPr>
            <w:tcW w:w="627" w:type="pct"/>
            <w:tcBorders>
              <w:top w:val="nil"/>
              <w:left w:val="nil"/>
              <w:bottom w:val="single" w:sz="4" w:space="0" w:color="auto"/>
              <w:right w:val="single" w:sz="4" w:space="0" w:color="auto"/>
            </w:tcBorders>
            <w:shd w:val="clear" w:color="auto" w:fill="auto"/>
            <w:vAlign w:val="center"/>
            <w:hideMark/>
          </w:tcPr>
          <w:p w14:paraId="1009C92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A052629"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5CC6F0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128</w:t>
            </w:r>
          </w:p>
        </w:tc>
        <w:tc>
          <w:tcPr>
            <w:tcW w:w="529" w:type="pct"/>
            <w:tcBorders>
              <w:top w:val="nil"/>
              <w:left w:val="nil"/>
              <w:bottom w:val="single" w:sz="4" w:space="0" w:color="auto"/>
              <w:right w:val="single" w:sz="4" w:space="0" w:color="auto"/>
            </w:tcBorders>
            <w:shd w:val="clear" w:color="auto" w:fill="auto"/>
            <w:noWrap/>
            <w:vAlign w:val="center"/>
            <w:hideMark/>
          </w:tcPr>
          <w:p w14:paraId="0ECC8E9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NP-26.001-0022</w:t>
            </w:r>
          </w:p>
        </w:tc>
        <w:tc>
          <w:tcPr>
            <w:tcW w:w="855" w:type="pct"/>
            <w:tcBorders>
              <w:top w:val="nil"/>
              <w:left w:val="nil"/>
              <w:bottom w:val="single" w:sz="4" w:space="0" w:color="auto"/>
              <w:right w:val="single" w:sz="4" w:space="0" w:color="auto"/>
            </w:tcBorders>
            <w:shd w:val="clear" w:color="auto" w:fill="auto"/>
            <w:vAlign w:val="center"/>
            <w:hideMark/>
          </w:tcPr>
          <w:p w14:paraId="5886833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Увеличаване на капацитета на водоснабдителна система Девненски извори</w:t>
            </w:r>
          </w:p>
        </w:tc>
        <w:tc>
          <w:tcPr>
            <w:tcW w:w="436" w:type="pct"/>
            <w:tcBorders>
              <w:top w:val="nil"/>
              <w:left w:val="nil"/>
              <w:bottom w:val="single" w:sz="4" w:space="0" w:color="auto"/>
              <w:right w:val="single" w:sz="4" w:space="0" w:color="auto"/>
            </w:tcBorders>
            <w:shd w:val="clear" w:color="auto" w:fill="auto"/>
            <w:vAlign w:val="center"/>
            <w:hideMark/>
          </w:tcPr>
          <w:p w14:paraId="3B65428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300,0</w:t>
            </w:r>
          </w:p>
        </w:tc>
        <w:tc>
          <w:tcPr>
            <w:tcW w:w="436" w:type="pct"/>
            <w:tcBorders>
              <w:top w:val="nil"/>
              <w:left w:val="nil"/>
              <w:bottom w:val="single" w:sz="4" w:space="0" w:color="auto"/>
              <w:right w:val="single" w:sz="4" w:space="0" w:color="auto"/>
            </w:tcBorders>
            <w:shd w:val="clear" w:color="auto" w:fill="auto"/>
            <w:vAlign w:val="center"/>
            <w:hideMark/>
          </w:tcPr>
          <w:p w14:paraId="36B5210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8 266,1</w:t>
            </w:r>
          </w:p>
        </w:tc>
        <w:tc>
          <w:tcPr>
            <w:tcW w:w="436" w:type="pct"/>
            <w:tcBorders>
              <w:top w:val="nil"/>
              <w:left w:val="nil"/>
              <w:bottom w:val="single" w:sz="4" w:space="0" w:color="auto"/>
              <w:right w:val="single" w:sz="4" w:space="0" w:color="auto"/>
            </w:tcBorders>
            <w:shd w:val="clear" w:color="auto" w:fill="auto"/>
            <w:vAlign w:val="center"/>
            <w:hideMark/>
          </w:tcPr>
          <w:p w14:paraId="5DC2204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5 000,0</w:t>
            </w:r>
          </w:p>
        </w:tc>
        <w:tc>
          <w:tcPr>
            <w:tcW w:w="1524" w:type="pct"/>
            <w:tcBorders>
              <w:top w:val="nil"/>
              <w:left w:val="nil"/>
              <w:bottom w:val="single" w:sz="4" w:space="0" w:color="auto"/>
              <w:right w:val="single" w:sz="4" w:space="0" w:color="auto"/>
            </w:tcBorders>
            <w:shd w:val="clear" w:color="auto" w:fill="auto"/>
            <w:vAlign w:val="center"/>
            <w:hideMark/>
          </w:tcPr>
          <w:p w14:paraId="7B5C355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Изготвен Инвестиционен проект  - 1</w:t>
            </w:r>
            <w:r w:rsidRPr="00761800">
              <w:rPr>
                <w:rFonts w:ascii="Times New Roman" w:hAnsi="Times New Roman"/>
                <w:sz w:val="20"/>
                <w:lang w:eastAsia="bg-BG"/>
              </w:rPr>
              <w:br/>
              <w:t>2. Физически напредък на обекта - 50 %</w:t>
            </w:r>
          </w:p>
        </w:tc>
        <w:tc>
          <w:tcPr>
            <w:tcW w:w="627" w:type="pct"/>
            <w:tcBorders>
              <w:top w:val="nil"/>
              <w:left w:val="nil"/>
              <w:bottom w:val="single" w:sz="4" w:space="0" w:color="auto"/>
              <w:right w:val="single" w:sz="4" w:space="0" w:color="auto"/>
            </w:tcBorders>
            <w:shd w:val="clear" w:color="auto" w:fill="auto"/>
            <w:vAlign w:val="center"/>
            <w:hideMark/>
          </w:tcPr>
          <w:p w14:paraId="1B77B27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55374754"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295EAE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129</w:t>
            </w:r>
          </w:p>
        </w:tc>
        <w:tc>
          <w:tcPr>
            <w:tcW w:w="529" w:type="pct"/>
            <w:tcBorders>
              <w:top w:val="nil"/>
              <w:left w:val="nil"/>
              <w:bottom w:val="single" w:sz="4" w:space="0" w:color="auto"/>
              <w:right w:val="single" w:sz="4" w:space="0" w:color="auto"/>
            </w:tcBorders>
            <w:shd w:val="clear" w:color="auto" w:fill="auto"/>
            <w:noWrap/>
            <w:vAlign w:val="center"/>
            <w:hideMark/>
          </w:tcPr>
          <w:p w14:paraId="1C6285D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NP-26.001-0023</w:t>
            </w:r>
          </w:p>
        </w:tc>
        <w:tc>
          <w:tcPr>
            <w:tcW w:w="855" w:type="pct"/>
            <w:tcBorders>
              <w:top w:val="nil"/>
              <w:left w:val="nil"/>
              <w:bottom w:val="single" w:sz="4" w:space="0" w:color="auto"/>
              <w:right w:val="single" w:sz="4" w:space="0" w:color="auto"/>
            </w:tcBorders>
            <w:shd w:val="clear" w:color="auto" w:fill="auto"/>
            <w:vAlign w:val="center"/>
            <w:hideMark/>
          </w:tcPr>
          <w:p w14:paraId="0AB5CA6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Реконструкция на деривация за гр. Велико Търново - РШ Пчелина - РШ Ивайло - въздушно преминаване над р. Янтра</w:t>
            </w:r>
          </w:p>
        </w:tc>
        <w:tc>
          <w:tcPr>
            <w:tcW w:w="436" w:type="pct"/>
            <w:tcBorders>
              <w:top w:val="nil"/>
              <w:left w:val="nil"/>
              <w:bottom w:val="single" w:sz="4" w:space="0" w:color="auto"/>
              <w:right w:val="single" w:sz="4" w:space="0" w:color="auto"/>
            </w:tcBorders>
            <w:shd w:val="clear" w:color="auto" w:fill="auto"/>
            <w:vAlign w:val="center"/>
            <w:hideMark/>
          </w:tcPr>
          <w:p w14:paraId="7B235CF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250,0</w:t>
            </w:r>
          </w:p>
        </w:tc>
        <w:tc>
          <w:tcPr>
            <w:tcW w:w="436" w:type="pct"/>
            <w:tcBorders>
              <w:top w:val="nil"/>
              <w:left w:val="nil"/>
              <w:bottom w:val="single" w:sz="4" w:space="0" w:color="auto"/>
              <w:right w:val="single" w:sz="4" w:space="0" w:color="auto"/>
            </w:tcBorders>
            <w:shd w:val="clear" w:color="auto" w:fill="auto"/>
            <w:vAlign w:val="center"/>
            <w:hideMark/>
          </w:tcPr>
          <w:p w14:paraId="16B321E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275,0</w:t>
            </w:r>
          </w:p>
        </w:tc>
        <w:tc>
          <w:tcPr>
            <w:tcW w:w="436" w:type="pct"/>
            <w:tcBorders>
              <w:top w:val="nil"/>
              <w:left w:val="nil"/>
              <w:bottom w:val="single" w:sz="4" w:space="0" w:color="auto"/>
              <w:right w:val="single" w:sz="4" w:space="0" w:color="auto"/>
            </w:tcBorders>
            <w:shd w:val="clear" w:color="auto" w:fill="auto"/>
            <w:vAlign w:val="center"/>
            <w:hideMark/>
          </w:tcPr>
          <w:p w14:paraId="7127E27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0,0</w:t>
            </w:r>
          </w:p>
        </w:tc>
        <w:tc>
          <w:tcPr>
            <w:tcW w:w="1524" w:type="pct"/>
            <w:tcBorders>
              <w:top w:val="nil"/>
              <w:left w:val="nil"/>
              <w:bottom w:val="single" w:sz="4" w:space="0" w:color="auto"/>
              <w:right w:val="single" w:sz="4" w:space="0" w:color="auto"/>
            </w:tcBorders>
            <w:shd w:val="clear" w:color="auto" w:fill="auto"/>
            <w:vAlign w:val="center"/>
            <w:hideMark/>
          </w:tcPr>
          <w:p w14:paraId="2229049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Изготвен Инвестиционен проект  - бр. 1</w:t>
            </w:r>
          </w:p>
        </w:tc>
        <w:tc>
          <w:tcPr>
            <w:tcW w:w="627" w:type="pct"/>
            <w:tcBorders>
              <w:top w:val="nil"/>
              <w:left w:val="nil"/>
              <w:bottom w:val="single" w:sz="4" w:space="0" w:color="auto"/>
              <w:right w:val="single" w:sz="4" w:space="0" w:color="auto"/>
            </w:tcBorders>
            <w:shd w:val="clear" w:color="auto" w:fill="auto"/>
            <w:vAlign w:val="center"/>
            <w:hideMark/>
          </w:tcPr>
          <w:p w14:paraId="1AA208C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0BF6E157"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4B8529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130</w:t>
            </w:r>
          </w:p>
        </w:tc>
        <w:tc>
          <w:tcPr>
            <w:tcW w:w="529" w:type="pct"/>
            <w:tcBorders>
              <w:top w:val="nil"/>
              <w:left w:val="nil"/>
              <w:bottom w:val="single" w:sz="4" w:space="0" w:color="auto"/>
              <w:right w:val="single" w:sz="4" w:space="0" w:color="auto"/>
            </w:tcBorders>
            <w:shd w:val="clear" w:color="auto" w:fill="auto"/>
            <w:noWrap/>
            <w:vAlign w:val="center"/>
            <w:hideMark/>
          </w:tcPr>
          <w:p w14:paraId="6E44FBA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NP-26.001-0024</w:t>
            </w:r>
          </w:p>
        </w:tc>
        <w:tc>
          <w:tcPr>
            <w:tcW w:w="855" w:type="pct"/>
            <w:tcBorders>
              <w:top w:val="nil"/>
              <w:left w:val="nil"/>
              <w:bottom w:val="single" w:sz="4" w:space="0" w:color="auto"/>
              <w:right w:val="single" w:sz="4" w:space="0" w:color="auto"/>
            </w:tcBorders>
            <w:shd w:val="clear" w:color="auto" w:fill="auto"/>
            <w:vAlign w:val="center"/>
            <w:hideMark/>
          </w:tcPr>
          <w:p w14:paraId="6776906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Реконструкция на довеждащ водопровод до ПСПВ „Стоките“ и източен водопроводен клон за питейна вода. Подобект: Източен водопровод до ПСПВ „Стоките“ - ЕТАП 2, Водопровод от т.1 до т.293</w:t>
            </w:r>
          </w:p>
        </w:tc>
        <w:tc>
          <w:tcPr>
            <w:tcW w:w="436" w:type="pct"/>
            <w:tcBorders>
              <w:top w:val="nil"/>
              <w:left w:val="nil"/>
              <w:bottom w:val="single" w:sz="4" w:space="0" w:color="auto"/>
              <w:right w:val="single" w:sz="4" w:space="0" w:color="auto"/>
            </w:tcBorders>
            <w:shd w:val="clear" w:color="auto" w:fill="auto"/>
            <w:vAlign w:val="center"/>
            <w:hideMark/>
          </w:tcPr>
          <w:p w14:paraId="4A8F9B4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1 178,6</w:t>
            </w:r>
          </w:p>
        </w:tc>
        <w:tc>
          <w:tcPr>
            <w:tcW w:w="436" w:type="pct"/>
            <w:tcBorders>
              <w:top w:val="nil"/>
              <w:left w:val="nil"/>
              <w:bottom w:val="single" w:sz="4" w:space="0" w:color="auto"/>
              <w:right w:val="single" w:sz="4" w:space="0" w:color="auto"/>
            </w:tcBorders>
            <w:shd w:val="clear" w:color="auto" w:fill="auto"/>
            <w:vAlign w:val="center"/>
            <w:hideMark/>
          </w:tcPr>
          <w:p w14:paraId="02460D4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3 300,0</w:t>
            </w:r>
          </w:p>
        </w:tc>
        <w:tc>
          <w:tcPr>
            <w:tcW w:w="436" w:type="pct"/>
            <w:tcBorders>
              <w:top w:val="nil"/>
              <w:left w:val="nil"/>
              <w:bottom w:val="single" w:sz="4" w:space="0" w:color="auto"/>
              <w:right w:val="single" w:sz="4" w:space="0" w:color="auto"/>
            </w:tcBorders>
            <w:shd w:val="clear" w:color="auto" w:fill="auto"/>
            <w:vAlign w:val="center"/>
            <w:hideMark/>
          </w:tcPr>
          <w:p w14:paraId="54772B2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3 091,4</w:t>
            </w:r>
          </w:p>
        </w:tc>
        <w:tc>
          <w:tcPr>
            <w:tcW w:w="1524" w:type="pct"/>
            <w:tcBorders>
              <w:top w:val="nil"/>
              <w:left w:val="nil"/>
              <w:bottom w:val="single" w:sz="4" w:space="0" w:color="auto"/>
              <w:right w:val="single" w:sz="4" w:space="0" w:color="auto"/>
            </w:tcBorders>
            <w:shd w:val="clear" w:color="auto" w:fill="auto"/>
            <w:vAlign w:val="center"/>
            <w:hideMark/>
          </w:tcPr>
          <w:p w14:paraId="7ABEC43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Физически напредък на обекта - 100 %</w:t>
            </w:r>
          </w:p>
        </w:tc>
        <w:tc>
          <w:tcPr>
            <w:tcW w:w="627" w:type="pct"/>
            <w:tcBorders>
              <w:top w:val="nil"/>
              <w:left w:val="nil"/>
              <w:bottom w:val="single" w:sz="4" w:space="0" w:color="auto"/>
              <w:right w:val="single" w:sz="4" w:space="0" w:color="auto"/>
            </w:tcBorders>
            <w:shd w:val="clear" w:color="auto" w:fill="auto"/>
            <w:vAlign w:val="center"/>
            <w:hideMark/>
          </w:tcPr>
          <w:p w14:paraId="037A756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49F0C1C6"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92F6FD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131</w:t>
            </w:r>
          </w:p>
        </w:tc>
        <w:tc>
          <w:tcPr>
            <w:tcW w:w="529" w:type="pct"/>
            <w:tcBorders>
              <w:top w:val="nil"/>
              <w:left w:val="nil"/>
              <w:bottom w:val="single" w:sz="4" w:space="0" w:color="auto"/>
              <w:right w:val="single" w:sz="4" w:space="0" w:color="auto"/>
            </w:tcBorders>
            <w:shd w:val="clear" w:color="auto" w:fill="auto"/>
            <w:noWrap/>
            <w:vAlign w:val="center"/>
            <w:hideMark/>
          </w:tcPr>
          <w:p w14:paraId="4BE17B0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NP-26.001-0025</w:t>
            </w:r>
          </w:p>
        </w:tc>
        <w:tc>
          <w:tcPr>
            <w:tcW w:w="855" w:type="pct"/>
            <w:tcBorders>
              <w:top w:val="nil"/>
              <w:left w:val="nil"/>
              <w:bottom w:val="single" w:sz="4" w:space="0" w:color="auto"/>
              <w:right w:val="single" w:sz="4" w:space="0" w:color="auto"/>
            </w:tcBorders>
            <w:shd w:val="clear" w:color="auto" w:fill="auto"/>
            <w:vAlign w:val="center"/>
            <w:hideMark/>
          </w:tcPr>
          <w:p w14:paraId="24393D5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Доизграждане на язовир „Нейковци“ и ПСПВ</w:t>
            </w:r>
          </w:p>
        </w:tc>
        <w:tc>
          <w:tcPr>
            <w:tcW w:w="436" w:type="pct"/>
            <w:tcBorders>
              <w:top w:val="nil"/>
              <w:left w:val="nil"/>
              <w:bottom w:val="single" w:sz="4" w:space="0" w:color="auto"/>
              <w:right w:val="single" w:sz="4" w:space="0" w:color="auto"/>
            </w:tcBorders>
            <w:shd w:val="clear" w:color="auto" w:fill="auto"/>
            <w:vAlign w:val="center"/>
            <w:hideMark/>
          </w:tcPr>
          <w:p w14:paraId="42F31A3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436" w:type="pct"/>
            <w:tcBorders>
              <w:top w:val="nil"/>
              <w:left w:val="nil"/>
              <w:bottom w:val="single" w:sz="4" w:space="0" w:color="auto"/>
              <w:right w:val="single" w:sz="4" w:space="0" w:color="auto"/>
            </w:tcBorders>
            <w:shd w:val="clear" w:color="auto" w:fill="auto"/>
            <w:vAlign w:val="center"/>
            <w:hideMark/>
          </w:tcPr>
          <w:p w14:paraId="03422B4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1C83984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7F752F2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Изготвен инвестиционен проект (актуализация) - бр. 1</w:t>
            </w:r>
          </w:p>
        </w:tc>
        <w:tc>
          <w:tcPr>
            <w:tcW w:w="627" w:type="pct"/>
            <w:tcBorders>
              <w:top w:val="nil"/>
              <w:left w:val="nil"/>
              <w:bottom w:val="single" w:sz="4" w:space="0" w:color="auto"/>
              <w:right w:val="single" w:sz="4" w:space="0" w:color="auto"/>
            </w:tcBorders>
            <w:shd w:val="clear" w:color="auto" w:fill="auto"/>
            <w:vAlign w:val="center"/>
            <w:hideMark/>
          </w:tcPr>
          <w:p w14:paraId="4D9E38A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r>
      <w:tr w:rsidR="00761800" w:rsidRPr="00761800" w14:paraId="47FC631B"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446B7F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132</w:t>
            </w:r>
          </w:p>
        </w:tc>
        <w:tc>
          <w:tcPr>
            <w:tcW w:w="529" w:type="pct"/>
            <w:tcBorders>
              <w:top w:val="nil"/>
              <w:left w:val="nil"/>
              <w:bottom w:val="single" w:sz="4" w:space="0" w:color="auto"/>
              <w:right w:val="single" w:sz="4" w:space="0" w:color="auto"/>
            </w:tcBorders>
            <w:shd w:val="clear" w:color="auto" w:fill="auto"/>
            <w:vAlign w:val="center"/>
            <w:hideMark/>
          </w:tcPr>
          <w:p w14:paraId="180CACA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NP-25.003-0113</w:t>
            </w:r>
          </w:p>
        </w:tc>
        <w:tc>
          <w:tcPr>
            <w:tcW w:w="855" w:type="pct"/>
            <w:tcBorders>
              <w:top w:val="nil"/>
              <w:left w:val="nil"/>
              <w:bottom w:val="single" w:sz="4" w:space="0" w:color="auto"/>
              <w:right w:val="single" w:sz="4" w:space="0" w:color="auto"/>
            </w:tcBorders>
            <w:shd w:val="clear" w:color="auto" w:fill="auto"/>
            <w:vAlign w:val="center"/>
            <w:hideMark/>
          </w:tcPr>
          <w:p w14:paraId="3947D99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Подмяна на метални стълби и пасарелки на язовир „Тополница“.</w:t>
            </w:r>
          </w:p>
        </w:tc>
        <w:tc>
          <w:tcPr>
            <w:tcW w:w="436" w:type="pct"/>
            <w:tcBorders>
              <w:top w:val="nil"/>
              <w:left w:val="nil"/>
              <w:bottom w:val="single" w:sz="4" w:space="0" w:color="auto"/>
              <w:right w:val="single" w:sz="4" w:space="0" w:color="auto"/>
            </w:tcBorders>
            <w:shd w:val="clear" w:color="auto" w:fill="auto"/>
            <w:vAlign w:val="center"/>
            <w:hideMark/>
          </w:tcPr>
          <w:p w14:paraId="1473FAD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588,8</w:t>
            </w:r>
          </w:p>
        </w:tc>
        <w:tc>
          <w:tcPr>
            <w:tcW w:w="436" w:type="pct"/>
            <w:tcBorders>
              <w:top w:val="nil"/>
              <w:left w:val="nil"/>
              <w:bottom w:val="single" w:sz="4" w:space="0" w:color="auto"/>
              <w:right w:val="single" w:sz="4" w:space="0" w:color="auto"/>
            </w:tcBorders>
            <w:shd w:val="clear" w:color="auto" w:fill="auto"/>
            <w:vAlign w:val="center"/>
            <w:hideMark/>
          </w:tcPr>
          <w:p w14:paraId="406A89F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523B47E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4742693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Подобряване безопасното обслужване на съоръженията в язовирната стена - 100</w:t>
            </w:r>
          </w:p>
        </w:tc>
        <w:tc>
          <w:tcPr>
            <w:tcW w:w="627" w:type="pct"/>
            <w:tcBorders>
              <w:top w:val="nil"/>
              <w:left w:val="nil"/>
              <w:bottom w:val="single" w:sz="4" w:space="0" w:color="auto"/>
              <w:right w:val="single" w:sz="4" w:space="0" w:color="auto"/>
            </w:tcBorders>
            <w:shd w:val="clear" w:color="auto" w:fill="auto"/>
            <w:vAlign w:val="center"/>
            <w:hideMark/>
          </w:tcPr>
          <w:p w14:paraId="59CA7BC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земеделието и храните</w:t>
            </w:r>
          </w:p>
        </w:tc>
      </w:tr>
      <w:tr w:rsidR="00761800" w:rsidRPr="00761800" w14:paraId="652D6B72" w14:textId="77777777" w:rsidTr="00406B4D">
        <w:trPr>
          <w:trHeight w:val="178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872D16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133</w:t>
            </w:r>
          </w:p>
        </w:tc>
        <w:tc>
          <w:tcPr>
            <w:tcW w:w="529" w:type="pct"/>
            <w:tcBorders>
              <w:top w:val="nil"/>
              <w:left w:val="nil"/>
              <w:bottom w:val="single" w:sz="4" w:space="0" w:color="auto"/>
              <w:right w:val="single" w:sz="4" w:space="0" w:color="auto"/>
            </w:tcBorders>
            <w:shd w:val="clear" w:color="auto" w:fill="auto"/>
            <w:vAlign w:val="center"/>
            <w:hideMark/>
          </w:tcPr>
          <w:p w14:paraId="27D8716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NP-25.001-0121</w:t>
            </w:r>
          </w:p>
        </w:tc>
        <w:tc>
          <w:tcPr>
            <w:tcW w:w="855" w:type="pct"/>
            <w:tcBorders>
              <w:top w:val="nil"/>
              <w:left w:val="nil"/>
              <w:bottom w:val="single" w:sz="4" w:space="0" w:color="auto"/>
              <w:right w:val="single" w:sz="4" w:space="0" w:color="auto"/>
            </w:tcBorders>
            <w:shd w:val="clear" w:color="auto" w:fill="auto"/>
            <w:vAlign w:val="center"/>
            <w:hideMark/>
          </w:tcPr>
          <w:p w14:paraId="35824D9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НС „Рабиша“ включващо:  Язовир „Рабиша“. Работен проект за ремонт панцеровка на водоотвеждащ тунел, ремонт на решетката и потъващия савак (табли „топли води“) на водовз. кула и ремонт на мълнезащитната инсталация  и покривната конструкция.  Ремонт на Видболска пълнеща деривация, ремонт на изравнител „Раяновци“, ремонт на Ошанска пълнеща деривация и ремонт на Арчарска пълнеща деривация – община Белоградчик и община Макреш, област Видин. Авторски и строителен надзор</w:t>
            </w:r>
          </w:p>
        </w:tc>
        <w:tc>
          <w:tcPr>
            <w:tcW w:w="436" w:type="pct"/>
            <w:tcBorders>
              <w:top w:val="nil"/>
              <w:left w:val="nil"/>
              <w:bottom w:val="single" w:sz="4" w:space="0" w:color="auto"/>
              <w:right w:val="single" w:sz="4" w:space="0" w:color="auto"/>
            </w:tcBorders>
            <w:shd w:val="clear" w:color="auto" w:fill="auto"/>
            <w:vAlign w:val="center"/>
            <w:hideMark/>
          </w:tcPr>
          <w:p w14:paraId="62E83C6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622,9</w:t>
            </w:r>
          </w:p>
        </w:tc>
        <w:tc>
          <w:tcPr>
            <w:tcW w:w="436" w:type="pct"/>
            <w:tcBorders>
              <w:top w:val="nil"/>
              <w:left w:val="nil"/>
              <w:bottom w:val="single" w:sz="4" w:space="0" w:color="auto"/>
              <w:right w:val="single" w:sz="4" w:space="0" w:color="auto"/>
            </w:tcBorders>
            <w:shd w:val="clear" w:color="auto" w:fill="auto"/>
            <w:vAlign w:val="center"/>
            <w:hideMark/>
          </w:tcPr>
          <w:p w14:paraId="02630AE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1 000,0</w:t>
            </w:r>
          </w:p>
        </w:tc>
        <w:tc>
          <w:tcPr>
            <w:tcW w:w="436" w:type="pct"/>
            <w:tcBorders>
              <w:top w:val="nil"/>
              <w:left w:val="nil"/>
              <w:bottom w:val="single" w:sz="4" w:space="0" w:color="auto"/>
              <w:right w:val="single" w:sz="4" w:space="0" w:color="auto"/>
            </w:tcBorders>
            <w:shd w:val="clear" w:color="auto" w:fill="auto"/>
            <w:vAlign w:val="center"/>
            <w:hideMark/>
          </w:tcPr>
          <w:p w14:paraId="2CA4EEB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453,0</w:t>
            </w:r>
          </w:p>
        </w:tc>
        <w:tc>
          <w:tcPr>
            <w:tcW w:w="1524" w:type="pct"/>
            <w:tcBorders>
              <w:top w:val="nil"/>
              <w:left w:val="nil"/>
              <w:bottom w:val="single" w:sz="4" w:space="0" w:color="auto"/>
              <w:right w:val="single" w:sz="4" w:space="0" w:color="auto"/>
            </w:tcBorders>
            <w:shd w:val="clear" w:color="auto" w:fill="auto"/>
            <w:vAlign w:val="center"/>
            <w:hideMark/>
          </w:tcPr>
          <w:p w14:paraId="4E66DD4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Подобряването на деривациите ще осигури воден приток за язовир - 100</w:t>
            </w:r>
            <w:r w:rsidRPr="00761800">
              <w:rPr>
                <w:rFonts w:ascii="Times New Roman" w:hAnsi="Times New Roman"/>
                <w:sz w:val="20"/>
                <w:lang w:eastAsia="bg-BG"/>
              </w:rPr>
              <w:br/>
              <w:t>2. Увеличаване на количеството воден ресурс за напояване - 100</w:t>
            </w:r>
          </w:p>
        </w:tc>
        <w:tc>
          <w:tcPr>
            <w:tcW w:w="627" w:type="pct"/>
            <w:tcBorders>
              <w:top w:val="nil"/>
              <w:left w:val="nil"/>
              <w:bottom w:val="single" w:sz="4" w:space="0" w:color="auto"/>
              <w:right w:val="single" w:sz="4" w:space="0" w:color="auto"/>
            </w:tcBorders>
            <w:shd w:val="clear" w:color="auto" w:fill="auto"/>
            <w:vAlign w:val="center"/>
            <w:hideMark/>
          </w:tcPr>
          <w:p w14:paraId="5B44458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земеделието и храните</w:t>
            </w:r>
          </w:p>
        </w:tc>
      </w:tr>
      <w:tr w:rsidR="00761800" w:rsidRPr="00761800" w14:paraId="44F281B0" w14:textId="77777777" w:rsidTr="00406B4D">
        <w:trPr>
          <w:trHeight w:val="229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A7FCED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134</w:t>
            </w:r>
          </w:p>
        </w:tc>
        <w:tc>
          <w:tcPr>
            <w:tcW w:w="529" w:type="pct"/>
            <w:tcBorders>
              <w:top w:val="nil"/>
              <w:left w:val="nil"/>
              <w:bottom w:val="single" w:sz="4" w:space="0" w:color="auto"/>
              <w:right w:val="single" w:sz="4" w:space="0" w:color="auto"/>
            </w:tcBorders>
            <w:shd w:val="clear" w:color="auto" w:fill="auto"/>
            <w:vAlign w:val="center"/>
            <w:hideMark/>
          </w:tcPr>
          <w:p w14:paraId="342F644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NP-25.001-0118</w:t>
            </w:r>
          </w:p>
        </w:tc>
        <w:tc>
          <w:tcPr>
            <w:tcW w:w="855" w:type="pct"/>
            <w:tcBorders>
              <w:top w:val="nil"/>
              <w:left w:val="nil"/>
              <w:bottom w:val="single" w:sz="4" w:space="0" w:color="auto"/>
              <w:right w:val="single" w:sz="4" w:space="0" w:color="auto"/>
            </w:tcBorders>
            <w:shd w:val="clear" w:color="auto" w:fill="auto"/>
            <w:vAlign w:val="center"/>
            <w:hideMark/>
          </w:tcPr>
          <w:p w14:paraId="1925CA0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Ремонтно възстановителни работи на кулата на основния изпускател и съоръженията по нея на яз. Пчелина  вкл и „Упражняване на строителен надзор при извършване на ремонтно-възстановителни работи (РВР) на кулата на основния изпускател и съоръженията по нея на язовир „Пчелина“, община Ковачевци, област Перник“, както и издаване на Разрешение за строеж“  и „Упражняване на авторски надзор при извършване на ремонтно-възстановителни работи (РВР) на кулата на основния изпускател и съоръженията по нея на язовир „Пчелина“, община Ковачевци, област Перник.“</w:t>
            </w:r>
          </w:p>
        </w:tc>
        <w:tc>
          <w:tcPr>
            <w:tcW w:w="436" w:type="pct"/>
            <w:tcBorders>
              <w:top w:val="nil"/>
              <w:left w:val="nil"/>
              <w:bottom w:val="single" w:sz="4" w:space="0" w:color="auto"/>
              <w:right w:val="single" w:sz="4" w:space="0" w:color="auto"/>
            </w:tcBorders>
            <w:shd w:val="clear" w:color="auto" w:fill="auto"/>
            <w:vAlign w:val="center"/>
            <w:hideMark/>
          </w:tcPr>
          <w:p w14:paraId="59C48C7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44E93B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3585BA6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436,1</w:t>
            </w:r>
          </w:p>
        </w:tc>
        <w:tc>
          <w:tcPr>
            <w:tcW w:w="1524" w:type="pct"/>
            <w:tcBorders>
              <w:top w:val="nil"/>
              <w:left w:val="nil"/>
              <w:bottom w:val="single" w:sz="4" w:space="0" w:color="auto"/>
              <w:right w:val="single" w:sz="4" w:space="0" w:color="auto"/>
            </w:tcBorders>
            <w:shd w:val="clear" w:color="auto" w:fill="auto"/>
            <w:vAlign w:val="center"/>
            <w:hideMark/>
          </w:tcPr>
          <w:p w14:paraId="664DFDD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След ремонт на дросел клапа и прилежащи съоръжения за функционирането и ще се подобри пропусквателната способност на съоръженито на 100 % - 100</w:t>
            </w:r>
            <w:r w:rsidRPr="00761800">
              <w:rPr>
                <w:rFonts w:ascii="Times New Roman" w:hAnsi="Times New Roman"/>
                <w:sz w:val="20"/>
                <w:lang w:eastAsia="bg-BG"/>
              </w:rPr>
              <w:br/>
              <w:t>2. Ремонта на кулата ще спре течовете и ще спре корозията на съоръженията в нея - 100</w:t>
            </w:r>
          </w:p>
        </w:tc>
        <w:tc>
          <w:tcPr>
            <w:tcW w:w="627" w:type="pct"/>
            <w:tcBorders>
              <w:top w:val="nil"/>
              <w:left w:val="nil"/>
              <w:bottom w:val="single" w:sz="4" w:space="0" w:color="auto"/>
              <w:right w:val="single" w:sz="4" w:space="0" w:color="auto"/>
            </w:tcBorders>
            <w:shd w:val="clear" w:color="auto" w:fill="auto"/>
            <w:vAlign w:val="center"/>
            <w:hideMark/>
          </w:tcPr>
          <w:p w14:paraId="590F8F1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земеделието и храните</w:t>
            </w:r>
          </w:p>
        </w:tc>
      </w:tr>
      <w:tr w:rsidR="00761800" w:rsidRPr="00761800" w14:paraId="33739E42"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666063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135</w:t>
            </w:r>
          </w:p>
        </w:tc>
        <w:tc>
          <w:tcPr>
            <w:tcW w:w="529" w:type="pct"/>
            <w:tcBorders>
              <w:top w:val="nil"/>
              <w:left w:val="nil"/>
              <w:bottom w:val="single" w:sz="4" w:space="0" w:color="auto"/>
              <w:right w:val="single" w:sz="4" w:space="0" w:color="auto"/>
            </w:tcBorders>
            <w:shd w:val="clear" w:color="auto" w:fill="auto"/>
            <w:vAlign w:val="center"/>
            <w:hideMark/>
          </w:tcPr>
          <w:p w14:paraId="33095E8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NP-25.003-0102</w:t>
            </w:r>
          </w:p>
        </w:tc>
        <w:tc>
          <w:tcPr>
            <w:tcW w:w="855" w:type="pct"/>
            <w:tcBorders>
              <w:top w:val="nil"/>
              <w:left w:val="nil"/>
              <w:bottom w:val="single" w:sz="4" w:space="0" w:color="auto"/>
              <w:right w:val="single" w:sz="4" w:space="0" w:color="auto"/>
            </w:tcBorders>
            <w:shd w:val="clear" w:color="auto" w:fill="auto"/>
            <w:vAlign w:val="center"/>
            <w:hideMark/>
          </w:tcPr>
          <w:p w14:paraId="097CF04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„Авариен ремонт на сифонните преливници на язовир „Панчарево“ – комплексен и значим язовир – публична </w:t>
            </w:r>
            <w:r w:rsidRPr="00761800">
              <w:rPr>
                <w:rFonts w:ascii="Times New Roman" w:hAnsi="Times New Roman"/>
                <w:sz w:val="20"/>
                <w:lang w:eastAsia="bg-BG"/>
              </w:rPr>
              <w:lastRenderedPageBreak/>
              <w:t>държавна собственост в управление на министъра на земеделието и храните“ (ПМС № 65/21.05.2025 г.)</w:t>
            </w:r>
          </w:p>
        </w:tc>
        <w:tc>
          <w:tcPr>
            <w:tcW w:w="436" w:type="pct"/>
            <w:tcBorders>
              <w:top w:val="nil"/>
              <w:left w:val="nil"/>
              <w:bottom w:val="single" w:sz="4" w:space="0" w:color="auto"/>
              <w:right w:val="single" w:sz="4" w:space="0" w:color="auto"/>
            </w:tcBorders>
            <w:shd w:val="clear" w:color="auto" w:fill="auto"/>
            <w:vAlign w:val="center"/>
            <w:hideMark/>
          </w:tcPr>
          <w:p w14:paraId="191AE8A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w:t>
            </w:r>
          </w:p>
        </w:tc>
        <w:tc>
          <w:tcPr>
            <w:tcW w:w="436" w:type="pct"/>
            <w:tcBorders>
              <w:top w:val="nil"/>
              <w:left w:val="nil"/>
              <w:bottom w:val="single" w:sz="4" w:space="0" w:color="auto"/>
              <w:right w:val="single" w:sz="4" w:space="0" w:color="auto"/>
            </w:tcBorders>
            <w:shd w:val="clear" w:color="auto" w:fill="auto"/>
            <w:vAlign w:val="center"/>
            <w:hideMark/>
          </w:tcPr>
          <w:p w14:paraId="385D0B9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368,5</w:t>
            </w:r>
          </w:p>
        </w:tc>
        <w:tc>
          <w:tcPr>
            <w:tcW w:w="436" w:type="pct"/>
            <w:tcBorders>
              <w:top w:val="nil"/>
              <w:left w:val="nil"/>
              <w:bottom w:val="single" w:sz="4" w:space="0" w:color="auto"/>
              <w:right w:val="single" w:sz="4" w:space="0" w:color="auto"/>
            </w:tcBorders>
            <w:shd w:val="clear" w:color="auto" w:fill="auto"/>
            <w:vAlign w:val="center"/>
            <w:hideMark/>
          </w:tcPr>
          <w:p w14:paraId="64936CE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06C60F8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Подобряване на носимоспособността на конструкцията  - 100</w:t>
            </w:r>
          </w:p>
        </w:tc>
        <w:tc>
          <w:tcPr>
            <w:tcW w:w="627" w:type="pct"/>
            <w:tcBorders>
              <w:top w:val="nil"/>
              <w:left w:val="nil"/>
              <w:bottom w:val="single" w:sz="4" w:space="0" w:color="auto"/>
              <w:right w:val="single" w:sz="4" w:space="0" w:color="auto"/>
            </w:tcBorders>
            <w:shd w:val="clear" w:color="auto" w:fill="auto"/>
            <w:vAlign w:val="center"/>
            <w:hideMark/>
          </w:tcPr>
          <w:p w14:paraId="774F2CB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земеделието и храните</w:t>
            </w:r>
          </w:p>
        </w:tc>
      </w:tr>
      <w:tr w:rsidR="00761800" w:rsidRPr="00761800" w14:paraId="58720B26" w14:textId="77777777" w:rsidTr="00406B4D">
        <w:trPr>
          <w:trHeight w:val="178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58B16E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136</w:t>
            </w:r>
          </w:p>
        </w:tc>
        <w:tc>
          <w:tcPr>
            <w:tcW w:w="529" w:type="pct"/>
            <w:tcBorders>
              <w:top w:val="nil"/>
              <w:left w:val="nil"/>
              <w:bottom w:val="single" w:sz="4" w:space="0" w:color="auto"/>
              <w:right w:val="single" w:sz="4" w:space="0" w:color="auto"/>
            </w:tcBorders>
            <w:shd w:val="clear" w:color="auto" w:fill="auto"/>
            <w:vAlign w:val="center"/>
            <w:hideMark/>
          </w:tcPr>
          <w:p w14:paraId="73FB70D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NP-26.001-0027</w:t>
            </w:r>
          </w:p>
        </w:tc>
        <w:tc>
          <w:tcPr>
            <w:tcW w:w="855" w:type="pct"/>
            <w:tcBorders>
              <w:top w:val="nil"/>
              <w:left w:val="nil"/>
              <w:bottom w:val="single" w:sz="4" w:space="0" w:color="auto"/>
              <w:right w:val="single" w:sz="4" w:space="0" w:color="auto"/>
            </w:tcBorders>
            <w:shd w:val="clear" w:color="auto" w:fill="auto"/>
            <w:vAlign w:val="center"/>
            <w:hideMark/>
          </w:tcPr>
          <w:p w14:paraId="1024D3E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Яз. „Малко Шарково“. РВР водовземна кула - торкрет, заскалявка, машинна и ел част и РВР по короната, преливника и енергоносителя.</w:t>
            </w:r>
          </w:p>
        </w:tc>
        <w:tc>
          <w:tcPr>
            <w:tcW w:w="436" w:type="pct"/>
            <w:tcBorders>
              <w:top w:val="nil"/>
              <w:left w:val="nil"/>
              <w:bottom w:val="single" w:sz="4" w:space="0" w:color="auto"/>
              <w:right w:val="single" w:sz="4" w:space="0" w:color="auto"/>
            </w:tcBorders>
            <w:shd w:val="clear" w:color="auto" w:fill="auto"/>
            <w:vAlign w:val="center"/>
            <w:hideMark/>
          </w:tcPr>
          <w:p w14:paraId="6FE3139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7574A38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16B1B00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1524" w:type="pct"/>
            <w:tcBorders>
              <w:top w:val="nil"/>
              <w:left w:val="nil"/>
              <w:bottom w:val="single" w:sz="4" w:space="0" w:color="auto"/>
              <w:right w:val="single" w:sz="4" w:space="0" w:color="auto"/>
            </w:tcBorders>
            <w:shd w:val="clear" w:color="auto" w:fill="auto"/>
            <w:vAlign w:val="center"/>
            <w:hideMark/>
          </w:tcPr>
          <w:p w14:paraId="39BAFBD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Извършване на ремонтни дейности на кулата ще запълни амортизирани бетонови части и спиране на корозията на съоръженията на кулата - 100</w:t>
            </w:r>
            <w:r w:rsidRPr="00761800">
              <w:rPr>
                <w:rFonts w:ascii="Times New Roman" w:hAnsi="Times New Roman"/>
                <w:sz w:val="20"/>
                <w:lang w:eastAsia="bg-BG"/>
              </w:rPr>
              <w:br/>
              <w:t>2. Увеличаване на носимоспособността на язовирната стена чрез изпълнение на заскалявката - 100</w:t>
            </w:r>
            <w:r w:rsidRPr="00761800">
              <w:rPr>
                <w:rFonts w:ascii="Times New Roman" w:hAnsi="Times New Roman"/>
                <w:sz w:val="20"/>
                <w:lang w:eastAsia="bg-BG"/>
              </w:rPr>
              <w:br/>
              <w:t>3. Извършване на ремонт на машинната част и подобряване на водоподаването - 100</w:t>
            </w:r>
            <w:r w:rsidRPr="00761800">
              <w:rPr>
                <w:rFonts w:ascii="Times New Roman" w:hAnsi="Times New Roman"/>
                <w:sz w:val="20"/>
                <w:lang w:eastAsia="bg-BG"/>
              </w:rPr>
              <w:br/>
              <w:t>4. Възстановяване цялостта на съоръженията на язовира - 100</w:t>
            </w:r>
          </w:p>
        </w:tc>
        <w:tc>
          <w:tcPr>
            <w:tcW w:w="627" w:type="pct"/>
            <w:tcBorders>
              <w:top w:val="nil"/>
              <w:left w:val="nil"/>
              <w:bottom w:val="single" w:sz="4" w:space="0" w:color="auto"/>
              <w:right w:val="single" w:sz="4" w:space="0" w:color="auto"/>
            </w:tcBorders>
            <w:shd w:val="clear" w:color="auto" w:fill="auto"/>
            <w:vAlign w:val="center"/>
            <w:hideMark/>
          </w:tcPr>
          <w:p w14:paraId="555C7E9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земеделието и храните</w:t>
            </w:r>
          </w:p>
        </w:tc>
      </w:tr>
      <w:tr w:rsidR="00761800" w:rsidRPr="00761800" w14:paraId="04E2C827" w14:textId="77777777" w:rsidTr="00406B4D">
        <w:trPr>
          <w:trHeight w:val="280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A22A0E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137</w:t>
            </w:r>
          </w:p>
        </w:tc>
        <w:tc>
          <w:tcPr>
            <w:tcW w:w="529" w:type="pct"/>
            <w:tcBorders>
              <w:top w:val="nil"/>
              <w:left w:val="nil"/>
              <w:bottom w:val="single" w:sz="4" w:space="0" w:color="auto"/>
              <w:right w:val="single" w:sz="4" w:space="0" w:color="auto"/>
            </w:tcBorders>
            <w:shd w:val="clear" w:color="auto" w:fill="auto"/>
            <w:vAlign w:val="center"/>
            <w:hideMark/>
          </w:tcPr>
          <w:p w14:paraId="0D83673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NP-26.001-0080</w:t>
            </w:r>
          </w:p>
        </w:tc>
        <w:tc>
          <w:tcPr>
            <w:tcW w:w="855" w:type="pct"/>
            <w:tcBorders>
              <w:top w:val="nil"/>
              <w:left w:val="nil"/>
              <w:bottom w:val="single" w:sz="4" w:space="0" w:color="auto"/>
              <w:right w:val="single" w:sz="4" w:space="0" w:color="auto"/>
            </w:tcBorders>
            <w:shd w:val="clear" w:color="auto" w:fill="auto"/>
            <w:vAlign w:val="center"/>
            <w:hideMark/>
          </w:tcPr>
          <w:p w14:paraId="051B12F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Изготвяне на работни проекти и извършване на СМР за язовир „Огоста“, язовир „Тракиец“, язовир „Пясъчник“ и язовир „Домлян“, изключени с Решение № 323 от 23 април 2026 година на Министерския съвет от списъка по т. 2 от Решение № 495 на Министерския съвет от 2018 г., за определяне на „Държавна консолидационна компания” ЕАД - София, като търговско дружество </w:t>
            </w:r>
            <w:r w:rsidRPr="00761800">
              <w:rPr>
                <w:rFonts w:ascii="Times New Roman" w:hAnsi="Times New Roman"/>
                <w:sz w:val="20"/>
                <w:lang w:eastAsia="bg-BG"/>
              </w:rPr>
              <w:lastRenderedPageBreak/>
              <w:t>със сто на сто държавно участие, което да възлага ремонтите и реконструкциите на язовири - държавна и общинска собственост, за одобряване на списък на язовирните стени и съоръженията към тях, на които трябва да се извърши основен ремонт или реконструкция, и за увеличаване капитала на „Държавна консолидационна компания” ЕАД – София, допълнено с Решение №  698 на Министерския съвет от 2018 г.</w:t>
            </w:r>
          </w:p>
        </w:tc>
        <w:tc>
          <w:tcPr>
            <w:tcW w:w="436" w:type="pct"/>
            <w:tcBorders>
              <w:top w:val="nil"/>
              <w:left w:val="nil"/>
              <w:bottom w:val="single" w:sz="4" w:space="0" w:color="auto"/>
              <w:right w:val="single" w:sz="4" w:space="0" w:color="auto"/>
            </w:tcBorders>
            <w:shd w:val="clear" w:color="auto" w:fill="auto"/>
            <w:vAlign w:val="center"/>
            <w:hideMark/>
          </w:tcPr>
          <w:p w14:paraId="7AB2E50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w:t>
            </w:r>
          </w:p>
        </w:tc>
        <w:tc>
          <w:tcPr>
            <w:tcW w:w="436" w:type="pct"/>
            <w:tcBorders>
              <w:top w:val="nil"/>
              <w:left w:val="nil"/>
              <w:bottom w:val="single" w:sz="4" w:space="0" w:color="auto"/>
              <w:right w:val="single" w:sz="4" w:space="0" w:color="auto"/>
            </w:tcBorders>
            <w:shd w:val="clear" w:color="auto" w:fill="auto"/>
            <w:vAlign w:val="center"/>
            <w:hideMark/>
          </w:tcPr>
          <w:p w14:paraId="3C09BEF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436" w:type="pct"/>
            <w:tcBorders>
              <w:top w:val="nil"/>
              <w:left w:val="nil"/>
              <w:bottom w:val="single" w:sz="4" w:space="0" w:color="auto"/>
              <w:right w:val="single" w:sz="4" w:space="0" w:color="auto"/>
            </w:tcBorders>
            <w:shd w:val="clear" w:color="auto" w:fill="auto"/>
            <w:vAlign w:val="center"/>
            <w:hideMark/>
          </w:tcPr>
          <w:p w14:paraId="5CF11AF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28A4903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Подобряване на носимоспособността на конструкцията - 100</w:t>
            </w:r>
          </w:p>
        </w:tc>
        <w:tc>
          <w:tcPr>
            <w:tcW w:w="627" w:type="pct"/>
            <w:tcBorders>
              <w:top w:val="nil"/>
              <w:left w:val="nil"/>
              <w:bottom w:val="single" w:sz="4" w:space="0" w:color="auto"/>
              <w:right w:val="single" w:sz="4" w:space="0" w:color="auto"/>
            </w:tcBorders>
            <w:shd w:val="clear" w:color="auto" w:fill="auto"/>
            <w:vAlign w:val="center"/>
            <w:hideMark/>
          </w:tcPr>
          <w:p w14:paraId="4C3E161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земеделието и храните</w:t>
            </w:r>
          </w:p>
        </w:tc>
      </w:tr>
      <w:tr w:rsidR="00761800" w:rsidRPr="00761800" w14:paraId="5A99EA41"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B25387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138</w:t>
            </w:r>
          </w:p>
        </w:tc>
        <w:tc>
          <w:tcPr>
            <w:tcW w:w="529" w:type="pct"/>
            <w:tcBorders>
              <w:top w:val="nil"/>
              <w:left w:val="nil"/>
              <w:bottom w:val="single" w:sz="4" w:space="0" w:color="auto"/>
              <w:right w:val="single" w:sz="4" w:space="0" w:color="auto"/>
            </w:tcBorders>
            <w:shd w:val="clear" w:color="auto" w:fill="auto"/>
            <w:vAlign w:val="center"/>
            <w:hideMark/>
          </w:tcPr>
          <w:p w14:paraId="2DF30A5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NP-25.001-0123</w:t>
            </w:r>
          </w:p>
        </w:tc>
        <w:tc>
          <w:tcPr>
            <w:tcW w:w="855" w:type="pct"/>
            <w:tcBorders>
              <w:top w:val="nil"/>
              <w:left w:val="nil"/>
              <w:bottom w:val="single" w:sz="4" w:space="0" w:color="auto"/>
              <w:right w:val="single" w:sz="4" w:space="0" w:color="auto"/>
            </w:tcBorders>
            <w:shd w:val="clear" w:color="auto" w:fill="auto"/>
            <w:vAlign w:val="center"/>
            <w:hideMark/>
          </w:tcPr>
          <w:p w14:paraId="5FE0636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и реконструкция на хидромелиоративна инфраструктура и съоръжения</w:t>
            </w:r>
          </w:p>
        </w:tc>
        <w:tc>
          <w:tcPr>
            <w:tcW w:w="436" w:type="pct"/>
            <w:tcBorders>
              <w:top w:val="nil"/>
              <w:left w:val="nil"/>
              <w:bottom w:val="single" w:sz="4" w:space="0" w:color="auto"/>
              <w:right w:val="single" w:sz="4" w:space="0" w:color="auto"/>
            </w:tcBorders>
            <w:shd w:val="clear" w:color="auto" w:fill="auto"/>
            <w:vAlign w:val="center"/>
            <w:hideMark/>
          </w:tcPr>
          <w:p w14:paraId="3E5332C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49,0</w:t>
            </w:r>
          </w:p>
        </w:tc>
        <w:tc>
          <w:tcPr>
            <w:tcW w:w="436" w:type="pct"/>
            <w:tcBorders>
              <w:top w:val="nil"/>
              <w:left w:val="nil"/>
              <w:bottom w:val="single" w:sz="4" w:space="0" w:color="auto"/>
              <w:right w:val="single" w:sz="4" w:space="0" w:color="auto"/>
            </w:tcBorders>
            <w:shd w:val="clear" w:color="auto" w:fill="auto"/>
            <w:vAlign w:val="center"/>
            <w:hideMark/>
          </w:tcPr>
          <w:p w14:paraId="18D0B30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10,7</w:t>
            </w:r>
          </w:p>
        </w:tc>
        <w:tc>
          <w:tcPr>
            <w:tcW w:w="436" w:type="pct"/>
            <w:tcBorders>
              <w:top w:val="nil"/>
              <w:left w:val="nil"/>
              <w:bottom w:val="single" w:sz="4" w:space="0" w:color="auto"/>
              <w:right w:val="single" w:sz="4" w:space="0" w:color="auto"/>
            </w:tcBorders>
            <w:shd w:val="clear" w:color="auto" w:fill="auto"/>
            <w:vAlign w:val="center"/>
            <w:hideMark/>
          </w:tcPr>
          <w:p w14:paraId="1970AAC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128,6</w:t>
            </w:r>
          </w:p>
        </w:tc>
        <w:tc>
          <w:tcPr>
            <w:tcW w:w="1524" w:type="pct"/>
            <w:tcBorders>
              <w:top w:val="nil"/>
              <w:left w:val="nil"/>
              <w:bottom w:val="single" w:sz="4" w:space="0" w:color="auto"/>
              <w:right w:val="single" w:sz="4" w:space="0" w:color="auto"/>
            </w:tcBorders>
            <w:shd w:val="clear" w:color="auto" w:fill="auto"/>
            <w:vAlign w:val="center"/>
            <w:hideMark/>
          </w:tcPr>
          <w:p w14:paraId="12542D3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Поддържане на водностопанските системи и хидротехническите съоръжения, включително на язовирни стени и/или съоръженията към тях – публична държавна собственост, в технически изправно състояние - 100</w:t>
            </w:r>
          </w:p>
        </w:tc>
        <w:tc>
          <w:tcPr>
            <w:tcW w:w="627" w:type="pct"/>
            <w:tcBorders>
              <w:top w:val="nil"/>
              <w:left w:val="nil"/>
              <w:bottom w:val="single" w:sz="4" w:space="0" w:color="auto"/>
              <w:right w:val="single" w:sz="4" w:space="0" w:color="auto"/>
            </w:tcBorders>
            <w:shd w:val="clear" w:color="auto" w:fill="auto"/>
            <w:vAlign w:val="center"/>
            <w:hideMark/>
          </w:tcPr>
          <w:p w14:paraId="4258900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земеделието и храните</w:t>
            </w:r>
          </w:p>
        </w:tc>
      </w:tr>
      <w:tr w:rsidR="00761800" w:rsidRPr="00761800" w14:paraId="52EA5F3D"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DBCA2A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139</w:t>
            </w:r>
          </w:p>
        </w:tc>
        <w:tc>
          <w:tcPr>
            <w:tcW w:w="529" w:type="pct"/>
            <w:tcBorders>
              <w:top w:val="nil"/>
              <w:left w:val="nil"/>
              <w:bottom w:val="single" w:sz="4" w:space="0" w:color="auto"/>
              <w:right w:val="single" w:sz="4" w:space="0" w:color="auto"/>
            </w:tcBorders>
            <w:shd w:val="clear" w:color="auto" w:fill="auto"/>
            <w:vAlign w:val="center"/>
            <w:hideMark/>
          </w:tcPr>
          <w:p w14:paraId="28B958E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NP-26.001-0028</w:t>
            </w:r>
          </w:p>
        </w:tc>
        <w:tc>
          <w:tcPr>
            <w:tcW w:w="855" w:type="pct"/>
            <w:tcBorders>
              <w:top w:val="nil"/>
              <w:left w:val="nil"/>
              <w:bottom w:val="single" w:sz="4" w:space="0" w:color="auto"/>
              <w:right w:val="single" w:sz="4" w:space="0" w:color="auto"/>
            </w:tcBorders>
            <w:shd w:val="clear" w:color="auto" w:fill="auto"/>
            <w:vAlign w:val="center"/>
            <w:hideMark/>
          </w:tcPr>
          <w:p w14:paraId="69948D8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Ремонтни работи по машинна и ел. части на 19 броя комплексни и значими язовири - публична държавна собственост</w:t>
            </w:r>
          </w:p>
        </w:tc>
        <w:tc>
          <w:tcPr>
            <w:tcW w:w="436" w:type="pct"/>
            <w:tcBorders>
              <w:top w:val="nil"/>
              <w:left w:val="nil"/>
              <w:bottom w:val="single" w:sz="4" w:space="0" w:color="auto"/>
              <w:right w:val="single" w:sz="4" w:space="0" w:color="auto"/>
            </w:tcBorders>
            <w:shd w:val="clear" w:color="auto" w:fill="auto"/>
            <w:vAlign w:val="center"/>
            <w:hideMark/>
          </w:tcPr>
          <w:p w14:paraId="030563C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0D2BCC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FA15AE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125,3</w:t>
            </w:r>
          </w:p>
        </w:tc>
        <w:tc>
          <w:tcPr>
            <w:tcW w:w="1524" w:type="pct"/>
            <w:tcBorders>
              <w:top w:val="nil"/>
              <w:left w:val="nil"/>
              <w:bottom w:val="single" w:sz="4" w:space="0" w:color="auto"/>
              <w:right w:val="single" w:sz="4" w:space="0" w:color="auto"/>
            </w:tcBorders>
            <w:shd w:val="clear" w:color="auto" w:fill="auto"/>
            <w:vAlign w:val="center"/>
            <w:hideMark/>
          </w:tcPr>
          <w:p w14:paraId="5C28AE9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Поддържане на водностопанските системи и хидротехническите съоръжения в технически изправно състояние - 100</w:t>
            </w:r>
          </w:p>
        </w:tc>
        <w:tc>
          <w:tcPr>
            <w:tcW w:w="627" w:type="pct"/>
            <w:tcBorders>
              <w:top w:val="nil"/>
              <w:left w:val="nil"/>
              <w:bottom w:val="single" w:sz="4" w:space="0" w:color="auto"/>
              <w:right w:val="single" w:sz="4" w:space="0" w:color="auto"/>
            </w:tcBorders>
            <w:shd w:val="clear" w:color="auto" w:fill="auto"/>
            <w:vAlign w:val="center"/>
            <w:hideMark/>
          </w:tcPr>
          <w:p w14:paraId="1FBDE44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земеделието и храните</w:t>
            </w:r>
          </w:p>
        </w:tc>
      </w:tr>
      <w:tr w:rsidR="00761800" w:rsidRPr="00761800" w14:paraId="11B6CB08" w14:textId="77777777" w:rsidTr="00406B4D">
        <w:trPr>
          <w:trHeight w:val="127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45487E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140</w:t>
            </w:r>
          </w:p>
        </w:tc>
        <w:tc>
          <w:tcPr>
            <w:tcW w:w="529" w:type="pct"/>
            <w:tcBorders>
              <w:top w:val="nil"/>
              <w:left w:val="nil"/>
              <w:bottom w:val="single" w:sz="4" w:space="0" w:color="auto"/>
              <w:right w:val="single" w:sz="4" w:space="0" w:color="auto"/>
            </w:tcBorders>
            <w:shd w:val="clear" w:color="auto" w:fill="auto"/>
            <w:vAlign w:val="center"/>
            <w:hideMark/>
          </w:tcPr>
          <w:p w14:paraId="39EE22C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NP-26.001-0032</w:t>
            </w:r>
          </w:p>
        </w:tc>
        <w:tc>
          <w:tcPr>
            <w:tcW w:w="855" w:type="pct"/>
            <w:tcBorders>
              <w:top w:val="nil"/>
              <w:left w:val="nil"/>
              <w:bottom w:val="single" w:sz="4" w:space="0" w:color="auto"/>
              <w:right w:val="single" w:sz="4" w:space="0" w:color="auto"/>
            </w:tcBorders>
            <w:shd w:val="clear" w:color="auto" w:fill="auto"/>
            <w:vAlign w:val="center"/>
            <w:hideMark/>
          </w:tcPr>
          <w:p w14:paraId="7FB8E3D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Яз. „Пясъчник“. Нова хидроизолация в сухата галерия на наклонената кула. Подмяна на решетката пред основния затвор и ремонтни дейности за възстановяване на работа на основния изпускател. Частичен ремонт на сегментния затвор. Ремонт на задвижващи механизми и на плоски таблени затвори на верт. водовземната кула. </w:t>
            </w:r>
          </w:p>
        </w:tc>
        <w:tc>
          <w:tcPr>
            <w:tcW w:w="436" w:type="pct"/>
            <w:tcBorders>
              <w:top w:val="nil"/>
              <w:left w:val="nil"/>
              <w:bottom w:val="single" w:sz="4" w:space="0" w:color="auto"/>
              <w:right w:val="single" w:sz="4" w:space="0" w:color="auto"/>
            </w:tcBorders>
            <w:shd w:val="clear" w:color="auto" w:fill="auto"/>
            <w:vAlign w:val="center"/>
            <w:hideMark/>
          </w:tcPr>
          <w:p w14:paraId="7308934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B0605A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1136D7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236,2</w:t>
            </w:r>
          </w:p>
        </w:tc>
        <w:tc>
          <w:tcPr>
            <w:tcW w:w="1524" w:type="pct"/>
            <w:tcBorders>
              <w:top w:val="nil"/>
              <w:left w:val="nil"/>
              <w:bottom w:val="single" w:sz="4" w:space="0" w:color="auto"/>
              <w:right w:val="single" w:sz="4" w:space="0" w:color="auto"/>
            </w:tcBorders>
            <w:shd w:val="clear" w:color="auto" w:fill="auto"/>
            <w:vAlign w:val="center"/>
            <w:hideMark/>
          </w:tcPr>
          <w:p w14:paraId="015B8F5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Подобряване на конструктивното състояние на кулата на язовира - 100</w:t>
            </w:r>
            <w:r w:rsidRPr="00761800">
              <w:rPr>
                <w:rFonts w:ascii="Times New Roman" w:hAnsi="Times New Roman"/>
                <w:sz w:val="20"/>
                <w:lang w:eastAsia="bg-BG"/>
              </w:rPr>
              <w:br/>
              <w:t>2. Подобряване на водоподаването - 100</w:t>
            </w:r>
          </w:p>
        </w:tc>
        <w:tc>
          <w:tcPr>
            <w:tcW w:w="627" w:type="pct"/>
            <w:tcBorders>
              <w:top w:val="nil"/>
              <w:left w:val="nil"/>
              <w:bottom w:val="single" w:sz="4" w:space="0" w:color="auto"/>
              <w:right w:val="single" w:sz="4" w:space="0" w:color="auto"/>
            </w:tcBorders>
            <w:shd w:val="clear" w:color="auto" w:fill="auto"/>
            <w:vAlign w:val="center"/>
            <w:hideMark/>
          </w:tcPr>
          <w:p w14:paraId="3096513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земеделието и храните</w:t>
            </w:r>
          </w:p>
        </w:tc>
      </w:tr>
      <w:tr w:rsidR="00761800" w:rsidRPr="00761800" w14:paraId="47063418" w14:textId="77777777" w:rsidTr="00406B4D">
        <w:trPr>
          <w:trHeight w:val="127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C97B04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141</w:t>
            </w:r>
          </w:p>
        </w:tc>
        <w:tc>
          <w:tcPr>
            <w:tcW w:w="529" w:type="pct"/>
            <w:tcBorders>
              <w:top w:val="nil"/>
              <w:left w:val="nil"/>
              <w:bottom w:val="single" w:sz="4" w:space="0" w:color="auto"/>
              <w:right w:val="single" w:sz="4" w:space="0" w:color="auto"/>
            </w:tcBorders>
            <w:shd w:val="clear" w:color="auto" w:fill="auto"/>
            <w:vAlign w:val="center"/>
            <w:hideMark/>
          </w:tcPr>
          <w:p w14:paraId="5252AF7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NP-25.003-0084</w:t>
            </w:r>
          </w:p>
        </w:tc>
        <w:tc>
          <w:tcPr>
            <w:tcW w:w="855" w:type="pct"/>
            <w:tcBorders>
              <w:top w:val="nil"/>
              <w:left w:val="nil"/>
              <w:bottom w:val="single" w:sz="4" w:space="0" w:color="auto"/>
              <w:right w:val="single" w:sz="4" w:space="0" w:color="auto"/>
            </w:tcBorders>
            <w:shd w:val="clear" w:color="auto" w:fill="auto"/>
            <w:vAlign w:val="center"/>
            <w:hideMark/>
          </w:tcPr>
          <w:p w14:paraId="4921EFE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Изготвяне на работен проект, изготвяне на комплексен доклад за оценка на съответствието на инвестиционните проекти с основните изисквания към строежите и извършване на СМР за „Основен ремонт на Корекция на река Войнишка от км 0+000 до км 8+050 в землища на гр. Дунавци, с. Търняне и с. Буковец, общ. Видин“ -  I-ви етап и I I-ри етап</w:t>
            </w:r>
          </w:p>
        </w:tc>
        <w:tc>
          <w:tcPr>
            <w:tcW w:w="436" w:type="pct"/>
            <w:tcBorders>
              <w:top w:val="nil"/>
              <w:left w:val="nil"/>
              <w:bottom w:val="single" w:sz="4" w:space="0" w:color="auto"/>
              <w:right w:val="single" w:sz="4" w:space="0" w:color="auto"/>
            </w:tcBorders>
            <w:shd w:val="clear" w:color="auto" w:fill="auto"/>
            <w:vAlign w:val="center"/>
            <w:hideMark/>
          </w:tcPr>
          <w:p w14:paraId="35FD9C0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110,0</w:t>
            </w:r>
          </w:p>
        </w:tc>
        <w:tc>
          <w:tcPr>
            <w:tcW w:w="436" w:type="pct"/>
            <w:tcBorders>
              <w:top w:val="nil"/>
              <w:left w:val="nil"/>
              <w:bottom w:val="single" w:sz="4" w:space="0" w:color="auto"/>
              <w:right w:val="single" w:sz="4" w:space="0" w:color="auto"/>
            </w:tcBorders>
            <w:shd w:val="clear" w:color="auto" w:fill="auto"/>
            <w:vAlign w:val="center"/>
            <w:hideMark/>
          </w:tcPr>
          <w:p w14:paraId="5D5899D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B12449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76DD2D6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Oбезпечаване на нормалното функциониране на на съоръжението - 100</w:t>
            </w:r>
          </w:p>
        </w:tc>
        <w:tc>
          <w:tcPr>
            <w:tcW w:w="627" w:type="pct"/>
            <w:tcBorders>
              <w:top w:val="nil"/>
              <w:left w:val="nil"/>
              <w:bottom w:val="single" w:sz="4" w:space="0" w:color="auto"/>
              <w:right w:val="single" w:sz="4" w:space="0" w:color="auto"/>
            </w:tcBorders>
            <w:shd w:val="clear" w:color="auto" w:fill="auto"/>
            <w:vAlign w:val="center"/>
            <w:hideMark/>
          </w:tcPr>
          <w:p w14:paraId="1E23307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земеделието и храните</w:t>
            </w:r>
          </w:p>
        </w:tc>
      </w:tr>
      <w:tr w:rsidR="00761800" w:rsidRPr="00761800" w14:paraId="77C85D93" w14:textId="77777777" w:rsidTr="00406B4D">
        <w:trPr>
          <w:trHeight w:val="408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4095CC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142</w:t>
            </w:r>
          </w:p>
        </w:tc>
        <w:tc>
          <w:tcPr>
            <w:tcW w:w="529" w:type="pct"/>
            <w:tcBorders>
              <w:top w:val="nil"/>
              <w:left w:val="nil"/>
              <w:bottom w:val="single" w:sz="4" w:space="0" w:color="auto"/>
              <w:right w:val="single" w:sz="4" w:space="0" w:color="auto"/>
            </w:tcBorders>
            <w:shd w:val="clear" w:color="auto" w:fill="auto"/>
            <w:noWrap/>
            <w:vAlign w:val="center"/>
            <w:hideMark/>
          </w:tcPr>
          <w:p w14:paraId="063912E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NP-25.001-0141</w:t>
            </w:r>
          </w:p>
        </w:tc>
        <w:tc>
          <w:tcPr>
            <w:tcW w:w="855" w:type="pct"/>
            <w:tcBorders>
              <w:top w:val="nil"/>
              <w:left w:val="nil"/>
              <w:bottom w:val="single" w:sz="4" w:space="0" w:color="auto"/>
              <w:right w:val="single" w:sz="4" w:space="0" w:color="auto"/>
            </w:tcBorders>
            <w:shd w:val="clear" w:color="auto" w:fill="auto"/>
            <w:vAlign w:val="center"/>
            <w:hideMark/>
          </w:tcPr>
          <w:p w14:paraId="56966B1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Дофинансиране на ДП НКЖИ за проект: „Модернизация на железопътната линия София-Пловдив - жп участъка Елин Пелин – Костенец фаза 2“</w:t>
            </w:r>
          </w:p>
        </w:tc>
        <w:tc>
          <w:tcPr>
            <w:tcW w:w="436" w:type="pct"/>
            <w:tcBorders>
              <w:top w:val="nil"/>
              <w:left w:val="nil"/>
              <w:bottom w:val="single" w:sz="4" w:space="0" w:color="auto"/>
              <w:right w:val="single" w:sz="4" w:space="0" w:color="auto"/>
            </w:tcBorders>
            <w:shd w:val="clear" w:color="auto" w:fill="auto"/>
            <w:vAlign w:val="center"/>
            <w:hideMark/>
          </w:tcPr>
          <w:p w14:paraId="6396A53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30 053,4</w:t>
            </w:r>
          </w:p>
        </w:tc>
        <w:tc>
          <w:tcPr>
            <w:tcW w:w="436" w:type="pct"/>
            <w:tcBorders>
              <w:top w:val="nil"/>
              <w:left w:val="nil"/>
              <w:bottom w:val="single" w:sz="4" w:space="0" w:color="auto"/>
              <w:right w:val="single" w:sz="4" w:space="0" w:color="auto"/>
            </w:tcBorders>
            <w:shd w:val="clear" w:color="auto" w:fill="auto"/>
            <w:vAlign w:val="center"/>
            <w:hideMark/>
          </w:tcPr>
          <w:p w14:paraId="254D561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3 081,8</w:t>
            </w:r>
          </w:p>
        </w:tc>
        <w:tc>
          <w:tcPr>
            <w:tcW w:w="436" w:type="pct"/>
            <w:tcBorders>
              <w:top w:val="nil"/>
              <w:left w:val="nil"/>
              <w:bottom w:val="single" w:sz="4" w:space="0" w:color="auto"/>
              <w:right w:val="single" w:sz="4" w:space="0" w:color="auto"/>
            </w:tcBorders>
            <w:shd w:val="clear" w:color="auto" w:fill="auto"/>
            <w:vAlign w:val="center"/>
            <w:hideMark/>
          </w:tcPr>
          <w:p w14:paraId="22EBCCA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5 136,3</w:t>
            </w:r>
          </w:p>
        </w:tc>
        <w:tc>
          <w:tcPr>
            <w:tcW w:w="1524" w:type="pct"/>
            <w:tcBorders>
              <w:top w:val="nil"/>
              <w:left w:val="nil"/>
              <w:bottom w:val="single" w:sz="4" w:space="0" w:color="auto"/>
              <w:right w:val="single" w:sz="4" w:space="0" w:color="auto"/>
            </w:tcBorders>
            <w:shd w:val="clear" w:color="auto" w:fill="auto"/>
            <w:vAlign w:val="center"/>
            <w:hideMark/>
          </w:tcPr>
          <w:p w14:paraId="4B15F90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Дължина на реконструираните или модернизирани железопътни линии — TEN-T - 29,09</w:t>
            </w:r>
            <w:r w:rsidRPr="00761800">
              <w:rPr>
                <w:rFonts w:ascii="Times New Roman" w:hAnsi="Times New Roman"/>
                <w:sz w:val="20"/>
                <w:lang w:eastAsia="bg-BG"/>
              </w:rPr>
              <w:br/>
              <w:t>2. Изградена/подновена контактна мрежа - 104,45</w:t>
            </w:r>
            <w:r w:rsidRPr="00761800">
              <w:rPr>
                <w:rFonts w:ascii="Times New Roman" w:hAnsi="Times New Roman"/>
                <w:sz w:val="20"/>
                <w:lang w:eastAsia="bg-BG"/>
              </w:rPr>
              <w:br/>
              <w:t xml:space="preserve">3. Реконструирани, модернизирани или изградени тунели - 20,58  </w:t>
            </w:r>
            <w:r w:rsidRPr="00761800">
              <w:rPr>
                <w:rFonts w:ascii="Times New Roman" w:hAnsi="Times New Roman"/>
                <w:sz w:val="20"/>
                <w:lang w:eastAsia="bg-BG"/>
              </w:rPr>
              <w:br/>
              <w:t>4. Изградени/модернизирани коловозни развития в гари - 2</w:t>
            </w:r>
            <w:r w:rsidRPr="00761800">
              <w:rPr>
                <w:rFonts w:ascii="Times New Roman" w:hAnsi="Times New Roman"/>
                <w:sz w:val="20"/>
                <w:lang w:eastAsia="bg-BG"/>
              </w:rPr>
              <w:br/>
              <w:t xml:space="preserve">5. Изградени надлези/подлези на пътища от РПМ - 5 </w:t>
            </w:r>
            <w:r w:rsidRPr="00761800">
              <w:rPr>
                <w:rFonts w:ascii="Times New Roman" w:hAnsi="Times New Roman"/>
                <w:sz w:val="20"/>
                <w:lang w:eastAsia="bg-BG"/>
              </w:rPr>
              <w:br/>
              <w:t xml:space="preserve">6. Обща дължина на изградени, реконструирани, модернизирани мостове - 2961  </w:t>
            </w:r>
            <w:r w:rsidRPr="00761800">
              <w:rPr>
                <w:rFonts w:ascii="Times New Roman" w:hAnsi="Times New Roman"/>
                <w:sz w:val="20"/>
                <w:lang w:eastAsia="bg-BG"/>
              </w:rPr>
              <w:br/>
              <w:t xml:space="preserve">7. Допустими максимални скорости по железен път - 160  </w:t>
            </w:r>
            <w:r w:rsidRPr="00761800">
              <w:rPr>
                <w:rFonts w:ascii="Times New Roman" w:hAnsi="Times New Roman"/>
                <w:sz w:val="20"/>
                <w:lang w:eastAsia="bg-BG"/>
              </w:rPr>
              <w:br/>
              <w:t xml:space="preserve">8. Възстановени/ ремонтирани/ модернизирани тягови подстанции - 2  </w:t>
            </w:r>
            <w:r w:rsidRPr="00761800">
              <w:rPr>
                <w:rFonts w:ascii="Times New Roman" w:hAnsi="Times New Roman"/>
                <w:sz w:val="20"/>
                <w:lang w:eastAsia="bg-BG"/>
              </w:rPr>
              <w:br/>
              <w:t xml:space="preserve">9. Извършена работа с пътнически железопътен транспорт - 595   </w:t>
            </w:r>
            <w:r w:rsidRPr="00761800">
              <w:rPr>
                <w:rFonts w:ascii="Times New Roman" w:hAnsi="Times New Roman"/>
                <w:sz w:val="20"/>
                <w:lang w:eastAsia="bg-BG"/>
              </w:rPr>
              <w:br/>
              <w:t>10. Изградена/инсталирана система за управление/контрол/комуникация/сигнализация - 4</w:t>
            </w:r>
            <w:r w:rsidRPr="00761800">
              <w:rPr>
                <w:rFonts w:ascii="Times New Roman" w:hAnsi="Times New Roman"/>
                <w:sz w:val="20"/>
                <w:lang w:eastAsia="bg-BG"/>
              </w:rPr>
              <w:br/>
              <w:t xml:space="preserve">11. Доставено оборудване, обзавеждане, машини - 1  </w:t>
            </w:r>
            <w:r w:rsidRPr="00761800">
              <w:rPr>
                <w:rFonts w:ascii="Times New Roman" w:hAnsi="Times New Roman"/>
                <w:sz w:val="20"/>
                <w:lang w:eastAsia="bg-BG"/>
              </w:rPr>
              <w:br/>
              <w:t xml:space="preserve">12. Изградена оптична кабелна линия - 51044 </w:t>
            </w:r>
            <w:r w:rsidRPr="00761800">
              <w:rPr>
                <w:rFonts w:ascii="Times New Roman" w:hAnsi="Times New Roman"/>
                <w:sz w:val="20"/>
                <w:lang w:eastAsia="bg-BG"/>
              </w:rPr>
              <w:br/>
              <w:t>13. Дължина на новите жп линии -TEN-T(Устойчива трансевропейска транспортна мрежа)  - 73</w:t>
            </w:r>
          </w:p>
        </w:tc>
        <w:tc>
          <w:tcPr>
            <w:tcW w:w="627" w:type="pct"/>
            <w:tcBorders>
              <w:top w:val="nil"/>
              <w:left w:val="nil"/>
              <w:bottom w:val="single" w:sz="4" w:space="0" w:color="auto"/>
              <w:right w:val="single" w:sz="4" w:space="0" w:color="auto"/>
            </w:tcBorders>
            <w:shd w:val="clear" w:color="auto" w:fill="auto"/>
            <w:vAlign w:val="center"/>
            <w:hideMark/>
          </w:tcPr>
          <w:p w14:paraId="24FF78C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159663C5" w14:textId="77777777" w:rsidTr="00406B4D">
        <w:trPr>
          <w:trHeight w:val="195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CBACBF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143</w:t>
            </w:r>
          </w:p>
        </w:tc>
        <w:tc>
          <w:tcPr>
            <w:tcW w:w="529" w:type="pct"/>
            <w:tcBorders>
              <w:top w:val="nil"/>
              <w:left w:val="nil"/>
              <w:bottom w:val="single" w:sz="4" w:space="0" w:color="auto"/>
              <w:right w:val="single" w:sz="4" w:space="0" w:color="auto"/>
            </w:tcBorders>
            <w:shd w:val="clear" w:color="auto" w:fill="auto"/>
            <w:noWrap/>
            <w:vAlign w:val="center"/>
            <w:hideMark/>
          </w:tcPr>
          <w:p w14:paraId="052F641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NP-25.001-0143</w:t>
            </w:r>
          </w:p>
        </w:tc>
        <w:tc>
          <w:tcPr>
            <w:tcW w:w="855" w:type="pct"/>
            <w:tcBorders>
              <w:top w:val="nil"/>
              <w:left w:val="nil"/>
              <w:bottom w:val="single" w:sz="4" w:space="0" w:color="auto"/>
              <w:right w:val="single" w:sz="4" w:space="0" w:color="auto"/>
            </w:tcBorders>
            <w:shd w:val="clear" w:color="auto" w:fill="auto"/>
            <w:vAlign w:val="center"/>
            <w:hideMark/>
          </w:tcPr>
          <w:p w14:paraId="061F003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Дофинансиране на ДП НКЖИ за проект: „Модернизация на железопътен участък София - Елин Пелин“</w:t>
            </w:r>
          </w:p>
        </w:tc>
        <w:tc>
          <w:tcPr>
            <w:tcW w:w="436" w:type="pct"/>
            <w:tcBorders>
              <w:top w:val="nil"/>
              <w:left w:val="nil"/>
              <w:bottom w:val="single" w:sz="4" w:space="0" w:color="auto"/>
              <w:right w:val="single" w:sz="4" w:space="0" w:color="auto"/>
            </w:tcBorders>
            <w:shd w:val="clear" w:color="auto" w:fill="auto"/>
            <w:vAlign w:val="center"/>
            <w:hideMark/>
          </w:tcPr>
          <w:p w14:paraId="6E5863F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1 346,2</w:t>
            </w:r>
          </w:p>
        </w:tc>
        <w:tc>
          <w:tcPr>
            <w:tcW w:w="436" w:type="pct"/>
            <w:tcBorders>
              <w:top w:val="nil"/>
              <w:left w:val="nil"/>
              <w:bottom w:val="single" w:sz="4" w:space="0" w:color="auto"/>
              <w:right w:val="single" w:sz="4" w:space="0" w:color="auto"/>
            </w:tcBorders>
            <w:shd w:val="clear" w:color="auto" w:fill="auto"/>
            <w:vAlign w:val="center"/>
            <w:hideMark/>
          </w:tcPr>
          <w:p w14:paraId="4FFF219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14 569,5</w:t>
            </w:r>
          </w:p>
        </w:tc>
        <w:tc>
          <w:tcPr>
            <w:tcW w:w="436" w:type="pct"/>
            <w:tcBorders>
              <w:top w:val="nil"/>
              <w:left w:val="nil"/>
              <w:bottom w:val="single" w:sz="4" w:space="0" w:color="auto"/>
              <w:right w:val="single" w:sz="4" w:space="0" w:color="auto"/>
            </w:tcBorders>
            <w:shd w:val="clear" w:color="auto" w:fill="auto"/>
            <w:vAlign w:val="center"/>
            <w:hideMark/>
          </w:tcPr>
          <w:p w14:paraId="09B78BD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14 569,5</w:t>
            </w:r>
          </w:p>
        </w:tc>
        <w:tc>
          <w:tcPr>
            <w:tcW w:w="1524" w:type="pct"/>
            <w:tcBorders>
              <w:top w:val="nil"/>
              <w:left w:val="nil"/>
              <w:bottom w:val="single" w:sz="4" w:space="0" w:color="auto"/>
              <w:right w:val="single" w:sz="4" w:space="0" w:color="auto"/>
            </w:tcBorders>
            <w:shd w:val="clear" w:color="auto" w:fill="auto"/>
            <w:vAlign w:val="center"/>
            <w:hideMark/>
          </w:tcPr>
          <w:p w14:paraId="617BD07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1. Премахнати ж.п. прелези - 2</w:t>
            </w:r>
            <w:r w:rsidRPr="00761800">
              <w:rPr>
                <w:rFonts w:ascii="Times New Roman" w:hAnsi="Times New Roman"/>
                <w:sz w:val="20"/>
                <w:lang w:eastAsia="bg-BG"/>
              </w:rPr>
              <w:br/>
              <w:t>2. Строителство/реконструкция/рехабилитация на мостове - 6</w:t>
            </w:r>
            <w:r w:rsidRPr="00761800">
              <w:rPr>
                <w:rFonts w:ascii="Times New Roman" w:hAnsi="Times New Roman"/>
                <w:sz w:val="20"/>
                <w:lang w:eastAsia="bg-BG"/>
              </w:rPr>
              <w:br/>
              <w:t>3. Строителство/реконструкция/рехабилитация на подлези  - 15</w:t>
            </w:r>
            <w:r w:rsidRPr="00761800">
              <w:rPr>
                <w:rFonts w:ascii="Times New Roman" w:hAnsi="Times New Roman"/>
                <w:sz w:val="20"/>
                <w:lang w:eastAsia="bg-BG"/>
              </w:rPr>
              <w:br/>
              <w:t xml:space="preserve">4. Строителство/реконструкция/рехабилитация на надлези  - 2 </w:t>
            </w:r>
            <w:r w:rsidRPr="00761800">
              <w:rPr>
                <w:rFonts w:ascii="Times New Roman" w:hAnsi="Times New Roman"/>
                <w:sz w:val="20"/>
                <w:lang w:eastAsia="bg-BG"/>
              </w:rPr>
              <w:br/>
              <w:t xml:space="preserve">5. Модернизирани и реконструирани двойна жп линия и контактна мрежа, съответстваща на изискванията на ТСОС - 22 </w:t>
            </w:r>
            <w:r w:rsidRPr="00761800">
              <w:rPr>
                <w:rFonts w:ascii="Times New Roman" w:hAnsi="Times New Roman"/>
                <w:sz w:val="20"/>
                <w:lang w:eastAsia="bg-BG"/>
              </w:rPr>
              <w:br/>
              <w:t>6. Строителство/реконструкция на перони - 13</w:t>
            </w:r>
          </w:p>
        </w:tc>
        <w:tc>
          <w:tcPr>
            <w:tcW w:w="627" w:type="pct"/>
            <w:tcBorders>
              <w:top w:val="nil"/>
              <w:left w:val="nil"/>
              <w:bottom w:val="single" w:sz="4" w:space="0" w:color="auto"/>
              <w:right w:val="single" w:sz="4" w:space="0" w:color="auto"/>
            </w:tcBorders>
            <w:shd w:val="clear" w:color="auto" w:fill="auto"/>
            <w:vAlign w:val="center"/>
            <w:hideMark/>
          </w:tcPr>
          <w:p w14:paraId="65F8D1D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54FB5444" w14:textId="77777777" w:rsidTr="00406B4D">
        <w:trPr>
          <w:trHeight w:val="339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57E476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144</w:t>
            </w:r>
          </w:p>
        </w:tc>
        <w:tc>
          <w:tcPr>
            <w:tcW w:w="529" w:type="pct"/>
            <w:tcBorders>
              <w:top w:val="nil"/>
              <w:left w:val="nil"/>
              <w:bottom w:val="single" w:sz="4" w:space="0" w:color="auto"/>
              <w:right w:val="single" w:sz="4" w:space="0" w:color="auto"/>
            </w:tcBorders>
            <w:shd w:val="clear" w:color="auto" w:fill="auto"/>
            <w:noWrap/>
            <w:vAlign w:val="center"/>
            <w:hideMark/>
          </w:tcPr>
          <w:p w14:paraId="1886BF5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NP-25.001-0144</w:t>
            </w:r>
          </w:p>
        </w:tc>
        <w:tc>
          <w:tcPr>
            <w:tcW w:w="855" w:type="pct"/>
            <w:tcBorders>
              <w:top w:val="nil"/>
              <w:left w:val="nil"/>
              <w:bottom w:val="single" w:sz="4" w:space="0" w:color="auto"/>
              <w:right w:val="single" w:sz="4" w:space="0" w:color="auto"/>
            </w:tcBorders>
            <w:shd w:val="clear" w:color="auto" w:fill="auto"/>
            <w:vAlign w:val="center"/>
            <w:hideMark/>
          </w:tcPr>
          <w:p w14:paraId="0466726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Дофинансиране  на ДП НКЖИ за проект : „Модернизация на железопътния участък Костенец-Септември“</w:t>
            </w:r>
          </w:p>
        </w:tc>
        <w:tc>
          <w:tcPr>
            <w:tcW w:w="436" w:type="pct"/>
            <w:tcBorders>
              <w:top w:val="nil"/>
              <w:left w:val="nil"/>
              <w:bottom w:val="single" w:sz="4" w:space="0" w:color="auto"/>
              <w:right w:val="single" w:sz="4" w:space="0" w:color="auto"/>
            </w:tcBorders>
            <w:shd w:val="clear" w:color="auto" w:fill="auto"/>
            <w:vAlign w:val="center"/>
            <w:hideMark/>
          </w:tcPr>
          <w:p w14:paraId="693F831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1 688,0</w:t>
            </w:r>
          </w:p>
        </w:tc>
        <w:tc>
          <w:tcPr>
            <w:tcW w:w="436" w:type="pct"/>
            <w:tcBorders>
              <w:top w:val="nil"/>
              <w:left w:val="nil"/>
              <w:bottom w:val="single" w:sz="4" w:space="0" w:color="auto"/>
              <w:right w:val="single" w:sz="4" w:space="0" w:color="auto"/>
            </w:tcBorders>
            <w:shd w:val="clear" w:color="auto" w:fill="auto"/>
            <w:vAlign w:val="center"/>
            <w:hideMark/>
          </w:tcPr>
          <w:p w14:paraId="44946FC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3 293,3</w:t>
            </w:r>
          </w:p>
        </w:tc>
        <w:tc>
          <w:tcPr>
            <w:tcW w:w="436" w:type="pct"/>
            <w:tcBorders>
              <w:top w:val="nil"/>
              <w:left w:val="nil"/>
              <w:bottom w:val="single" w:sz="4" w:space="0" w:color="auto"/>
              <w:right w:val="single" w:sz="4" w:space="0" w:color="auto"/>
            </w:tcBorders>
            <w:shd w:val="clear" w:color="auto" w:fill="auto"/>
            <w:vAlign w:val="center"/>
            <w:hideMark/>
          </w:tcPr>
          <w:p w14:paraId="0D920E0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1 416,8</w:t>
            </w:r>
          </w:p>
        </w:tc>
        <w:tc>
          <w:tcPr>
            <w:tcW w:w="1524" w:type="pct"/>
            <w:tcBorders>
              <w:top w:val="nil"/>
              <w:left w:val="nil"/>
              <w:bottom w:val="single" w:sz="4" w:space="0" w:color="auto"/>
              <w:right w:val="single" w:sz="4" w:space="0" w:color="auto"/>
            </w:tcBorders>
            <w:shd w:val="clear" w:color="auto" w:fill="auto"/>
            <w:vAlign w:val="center"/>
            <w:hideMark/>
          </w:tcPr>
          <w:p w14:paraId="372FD98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Модернизирани и реконструирани двойна жп линия и контактна мрежа, съответстваща на изискванията на ТСОС - 24,48  </w:t>
            </w:r>
            <w:r w:rsidRPr="00761800">
              <w:rPr>
                <w:rFonts w:ascii="Times New Roman" w:hAnsi="Times New Roman"/>
                <w:sz w:val="20"/>
                <w:lang w:eastAsia="bg-BG"/>
              </w:rPr>
              <w:br/>
              <w:t>2. Изграждане на нова ж.п. гара и реконструкция на съществуваща ж.п. гара  - 2</w:t>
            </w:r>
            <w:r w:rsidRPr="00761800">
              <w:rPr>
                <w:rFonts w:ascii="Times New Roman" w:hAnsi="Times New Roman"/>
                <w:sz w:val="20"/>
                <w:lang w:eastAsia="bg-BG"/>
              </w:rPr>
              <w:br/>
              <w:t xml:space="preserve">3. Реконструкция на съществуваща тягова подстанция - 1   </w:t>
            </w:r>
            <w:r w:rsidRPr="00761800">
              <w:rPr>
                <w:rFonts w:ascii="Times New Roman" w:hAnsi="Times New Roman"/>
                <w:sz w:val="20"/>
                <w:lang w:eastAsia="bg-BG"/>
              </w:rPr>
              <w:br/>
              <w:t>4. Изграждане на тунели  - 3</w:t>
            </w:r>
            <w:r w:rsidRPr="00761800">
              <w:rPr>
                <w:rFonts w:ascii="Times New Roman" w:hAnsi="Times New Roman"/>
                <w:sz w:val="20"/>
                <w:lang w:eastAsia="bg-BG"/>
              </w:rPr>
              <w:br/>
              <w:t xml:space="preserve">5. Изграждане на мостове и виадукти - 23   </w:t>
            </w:r>
            <w:r w:rsidRPr="00761800">
              <w:rPr>
                <w:rFonts w:ascii="Times New Roman" w:hAnsi="Times New Roman"/>
                <w:sz w:val="20"/>
                <w:lang w:eastAsia="bg-BG"/>
              </w:rPr>
              <w:br/>
              <w:t xml:space="preserve">6. Изграждане на нови пътни надлеза  - 3  </w:t>
            </w:r>
            <w:r w:rsidRPr="00761800">
              <w:rPr>
                <w:rFonts w:ascii="Times New Roman" w:hAnsi="Times New Roman"/>
                <w:sz w:val="20"/>
                <w:lang w:eastAsia="bg-BG"/>
              </w:rPr>
              <w:br/>
              <w:t xml:space="preserve">7. Изграждане на нови пътни подлези  - 1 </w:t>
            </w:r>
            <w:r w:rsidRPr="00761800">
              <w:rPr>
                <w:rFonts w:ascii="Times New Roman" w:hAnsi="Times New Roman"/>
                <w:sz w:val="20"/>
                <w:lang w:eastAsia="bg-BG"/>
              </w:rPr>
              <w:br/>
              <w:t xml:space="preserve">8. Изграждане на подпорни стени - 4792,08   </w:t>
            </w:r>
            <w:r w:rsidRPr="00761800">
              <w:rPr>
                <w:rFonts w:ascii="Times New Roman" w:hAnsi="Times New Roman"/>
                <w:sz w:val="20"/>
                <w:lang w:eastAsia="bg-BG"/>
              </w:rPr>
              <w:br/>
              <w:t xml:space="preserve">9. Изграждане на дренажни тръби - 604,5   </w:t>
            </w:r>
            <w:r w:rsidRPr="00761800">
              <w:rPr>
                <w:rFonts w:ascii="Times New Roman" w:hAnsi="Times New Roman"/>
                <w:sz w:val="20"/>
                <w:lang w:eastAsia="bg-BG"/>
              </w:rPr>
              <w:br/>
              <w:t xml:space="preserve">10. Изграждане на шумозащитни бариери - 3698,88  </w:t>
            </w:r>
            <w:r w:rsidRPr="00761800">
              <w:rPr>
                <w:rFonts w:ascii="Times New Roman" w:hAnsi="Times New Roman"/>
                <w:sz w:val="20"/>
                <w:lang w:eastAsia="bg-BG"/>
              </w:rPr>
              <w:br/>
              <w:t xml:space="preserve">11. Изграждане на системи за управление на железопътно движение в нови гари - 2    </w:t>
            </w:r>
          </w:p>
        </w:tc>
        <w:tc>
          <w:tcPr>
            <w:tcW w:w="627" w:type="pct"/>
            <w:tcBorders>
              <w:top w:val="nil"/>
              <w:left w:val="nil"/>
              <w:bottom w:val="single" w:sz="4" w:space="0" w:color="auto"/>
              <w:right w:val="single" w:sz="4" w:space="0" w:color="auto"/>
            </w:tcBorders>
            <w:shd w:val="clear" w:color="auto" w:fill="auto"/>
            <w:vAlign w:val="center"/>
            <w:hideMark/>
          </w:tcPr>
          <w:p w14:paraId="41B8435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636BB13F" w14:textId="77777777" w:rsidTr="00406B4D">
        <w:trPr>
          <w:trHeight w:val="153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8DC866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145</w:t>
            </w:r>
          </w:p>
        </w:tc>
        <w:tc>
          <w:tcPr>
            <w:tcW w:w="529" w:type="pct"/>
            <w:tcBorders>
              <w:top w:val="nil"/>
              <w:left w:val="nil"/>
              <w:bottom w:val="single" w:sz="4" w:space="0" w:color="auto"/>
              <w:right w:val="single" w:sz="4" w:space="0" w:color="auto"/>
            </w:tcBorders>
            <w:shd w:val="clear" w:color="auto" w:fill="auto"/>
            <w:noWrap/>
            <w:vAlign w:val="center"/>
            <w:hideMark/>
          </w:tcPr>
          <w:p w14:paraId="4F1BEA4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NP-25.001-0146</w:t>
            </w:r>
          </w:p>
        </w:tc>
        <w:tc>
          <w:tcPr>
            <w:tcW w:w="855" w:type="pct"/>
            <w:tcBorders>
              <w:top w:val="nil"/>
              <w:left w:val="nil"/>
              <w:bottom w:val="single" w:sz="4" w:space="0" w:color="auto"/>
              <w:right w:val="single" w:sz="4" w:space="0" w:color="auto"/>
            </w:tcBorders>
            <w:shd w:val="clear" w:color="auto" w:fill="auto"/>
            <w:vAlign w:val="center"/>
            <w:hideMark/>
          </w:tcPr>
          <w:p w14:paraId="7CF700E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Дофинансиране на ДП НКЖИ за проект: „Рехабилитация на железопътната инфраструктура по жп линията Пловдив-Бургас, Фаза 2, Етап 2“</w:t>
            </w:r>
          </w:p>
        </w:tc>
        <w:tc>
          <w:tcPr>
            <w:tcW w:w="436" w:type="pct"/>
            <w:tcBorders>
              <w:top w:val="nil"/>
              <w:left w:val="nil"/>
              <w:bottom w:val="single" w:sz="4" w:space="0" w:color="auto"/>
              <w:right w:val="single" w:sz="4" w:space="0" w:color="auto"/>
            </w:tcBorders>
            <w:shd w:val="clear" w:color="auto" w:fill="auto"/>
            <w:vAlign w:val="center"/>
            <w:hideMark/>
          </w:tcPr>
          <w:p w14:paraId="2AEB763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3 012,6</w:t>
            </w:r>
          </w:p>
        </w:tc>
        <w:tc>
          <w:tcPr>
            <w:tcW w:w="436" w:type="pct"/>
            <w:tcBorders>
              <w:top w:val="nil"/>
              <w:left w:val="nil"/>
              <w:bottom w:val="single" w:sz="4" w:space="0" w:color="auto"/>
              <w:right w:val="single" w:sz="4" w:space="0" w:color="auto"/>
            </w:tcBorders>
            <w:shd w:val="clear" w:color="auto" w:fill="auto"/>
            <w:vAlign w:val="center"/>
            <w:hideMark/>
          </w:tcPr>
          <w:p w14:paraId="2622E80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961,1</w:t>
            </w:r>
          </w:p>
        </w:tc>
        <w:tc>
          <w:tcPr>
            <w:tcW w:w="436" w:type="pct"/>
            <w:tcBorders>
              <w:top w:val="nil"/>
              <w:left w:val="nil"/>
              <w:bottom w:val="single" w:sz="4" w:space="0" w:color="auto"/>
              <w:right w:val="single" w:sz="4" w:space="0" w:color="auto"/>
            </w:tcBorders>
            <w:shd w:val="clear" w:color="auto" w:fill="auto"/>
            <w:vAlign w:val="center"/>
            <w:hideMark/>
          </w:tcPr>
          <w:p w14:paraId="242C62C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961,1</w:t>
            </w:r>
          </w:p>
        </w:tc>
        <w:tc>
          <w:tcPr>
            <w:tcW w:w="1524" w:type="pct"/>
            <w:tcBorders>
              <w:top w:val="nil"/>
              <w:left w:val="nil"/>
              <w:bottom w:val="single" w:sz="4" w:space="0" w:color="auto"/>
              <w:right w:val="single" w:sz="4" w:space="0" w:color="auto"/>
            </w:tcBorders>
            <w:shd w:val="clear" w:color="auto" w:fill="auto"/>
            <w:vAlign w:val="center"/>
            <w:hideMark/>
          </w:tcPr>
          <w:p w14:paraId="55D57CE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Подновени/модернизирани железопътни линии - 33  </w:t>
            </w:r>
            <w:r w:rsidRPr="00761800">
              <w:rPr>
                <w:rFonts w:ascii="Times New Roman" w:hAnsi="Times New Roman"/>
                <w:sz w:val="20"/>
                <w:lang w:eastAsia="bg-BG"/>
              </w:rPr>
              <w:br/>
              <w:t xml:space="preserve">2. Възстановени/ ремонтирани/ модернизирани тягови подстанции - 1    </w:t>
            </w:r>
            <w:r w:rsidRPr="00761800">
              <w:rPr>
                <w:rFonts w:ascii="Times New Roman" w:hAnsi="Times New Roman"/>
                <w:sz w:val="20"/>
                <w:lang w:eastAsia="bg-BG"/>
              </w:rPr>
              <w:br/>
              <w:t xml:space="preserve">3. Премахнати ж.п. прелези - 11  </w:t>
            </w:r>
            <w:r w:rsidRPr="00761800">
              <w:rPr>
                <w:rFonts w:ascii="Times New Roman" w:hAnsi="Times New Roman"/>
                <w:sz w:val="20"/>
                <w:lang w:eastAsia="bg-BG"/>
              </w:rPr>
              <w:br/>
              <w:t xml:space="preserve">4. Изградени селскостопански надлези - 11  </w:t>
            </w:r>
            <w:r w:rsidRPr="00761800">
              <w:rPr>
                <w:rFonts w:ascii="Times New Roman" w:hAnsi="Times New Roman"/>
                <w:sz w:val="20"/>
                <w:lang w:eastAsia="bg-BG"/>
              </w:rPr>
              <w:br/>
              <w:t xml:space="preserve">5. Изградена/подновена контактна мрежа - 37 </w:t>
            </w:r>
          </w:p>
        </w:tc>
        <w:tc>
          <w:tcPr>
            <w:tcW w:w="627" w:type="pct"/>
            <w:tcBorders>
              <w:top w:val="nil"/>
              <w:left w:val="nil"/>
              <w:bottom w:val="single" w:sz="4" w:space="0" w:color="auto"/>
              <w:right w:val="single" w:sz="4" w:space="0" w:color="auto"/>
            </w:tcBorders>
            <w:shd w:val="clear" w:color="auto" w:fill="auto"/>
            <w:vAlign w:val="center"/>
            <w:hideMark/>
          </w:tcPr>
          <w:p w14:paraId="7A24736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521863A9" w14:textId="77777777" w:rsidTr="00406B4D">
        <w:trPr>
          <w:trHeight w:val="153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57BA9B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146</w:t>
            </w:r>
          </w:p>
        </w:tc>
        <w:tc>
          <w:tcPr>
            <w:tcW w:w="529" w:type="pct"/>
            <w:tcBorders>
              <w:top w:val="nil"/>
              <w:left w:val="nil"/>
              <w:bottom w:val="single" w:sz="4" w:space="0" w:color="auto"/>
              <w:right w:val="single" w:sz="4" w:space="0" w:color="auto"/>
            </w:tcBorders>
            <w:shd w:val="clear" w:color="auto" w:fill="auto"/>
            <w:noWrap/>
            <w:vAlign w:val="center"/>
            <w:hideMark/>
          </w:tcPr>
          <w:p w14:paraId="642A6D3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NP-25.001-0145</w:t>
            </w:r>
          </w:p>
        </w:tc>
        <w:tc>
          <w:tcPr>
            <w:tcW w:w="855" w:type="pct"/>
            <w:tcBorders>
              <w:top w:val="nil"/>
              <w:left w:val="nil"/>
              <w:bottom w:val="single" w:sz="4" w:space="0" w:color="auto"/>
              <w:right w:val="single" w:sz="4" w:space="0" w:color="auto"/>
            </w:tcBorders>
            <w:shd w:val="clear" w:color="auto" w:fill="auto"/>
            <w:vAlign w:val="center"/>
            <w:hideMark/>
          </w:tcPr>
          <w:p w14:paraId="4AAC45A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Дофинансиране на ДП НКЖИ за проект: „Развитие на железопътен възел Пловдив“</w:t>
            </w:r>
          </w:p>
        </w:tc>
        <w:tc>
          <w:tcPr>
            <w:tcW w:w="436" w:type="pct"/>
            <w:tcBorders>
              <w:top w:val="nil"/>
              <w:left w:val="nil"/>
              <w:bottom w:val="single" w:sz="4" w:space="0" w:color="auto"/>
              <w:right w:val="single" w:sz="4" w:space="0" w:color="auto"/>
            </w:tcBorders>
            <w:shd w:val="clear" w:color="auto" w:fill="auto"/>
            <w:vAlign w:val="center"/>
            <w:hideMark/>
          </w:tcPr>
          <w:p w14:paraId="4DF9B2E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13 949,7</w:t>
            </w:r>
          </w:p>
        </w:tc>
        <w:tc>
          <w:tcPr>
            <w:tcW w:w="436" w:type="pct"/>
            <w:tcBorders>
              <w:top w:val="nil"/>
              <w:left w:val="nil"/>
              <w:bottom w:val="single" w:sz="4" w:space="0" w:color="auto"/>
              <w:right w:val="single" w:sz="4" w:space="0" w:color="auto"/>
            </w:tcBorders>
            <w:shd w:val="clear" w:color="auto" w:fill="auto"/>
            <w:vAlign w:val="center"/>
            <w:hideMark/>
          </w:tcPr>
          <w:p w14:paraId="7F50EC1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5E7EBDB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F421EA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Желен път - 59  </w:t>
            </w:r>
            <w:r w:rsidRPr="00761800">
              <w:rPr>
                <w:rFonts w:ascii="Times New Roman" w:hAnsi="Times New Roman"/>
                <w:sz w:val="20"/>
                <w:lang w:eastAsia="bg-BG"/>
              </w:rPr>
              <w:br/>
              <w:t xml:space="preserve">2. Контактна мрежа - 68  </w:t>
            </w:r>
            <w:r w:rsidRPr="00761800">
              <w:rPr>
                <w:rFonts w:ascii="Times New Roman" w:hAnsi="Times New Roman"/>
                <w:sz w:val="20"/>
                <w:lang w:eastAsia="bg-BG"/>
              </w:rPr>
              <w:br/>
              <w:t xml:space="preserve">3. СиТ - 23  </w:t>
            </w:r>
            <w:r w:rsidRPr="00761800">
              <w:rPr>
                <w:rFonts w:ascii="Times New Roman" w:hAnsi="Times New Roman"/>
                <w:sz w:val="20"/>
                <w:lang w:eastAsia="bg-BG"/>
              </w:rPr>
              <w:br/>
              <w:t xml:space="preserve">4. Мостове - 2   </w:t>
            </w:r>
            <w:r w:rsidRPr="00761800">
              <w:rPr>
                <w:rFonts w:ascii="Times New Roman" w:hAnsi="Times New Roman"/>
                <w:sz w:val="20"/>
                <w:lang w:eastAsia="bg-BG"/>
              </w:rPr>
              <w:br/>
              <w:t>5. Подлези/надлези - 9</w:t>
            </w:r>
          </w:p>
        </w:tc>
        <w:tc>
          <w:tcPr>
            <w:tcW w:w="627" w:type="pct"/>
            <w:tcBorders>
              <w:top w:val="nil"/>
              <w:left w:val="nil"/>
              <w:bottom w:val="single" w:sz="4" w:space="0" w:color="auto"/>
              <w:right w:val="single" w:sz="4" w:space="0" w:color="auto"/>
            </w:tcBorders>
            <w:shd w:val="clear" w:color="auto" w:fill="auto"/>
            <w:vAlign w:val="center"/>
            <w:hideMark/>
          </w:tcPr>
          <w:p w14:paraId="669DE2F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621B0396" w14:textId="77777777" w:rsidTr="00406B4D">
        <w:trPr>
          <w:trHeight w:val="459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CB42D0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147</w:t>
            </w:r>
          </w:p>
        </w:tc>
        <w:tc>
          <w:tcPr>
            <w:tcW w:w="529" w:type="pct"/>
            <w:tcBorders>
              <w:top w:val="nil"/>
              <w:left w:val="nil"/>
              <w:bottom w:val="single" w:sz="4" w:space="0" w:color="auto"/>
              <w:right w:val="single" w:sz="4" w:space="0" w:color="auto"/>
            </w:tcBorders>
            <w:shd w:val="clear" w:color="auto" w:fill="auto"/>
            <w:noWrap/>
            <w:vAlign w:val="center"/>
            <w:hideMark/>
          </w:tcPr>
          <w:p w14:paraId="772F345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NP-26.001-0082</w:t>
            </w:r>
          </w:p>
        </w:tc>
        <w:tc>
          <w:tcPr>
            <w:tcW w:w="855" w:type="pct"/>
            <w:tcBorders>
              <w:top w:val="nil"/>
              <w:left w:val="nil"/>
              <w:bottom w:val="single" w:sz="4" w:space="0" w:color="auto"/>
              <w:right w:val="single" w:sz="4" w:space="0" w:color="auto"/>
            </w:tcBorders>
            <w:shd w:val="clear" w:color="auto" w:fill="auto"/>
            <w:vAlign w:val="center"/>
            <w:hideMark/>
          </w:tcPr>
          <w:p w14:paraId="68F7B13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Дофинансиране на ДП НКЖИ за проект: Техническа помощ за подготовка на проект  „Модернизация на жп участък Мездра-Медковец“</w:t>
            </w:r>
          </w:p>
        </w:tc>
        <w:tc>
          <w:tcPr>
            <w:tcW w:w="436" w:type="pct"/>
            <w:tcBorders>
              <w:top w:val="nil"/>
              <w:left w:val="nil"/>
              <w:bottom w:val="single" w:sz="4" w:space="0" w:color="auto"/>
              <w:right w:val="single" w:sz="4" w:space="0" w:color="auto"/>
            </w:tcBorders>
            <w:shd w:val="clear" w:color="auto" w:fill="auto"/>
            <w:vAlign w:val="center"/>
            <w:hideMark/>
          </w:tcPr>
          <w:p w14:paraId="015578A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300,0</w:t>
            </w:r>
          </w:p>
        </w:tc>
        <w:tc>
          <w:tcPr>
            <w:tcW w:w="436" w:type="pct"/>
            <w:tcBorders>
              <w:top w:val="nil"/>
              <w:left w:val="nil"/>
              <w:bottom w:val="single" w:sz="4" w:space="0" w:color="auto"/>
              <w:right w:val="single" w:sz="4" w:space="0" w:color="auto"/>
            </w:tcBorders>
            <w:shd w:val="clear" w:color="auto" w:fill="auto"/>
            <w:vAlign w:val="center"/>
            <w:hideMark/>
          </w:tcPr>
          <w:p w14:paraId="4702359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3ACEF86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11BD00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Обявяване на процедури - избор на Изпълнител, избор на Консултант по ЗУТ, археолози, ТСОС, публичност, ОВОС - 6  </w:t>
            </w:r>
            <w:r w:rsidRPr="00761800">
              <w:rPr>
                <w:rFonts w:ascii="Times New Roman" w:hAnsi="Times New Roman"/>
                <w:sz w:val="20"/>
                <w:lang w:eastAsia="bg-BG"/>
              </w:rPr>
              <w:br/>
              <w:t xml:space="preserve">2. Подписване на договори - избор на Изпълнител, избор на Консултант по ЗУТ, археолози, ТСОС, публичност, ОВОС - 6   </w:t>
            </w:r>
            <w:r w:rsidRPr="00761800">
              <w:rPr>
                <w:rFonts w:ascii="Times New Roman" w:hAnsi="Times New Roman"/>
                <w:sz w:val="20"/>
                <w:lang w:eastAsia="bg-BG"/>
              </w:rPr>
              <w:br/>
              <w:t xml:space="preserve">3. Изготвен Доклад за преглед и анализ на проекта - 1    </w:t>
            </w:r>
            <w:r w:rsidRPr="00761800">
              <w:rPr>
                <w:rFonts w:ascii="Times New Roman" w:hAnsi="Times New Roman"/>
                <w:sz w:val="20"/>
                <w:lang w:eastAsia="bg-BG"/>
              </w:rPr>
              <w:br/>
              <w:t xml:space="preserve">4. Изготвен технически проект - 1  </w:t>
            </w:r>
            <w:r w:rsidRPr="00761800">
              <w:rPr>
                <w:rFonts w:ascii="Times New Roman" w:hAnsi="Times New Roman"/>
                <w:sz w:val="20"/>
                <w:lang w:eastAsia="bg-BG"/>
              </w:rPr>
              <w:br/>
              <w:t xml:space="preserve">5. Изготвен ПУП - 14   </w:t>
            </w:r>
            <w:r w:rsidRPr="00761800">
              <w:rPr>
                <w:rFonts w:ascii="Times New Roman" w:hAnsi="Times New Roman"/>
                <w:sz w:val="20"/>
                <w:lang w:eastAsia="bg-BG"/>
              </w:rPr>
              <w:br/>
              <w:t xml:space="preserve">6. Изготвени технически спецификации за строителство - 7    </w:t>
            </w:r>
            <w:r w:rsidRPr="00761800">
              <w:rPr>
                <w:rFonts w:ascii="Times New Roman" w:hAnsi="Times New Roman"/>
                <w:sz w:val="20"/>
                <w:lang w:eastAsia="bg-BG"/>
              </w:rPr>
              <w:br/>
              <w:t xml:space="preserve">7. Изготвен Доклад по ОВОС - 1   </w:t>
            </w:r>
            <w:r w:rsidRPr="00761800">
              <w:rPr>
                <w:rFonts w:ascii="Times New Roman" w:hAnsi="Times New Roman"/>
                <w:sz w:val="20"/>
                <w:lang w:eastAsia="bg-BG"/>
              </w:rPr>
              <w:br/>
              <w:t>8. Изготвяне на Комплексен доклад  - 1</w:t>
            </w:r>
            <w:r w:rsidRPr="00761800">
              <w:rPr>
                <w:rFonts w:ascii="Times New Roman" w:hAnsi="Times New Roman"/>
                <w:sz w:val="20"/>
                <w:lang w:eastAsia="bg-BG"/>
              </w:rPr>
              <w:br/>
              <w:t>9. Изготвен Междинен доклад за оперативна съвместимост  - 3</w:t>
            </w:r>
            <w:r w:rsidRPr="00761800">
              <w:rPr>
                <w:rFonts w:ascii="Times New Roman" w:hAnsi="Times New Roman"/>
                <w:sz w:val="20"/>
                <w:lang w:eastAsia="bg-BG"/>
              </w:rPr>
              <w:br/>
              <w:t xml:space="preserve">10. Издаден ЕС сертификат за оперативна съвместимост (декларация) - 2  </w:t>
            </w:r>
            <w:r w:rsidRPr="00761800">
              <w:rPr>
                <w:rFonts w:ascii="Times New Roman" w:hAnsi="Times New Roman"/>
                <w:sz w:val="20"/>
                <w:lang w:eastAsia="bg-BG"/>
              </w:rPr>
              <w:br/>
              <w:t xml:space="preserve">11. Изготвен Доклад за резултатите от археологическото проучване - 1   </w:t>
            </w:r>
            <w:r w:rsidRPr="00761800">
              <w:rPr>
                <w:rFonts w:ascii="Times New Roman" w:hAnsi="Times New Roman"/>
                <w:sz w:val="20"/>
                <w:lang w:eastAsia="bg-BG"/>
              </w:rPr>
              <w:br/>
              <w:t xml:space="preserve">12. Изготвен Междинен доклад за изпълнение на публичността  - 1  </w:t>
            </w:r>
            <w:r w:rsidRPr="00761800">
              <w:rPr>
                <w:rFonts w:ascii="Times New Roman" w:hAnsi="Times New Roman"/>
                <w:sz w:val="20"/>
                <w:lang w:eastAsia="bg-BG"/>
              </w:rPr>
              <w:br/>
              <w:t xml:space="preserve">13. Изготвен Окончателен доклад за изпълнение на публичността - 1   </w:t>
            </w:r>
            <w:r w:rsidRPr="00761800">
              <w:rPr>
                <w:rFonts w:ascii="Times New Roman" w:hAnsi="Times New Roman"/>
                <w:sz w:val="20"/>
                <w:lang w:eastAsia="bg-BG"/>
              </w:rPr>
              <w:br/>
              <w:t xml:space="preserve">14. Изготвен Комуникационен план за проекта - 1   </w:t>
            </w:r>
            <w:r w:rsidRPr="00761800">
              <w:rPr>
                <w:rFonts w:ascii="Times New Roman" w:hAnsi="Times New Roman"/>
                <w:sz w:val="20"/>
                <w:lang w:eastAsia="bg-BG"/>
              </w:rPr>
              <w:br/>
              <w:t xml:space="preserve">15. Изготвен План за управление на проекта - 1 </w:t>
            </w:r>
          </w:p>
        </w:tc>
        <w:tc>
          <w:tcPr>
            <w:tcW w:w="627" w:type="pct"/>
            <w:tcBorders>
              <w:top w:val="nil"/>
              <w:left w:val="nil"/>
              <w:bottom w:val="single" w:sz="4" w:space="0" w:color="auto"/>
              <w:right w:val="single" w:sz="4" w:space="0" w:color="auto"/>
            </w:tcBorders>
            <w:shd w:val="clear" w:color="auto" w:fill="auto"/>
            <w:vAlign w:val="center"/>
            <w:hideMark/>
          </w:tcPr>
          <w:p w14:paraId="13092D4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5AE76664" w14:textId="77777777" w:rsidTr="00406B4D">
        <w:trPr>
          <w:trHeight w:val="204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16588E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148</w:t>
            </w:r>
          </w:p>
        </w:tc>
        <w:tc>
          <w:tcPr>
            <w:tcW w:w="529" w:type="pct"/>
            <w:tcBorders>
              <w:top w:val="nil"/>
              <w:left w:val="nil"/>
              <w:bottom w:val="single" w:sz="4" w:space="0" w:color="auto"/>
              <w:right w:val="single" w:sz="4" w:space="0" w:color="auto"/>
            </w:tcBorders>
            <w:shd w:val="clear" w:color="auto" w:fill="auto"/>
            <w:noWrap/>
            <w:vAlign w:val="center"/>
            <w:hideMark/>
          </w:tcPr>
          <w:p w14:paraId="6F42DA7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NP-26.001-0083</w:t>
            </w:r>
          </w:p>
        </w:tc>
        <w:tc>
          <w:tcPr>
            <w:tcW w:w="855" w:type="pct"/>
            <w:tcBorders>
              <w:top w:val="nil"/>
              <w:left w:val="nil"/>
              <w:bottom w:val="single" w:sz="4" w:space="0" w:color="auto"/>
              <w:right w:val="single" w:sz="4" w:space="0" w:color="auto"/>
            </w:tcBorders>
            <w:shd w:val="clear" w:color="auto" w:fill="auto"/>
            <w:vAlign w:val="center"/>
            <w:hideMark/>
          </w:tcPr>
          <w:p w14:paraId="72C3F66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Модернизация на железопътна линия София – Драгоман – сръбска граница, жп участък Волуяк – Драгоман, Фаза 2“</w:t>
            </w:r>
          </w:p>
        </w:tc>
        <w:tc>
          <w:tcPr>
            <w:tcW w:w="436" w:type="pct"/>
            <w:tcBorders>
              <w:top w:val="nil"/>
              <w:left w:val="nil"/>
              <w:bottom w:val="single" w:sz="4" w:space="0" w:color="auto"/>
              <w:right w:val="single" w:sz="4" w:space="0" w:color="auto"/>
            </w:tcBorders>
            <w:shd w:val="clear" w:color="auto" w:fill="auto"/>
            <w:vAlign w:val="center"/>
            <w:hideMark/>
          </w:tcPr>
          <w:p w14:paraId="62D17C5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199C70E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668,5</w:t>
            </w:r>
          </w:p>
        </w:tc>
        <w:tc>
          <w:tcPr>
            <w:tcW w:w="436" w:type="pct"/>
            <w:tcBorders>
              <w:top w:val="nil"/>
              <w:left w:val="nil"/>
              <w:bottom w:val="single" w:sz="4" w:space="0" w:color="auto"/>
              <w:right w:val="single" w:sz="4" w:space="0" w:color="auto"/>
            </w:tcBorders>
            <w:shd w:val="clear" w:color="auto" w:fill="auto"/>
            <w:vAlign w:val="center"/>
            <w:hideMark/>
          </w:tcPr>
          <w:p w14:paraId="21A4DA9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501,4</w:t>
            </w:r>
          </w:p>
        </w:tc>
        <w:tc>
          <w:tcPr>
            <w:tcW w:w="1524" w:type="pct"/>
            <w:tcBorders>
              <w:top w:val="nil"/>
              <w:left w:val="nil"/>
              <w:bottom w:val="single" w:sz="4" w:space="0" w:color="auto"/>
              <w:right w:val="single" w:sz="4" w:space="0" w:color="auto"/>
            </w:tcBorders>
            <w:shd w:val="clear" w:color="auto" w:fill="auto"/>
            <w:vAlign w:val="center"/>
            <w:hideMark/>
          </w:tcPr>
          <w:p w14:paraId="4C637A7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Дължина на реконструираните или модернизирани железопътни линии — TEN-T (основна и широкообхватна мрежа)(Устойчива трансевропейска транспортна мрежа) - 33,34   </w:t>
            </w:r>
            <w:r w:rsidRPr="00761800">
              <w:rPr>
                <w:rFonts w:ascii="Times New Roman" w:hAnsi="Times New Roman"/>
                <w:sz w:val="20"/>
                <w:lang w:eastAsia="bg-BG"/>
              </w:rPr>
              <w:br/>
              <w:t xml:space="preserve">2. Дължина на новите жп линии -TEN-T - 26,9  </w:t>
            </w:r>
            <w:r w:rsidRPr="00761800">
              <w:rPr>
                <w:rFonts w:ascii="Times New Roman" w:hAnsi="Times New Roman"/>
                <w:sz w:val="20"/>
                <w:lang w:eastAsia="bg-BG"/>
              </w:rPr>
              <w:br/>
              <w:t xml:space="preserve">3. Товарни превози с железопътен транспорт - 224,3  </w:t>
            </w:r>
            <w:r w:rsidRPr="00761800">
              <w:rPr>
                <w:rFonts w:ascii="Times New Roman" w:hAnsi="Times New Roman"/>
                <w:sz w:val="20"/>
                <w:lang w:eastAsia="bg-BG"/>
              </w:rPr>
              <w:br/>
              <w:t xml:space="preserve">4. Изградена/подновена контактна мрежа - 29,57  </w:t>
            </w:r>
            <w:r w:rsidRPr="00761800">
              <w:rPr>
                <w:rFonts w:ascii="Times New Roman" w:hAnsi="Times New Roman"/>
                <w:sz w:val="20"/>
                <w:lang w:eastAsia="bg-BG"/>
              </w:rPr>
              <w:br/>
              <w:t>5. Изградена/подновена/модернизирана контактна мрежа - 38,89</w:t>
            </w:r>
          </w:p>
        </w:tc>
        <w:tc>
          <w:tcPr>
            <w:tcW w:w="627" w:type="pct"/>
            <w:tcBorders>
              <w:top w:val="nil"/>
              <w:left w:val="nil"/>
              <w:bottom w:val="single" w:sz="4" w:space="0" w:color="auto"/>
              <w:right w:val="single" w:sz="4" w:space="0" w:color="auto"/>
            </w:tcBorders>
            <w:shd w:val="clear" w:color="auto" w:fill="auto"/>
            <w:vAlign w:val="center"/>
            <w:hideMark/>
          </w:tcPr>
          <w:p w14:paraId="1F5D573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4EFE9C90" w14:textId="77777777" w:rsidTr="00406B4D">
        <w:trPr>
          <w:trHeight w:val="178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A4FF7D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149</w:t>
            </w:r>
          </w:p>
        </w:tc>
        <w:tc>
          <w:tcPr>
            <w:tcW w:w="529" w:type="pct"/>
            <w:tcBorders>
              <w:top w:val="nil"/>
              <w:left w:val="nil"/>
              <w:bottom w:val="single" w:sz="4" w:space="0" w:color="auto"/>
              <w:right w:val="single" w:sz="4" w:space="0" w:color="auto"/>
            </w:tcBorders>
            <w:shd w:val="clear" w:color="auto" w:fill="auto"/>
            <w:noWrap/>
            <w:vAlign w:val="center"/>
            <w:hideMark/>
          </w:tcPr>
          <w:p w14:paraId="68E5154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NP-26.001-0084</w:t>
            </w:r>
          </w:p>
        </w:tc>
        <w:tc>
          <w:tcPr>
            <w:tcW w:w="855" w:type="pct"/>
            <w:tcBorders>
              <w:top w:val="nil"/>
              <w:left w:val="nil"/>
              <w:bottom w:val="single" w:sz="4" w:space="0" w:color="auto"/>
              <w:right w:val="single" w:sz="4" w:space="0" w:color="auto"/>
            </w:tcBorders>
            <w:shd w:val="clear" w:color="auto" w:fill="auto"/>
            <w:vAlign w:val="center"/>
            <w:hideMark/>
          </w:tcPr>
          <w:p w14:paraId="376E3AF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Дофинансиране на ДП НКЖИ за проект: Техническа помощ за подготовка на проекта „Модернизация на железопътния участък Михайлово - Димитровград“</w:t>
            </w:r>
          </w:p>
        </w:tc>
        <w:tc>
          <w:tcPr>
            <w:tcW w:w="436" w:type="pct"/>
            <w:tcBorders>
              <w:top w:val="nil"/>
              <w:left w:val="nil"/>
              <w:bottom w:val="single" w:sz="4" w:space="0" w:color="auto"/>
              <w:right w:val="single" w:sz="4" w:space="0" w:color="auto"/>
            </w:tcBorders>
            <w:shd w:val="clear" w:color="auto" w:fill="auto"/>
            <w:vAlign w:val="center"/>
            <w:hideMark/>
          </w:tcPr>
          <w:p w14:paraId="1AD88DA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100,0</w:t>
            </w:r>
          </w:p>
        </w:tc>
        <w:tc>
          <w:tcPr>
            <w:tcW w:w="436" w:type="pct"/>
            <w:tcBorders>
              <w:top w:val="nil"/>
              <w:left w:val="nil"/>
              <w:bottom w:val="single" w:sz="4" w:space="0" w:color="auto"/>
              <w:right w:val="single" w:sz="4" w:space="0" w:color="auto"/>
            </w:tcBorders>
            <w:shd w:val="clear" w:color="auto" w:fill="auto"/>
            <w:vAlign w:val="center"/>
            <w:hideMark/>
          </w:tcPr>
          <w:p w14:paraId="00BE8EB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1 000,0</w:t>
            </w:r>
          </w:p>
        </w:tc>
        <w:tc>
          <w:tcPr>
            <w:tcW w:w="436" w:type="pct"/>
            <w:tcBorders>
              <w:top w:val="nil"/>
              <w:left w:val="nil"/>
              <w:bottom w:val="single" w:sz="4" w:space="0" w:color="auto"/>
              <w:right w:val="single" w:sz="4" w:space="0" w:color="auto"/>
            </w:tcBorders>
            <w:shd w:val="clear" w:color="auto" w:fill="auto"/>
            <w:vAlign w:val="center"/>
            <w:hideMark/>
          </w:tcPr>
          <w:p w14:paraId="2976D16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1 000,0</w:t>
            </w:r>
          </w:p>
        </w:tc>
        <w:tc>
          <w:tcPr>
            <w:tcW w:w="1524" w:type="pct"/>
            <w:tcBorders>
              <w:top w:val="nil"/>
              <w:left w:val="nil"/>
              <w:bottom w:val="single" w:sz="4" w:space="0" w:color="auto"/>
              <w:right w:val="single" w:sz="4" w:space="0" w:color="auto"/>
            </w:tcBorders>
            <w:shd w:val="clear" w:color="auto" w:fill="auto"/>
            <w:vAlign w:val="center"/>
            <w:hideMark/>
          </w:tcPr>
          <w:p w14:paraId="4E4C807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Изготвяне на варианти за развитие (минимум 3 бр.) - 3  </w:t>
            </w:r>
            <w:r w:rsidRPr="00761800">
              <w:rPr>
                <w:rFonts w:ascii="Times New Roman" w:hAnsi="Times New Roman"/>
                <w:sz w:val="20"/>
                <w:lang w:eastAsia="bg-BG"/>
              </w:rPr>
              <w:br/>
              <w:t xml:space="preserve">2. Изготвяне на Анализ разходи-ползи - 1  </w:t>
            </w:r>
            <w:r w:rsidRPr="00761800">
              <w:rPr>
                <w:rFonts w:ascii="Times New Roman" w:hAnsi="Times New Roman"/>
                <w:sz w:val="20"/>
                <w:lang w:eastAsia="bg-BG"/>
              </w:rPr>
              <w:br/>
              <w:t>3. Изготвяне на Идеен проект  - 1</w:t>
            </w:r>
            <w:r w:rsidRPr="00761800">
              <w:rPr>
                <w:rFonts w:ascii="Times New Roman" w:hAnsi="Times New Roman"/>
                <w:sz w:val="20"/>
                <w:lang w:eastAsia="bg-BG"/>
              </w:rPr>
              <w:br/>
              <w:t xml:space="preserve">4. Изготвяне на проекти за ПУП и проекти за КККР - 2  </w:t>
            </w:r>
            <w:r w:rsidRPr="00761800">
              <w:rPr>
                <w:rFonts w:ascii="Times New Roman" w:hAnsi="Times New Roman"/>
                <w:sz w:val="20"/>
                <w:lang w:eastAsia="bg-BG"/>
              </w:rPr>
              <w:br/>
              <w:t xml:space="preserve">5. Изготвяне на пълна документация за провеждане на отчуждителни процедури  - 1   </w:t>
            </w:r>
          </w:p>
        </w:tc>
        <w:tc>
          <w:tcPr>
            <w:tcW w:w="627" w:type="pct"/>
            <w:tcBorders>
              <w:top w:val="nil"/>
              <w:left w:val="nil"/>
              <w:bottom w:val="single" w:sz="4" w:space="0" w:color="auto"/>
              <w:right w:val="single" w:sz="4" w:space="0" w:color="auto"/>
            </w:tcBorders>
            <w:shd w:val="clear" w:color="auto" w:fill="auto"/>
            <w:vAlign w:val="center"/>
            <w:hideMark/>
          </w:tcPr>
          <w:p w14:paraId="67E81F1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41E8EDDC" w14:textId="77777777" w:rsidTr="00406B4D">
        <w:trPr>
          <w:trHeight w:val="204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8C911E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150</w:t>
            </w:r>
          </w:p>
        </w:tc>
        <w:tc>
          <w:tcPr>
            <w:tcW w:w="529" w:type="pct"/>
            <w:tcBorders>
              <w:top w:val="nil"/>
              <w:left w:val="nil"/>
              <w:bottom w:val="single" w:sz="4" w:space="0" w:color="auto"/>
              <w:right w:val="single" w:sz="4" w:space="0" w:color="auto"/>
            </w:tcBorders>
            <w:shd w:val="clear" w:color="auto" w:fill="auto"/>
            <w:noWrap/>
            <w:vAlign w:val="center"/>
            <w:hideMark/>
          </w:tcPr>
          <w:p w14:paraId="74C0EA1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NP-25.001-0137</w:t>
            </w:r>
          </w:p>
        </w:tc>
        <w:tc>
          <w:tcPr>
            <w:tcW w:w="855" w:type="pct"/>
            <w:tcBorders>
              <w:top w:val="nil"/>
              <w:left w:val="nil"/>
              <w:bottom w:val="single" w:sz="4" w:space="0" w:color="auto"/>
              <w:right w:val="single" w:sz="4" w:space="0" w:color="auto"/>
            </w:tcBorders>
            <w:shd w:val="clear" w:color="auto" w:fill="auto"/>
            <w:vAlign w:val="center"/>
            <w:hideMark/>
          </w:tcPr>
          <w:p w14:paraId="27E0608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Възстановяване на проектните параметри по железопътната линия Русе-Варна</w:t>
            </w:r>
          </w:p>
        </w:tc>
        <w:tc>
          <w:tcPr>
            <w:tcW w:w="436" w:type="pct"/>
            <w:tcBorders>
              <w:top w:val="nil"/>
              <w:left w:val="nil"/>
              <w:bottom w:val="single" w:sz="4" w:space="0" w:color="auto"/>
              <w:right w:val="single" w:sz="4" w:space="0" w:color="auto"/>
            </w:tcBorders>
            <w:shd w:val="clear" w:color="auto" w:fill="auto"/>
            <w:vAlign w:val="center"/>
            <w:hideMark/>
          </w:tcPr>
          <w:p w14:paraId="65E3C02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5 886,8</w:t>
            </w:r>
          </w:p>
        </w:tc>
        <w:tc>
          <w:tcPr>
            <w:tcW w:w="436" w:type="pct"/>
            <w:tcBorders>
              <w:top w:val="nil"/>
              <w:left w:val="nil"/>
              <w:bottom w:val="single" w:sz="4" w:space="0" w:color="auto"/>
              <w:right w:val="single" w:sz="4" w:space="0" w:color="auto"/>
            </w:tcBorders>
            <w:shd w:val="clear" w:color="auto" w:fill="auto"/>
            <w:vAlign w:val="center"/>
            <w:hideMark/>
          </w:tcPr>
          <w:p w14:paraId="6D4EAED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10 886,8</w:t>
            </w:r>
          </w:p>
        </w:tc>
        <w:tc>
          <w:tcPr>
            <w:tcW w:w="436" w:type="pct"/>
            <w:tcBorders>
              <w:top w:val="nil"/>
              <w:left w:val="nil"/>
              <w:bottom w:val="single" w:sz="4" w:space="0" w:color="auto"/>
              <w:right w:val="single" w:sz="4" w:space="0" w:color="auto"/>
            </w:tcBorders>
            <w:shd w:val="clear" w:color="auto" w:fill="auto"/>
            <w:vAlign w:val="center"/>
            <w:hideMark/>
          </w:tcPr>
          <w:p w14:paraId="7E95794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10 886,8</w:t>
            </w:r>
          </w:p>
        </w:tc>
        <w:tc>
          <w:tcPr>
            <w:tcW w:w="1524" w:type="pct"/>
            <w:tcBorders>
              <w:top w:val="nil"/>
              <w:left w:val="nil"/>
              <w:bottom w:val="single" w:sz="4" w:space="0" w:color="auto"/>
              <w:right w:val="single" w:sz="4" w:space="0" w:color="auto"/>
            </w:tcBorders>
            <w:shd w:val="clear" w:color="auto" w:fill="auto"/>
            <w:vAlign w:val="center"/>
            <w:hideMark/>
          </w:tcPr>
          <w:p w14:paraId="475B055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Подновяване на железен път - 54 </w:t>
            </w:r>
            <w:r w:rsidRPr="00761800">
              <w:rPr>
                <w:rFonts w:ascii="Times New Roman" w:hAnsi="Times New Roman"/>
                <w:sz w:val="20"/>
                <w:lang w:eastAsia="bg-BG"/>
              </w:rPr>
              <w:br/>
              <w:t>2. Пресъоръжаване на прелези  - 4</w:t>
            </w:r>
            <w:r w:rsidRPr="00761800">
              <w:rPr>
                <w:rFonts w:ascii="Times New Roman" w:hAnsi="Times New Roman"/>
                <w:sz w:val="20"/>
                <w:lang w:eastAsia="bg-BG"/>
              </w:rPr>
              <w:br/>
              <w:t xml:space="preserve">3. Модернизация на гари /коловози и стрелки/ - 8  </w:t>
            </w:r>
            <w:r w:rsidRPr="00761800">
              <w:rPr>
                <w:rFonts w:ascii="Times New Roman" w:hAnsi="Times New Roman"/>
                <w:sz w:val="20"/>
                <w:lang w:eastAsia="bg-BG"/>
              </w:rPr>
              <w:br/>
              <w:t xml:space="preserve">4. Ремонт приемно здание - 8  </w:t>
            </w:r>
            <w:r w:rsidRPr="00761800">
              <w:rPr>
                <w:rFonts w:ascii="Times New Roman" w:hAnsi="Times New Roman"/>
                <w:sz w:val="20"/>
                <w:lang w:eastAsia="bg-BG"/>
              </w:rPr>
              <w:br/>
              <w:t xml:space="preserve">5. Изграждане съоръжения за лица в неравностойно положение - 3  </w:t>
            </w:r>
            <w:r w:rsidRPr="00761800">
              <w:rPr>
                <w:rFonts w:ascii="Times New Roman" w:hAnsi="Times New Roman"/>
                <w:sz w:val="20"/>
                <w:lang w:eastAsia="bg-BG"/>
              </w:rPr>
              <w:br/>
              <w:t xml:space="preserve">6. Енергийна ефективност на сградите - 1 </w:t>
            </w:r>
            <w:r w:rsidRPr="00761800">
              <w:rPr>
                <w:rFonts w:ascii="Times New Roman" w:hAnsi="Times New Roman"/>
                <w:sz w:val="20"/>
                <w:lang w:eastAsia="bg-BG"/>
              </w:rPr>
              <w:br/>
              <w:t>7. Изграждане на фотоволтаични централи - 2</w:t>
            </w:r>
          </w:p>
        </w:tc>
        <w:tc>
          <w:tcPr>
            <w:tcW w:w="627" w:type="pct"/>
            <w:tcBorders>
              <w:top w:val="nil"/>
              <w:left w:val="nil"/>
              <w:bottom w:val="single" w:sz="4" w:space="0" w:color="auto"/>
              <w:right w:val="single" w:sz="4" w:space="0" w:color="auto"/>
            </w:tcBorders>
            <w:shd w:val="clear" w:color="auto" w:fill="auto"/>
            <w:vAlign w:val="center"/>
            <w:hideMark/>
          </w:tcPr>
          <w:p w14:paraId="09E8C56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7EF4D113" w14:textId="77777777" w:rsidTr="00406B4D">
        <w:trPr>
          <w:trHeight w:val="127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FF9DFA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151</w:t>
            </w:r>
          </w:p>
        </w:tc>
        <w:tc>
          <w:tcPr>
            <w:tcW w:w="529" w:type="pct"/>
            <w:tcBorders>
              <w:top w:val="nil"/>
              <w:left w:val="nil"/>
              <w:bottom w:val="single" w:sz="4" w:space="0" w:color="auto"/>
              <w:right w:val="single" w:sz="4" w:space="0" w:color="auto"/>
            </w:tcBorders>
            <w:shd w:val="clear" w:color="auto" w:fill="auto"/>
            <w:noWrap/>
            <w:vAlign w:val="center"/>
            <w:hideMark/>
          </w:tcPr>
          <w:p w14:paraId="50069FA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NP-25.001-0140</w:t>
            </w:r>
          </w:p>
        </w:tc>
        <w:tc>
          <w:tcPr>
            <w:tcW w:w="855" w:type="pct"/>
            <w:tcBorders>
              <w:top w:val="nil"/>
              <w:left w:val="nil"/>
              <w:bottom w:val="single" w:sz="4" w:space="0" w:color="auto"/>
              <w:right w:val="single" w:sz="4" w:space="0" w:color="auto"/>
            </w:tcBorders>
            <w:shd w:val="clear" w:color="auto" w:fill="auto"/>
            <w:vAlign w:val="center"/>
            <w:hideMark/>
          </w:tcPr>
          <w:p w14:paraId="29279F2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Удвояване и електрификация на жп линия Карнобат-Синдел </w:t>
            </w:r>
          </w:p>
        </w:tc>
        <w:tc>
          <w:tcPr>
            <w:tcW w:w="436" w:type="pct"/>
            <w:tcBorders>
              <w:top w:val="nil"/>
              <w:left w:val="nil"/>
              <w:bottom w:val="single" w:sz="4" w:space="0" w:color="auto"/>
              <w:right w:val="single" w:sz="4" w:space="0" w:color="auto"/>
            </w:tcBorders>
            <w:shd w:val="clear" w:color="auto" w:fill="auto"/>
            <w:vAlign w:val="center"/>
            <w:hideMark/>
          </w:tcPr>
          <w:p w14:paraId="7011CB6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23 011,8</w:t>
            </w:r>
          </w:p>
        </w:tc>
        <w:tc>
          <w:tcPr>
            <w:tcW w:w="436" w:type="pct"/>
            <w:tcBorders>
              <w:top w:val="nil"/>
              <w:left w:val="nil"/>
              <w:bottom w:val="single" w:sz="4" w:space="0" w:color="auto"/>
              <w:right w:val="single" w:sz="4" w:space="0" w:color="auto"/>
            </w:tcBorders>
            <w:shd w:val="clear" w:color="auto" w:fill="auto"/>
            <w:vAlign w:val="center"/>
            <w:hideMark/>
          </w:tcPr>
          <w:p w14:paraId="75B4EA4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25 011,8</w:t>
            </w:r>
          </w:p>
        </w:tc>
        <w:tc>
          <w:tcPr>
            <w:tcW w:w="436" w:type="pct"/>
            <w:tcBorders>
              <w:top w:val="nil"/>
              <w:left w:val="nil"/>
              <w:bottom w:val="single" w:sz="4" w:space="0" w:color="auto"/>
              <w:right w:val="single" w:sz="4" w:space="0" w:color="auto"/>
            </w:tcBorders>
            <w:shd w:val="clear" w:color="auto" w:fill="auto"/>
            <w:vAlign w:val="center"/>
            <w:hideMark/>
          </w:tcPr>
          <w:p w14:paraId="388CD17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25 011,8</w:t>
            </w:r>
          </w:p>
        </w:tc>
        <w:tc>
          <w:tcPr>
            <w:tcW w:w="1524" w:type="pct"/>
            <w:tcBorders>
              <w:top w:val="nil"/>
              <w:left w:val="nil"/>
              <w:bottom w:val="single" w:sz="4" w:space="0" w:color="auto"/>
              <w:right w:val="single" w:sz="4" w:space="0" w:color="auto"/>
            </w:tcBorders>
            <w:shd w:val="clear" w:color="auto" w:fill="auto"/>
            <w:vAlign w:val="center"/>
            <w:hideMark/>
          </w:tcPr>
          <w:p w14:paraId="0D4C2E6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Прокопаване на тунел - 642   </w:t>
            </w:r>
            <w:r w:rsidRPr="00761800">
              <w:rPr>
                <w:rFonts w:ascii="Times New Roman" w:hAnsi="Times New Roman"/>
                <w:sz w:val="20"/>
                <w:lang w:eastAsia="bg-BG"/>
              </w:rPr>
              <w:br/>
              <w:t xml:space="preserve">2. Прокопаване на евакуационна галерия - 1   </w:t>
            </w:r>
            <w:r w:rsidRPr="00761800">
              <w:rPr>
                <w:rFonts w:ascii="Times New Roman" w:hAnsi="Times New Roman"/>
                <w:sz w:val="20"/>
                <w:lang w:eastAsia="bg-BG"/>
              </w:rPr>
              <w:br/>
              <w:t xml:space="preserve">3. Изграждане на естакада - 500 </w:t>
            </w:r>
            <w:r w:rsidRPr="00761800">
              <w:rPr>
                <w:rFonts w:ascii="Times New Roman" w:hAnsi="Times New Roman"/>
                <w:sz w:val="20"/>
                <w:lang w:eastAsia="bg-BG"/>
              </w:rPr>
              <w:br/>
              <w:t>4. Изграждане на железен път - 2,5</w:t>
            </w:r>
          </w:p>
        </w:tc>
        <w:tc>
          <w:tcPr>
            <w:tcW w:w="627" w:type="pct"/>
            <w:tcBorders>
              <w:top w:val="nil"/>
              <w:left w:val="nil"/>
              <w:bottom w:val="single" w:sz="4" w:space="0" w:color="auto"/>
              <w:right w:val="single" w:sz="4" w:space="0" w:color="auto"/>
            </w:tcBorders>
            <w:shd w:val="clear" w:color="auto" w:fill="auto"/>
            <w:vAlign w:val="center"/>
            <w:hideMark/>
          </w:tcPr>
          <w:p w14:paraId="3E9BED8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6ECE8F78"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105AF1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152</w:t>
            </w:r>
          </w:p>
        </w:tc>
        <w:tc>
          <w:tcPr>
            <w:tcW w:w="529" w:type="pct"/>
            <w:tcBorders>
              <w:top w:val="nil"/>
              <w:left w:val="nil"/>
              <w:bottom w:val="single" w:sz="4" w:space="0" w:color="auto"/>
              <w:right w:val="single" w:sz="4" w:space="0" w:color="auto"/>
            </w:tcBorders>
            <w:shd w:val="clear" w:color="auto" w:fill="auto"/>
            <w:noWrap/>
            <w:vAlign w:val="center"/>
            <w:hideMark/>
          </w:tcPr>
          <w:p w14:paraId="221B533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NP-25.001-0135</w:t>
            </w:r>
          </w:p>
        </w:tc>
        <w:tc>
          <w:tcPr>
            <w:tcW w:w="855" w:type="pct"/>
            <w:tcBorders>
              <w:top w:val="nil"/>
              <w:left w:val="nil"/>
              <w:bottom w:val="single" w:sz="4" w:space="0" w:color="auto"/>
              <w:right w:val="single" w:sz="4" w:space="0" w:color="auto"/>
            </w:tcBorders>
            <w:shd w:val="clear" w:color="auto" w:fill="auto"/>
            <w:vAlign w:val="center"/>
            <w:hideMark/>
          </w:tcPr>
          <w:p w14:paraId="0D530AA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Строителство и ремонт на сгради и съоръжения в съответствие с европейските изисквания</w:t>
            </w:r>
          </w:p>
        </w:tc>
        <w:tc>
          <w:tcPr>
            <w:tcW w:w="436" w:type="pct"/>
            <w:tcBorders>
              <w:top w:val="nil"/>
              <w:left w:val="nil"/>
              <w:bottom w:val="single" w:sz="4" w:space="0" w:color="auto"/>
              <w:right w:val="single" w:sz="4" w:space="0" w:color="auto"/>
            </w:tcBorders>
            <w:shd w:val="clear" w:color="auto" w:fill="auto"/>
            <w:vAlign w:val="center"/>
            <w:hideMark/>
          </w:tcPr>
          <w:p w14:paraId="45CC03E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1 626,1</w:t>
            </w:r>
          </w:p>
        </w:tc>
        <w:tc>
          <w:tcPr>
            <w:tcW w:w="436" w:type="pct"/>
            <w:tcBorders>
              <w:top w:val="nil"/>
              <w:left w:val="nil"/>
              <w:bottom w:val="single" w:sz="4" w:space="0" w:color="auto"/>
              <w:right w:val="single" w:sz="4" w:space="0" w:color="auto"/>
            </w:tcBorders>
            <w:shd w:val="clear" w:color="auto" w:fill="auto"/>
            <w:vAlign w:val="center"/>
            <w:hideMark/>
          </w:tcPr>
          <w:p w14:paraId="3EBDA17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2 626,1</w:t>
            </w:r>
          </w:p>
        </w:tc>
        <w:tc>
          <w:tcPr>
            <w:tcW w:w="436" w:type="pct"/>
            <w:tcBorders>
              <w:top w:val="nil"/>
              <w:left w:val="nil"/>
              <w:bottom w:val="single" w:sz="4" w:space="0" w:color="auto"/>
              <w:right w:val="single" w:sz="4" w:space="0" w:color="auto"/>
            </w:tcBorders>
            <w:shd w:val="clear" w:color="auto" w:fill="auto"/>
            <w:vAlign w:val="center"/>
            <w:hideMark/>
          </w:tcPr>
          <w:p w14:paraId="0BE7F3B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2 626,1</w:t>
            </w:r>
          </w:p>
        </w:tc>
        <w:tc>
          <w:tcPr>
            <w:tcW w:w="1524" w:type="pct"/>
            <w:tcBorders>
              <w:top w:val="nil"/>
              <w:left w:val="nil"/>
              <w:bottom w:val="single" w:sz="4" w:space="0" w:color="auto"/>
              <w:right w:val="single" w:sz="4" w:space="0" w:color="auto"/>
            </w:tcBorders>
            <w:shd w:val="clear" w:color="auto" w:fill="auto"/>
            <w:vAlign w:val="center"/>
            <w:hideMark/>
          </w:tcPr>
          <w:p w14:paraId="5C7DE17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Изграждане съоръжения за лица в неравностойно положение - 3 </w:t>
            </w:r>
            <w:r w:rsidRPr="00761800">
              <w:rPr>
                <w:rFonts w:ascii="Times New Roman" w:hAnsi="Times New Roman"/>
                <w:sz w:val="20"/>
                <w:lang w:eastAsia="bg-BG"/>
              </w:rPr>
              <w:br/>
              <w:t xml:space="preserve">2. Енергийна ефективност на сградите  - 2 </w:t>
            </w:r>
            <w:r w:rsidRPr="00761800">
              <w:rPr>
                <w:rFonts w:ascii="Times New Roman" w:hAnsi="Times New Roman"/>
                <w:sz w:val="20"/>
                <w:lang w:eastAsia="bg-BG"/>
              </w:rPr>
              <w:br/>
              <w:t>3. Изграждане на фотоволтаични централи - 1</w:t>
            </w:r>
          </w:p>
        </w:tc>
        <w:tc>
          <w:tcPr>
            <w:tcW w:w="627" w:type="pct"/>
            <w:tcBorders>
              <w:top w:val="nil"/>
              <w:left w:val="nil"/>
              <w:bottom w:val="single" w:sz="4" w:space="0" w:color="auto"/>
              <w:right w:val="single" w:sz="4" w:space="0" w:color="auto"/>
            </w:tcBorders>
            <w:shd w:val="clear" w:color="auto" w:fill="auto"/>
            <w:vAlign w:val="center"/>
            <w:hideMark/>
          </w:tcPr>
          <w:p w14:paraId="643F633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70561A28" w14:textId="77777777" w:rsidTr="00406B4D">
        <w:trPr>
          <w:trHeight w:val="153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562E1E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153</w:t>
            </w:r>
          </w:p>
        </w:tc>
        <w:tc>
          <w:tcPr>
            <w:tcW w:w="529" w:type="pct"/>
            <w:tcBorders>
              <w:top w:val="nil"/>
              <w:left w:val="nil"/>
              <w:bottom w:val="single" w:sz="4" w:space="0" w:color="auto"/>
              <w:right w:val="single" w:sz="4" w:space="0" w:color="auto"/>
            </w:tcBorders>
            <w:shd w:val="clear" w:color="auto" w:fill="auto"/>
            <w:noWrap/>
            <w:vAlign w:val="center"/>
            <w:hideMark/>
          </w:tcPr>
          <w:p w14:paraId="3D81701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NP-25.001-0132</w:t>
            </w:r>
          </w:p>
        </w:tc>
        <w:tc>
          <w:tcPr>
            <w:tcW w:w="855" w:type="pct"/>
            <w:tcBorders>
              <w:top w:val="nil"/>
              <w:left w:val="nil"/>
              <w:bottom w:val="single" w:sz="4" w:space="0" w:color="auto"/>
              <w:right w:val="single" w:sz="4" w:space="0" w:color="auto"/>
            </w:tcBorders>
            <w:shd w:val="clear" w:color="auto" w:fill="auto"/>
            <w:vAlign w:val="center"/>
            <w:hideMark/>
          </w:tcPr>
          <w:p w14:paraId="29B661B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на железния път и съоръженията за поддържане на достигнатите скорости</w:t>
            </w:r>
          </w:p>
        </w:tc>
        <w:tc>
          <w:tcPr>
            <w:tcW w:w="436" w:type="pct"/>
            <w:tcBorders>
              <w:top w:val="nil"/>
              <w:left w:val="nil"/>
              <w:bottom w:val="single" w:sz="4" w:space="0" w:color="auto"/>
              <w:right w:val="single" w:sz="4" w:space="0" w:color="auto"/>
            </w:tcBorders>
            <w:shd w:val="clear" w:color="auto" w:fill="auto"/>
            <w:vAlign w:val="center"/>
            <w:hideMark/>
          </w:tcPr>
          <w:p w14:paraId="54CFCC9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5 563,7</w:t>
            </w:r>
          </w:p>
        </w:tc>
        <w:tc>
          <w:tcPr>
            <w:tcW w:w="436" w:type="pct"/>
            <w:tcBorders>
              <w:top w:val="nil"/>
              <w:left w:val="nil"/>
              <w:bottom w:val="single" w:sz="4" w:space="0" w:color="auto"/>
              <w:right w:val="single" w:sz="4" w:space="0" w:color="auto"/>
            </w:tcBorders>
            <w:shd w:val="clear" w:color="auto" w:fill="auto"/>
            <w:vAlign w:val="center"/>
            <w:hideMark/>
          </w:tcPr>
          <w:p w14:paraId="42E8F3F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6 563,7</w:t>
            </w:r>
          </w:p>
        </w:tc>
        <w:tc>
          <w:tcPr>
            <w:tcW w:w="436" w:type="pct"/>
            <w:tcBorders>
              <w:top w:val="nil"/>
              <w:left w:val="nil"/>
              <w:bottom w:val="single" w:sz="4" w:space="0" w:color="auto"/>
              <w:right w:val="single" w:sz="4" w:space="0" w:color="auto"/>
            </w:tcBorders>
            <w:shd w:val="clear" w:color="auto" w:fill="auto"/>
            <w:vAlign w:val="center"/>
            <w:hideMark/>
          </w:tcPr>
          <w:p w14:paraId="7DE4BB5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6 563,7</w:t>
            </w:r>
          </w:p>
        </w:tc>
        <w:tc>
          <w:tcPr>
            <w:tcW w:w="1524" w:type="pct"/>
            <w:tcBorders>
              <w:top w:val="nil"/>
              <w:left w:val="nil"/>
              <w:bottom w:val="single" w:sz="4" w:space="0" w:color="auto"/>
              <w:right w:val="single" w:sz="4" w:space="0" w:color="auto"/>
            </w:tcBorders>
            <w:shd w:val="clear" w:color="auto" w:fill="auto"/>
            <w:vAlign w:val="center"/>
            <w:hideMark/>
          </w:tcPr>
          <w:p w14:paraId="4AF3428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Подновяване на железен път - 68  </w:t>
            </w:r>
            <w:r w:rsidRPr="00761800">
              <w:rPr>
                <w:rFonts w:ascii="Times New Roman" w:hAnsi="Times New Roman"/>
                <w:sz w:val="20"/>
                <w:lang w:eastAsia="bg-BG"/>
              </w:rPr>
              <w:br/>
              <w:t xml:space="preserve">2. Пресъоръжаване на жп прелези - 3   </w:t>
            </w:r>
            <w:r w:rsidRPr="00761800">
              <w:rPr>
                <w:rFonts w:ascii="Times New Roman" w:hAnsi="Times New Roman"/>
                <w:sz w:val="20"/>
                <w:lang w:eastAsia="bg-BG"/>
              </w:rPr>
              <w:br/>
              <w:t xml:space="preserve">3. Укрепване на „слаби“ места - 2  </w:t>
            </w:r>
            <w:r w:rsidRPr="00761800">
              <w:rPr>
                <w:rFonts w:ascii="Times New Roman" w:hAnsi="Times New Roman"/>
                <w:sz w:val="20"/>
                <w:lang w:eastAsia="bg-BG"/>
              </w:rPr>
              <w:br/>
              <w:t xml:space="preserve">4. Укрепване на земно скални откоси - 4  </w:t>
            </w:r>
            <w:r w:rsidRPr="00761800">
              <w:rPr>
                <w:rFonts w:ascii="Times New Roman" w:hAnsi="Times New Roman"/>
                <w:sz w:val="20"/>
                <w:lang w:eastAsia="bg-BG"/>
              </w:rPr>
              <w:br/>
              <w:t>5. Модернизация на прелезни настилки - 80</w:t>
            </w:r>
          </w:p>
        </w:tc>
        <w:tc>
          <w:tcPr>
            <w:tcW w:w="627" w:type="pct"/>
            <w:tcBorders>
              <w:top w:val="nil"/>
              <w:left w:val="nil"/>
              <w:bottom w:val="single" w:sz="4" w:space="0" w:color="auto"/>
              <w:right w:val="single" w:sz="4" w:space="0" w:color="auto"/>
            </w:tcBorders>
            <w:shd w:val="clear" w:color="auto" w:fill="auto"/>
            <w:vAlign w:val="center"/>
            <w:hideMark/>
          </w:tcPr>
          <w:p w14:paraId="714B49A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53015CB8" w14:textId="77777777" w:rsidTr="00406B4D">
        <w:trPr>
          <w:trHeight w:val="153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236663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154</w:t>
            </w:r>
          </w:p>
        </w:tc>
        <w:tc>
          <w:tcPr>
            <w:tcW w:w="529" w:type="pct"/>
            <w:tcBorders>
              <w:top w:val="nil"/>
              <w:left w:val="nil"/>
              <w:bottom w:val="single" w:sz="4" w:space="0" w:color="auto"/>
              <w:right w:val="single" w:sz="4" w:space="0" w:color="auto"/>
            </w:tcBorders>
            <w:shd w:val="clear" w:color="auto" w:fill="auto"/>
            <w:noWrap/>
            <w:vAlign w:val="center"/>
            <w:hideMark/>
          </w:tcPr>
          <w:p w14:paraId="6BFD402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NP-25.001-0134</w:t>
            </w:r>
          </w:p>
        </w:tc>
        <w:tc>
          <w:tcPr>
            <w:tcW w:w="855" w:type="pct"/>
            <w:tcBorders>
              <w:top w:val="nil"/>
              <w:left w:val="nil"/>
              <w:bottom w:val="single" w:sz="4" w:space="0" w:color="auto"/>
              <w:right w:val="single" w:sz="4" w:space="0" w:color="auto"/>
            </w:tcBorders>
            <w:shd w:val="clear" w:color="auto" w:fill="auto"/>
            <w:vAlign w:val="center"/>
            <w:hideMark/>
          </w:tcPr>
          <w:p w14:paraId="6D92D3A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Модернизиране на тягови подстанции</w:t>
            </w:r>
          </w:p>
        </w:tc>
        <w:tc>
          <w:tcPr>
            <w:tcW w:w="436" w:type="pct"/>
            <w:tcBorders>
              <w:top w:val="nil"/>
              <w:left w:val="nil"/>
              <w:bottom w:val="single" w:sz="4" w:space="0" w:color="auto"/>
              <w:right w:val="single" w:sz="4" w:space="0" w:color="auto"/>
            </w:tcBorders>
            <w:shd w:val="clear" w:color="auto" w:fill="auto"/>
            <w:vAlign w:val="center"/>
            <w:hideMark/>
          </w:tcPr>
          <w:p w14:paraId="34CEDCE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5 679,2</w:t>
            </w:r>
          </w:p>
        </w:tc>
        <w:tc>
          <w:tcPr>
            <w:tcW w:w="436" w:type="pct"/>
            <w:tcBorders>
              <w:top w:val="nil"/>
              <w:left w:val="nil"/>
              <w:bottom w:val="single" w:sz="4" w:space="0" w:color="auto"/>
              <w:right w:val="single" w:sz="4" w:space="0" w:color="auto"/>
            </w:tcBorders>
            <w:shd w:val="clear" w:color="auto" w:fill="auto"/>
            <w:vAlign w:val="center"/>
            <w:hideMark/>
          </w:tcPr>
          <w:p w14:paraId="7EFE448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1 010,9</w:t>
            </w:r>
          </w:p>
        </w:tc>
        <w:tc>
          <w:tcPr>
            <w:tcW w:w="436" w:type="pct"/>
            <w:tcBorders>
              <w:top w:val="nil"/>
              <w:left w:val="nil"/>
              <w:bottom w:val="single" w:sz="4" w:space="0" w:color="auto"/>
              <w:right w:val="single" w:sz="4" w:space="0" w:color="auto"/>
            </w:tcBorders>
            <w:shd w:val="clear" w:color="auto" w:fill="auto"/>
            <w:vAlign w:val="center"/>
            <w:hideMark/>
          </w:tcPr>
          <w:p w14:paraId="7B98572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1 000,0</w:t>
            </w:r>
          </w:p>
        </w:tc>
        <w:tc>
          <w:tcPr>
            <w:tcW w:w="1524" w:type="pct"/>
            <w:tcBorders>
              <w:top w:val="nil"/>
              <w:left w:val="nil"/>
              <w:bottom w:val="single" w:sz="4" w:space="0" w:color="auto"/>
              <w:right w:val="single" w:sz="4" w:space="0" w:color="auto"/>
            </w:tcBorders>
            <w:shd w:val="clear" w:color="auto" w:fill="auto"/>
            <w:vAlign w:val="center"/>
            <w:hideMark/>
          </w:tcPr>
          <w:p w14:paraId="1E55025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Модернизация и рехабилитация на секционни постове - 1  </w:t>
            </w:r>
            <w:r w:rsidRPr="00761800">
              <w:rPr>
                <w:rFonts w:ascii="Times New Roman" w:hAnsi="Times New Roman"/>
                <w:sz w:val="20"/>
                <w:lang w:eastAsia="bg-BG"/>
              </w:rPr>
              <w:br/>
              <w:t xml:space="preserve">2. Изграждане на стълбовна линия от ЖБ/ЖР стълбове - 60   </w:t>
            </w:r>
            <w:r w:rsidRPr="00761800">
              <w:rPr>
                <w:rFonts w:ascii="Times New Roman" w:hAnsi="Times New Roman"/>
                <w:sz w:val="20"/>
                <w:lang w:eastAsia="bg-BG"/>
              </w:rPr>
              <w:br/>
              <w:t xml:space="preserve">3. Подмяна контактен проводник и носещо въже - 3  </w:t>
            </w:r>
            <w:r w:rsidRPr="00761800">
              <w:rPr>
                <w:rFonts w:ascii="Times New Roman" w:hAnsi="Times New Roman"/>
                <w:sz w:val="20"/>
                <w:lang w:eastAsia="bg-BG"/>
              </w:rPr>
              <w:br/>
              <w:t xml:space="preserve">4. Подмяна разеденители и присъединяване към SCADA - 4   </w:t>
            </w:r>
            <w:r w:rsidRPr="00761800">
              <w:rPr>
                <w:rFonts w:ascii="Times New Roman" w:hAnsi="Times New Roman"/>
                <w:sz w:val="20"/>
                <w:lang w:eastAsia="bg-BG"/>
              </w:rPr>
              <w:br/>
              <w:t>5. Подмяна на компенсиращи устройства - 4</w:t>
            </w:r>
          </w:p>
        </w:tc>
        <w:tc>
          <w:tcPr>
            <w:tcW w:w="627" w:type="pct"/>
            <w:tcBorders>
              <w:top w:val="nil"/>
              <w:left w:val="nil"/>
              <w:bottom w:val="single" w:sz="4" w:space="0" w:color="auto"/>
              <w:right w:val="single" w:sz="4" w:space="0" w:color="auto"/>
            </w:tcBorders>
            <w:shd w:val="clear" w:color="auto" w:fill="auto"/>
            <w:vAlign w:val="center"/>
            <w:hideMark/>
          </w:tcPr>
          <w:p w14:paraId="3E475E8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7A1B03DE" w14:textId="77777777" w:rsidTr="00406B4D">
        <w:trPr>
          <w:trHeight w:val="127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64EE13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155</w:t>
            </w:r>
          </w:p>
        </w:tc>
        <w:tc>
          <w:tcPr>
            <w:tcW w:w="529" w:type="pct"/>
            <w:tcBorders>
              <w:top w:val="nil"/>
              <w:left w:val="nil"/>
              <w:bottom w:val="single" w:sz="4" w:space="0" w:color="auto"/>
              <w:right w:val="single" w:sz="4" w:space="0" w:color="auto"/>
            </w:tcBorders>
            <w:shd w:val="clear" w:color="auto" w:fill="auto"/>
            <w:noWrap/>
            <w:vAlign w:val="center"/>
            <w:hideMark/>
          </w:tcPr>
          <w:p w14:paraId="4B23348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NP-25.001-0133</w:t>
            </w:r>
          </w:p>
        </w:tc>
        <w:tc>
          <w:tcPr>
            <w:tcW w:w="855" w:type="pct"/>
            <w:tcBorders>
              <w:top w:val="nil"/>
              <w:left w:val="nil"/>
              <w:bottom w:val="single" w:sz="4" w:space="0" w:color="auto"/>
              <w:right w:val="single" w:sz="4" w:space="0" w:color="auto"/>
            </w:tcBorders>
            <w:shd w:val="clear" w:color="auto" w:fill="auto"/>
            <w:vAlign w:val="center"/>
            <w:hideMark/>
          </w:tcPr>
          <w:p w14:paraId="20A208D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Модернизиране на осигурителни системи и прелезни устройства</w:t>
            </w:r>
          </w:p>
        </w:tc>
        <w:tc>
          <w:tcPr>
            <w:tcW w:w="436" w:type="pct"/>
            <w:tcBorders>
              <w:top w:val="nil"/>
              <w:left w:val="nil"/>
              <w:bottom w:val="single" w:sz="4" w:space="0" w:color="auto"/>
              <w:right w:val="single" w:sz="4" w:space="0" w:color="auto"/>
            </w:tcBorders>
            <w:shd w:val="clear" w:color="auto" w:fill="auto"/>
            <w:vAlign w:val="center"/>
            <w:hideMark/>
          </w:tcPr>
          <w:p w14:paraId="0338E62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6 678,9</w:t>
            </w:r>
          </w:p>
        </w:tc>
        <w:tc>
          <w:tcPr>
            <w:tcW w:w="436" w:type="pct"/>
            <w:tcBorders>
              <w:top w:val="nil"/>
              <w:left w:val="nil"/>
              <w:bottom w:val="single" w:sz="4" w:space="0" w:color="auto"/>
              <w:right w:val="single" w:sz="4" w:space="0" w:color="auto"/>
            </w:tcBorders>
            <w:shd w:val="clear" w:color="auto" w:fill="auto"/>
            <w:vAlign w:val="center"/>
            <w:hideMark/>
          </w:tcPr>
          <w:p w14:paraId="38E186A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8 678,9</w:t>
            </w:r>
          </w:p>
        </w:tc>
        <w:tc>
          <w:tcPr>
            <w:tcW w:w="436" w:type="pct"/>
            <w:tcBorders>
              <w:top w:val="nil"/>
              <w:left w:val="nil"/>
              <w:bottom w:val="single" w:sz="4" w:space="0" w:color="auto"/>
              <w:right w:val="single" w:sz="4" w:space="0" w:color="auto"/>
            </w:tcBorders>
            <w:shd w:val="clear" w:color="auto" w:fill="auto"/>
            <w:vAlign w:val="center"/>
            <w:hideMark/>
          </w:tcPr>
          <w:p w14:paraId="3EF6DE5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8 678,9</w:t>
            </w:r>
          </w:p>
        </w:tc>
        <w:tc>
          <w:tcPr>
            <w:tcW w:w="1524" w:type="pct"/>
            <w:tcBorders>
              <w:top w:val="nil"/>
              <w:left w:val="nil"/>
              <w:bottom w:val="single" w:sz="4" w:space="0" w:color="auto"/>
              <w:right w:val="single" w:sz="4" w:space="0" w:color="auto"/>
            </w:tcBorders>
            <w:shd w:val="clear" w:color="auto" w:fill="auto"/>
            <w:vAlign w:val="center"/>
            <w:hideMark/>
          </w:tcPr>
          <w:p w14:paraId="1FBD09F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Пресъоръжаване на автоматични прелезни устройства - 31  </w:t>
            </w:r>
            <w:r w:rsidRPr="00761800">
              <w:rPr>
                <w:rFonts w:ascii="Times New Roman" w:hAnsi="Times New Roman"/>
                <w:sz w:val="20"/>
                <w:lang w:eastAsia="bg-BG"/>
              </w:rPr>
              <w:br/>
              <w:t xml:space="preserve">2. Изграждане на МКЦ - 4   </w:t>
            </w:r>
            <w:r w:rsidRPr="00761800">
              <w:rPr>
                <w:rFonts w:ascii="Times New Roman" w:hAnsi="Times New Roman"/>
                <w:sz w:val="20"/>
                <w:lang w:eastAsia="bg-BG"/>
              </w:rPr>
              <w:br/>
              <w:t xml:space="preserve">3. Модернизиране на съществуващи гарови осигурителни техники  - 6 </w:t>
            </w:r>
            <w:r w:rsidRPr="00761800">
              <w:rPr>
                <w:rFonts w:ascii="Times New Roman" w:hAnsi="Times New Roman"/>
                <w:sz w:val="20"/>
                <w:lang w:eastAsia="bg-BG"/>
              </w:rPr>
              <w:br/>
              <w:t xml:space="preserve">4. Изграждане на оптична кабелна мрежа - 283  </w:t>
            </w:r>
          </w:p>
        </w:tc>
        <w:tc>
          <w:tcPr>
            <w:tcW w:w="627" w:type="pct"/>
            <w:tcBorders>
              <w:top w:val="nil"/>
              <w:left w:val="nil"/>
              <w:bottom w:val="single" w:sz="4" w:space="0" w:color="auto"/>
              <w:right w:val="single" w:sz="4" w:space="0" w:color="auto"/>
            </w:tcBorders>
            <w:shd w:val="clear" w:color="auto" w:fill="auto"/>
            <w:vAlign w:val="center"/>
            <w:hideMark/>
          </w:tcPr>
          <w:p w14:paraId="32336E4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2F13F705"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970469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156</w:t>
            </w:r>
          </w:p>
        </w:tc>
        <w:tc>
          <w:tcPr>
            <w:tcW w:w="529" w:type="pct"/>
            <w:tcBorders>
              <w:top w:val="nil"/>
              <w:left w:val="nil"/>
              <w:bottom w:val="single" w:sz="4" w:space="0" w:color="auto"/>
              <w:right w:val="single" w:sz="4" w:space="0" w:color="auto"/>
            </w:tcBorders>
            <w:shd w:val="clear" w:color="auto" w:fill="auto"/>
            <w:noWrap/>
            <w:vAlign w:val="center"/>
            <w:hideMark/>
          </w:tcPr>
          <w:p w14:paraId="635030A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NP-25.001-0136</w:t>
            </w:r>
          </w:p>
        </w:tc>
        <w:tc>
          <w:tcPr>
            <w:tcW w:w="855" w:type="pct"/>
            <w:tcBorders>
              <w:top w:val="nil"/>
              <w:left w:val="nil"/>
              <w:bottom w:val="single" w:sz="4" w:space="0" w:color="auto"/>
              <w:right w:val="single" w:sz="4" w:space="0" w:color="auto"/>
            </w:tcBorders>
            <w:shd w:val="clear" w:color="auto" w:fill="auto"/>
            <w:vAlign w:val="center"/>
            <w:hideMark/>
          </w:tcPr>
          <w:p w14:paraId="1668040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Възстановяване на проектни параметри на жп линия София-Карлово-Зимница</w:t>
            </w:r>
          </w:p>
        </w:tc>
        <w:tc>
          <w:tcPr>
            <w:tcW w:w="436" w:type="pct"/>
            <w:tcBorders>
              <w:top w:val="nil"/>
              <w:left w:val="nil"/>
              <w:bottom w:val="single" w:sz="4" w:space="0" w:color="auto"/>
              <w:right w:val="single" w:sz="4" w:space="0" w:color="auto"/>
            </w:tcBorders>
            <w:shd w:val="clear" w:color="auto" w:fill="auto"/>
            <w:vAlign w:val="center"/>
            <w:hideMark/>
          </w:tcPr>
          <w:p w14:paraId="2F6FA70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967CEF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544,0</w:t>
            </w:r>
          </w:p>
        </w:tc>
        <w:tc>
          <w:tcPr>
            <w:tcW w:w="436" w:type="pct"/>
            <w:tcBorders>
              <w:top w:val="nil"/>
              <w:left w:val="nil"/>
              <w:bottom w:val="single" w:sz="4" w:space="0" w:color="auto"/>
              <w:right w:val="single" w:sz="4" w:space="0" w:color="auto"/>
            </w:tcBorders>
            <w:shd w:val="clear" w:color="auto" w:fill="auto"/>
            <w:vAlign w:val="center"/>
            <w:hideMark/>
          </w:tcPr>
          <w:p w14:paraId="4E7C03F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544,0</w:t>
            </w:r>
          </w:p>
        </w:tc>
        <w:tc>
          <w:tcPr>
            <w:tcW w:w="1524" w:type="pct"/>
            <w:tcBorders>
              <w:top w:val="nil"/>
              <w:left w:val="nil"/>
              <w:bottom w:val="single" w:sz="4" w:space="0" w:color="auto"/>
              <w:right w:val="single" w:sz="4" w:space="0" w:color="auto"/>
            </w:tcBorders>
            <w:shd w:val="clear" w:color="auto" w:fill="auto"/>
            <w:vAlign w:val="center"/>
            <w:hideMark/>
          </w:tcPr>
          <w:p w14:paraId="06B10EF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Реконструкция на мостови съоръжения - 1  </w:t>
            </w:r>
            <w:r w:rsidRPr="00761800">
              <w:rPr>
                <w:rFonts w:ascii="Times New Roman" w:hAnsi="Times New Roman"/>
                <w:sz w:val="20"/>
                <w:lang w:eastAsia="bg-BG"/>
              </w:rPr>
              <w:br/>
              <w:t xml:space="preserve">2. Подновяване на железен път - 20   </w:t>
            </w:r>
            <w:r w:rsidRPr="00761800">
              <w:rPr>
                <w:rFonts w:ascii="Times New Roman" w:hAnsi="Times New Roman"/>
                <w:sz w:val="20"/>
                <w:lang w:eastAsia="bg-BG"/>
              </w:rPr>
              <w:br/>
              <w:t xml:space="preserve">3. Модернизация на гари /коловози и стрелки/ - 1 </w:t>
            </w:r>
          </w:p>
        </w:tc>
        <w:tc>
          <w:tcPr>
            <w:tcW w:w="627" w:type="pct"/>
            <w:tcBorders>
              <w:top w:val="nil"/>
              <w:left w:val="nil"/>
              <w:bottom w:val="single" w:sz="4" w:space="0" w:color="auto"/>
              <w:right w:val="single" w:sz="4" w:space="0" w:color="auto"/>
            </w:tcBorders>
            <w:shd w:val="clear" w:color="auto" w:fill="auto"/>
            <w:vAlign w:val="center"/>
            <w:hideMark/>
          </w:tcPr>
          <w:p w14:paraId="5197293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04E44EF3" w14:textId="77777777" w:rsidTr="00406B4D">
        <w:trPr>
          <w:trHeight w:val="153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BF859D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157</w:t>
            </w:r>
          </w:p>
        </w:tc>
        <w:tc>
          <w:tcPr>
            <w:tcW w:w="529" w:type="pct"/>
            <w:tcBorders>
              <w:top w:val="nil"/>
              <w:left w:val="nil"/>
              <w:bottom w:val="single" w:sz="4" w:space="0" w:color="auto"/>
              <w:right w:val="single" w:sz="4" w:space="0" w:color="auto"/>
            </w:tcBorders>
            <w:shd w:val="clear" w:color="auto" w:fill="auto"/>
            <w:noWrap/>
            <w:vAlign w:val="center"/>
            <w:hideMark/>
          </w:tcPr>
          <w:p w14:paraId="719AD9C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NP-25.001-0138</w:t>
            </w:r>
          </w:p>
        </w:tc>
        <w:tc>
          <w:tcPr>
            <w:tcW w:w="855" w:type="pct"/>
            <w:tcBorders>
              <w:top w:val="nil"/>
              <w:left w:val="nil"/>
              <w:bottom w:val="single" w:sz="4" w:space="0" w:color="auto"/>
              <w:right w:val="single" w:sz="4" w:space="0" w:color="auto"/>
            </w:tcBorders>
            <w:shd w:val="clear" w:color="auto" w:fill="auto"/>
            <w:vAlign w:val="center"/>
            <w:hideMark/>
          </w:tcPr>
          <w:p w14:paraId="5CA1973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Доставка жп механизация</w:t>
            </w:r>
          </w:p>
        </w:tc>
        <w:tc>
          <w:tcPr>
            <w:tcW w:w="436" w:type="pct"/>
            <w:tcBorders>
              <w:top w:val="nil"/>
              <w:left w:val="nil"/>
              <w:bottom w:val="single" w:sz="4" w:space="0" w:color="auto"/>
              <w:right w:val="single" w:sz="4" w:space="0" w:color="auto"/>
            </w:tcBorders>
            <w:shd w:val="clear" w:color="auto" w:fill="auto"/>
            <w:vAlign w:val="center"/>
            <w:hideMark/>
          </w:tcPr>
          <w:p w14:paraId="3E33C10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22 729,6</w:t>
            </w:r>
          </w:p>
        </w:tc>
        <w:tc>
          <w:tcPr>
            <w:tcW w:w="436" w:type="pct"/>
            <w:tcBorders>
              <w:top w:val="nil"/>
              <w:left w:val="nil"/>
              <w:bottom w:val="single" w:sz="4" w:space="0" w:color="auto"/>
              <w:right w:val="single" w:sz="4" w:space="0" w:color="auto"/>
            </w:tcBorders>
            <w:shd w:val="clear" w:color="auto" w:fill="auto"/>
            <w:vAlign w:val="center"/>
            <w:hideMark/>
          </w:tcPr>
          <w:p w14:paraId="6280D00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17 729,6</w:t>
            </w:r>
          </w:p>
        </w:tc>
        <w:tc>
          <w:tcPr>
            <w:tcW w:w="436" w:type="pct"/>
            <w:tcBorders>
              <w:top w:val="nil"/>
              <w:left w:val="nil"/>
              <w:bottom w:val="single" w:sz="4" w:space="0" w:color="auto"/>
              <w:right w:val="single" w:sz="4" w:space="0" w:color="auto"/>
            </w:tcBorders>
            <w:shd w:val="clear" w:color="auto" w:fill="auto"/>
            <w:vAlign w:val="center"/>
            <w:hideMark/>
          </w:tcPr>
          <w:p w14:paraId="02BA90D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17 729,6</w:t>
            </w:r>
          </w:p>
        </w:tc>
        <w:tc>
          <w:tcPr>
            <w:tcW w:w="1524" w:type="pct"/>
            <w:tcBorders>
              <w:top w:val="nil"/>
              <w:left w:val="nil"/>
              <w:bottom w:val="single" w:sz="4" w:space="0" w:color="auto"/>
              <w:right w:val="single" w:sz="4" w:space="0" w:color="auto"/>
            </w:tcBorders>
            <w:shd w:val="clear" w:color="auto" w:fill="auto"/>
            <w:vAlign w:val="center"/>
            <w:hideMark/>
          </w:tcPr>
          <w:p w14:paraId="4A5437B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Доставка на ТПМ за ремонт на железен път - 12  </w:t>
            </w:r>
            <w:r w:rsidRPr="00761800">
              <w:rPr>
                <w:rFonts w:ascii="Times New Roman" w:hAnsi="Times New Roman"/>
                <w:sz w:val="20"/>
                <w:lang w:eastAsia="bg-BG"/>
              </w:rPr>
              <w:br/>
              <w:t xml:space="preserve">2. Доставка на механизация за контактна мрежа - 5  </w:t>
            </w:r>
            <w:r w:rsidRPr="00761800">
              <w:rPr>
                <w:rFonts w:ascii="Times New Roman" w:hAnsi="Times New Roman"/>
                <w:sz w:val="20"/>
                <w:lang w:eastAsia="bg-BG"/>
              </w:rPr>
              <w:br/>
              <w:t xml:space="preserve">3. Доставка на ТПМ за теснопътна линия - 3  </w:t>
            </w:r>
            <w:r w:rsidRPr="00761800">
              <w:rPr>
                <w:rFonts w:ascii="Times New Roman" w:hAnsi="Times New Roman"/>
                <w:sz w:val="20"/>
                <w:lang w:eastAsia="bg-BG"/>
              </w:rPr>
              <w:br/>
              <w:t xml:space="preserve">4. Доставка на платформи оборудвани с кран на жп ход - 6  </w:t>
            </w:r>
            <w:r w:rsidRPr="00761800">
              <w:rPr>
                <w:rFonts w:ascii="Times New Roman" w:hAnsi="Times New Roman"/>
                <w:sz w:val="20"/>
                <w:lang w:eastAsia="bg-BG"/>
              </w:rPr>
              <w:br/>
              <w:t xml:space="preserve">5.Доставка на специализирана техника на двоен ход - 7  </w:t>
            </w:r>
          </w:p>
        </w:tc>
        <w:tc>
          <w:tcPr>
            <w:tcW w:w="627" w:type="pct"/>
            <w:tcBorders>
              <w:top w:val="nil"/>
              <w:left w:val="nil"/>
              <w:bottom w:val="single" w:sz="4" w:space="0" w:color="auto"/>
              <w:right w:val="single" w:sz="4" w:space="0" w:color="auto"/>
            </w:tcBorders>
            <w:shd w:val="clear" w:color="auto" w:fill="auto"/>
            <w:vAlign w:val="center"/>
            <w:hideMark/>
          </w:tcPr>
          <w:p w14:paraId="1BEA41A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2FD24530"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5B5801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158</w:t>
            </w:r>
          </w:p>
        </w:tc>
        <w:tc>
          <w:tcPr>
            <w:tcW w:w="529" w:type="pct"/>
            <w:tcBorders>
              <w:top w:val="nil"/>
              <w:left w:val="nil"/>
              <w:bottom w:val="single" w:sz="4" w:space="0" w:color="auto"/>
              <w:right w:val="single" w:sz="4" w:space="0" w:color="auto"/>
            </w:tcBorders>
            <w:shd w:val="clear" w:color="auto" w:fill="auto"/>
            <w:noWrap/>
            <w:vAlign w:val="center"/>
            <w:hideMark/>
          </w:tcPr>
          <w:p w14:paraId="5F00CF7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NP-25.001-0139</w:t>
            </w:r>
          </w:p>
        </w:tc>
        <w:tc>
          <w:tcPr>
            <w:tcW w:w="855" w:type="pct"/>
            <w:tcBorders>
              <w:top w:val="nil"/>
              <w:left w:val="nil"/>
              <w:bottom w:val="single" w:sz="4" w:space="0" w:color="auto"/>
              <w:right w:val="single" w:sz="4" w:space="0" w:color="auto"/>
            </w:tcBorders>
            <w:shd w:val="clear" w:color="auto" w:fill="auto"/>
            <w:vAlign w:val="center"/>
            <w:hideMark/>
          </w:tcPr>
          <w:p w14:paraId="3D232C5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Придобиване на транспортни средства</w:t>
            </w:r>
          </w:p>
        </w:tc>
        <w:tc>
          <w:tcPr>
            <w:tcW w:w="436" w:type="pct"/>
            <w:tcBorders>
              <w:top w:val="nil"/>
              <w:left w:val="nil"/>
              <w:bottom w:val="single" w:sz="4" w:space="0" w:color="auto"/>
              <w:right w:val="single" w:sz="4" w:space="0" w:color="auto"/>
            </w:tcBorders>
            <w:shd w:val="clear" w:color="auto" w:fill="auto"/>
            <w:vAlign w:val="center"/>
            <w:hideMark/>
          </w:tcPr>
          <w:p w14:paraId="0969F7D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1 696,5</w:t>
            </w:r>
          </w:p>
        </w:tc>
        <w:tc>
          <w:tcPr>
            <w:tcW w:w="436" w:type="pct"/>
            <w:tcBorders>
              <w:top w:val="nil"/>
              <w:left w:val="nil"/>
              <w:bottom w:val="single" w:sz="4" w:space="0" w:color="auto"/>
              <w:right w:val="single" w:sz="4" w:space="0" w:color="auto"/>
            </w:tcBorders>
            <w:shd w:val="clear" w:color="auto" w:fill="auto"/>
            <w:vAlign w:val="center"/>
            <w:hideMark/>
          </w:tcPr>
          <w:p w14:paraId="4155462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1 696,5</w:t>
            </w:r>
          </w:p>
        </w:tc>
        <w:tc>
          <w:tcPr>
            <w:tcW w:w="436" w:type="pct"/>
            <w:tcBorders>
              <w:top w:val="nil"/>
              <w:left w:val="nil"/>
              <w:bottom w:val="single" w:sz="4" w:space="0" w:color="auto"/>
              <w:right w:val="single" w:sz="4" w:space="0" w:color="auto"/>
            </w:tcBorders>
            <w:shd w:val="clear" w:color="auto" w:fill="auto"/>
            <w:vAlign w:val="center"/>
            <w:hideMark/>
          </w:tcPr>
          <w:p w14:paraId="7F70FA3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1 696,5</w:t>
            </w:r>
          </w:p>
        </w:tc>
        <w:tc>
          <w:tcPr>
            <w:tcW w:w="1524" w:type="pct"/>
            <w:tcBorders>
              <w:top w:val="nil"/>
              <w:left w:val="nil"/>
              <w:bottom w:val="single" w:sz="4" w:space="0" w:color="auto"/>
              <w:right w:val="single" w:sz="4" w:space="0" w:color="auto"/>
            </w:tcBorders>
            <w:shd w:val="clear" w:color="auto" w:fill="auto"/>
            <w:vAlign w:val="center"/>
            <w:hideMark/>
          </w:tcPr>
          <w:p w14:paraId="2C3CFF9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Доставка на автоцистерни - 3  </w:t>
            </w:r>
            <w:r w:rsidRPr="00761800">
              <w:rPr>
                <w:rFonts w:ascii="Times New Roman" w:hAnsi="Times New Roman"/>
                <w:sz w:val="20"/>
                <w:lang w:eastAsia="bg-BG"/>
              </w:rPr>
              <w:br/>
              <w:t xml:space="preserve">2. Доставка на възстановителни средства - 3  </w:t>
            </w:r>
            <w:r w:rsidRPr="00761800">
              <w:rPr>
                <w:rFonts w:ascii="Times New Roman" w:hAnsi="Times New Roman"/>
                <w:sz w:val="20"/>
                <w:lang w:eastAsia="bg-BG"/>
              </w:rPr>
              <w:br/>
              <w:t>3. Доставка на нова автотранспортна техника - 83</w:t>
            </w:r>
          </w:p>
        </w:tc>
        <w:tc>
          <w:tcPr>
            <w:tcW w:w="627" w:type="pct"/>
            <w:tcBorders>
              <w:top w:val="nil"/>
              <w:left w:val="nil"/>
              <w:bottom w:val="single" w:sz="4" w:space="0" w:color="auto"/>
              <w:right w:val="single" w:sz="4" w:space="0" w:color="auto"/>
            </w:tcBorders>
            <w:shd w:val="clear" w:color="auto" w:fill="auto"/>
            <w:vAlign w:val="center"/>
            <w:hideMark/>
          </w:tcPr>
          <w:p w14:paraId="3B25AFB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Национална компания „Железопътна инфраструктура“</w:t>
            </w:r>
          </w:p>
        </w:tc>
      </w:tr>
      <w:tr w:rsidR="00761800" w:rsidRPr="00761800" w14:paraId="6FF4B890"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0B5102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159</w:t>
            </w:r>
          </w:p>
        </w:tc>
        <w:tc>
          <w:tcPr>
            <w:tcW w:w="529" w:type="pct"/>
            <w:tcBorders>
              <w:top w:val="nil"/>
              <w:left w:val="nil"/>
              <w:bottom w:val="single" w:sz="4" w:space="0" w:color="auto"/>
              <w:right w:val="single" w:sz="4" w:space="0" w:color="auto"/>
            </w:tcBorders>
            <w:shd w:val="clear" w:color="auto" w:fill="auto"/>
            <w:noWrap/>
            <w:vAlign w:val="center"/>
            <w:hideMark/>
          </w:tcPr>
          <w:p w14:paraId="2D38F66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NP-25.001-0130</w:t>
            </w:r>
          </w:p>
        </w:tc>
        <w:tc>
          <w:tcPr>
            <w:tcW w:w="855" w:type="pct"/>
            <w:tcBorders>
              <w:top w:val="nil"/>
              <w:left w:val="nil"/>
              <w:bottom w:val="single" w:sz="4" w:space="0" w:color="auto"/>
              <w:right w:val="single" w:sz="4" w:space="0" w:color="auto"/>
            </w:tcBorders>
            <w:shd w:val="clear" w:color="auto" w:fill="auto"/>
            <w:vAlign w:val="center"/>
            <w:hideMark/>
          </w:tcPr>
          <w:p w14:paraId="7D52295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Капитален ремонт и техническа поддръжка на 15 броя магистрални електрически локомотиви Simens X4-E-lok-D серия 1080-Smartron</w:t>
            </w:r>
          </w:p>
        </w:tc>
        <w:tc>
          <w:tcPr>
            <w:tcW w:w="436" w:type="pct"/>
            <w:tcBorders>
              <w:top w:val="nil"/>
              <w:left w:val="nil"/>
              <w:bottom w:val="single" w:sz="4" w:space="0" w:color="auto"/>
              <w:right w:val="single" w:sz="4" w:space="0" w:color="auto"/>
            </w:tcBorders>
            <w:shd w:val="clear" w:color="auto" w:fill="auto"/>
            <w:vAlign w:val="center"/>
            <w:hideMark/>
          </w:tcPr>
          <w:p w14:paraId="5408802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9 878,4</w:t>
            </w:r>
          </w:p>
        </w:tc>
        <w:tc>
          <w:tcPr>
            <w:tcW w:w="436" w:type="pct"/>
            <w:tcBorders>
              <w:top w:val="nil"/>
              <w:left w:val="nil"/>
              <w:bottom w:val="single" w:sz="4" w:space="0" w:color="auto"/>
              <w:right w:val="single" w:sz="4" w:space="0" w:color="auto"/>
            </w:tcBorders>
            <w:shd w:val="clear" w:color="auto" w:fill="auto"/>
            <w:vAlign w:val="center"/>
            <w:hideMark/>
          </w:tcPr>
          <w:p w14:paraId="6528AC0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1 567,9</w:t>
            </w:r>
          </w:p>
        </w:tc>
        <w:tc>
          <w:tcPr>
            <w:tcW w:w="436" w:type="pct"/>
            <w:tcBorders>
              <w:top w:val="nil"/>
              <w:left w:val="nil"/>
              <w:bottom w:val="single" w:sz="4" w:space="0" w:color="auto"/>
              <w:right w:val="single" w:sz="4" w:space="0" w:color="auto"/>
            </w:tcBorders>
            <w:shd w:val="clear" w:color="auto" w:fill="auto"/>
            <w:vAlign w:val="center"/>
            <w:hideMark/>
          </w:tcPr>
          <w:p w14:paraId="645CAFA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1 567,9</w:t>
            </w:r>
          </w:p>
        </w:tc>
        <w:tc>
          <w:tcPr>
            <w:tcW w:w="1524" w:type="pct"/>
            <w:tcBorders>
              <w:top w:val="nil"/>
              <w:left w:val="nil"/>
              <w:bottom w:val="single" w:sz="4" w:space="0" w:color="auto"/>
              <w:right w:val="single" w:sz="4" w:space="0" w:color="auto"/>
            </w:tcBorders>
            <w:shd w:val="clear" w:color="auto" w:fill="auto"/>
            <w:vAlign w:val="center"/>
            <w:hideMark/>
          </w:tcPr>
          <w:p w14:paraId="52CAB5F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Увеличаване на надеждностна на тяговия подвижен състав и увеличаване на процентното изпълнение на график за движение на влаковете - 24</w:t>
            </w:r>
          </w:p>
        </w:tc>
        <w:tc>
          <w:tcPr>
            <w:tcW w:w="627" w:type="pct"/>
            <w:tcBorders>
              <w:top w:val="nil"/>
              <w:left w:val="nil"/>
              <w:bottom w:val="single" w:sz="4" w:space="0" w:color="auto"/>
              <w:right w:val="single" w:sz="4" w:space="0" w:color="auto"/>
            </w:tcBorders>
            <w:shd w:val="clear" w:color="auto" w:fill="auto"/>
            <w:vAlign w:val="center"/>
            <w:hideMark/>
          </w:tcPr>
          <w:p w14:paraId="45B29B1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„БДЖ - Пътнически превози“ ЕООД</w:t>
            </w:r>
          </w:p>
        </w:tc>
      </w:tr>
      <w:tr w:rsidR="00761800" w:rsidRPr="00761800" w14:paraId="5D779D7A"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A596C2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160</w:t>
            </w:r>
          </w:p>
        </w:tc>
        <w:tc>
          <w:tcPr>
            <w:tcW w:w="529" w:type="pct"/>
            <w:tcBorders>
              <w:top w:val="nil"/>
              <w:left w:val="nil"/>
              <w:bottom w:val="single" w:sz="4" w:space="0" w:color="auto"/>
              <w:right w:val="single" w:sz="4" w:space="0" w:color="auto"/>
            </w:tcBorders>
            <w:shd w:val="clear" w:color="auto" w:fill="auto"/>
            <w:noWrap/>
            <w:vAlign w:val="center"/>
            <w:hideMark/>
          </w:tcPr>
          <w:p w14:paraId="7396766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NP-25.001-0124</w:t>
            </w:r>
          </w:p>
        </w:tc>
        <w:tc>
          <w:tcPr>
            <w:tcW w:w="855" w:type="pct"/>
            <w:tcBorders>
              <w:top w:val="nil"/>
              <w:left w:val="nil"/>
              <w:bottom w:val="single" w:sz="4" w:space="0" w:color="auto"/>
              <w:right w:val="single" w:sz="4" w:space="0" w:color="auto"/>
            </w:tcBorders>
            <w:shd w:val="clear" w:color="auto" w:fill="auto"/>
            <w:vAlign w:val="center"/>
            <w:hideMark/>
          </w:tcPr>
          <w:p w14:paraId="6E49E2C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на дизелови мотриси влакове серия 10, електрически мотриси влакове серия 30 и 31</w:t>
            </w:r>
          </w:p>
        </w:tc>
        <w:tc>
          <w:tcPr>
            <w:tcW w:w="436" w:type="pct"/>
            <w:tcBorders>
              <w:top w:val="nil"/>
              <w:left w:val="nil"/>
              <w:bottom w:val="single" w:sz="4" w:space="0" w:color="auto"/>
              <w:right w:val="single" w:sz="4" w:space="0" w:color="auto"/>
            </w:tcBorders>
            <w:shd w:val="clear" w:color="auto" w:fill="auto"/>
            <w:vAlign w:val="center"/>
            <w:hideMark/>
          </w:tcPr>
          <w:p w14:paraId="238EBD1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5 439,3</w:t>
            </w:r>
          </w:p>
        </w:tc>
        <w:tc>
          <w:tcPr>
            <w:tcW w:w="436" w:type="pct"/>
            <w:tcBorders>
              <w:top w:val="nil"/>
              <w:left w:val="nil"/>
              <w:bottom w:val="single" w:sz="4" w:space="0" w:color="auto"/>
              <w:right w:val="single" w:sz="4" w:space="0" w:color="auto"/>
            </w:tcBorders>
            <w:shd w:val="clear" w:color="auto" w:fill="auto"/>
            <w:vAlign w:val="center"/>
            <w:hideMark/>
          </w:tcPr>
          <w:p w14:paraId="35F92DD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4 593,3</w:t>
            </w:r>
          </w:p>
        </w:tc>
        <w:tc>
          <w:tcPr>
            <w:tcW w:w="436" w:type="pct"/>
            <w:tcBorders>
              <w:top w:val="nil"/>
              <w:left w:val="nil"/>
              <w:bottom w:val="single" w:sz="4" w:space="0" w:color="auto"/>
              <w:right w:val="single" w:sz="4" w:space="0" w:color="auto"/>
            </w:tcBorders>
            <w:shd w:val="clear" w:color="auto" w:fill="auto"/>
            <w:vAlign w:val="center"/>
            <w:hideMark/>
          </w:tcPr>
          <w:p w14:paraId="33606F1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4 593,3</w:t>
            </w:r>
          </w:p>
        </w:tc>
        <w:tc>
          <w:tcPr>
            <w:tcW w:w="1524" w:type="pct"/>
            <w:tcBorders>
              <w:top w:val="nil"/>
              <w:left w:val="nil"/>
              <w:bottom w:val="single" w:sz="4" w:space="0" w:color="auto"/>
              <w:right w:val="single" w:sz="4" w:space="0" w:color="auto"/>
            </w:tcBorders>
            <w:shd w:val="clear" w:color="auto" w:fill="auto"/>
            <w:vAlign w:val="center"/>
            <w:hideMark/>
          </w:tcPr>
          <w:p w14:paraId="1591B07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Увеличаване на надеждностна на тяговия подвижен състав и увеличаване на процентното изпълнение на график за движение на влаковете - 7</w:t>
            </w:r>
          </w:p>
        </w:tc>
        <w:tc>
          <w:tcPr>
            <w:tcW w:w="627" w:type="pct"/>
            <w:tcBorders>
              <w:top w:val="nil"/>
              <w:left w:val="nil"/>
              <w:bottom w:val="single" w:sz="4" w:space="0" w:color="auto"/>
              <w:right w:val="single" w:sz="4" w:space="0" w:color="auto"/>
            </w:tcBorders>
            <w:shd w:val="clear" w:color="auto" w:fill="auto"/>
            <w:vAlign w:val="center"/>
            <w:hideMark/>
          </w:tcPr>
          <w:p w14:paraId="112BEED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„БДЖ - Пътнически превози“ ЕООД</w:t>
            </w:r>
          </w:p>
        </w:tc>
      </w:tr>
      <w:tr w:rsidR="00761800" w:rsidRPr="00761800" w14:paraId="34D2E6C3"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0E1419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161</w:t>
            </w:r>
          </w:p>
        </w:tc>
        <w:tc>
          <w:tcPr>
            <w:tcW w:w="529" w:type="pct"/>
            <w:tcBorders>
              <w:top w:val="nil"/>
              <w:left w:val="nil"/>
              <w:bottom w:val="single" w:sz="4" w:space="0" w:color="auto"/>
              <w:right w:val="single" w:sz="4" w:space="0" w:color="auto"/>
            </w:tcBorders>
            <w:shd w:val="clear" w:color="auto" w:fill="auto"/>
            <w:noWrap/>
            <w:vAlign w:val="center"/>
            <w:hideMark/>
          </w:tcPr>
          <w:p w14:paraId="6C9D0EE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NP-25.001-0127</w:t>
            </w:r>
          </w:p>
        </w:tc>
        <w:tc>
          <w:tcPr>
            <w:tcW w:w="855" w:type="pct"/>
            <w:tcBorders>
              <w:top w:val="nil"/>
              <w:left w:val="nil"/>
              <w:bottom w:val="single" w:sz="4" w:space="0" w:color="auto"/>
              <w:right w:val="single" w:sz="4" w:space="0" w:color="auto"/>
            </w:tcBorders>
            <w:shd w:val="clear" w:color="auto" w:fill="auto"/>
            <w:vAlign w:val="center"/>
            <w:hideMark/>
          </w:tcPr>
          <w:p w14:paraId="6051625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Доставка и гаранционна поддръжка на 10 бр. локомотиви - внедряване на системи за сигурност ЕRTMS/ETCS</w:t>
            </w:r>
          </w:p>
        </w:tc>
        <w:tc>
          <w:tcPr>
            <w:tcW w:w="436" w:type="pct"/>
            <w:tcBorders>
              <w:top w:val="nil"/>
              <w:left w:val="nil"/>
              <w:bottom w:val="single" w:sz="4" w:space="0" w:color="auto"/>
              <w:right w:val="single" w:sz="4" w:space="0" w:color="auto"/>
            </w:tcBorders>
            <w:shd w:val="clear" w:color="auto" w:fill="auto"/>
            <w:vAlign w:val="center"/>
            <w:hideMark/>
          </w:tcPr>
          <w:p w14:paraId="2D37C80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5001958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4 871,8</w:t>
            </w:r>
          </w:p>
        </w:tc>
        <w:tc>
          <w:tcPr>
            <w:tcW w:w="436" w:type="pct"/>
            <w:tcBorders>
              <w:top w:val="nil"/>
              <w:left w:val="nil"/>
              <w:bottom w:val="single" w:sz="4" w:space="0" w:color="auto"/>
              <w:right w:val="single" w:sz="4" w:space="0" w:color="auto"/>
            </w:tcBorders>
            <w:shd w:val="clear" w:color="auto" w:fill="auto"/>
            <w:vAlign w:val="center"/>
            <w:hideMark/>
          </w:tcPr>
          <w:p w14:paraId="67D12AF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5E6AFD6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Увеличаване на надеждностна на тяговия подвижен състав и увеличаване на процентното изпълнение на график за движение на влаковете - 3</w:t>
            </w:r>
          </w:p>
        </w:tc>
        <w:tc>
          <w:tcPr>
            <w:tcW w:w="627" w:type="pct"/>
            <w:tcBorders>
              <w:top w:val="nil"/>
              <w:left w:val="nil"/>
              <w:bottom w:val="single" w:sz="4" w:space="0" w:color="auto"/>
              <w:right w:val="single" w:sz="4" w:space="0" w:color="auto"/>
            </w:tcBorders>
            <w:shd w:val="clear" w:color="auto" w:fill="auto"/>
            <w:vAlign w:val="center"/>
            <w:hideMark/>
          </w:tcPr>
          <w:p w14:paraId="498956C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„БДЖ - Пътнически превози“ ЕООД</w:t>
            </w:r>
          </w:p>
        </w:tc>
      </w:tr>
      <w:tr w:rsidR="00761800" w:rsidRPr="00761800" w14:paraId="7070C931"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9EB91D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162</w:t>
            </w:r>
          </w:p>
        </w:tc>
        <w:tc>
          <w:tcPr>
            <w:tcW w:w="529" w:type="pct"/>
            <w:tcBorders>
              <w:top w:val="nil"/>
              <w:left w:val="nil"/>
              <w:bottom w:val="single" w:sz="4" w:space="0" w:color="auto"/>
              <w:right w:val="single" w:sz="4" w:space="0" w:color="auto"/>
            </w:tcBorders>
            <w:shd w:val="clear" w:color="auto" w:fill="auto"/>
            <w:noWrap/>
            <w:vAlign w:val="center"/>
            <w:hideMark/>
          </w:tcPr>
          <w:p w14:paraId="7D46DE7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NP-25.001-0131</w:t>
            </w:r>
          </w:p>
        </w:tc>
        <w:tc>
          <w:tcPr>
            <w:tcW w:w="855" w:type="pct"/>
            <w:tcBorders>
              <w:top w:val="nil"/>
              <w:left w:val="nil"/>
              <w:bottom w:val="single" w:sz="4" w:space="0" w:color="auto"/>
              <w:right w:val="single" w:sz="4" w:space="0" w:color="auto"/>
            </w:tcBorders>
            <w:shd w:val="clear" w:color="auto" w:fill="auto"/>
            <w:vAlign w:val="center"/>
            <w:hideMark/>
          </w:tcPr>
          <w:p w14:paraId="22D2452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и модернизация на локомотивни и вагони депа</w:t>
            </w:r>
          </w:p>
        </w:tc>
        <w:tc>
          <w:tcPr>
            <w:tcW w:w="436" w:type="pct"/>
            <w:tcBorders>
              <w:top w:val="nil"/>
              <w:left w:val="nil"/>
              <w:bottom w:val="single" w:sz="4" w:space="0" w:color="auto"/>
              <w:right w:val="single" w:sz="4" w:space="0" w:color="auto"/>
            </w:tcBorders>
            <w:shd w:val="clear" w:color="auto" w:fill="auto"/>
            <w:vAlign w:val="center"/>
            <w:hideMark/>
          </w:tcPr>
          <w:p w14:paraId="77B346E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10 206,0</w:t>
            </w:r>
          </w:p>
        </w:tc>
        <w:tc>
          <w:tcPr>
            <w:tcW w:w="436" w:type="pct"/>
            <w:tcBorders>
              <w:top w:val="nil"/>
              <w:left w:val="nil"/>
              <w:bottom w:val="single" w:sz="4" w:space="0" w:color="auto"/>
              <w:right w:val="single" w:sz="4" w:space="0" w:color="auto"/>
            </w:tcBorders>
            <w:shd w:val="clear" w:color="auto" w:fill="auto"/>
            <w:vAlign w:val="center"/>
            <w:hideMark/>
          </w:tcPr>
          <w:p w14:paraId="33B4CB9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11 393,2</w:t>
            </w:r>
          </w:p>
        </w:tc>
        <w:tc>
          <w:tcPr>
            <w:tcW w:w="436" w:type="pct"/>
            <w:tcBorders>
              <w:top w:val="nil"/>
              <w:left w:val="nil"/>
              <w:bottom w:val="single" w:sz="4" w:space="0" w:color="auto"/>
              <w:right w:val="single" w:sz="4" w:space="0" w:color="auto"/>
            </w:tcBorders>
            <w:shd w:val="clear" w:color="auto" w:fill="auto"/>
            <w:vAlign w:val="center"/>
            <w:hideMark/>
          </w:tcPr>
          <w:p w14:paraId="39F228A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16 897,5</w:t>
            </w:r>
          </w:p>
        </w:tc>
        <w:tc>
          <w:tcPr>
            <w:tcW w:w="1524" w:type="pct"/>
            <w:tcBorders>
              <w:top w:val="nil"/>
              <w:left w:val="nil"/>
              <w:bottom w:val="single" w:sz="4" w:space="0" w:color="auto"/>
              <w:right w:val="single" w:sz="4" w:space="0" w:color="auto"/>
            </w:tcBorders>
            <w:shd w:val="clear" w:color="auto" w:fill="auto"/>
            <w:vAlign w:val="center"/>
            <w:hideMark/>
          </w:tcPr>
          <w:p w14:paraId="1A0E8A9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Модернизация и оборудване с машини и съоръжения на локомотивните и вагонните депа - 10</w:t>
            </w:r>
          </w:p>
        </w:tc>
        <w:tc>
          <w:tcPr>
            <w:tcW w:w="627" w:type="pct"/>
            <w:tcBorders>
              <w:top w:val="nil"/>
              <w:left w:val="nil"/>
              <w:bottom w:val="single" w:sz="4" w:space="0" w:color="auto"/>
              <w:right w:val="single" w:sz="4" w:space="0" w:color="auto"/>
            </w:tcBorders>
            <w:shd w:val="clear" w:color="auto" w:fill="auto"/>
            <w:vAlign w:val="center"/>
            <w:hideMark/>
          </w:tcPr>
          <w:p w14:paraId="3AE7FA0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„БДЖ - Пътнически превози“ ЕООД</w:t>
            </w:r>
          </w:p>
        </w:tc>
      </w:tr>
      <w:tr w:rsidR="00761800" w:rsidRPr="00761800" w14:paraId="43B5F887"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1E3626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163</w:t>
            </w:r>
          </w:p>
        </w:tc>
        <w:tc>
          <w:tcPr>
            <w:tcW w:w="529" w:type="pct"/>
            <w:tcBorders>
              <w:top w:val="nil"/>
              <w:left w:val="nil"/>
              <w:bottom w:val="single" w:sz="4" w:space="0" w:color="auto"/>
              <w:right w:val="single" w:sz="4" w:space="0" w:color="auto"/>
            </w:tcBorders>
            <w:shd w:val="clear" w:color="auto" w:fill="auto"/>
            <w:noWrap/>
            <w:vAlign w:val="center"/>
            <w:hideMark/>
          </w:tcPr>
          <w:p w14:paraId="7B42B7C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NP-25.001-0128</w:t>
            </w:r>
          </w:p>
        </w:tc>
        <w:tc>
          <w:tcPr>
            <w:tcW w:w="855" w:type="pct"/>
            <w:tcBorders>
              <w:top w:val="nil"/>
              <w:left w:val="nil"/>
              <w:bottom w:val="single" w:sz="4" w:space="0" w:color="auto"/>
              <w:right w:val="single" w:sz="4" w:space="0" w:color="auto"/>
            </w:tcBorders>
            <w:shd w:val="clear" w:color="auto" w:fill="auto"/>
            <w:vAlign w:val="center"/>
            <w:hideMark/>
          </w:tcPr>
          <w:p w14:paraId="4991F7A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на ПЖПС</w:t>
            </w:r>
          </w:p>
        </w:tc>
        <w:tc>
          <w:tcPr>
            <w:tcW w:w="436" w:type="pct"/>
            <w:tcBorders>
              <w:top w:val="nil"/>
              <w:left w:val="nil"/>
              <w:bottom w:val="single" w:sz="4" w:space="0" w:color="auto"/>
              <w:right w:val="single" w:sz="4" w:space="0" w:color="auto"/>
            </w:tcBorders>
            <w:shd w:val="clear" w:color="auto" w:fill="auto"/>
            <w:vAlign w:val="center"/>
            <w:hideMark/>
          </w:tcPr>
          <w:p w14:paraId="7FD6CD4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7 946,0</w:t>
            </w:r>
          </w:p>
        </w:tc>
        <w:tc>
          <w:tcPr>
            <w:tcW w:w="436" w:type="pct"/>
            <w:tcBorders>
              <w:top w:val="nil"/>
              <w:left w:val="nil"/>
              <w:bottom w:val="single" w:sz="4" w:space="0" w:color="auto"/>
              <w:right w:val="single" w:sz="4" w:space="0" w:color="auto"/>
            </w:tcBorders>
            <w:shd w:val="clear" w:color="auto" w:fill="auto"/>
            <w:vAlign w:val="center"/>
            <w:hideMark/>
          </w:tcPr>
          <w:p w14:paraId="6E8D460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10 673,5</w:t>
            </w:r>
          </w:p>
        </w:tc>
        <w:tc>
          <w:tcPr>
            <w:tcW w:w="436" w:type="pct"/>
            <w:tcBorders>
              <w:top w:val="nil"/>
              <w:left w:val="nil"/>
              <w:bottom w:val="single" w:sz="4" w:space="0" w:color="auto"/>
              <w:right w:val="single" w:sz="4" w:space="0" w:color="auto"/>
            </w:tcBorders>
            <w:shd w:val="clear" w:color="auto" w:fill="auto"/>
            <w:vAlign w:val="center"/>
            <w:hideMark/>
          </w:tcPr>
          <w:p w14:paraId="3CC4477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10 041,0</w:t>
            </w:r>
          </w:p>
        </w:tc>
        <w:tc>
          <w:tcPr>
            <w:tcW w:w="1524" w:type="pct"/>
            <w:tcBorders>
              <w:top w:val="nil"/>
              <w:left w:val="nil"/>
              <w:bottom w:val="single" w:sz="4" w:space="0" w:color="auto"/>
              <w:right w:val="single" w:sz="4" w:space="0" w:color="auto"/>
            </w:tcBorders>
            <w:shd w:val="clear" w:color="auto" w:fill="auto"/>
            <w:vAlign w:val="center"/>
            <w:hideMark/>
          </w:tcPr>
          <w:p w14:paraId="50F79B9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Увеличаване на надеждностна на тяговия подвижен състав и увеличаване на процентното изпълнение на график за движение на влаковете - 271</w:t>
            </w:r>
          </w:p>
        </w:tc>
        <w:tc>
          <w:tcPr>
            <w:tcW w:w="627" w:type="pct"/>
            <w:tcBorders>
              <w:top w:val="nil"/>
              <w:left w:val="nil"/>
              <w:bottom w:val="single" w:sz="4" w:space="0" w:color="auto"/>
              <w:right w:val="single" w:sz="4" w:space="0" w:color="auto"/>
            </w:tcBorders>
            <w:shd w:val="clear" w:color="auto" w:fill="auto"/>
            <w:vAlign w:val="center"/>
            <w:hideMark/>
          </w:tcPr>
          <w:p w14:paraId="4618E27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„БДЖ - Пътнически превози“ ЕООД</w:t>
            </w:r>
          </w:p>
        </w:tc>
      </w:tr>
      <w:tr w:rsidR="00761800" w:rsidRPr="00761800" w14:paraId="5268FF94"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70C3D7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164</w:t>
            </w:r>
          </w:p>
        </w:tc>
        <w:tc>
          <w:tcPr>
            <w:tcW w:w="529" w:type="pct"/>
            <w:tcBorders>
              <w:top w:val="nil"/>
              <w:left w:val="nil"/>
              <w:bottom w:val="single" w:sz="4" w:space="0" w:color="auto"/>
              <w:right w:val="single" w:sz="4" w:space="0" w:color="auto"/>
            </w:tcBorders>
            <w:shd w:val="clear" w:color="auto" w:fill="auto"/>
            <w:noWrap/>
            <w:vAlign w:val="center"/>
            <w:hideMark/>
          </w:tcPr>
          <w:p w14:paraId="6B9DEF3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NP-25.003-0137</w:t>
            </w:r>
          </w:p>
        </w:tc>
        <w:tc>
          <w:tcPr>
            <w:tcW w:w="855" w:type="pct"/>
            <w:tcBorders>
              <w:top w:val="nil"/>
              <w:left w:val="nil"/>
              <w:bottom w:val="single" w:sz="4" w:space="0" w:color="auto"/>
              <w:right w:val="single" w:sz="4" w:space="0" w:color="auto"/>
            </w:tcBorders>
            <w:shd w:val="clear" w:color="auto" w:fill="auto"/>
            <w:vAlign w:val="center"/>
            <w:hideMark/>
          </w:tcPr>
          <w:p w14:paraId="24EE0E2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Внедряване и поддръжка на билетоиздаваща система</w:t>
            </w:r>
          </w:p>
        </w:tc>
        <w:tc>
          <w:tcPr>
            <w:tcW w:w="436" w:type="pct"/>
            <w:tcBorders>
              <w:top w:val="nil"/>
              <w:left w:val="nil"/>
              <w:bottom w:val="single" w:sz="4" w:space="0" w:color="auto"/>
              <w:right w:val="single" w:sz="4" w:space="0" w:color="auto"/>
            </w:tcBorders>
            <w:shd w:val="clear" w:color="auto" w:fill="auto"/>
            <w:vAlign w:val="center"/>
            <w:hideMark/>
          </w:tcPr>
          <w:p w14:paraId="5BA1E8F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8 181,0</w:t>
            </w:r>
          </w:p>
        </w:tc>
        <w:tc>
          <w:tcPr>
            <w:tcW w:w="436" w:type="pct"/>
            <w:tcBorders>
              <w:top w:val="nil"/>
              <w:left w:val="nil"/>
              <w:bottom w:val="single" w:sz="4" w:space="0" w:color="auto"/>
              <w:right w:val="single" w:sz="4" w:space="0" w:color="auto"/>
            </w:tcBorders>
            <w:shd w:val="clear" w:color="auto" w:fill="auto"/>
            <w:vAlign w:val="center"/>
            <w:hideMark/>
          </w:tcPr>
          <w:p w14:paraId="6D738D7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508105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21678CE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Увеличаване на ефективността на обслужване на клиенти - 5</w:t>
            </w:r>
          </w:p>
        </w:tc>
        <w:tc>
          <w:tcPr>
            <w:tcW w:w="627" w:type="pct"/>
            <w:tcBorders>
              <w:top w:val="nil"/>
              <w:left w:val="nil"/>
              <w:bottom w:val="single" w:sz="4" w:space="0" w:color="auto"/>
              <w:right w:val="single" w:sz="4" w:space="0" w:color="auto"/>
            </w:tcBorders>
            <w:shd w:val="clear" w:color="auto" w:fill="auto"/>
            <w:vAlign w:val="center"/>
            <w:hideMark/>
          </w:tcPr>
          <w:p w14:paraId="1C96709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 „БДЖ - Пътнически превози“ ЕООД</w:t>
            </w:r>
          </w:p>
        </w:tc>
      </w:tr>
      <w:tr w:rsidR="00761800" w:rsidRPr="00761800" w14:paraId="4D992B1F"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121C49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165</w:t>
            </w:r>
          </w:p>
        </w:tc>
        <w:tc>
          <w:tcPr>
            <w:tcW w:w="529" w:type="pct"/>
            <w:tcBorders>
              <w:top w:val="nil"/>
              <w:left w:val="nil"/>
              <w:bottom w:val="single" w:sz="4" w:space="0" w:color="auto"/>
              <w:right w:val="single" w:sz="4" w:space="0" w:color="auto"/>
            </w:tcBorders>
            <w:shd w:val="clear" w:color="auto" w:fill="auto"/>
            <w:noWrap/>
            <w:vAlign w:val="center"/>
            <w:hideMark/>
          </w:tcPr>
          <w:p w14:paraId="2780411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NP-25.001-0149</w:t>
            </w:r>
          </w:p>
        </w:tc>
        <w:tc>
          <w:tcPr>
            <w:tcW w:w="855" w:type="pct"/>
            <w:tcBorders>
              <w:top w:val="nil"/>
              <w:left w:val="nil"/>
              <w:bottom w:val="single" w:sz="4" w:space="0" w:color="auto"/>
              <w:right w:val="single" w:sz="4" w:space="0" w:color="auto"/>
            </w:tcBorders>
            <w:shd w:val="clear" w:color="auto" w:fill="auto"/>
            <w:vAlign w:val="center"/>
            <w:hideMark/>
          </w:tcPr>
          <w:p w14:paraId="7E4E77A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Комплексно обслужване и експлоатация на съоръжения за превенция и реагиране при експлоатационни или аварийни замърсявания / СПРЕАЗ / в пристанищата по чл.106а от ЗМПВВППРБ - Варна и Бургас и речните пристанища за обществен транспорт - държавна собственост</w:t>
            </w:r>
          </w:p>
        </w:tc>
        <w:tc>
          <w:tcPr>
            <w:tcW w:w="436" w:type="pct"/>
            <w:tcBorders>
              <w:top w:val="nil"/>
              <w:left w:val="nil"/>
              <w:bottom w:val="single" w:sz="4" w:space="0" w:color="auto"/>
              <w:right w:val="single" w:sz="4" w:space="0" w:color="auto"/>
            </w:tcBorders>
            <w:shd w:val="clear" w:color="auto" w:fill="auto"/>
            <w:vAlign w:val="center"/>
            <w:hideMark/>
          </w:tcPr>
          <w:p w14:paraId="23505EF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444,8</w:t>
            </w:r>
          </w:p>
        </w:tc>
        <w:tc>
          <w:tcPr>
            <w:tcW w:w="436" w:type="pct"/>
            <w:tcBorders>
              <w:top w:val="nil"/>
              <w:left w:val="nil"/>
              <w:bottom w:val="single" w:sz="4" w:space="0" w:color="auto"/>
              <w:right w:val="single" w:sz="4" w:space="0" w:color="auto"/>
            </w:tcBorders>
            <w:shd w:val="clear" w:color="auto" w:fill="auto"/>
            <w:vAlign w:val="center"/>
            <w:hideMark/>
          </w:tcPr>
          <w:p w14:paraId="5D58E15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452,5</w:t>
            </w:r>
          </w:p>
        </w:tc>
        <w:tc>
          <w:tcPr>
            <w:tcW w:w="436" w:type="pct"/>
            <w:tcBorders>
              <w:top w:val="nil"/>
              <w:left w:val="nil"/>
              <w:bottom w:val="single" w:sz="4" w:space="0" w:color="auto"/>
              <w:right w:val="single" w:sz="4" w:space="0" w:color="auto"/>
            </w:tcBorders>
            <w:shd w:val="clear" w:color="auto" w:fill="auto"/>
            <w:vAlign w:val="center"/>
            <w:hideMark/>
          </w:tcPr>
          <w:p w14:paraId="35CA4AE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490,9</w:t>
            </w:r>
          </w:p>
        </w:tc>
        <w:tc>
          <w:tcPr>
            <w:tcW w:w="1524" w:type="pct"/>
            <w:tcBorders>
              <w:top w:val="nil"/>
              <w:left w:val="nil"/>
              <w:bottom w:val="single" w:sz="4" w:space="0" w:color="auto"/>
              <w:right w:val="single" w:sz="4" w:space="0" w:color="auto"/>
            </w:tcBorders>
            <w:shd w:val="clear" w:color="auto" w:fill="auto"/>
            <w:vAlign w:val="center"/>
            <w:hideMark/>
          </w:tcPr>
          <w:p w14:paraId="2CA880D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Модули-комплекти СПРЕАЗ - 4</w:t>
            </w:r>
          </w:p>
        </w:tc>
        <w:tc>
          <w:tcPr>
            <w:tcW w:w="627" w:type="pct"/>
            <w:tcBorders>
              <w:top w:val="nil"/>
              <w:left w:val="nil"/>
              <w:bottom w:val="single" w:sz="4" w:space="0" w:color="auto"/>
              <w:right w:val="single" w:sz="4" w:space="0" w:color="auto"/>
            </w:tcBorders>
            <w:shd w:val="clear" w:color="auto" w:fill="auto"/>
            <w:vAlign w:val="center"/>
            <w:hideMark/>
          </w:tcPr>
          <w:p w14:paraId="5764B5A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3BFF3E62"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818163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166</w:t>
            </w:r>
          </w:p>
        </w:tc>
        <w:tc>
          <w:tcPr>
            <w:tcW w:w="529" w:type="pct"/>
            <w:tcBorders>
              <w:top w:val="nil"/>
              <w:left w:val="nil"/>
              <w:bottom w:val="single" w:sz="4" w:space="0" w:color="auto"/>
              <w:right w:val="single" w:sz="4" w:space="0" w:color="auto"/>
            </w:tcBorders>
            <w:shd w:val="clear" w:color="auto" w:fill="auto"/>
            <w:noWrap/>
            <w:vAlign w:val="center"/>
            <w:hideMark/>
          </w:tcPr>
          <w:p w14:paraId="1F19CAB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NP-25.001-0151</w:t>
            </w:r>
          </w:p>
        </w:tc>
        <w:tc>
          <w:tcPr>
            <w:tcW w:w="855" w:type="pct"/>
            <w:tcBorders>
              <w:top w:val="nil"/>
              <w:left w:val="nil"/>
              <w:bottom w:val="single" w:sz="4" w:space="0" w:color="auto"/>
              <w:right w:val="single" w:sz="4" w:space="0" w:color="auto"/>
            </w:tcBorders>
            <w:shd w:val="clear" w:color="auto" w:fill="auto"/>
            <w:vAlign w:val="center"/>
            <w:hideMark/>
          </w:tcPr>
          <w:p w14:paraId="3B81F2C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СМР за довършване възстановяването на пристанищно съоръжение при нос  Шабла - „Морска естакада” с островна площадка</w:t>
            </w:r>
          </w:p>
        </w:tc>
        <w:tc>
          <w:tcPr>
            <w:tcW w:w="436" w:type="pct"/>
            <w:tcBorders>
              <w:top w:val="nil"/>
              <w:left w:val="nil"/>
              <w:bottom w:val="single" w:sz="4" w:space="0" w:color="auto"/>
              <w:right w:val="single" w:sz="4" w:space="0" w:color="auto"/>
            </w:tcBorders>
            <w:shd w:val="clear" w:color="auto" w:fill="auto"/>
            <w:vAlign w:val="center"/>
            <w:hideMark/>
          </w:tcPr>
          <w:p w14:paraId="034B3CD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794,2</w:t>
            </w:r>
          </w:p>
        </w:tc>
        <w:tc>
          <w:tcPr>
            <w:tcW w:w="436" w:type="pct"/>
            <w:tcBorders>
              <w:top w:val="nil"/>
              <w:left w:val="nil"/>
              <w:bottom w:val="single" w:sz="4" w:space="0" w:color="auto"/>
              <w:right w:val="single" w:sz="4" w:space="0" w:color="auto"/>
            </w:tcBorders>
            <w:shd w:val="clear" w:color="auto" w:fill="auto"/>
            <w:vAlign w:val="center"/>
            <w:hideMark/>
          </w:tcPr>
          <w:p w14:paraId="7869022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F8579E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6EA25F9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Естакада с островна площадка, която навлиза до 414 метра в Черно море - 414</w:t>
            </w:r>
          </w:p>
        </w:tc>
        <w:tc>
          <w:tcPr>
            <w:tcW w:w="627" w:type="pct"/>
            <w:tcBorders>
              <w:top w:val="nil"/>
              <w:left w:val="nil"/>
              <w:bottom w:val="single" w:sz="4" w:space="0" w:color="auto"/>
              <w:right w:val="single" w:sz="4" w:space="0" w:color="auto"/>
            </w:tcBorders>
            <w:shd w:val="clear" w:color="auto" w:fill="auto"/>
            <w:vAlign w:val="center"/>
            <w:hideMark/>
          </w:tcPr>
          <w:p w14:paraId="663936F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365E3D48" w14:textId="77777777" w:rsidTr="00406B4D">
        <w:trPr>
          <w:trHeight w:val="58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A09117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167</w:t>
            </w:r>
          </w:p>
        </w:tc>
        <w:tc>
          <w:tcPr>
            <w:tcW w:w="529" w:type="pct"/>
            <w:tcBorders>
              <w:top w:val="nil"/>
              <w:left w:val="nil"/>
              <w:bottom w:val="single" w:sz="4" w:space="0" w:color="auto"/>
              <w:right w:val="single" w:sz="4" w:space="0" w:color="auto"/>
            </w:tcBorders>
            <w:shd w:val="clear" w:color="auto" w:fill="auto"/>
            <w:noWrap/>
            <w:vAlign w:val="center"/>
            <w:hideMark/>
          </w:tcPr>
          <w:p w14:paraId="58EFD03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NP-25.001-0152</w:t>
            </w:r>
          </w:p>
        </w:tc>
        <w:tc>
          <w:tcPr>
            <w:tcW w:w="855" w:type="pct"/>
            <w:tcBorders>
              <w:top w:val="nil"/>
              <w:left w:val="nil"/>
              <w:bottom w:val="single" w:sz="4" w:space="0" w:color="auto"/>
              <w:right w:val="single" w:sz="4" w:space="0" w:color="auto"/>
            </w:tcBorders>
            <w:shd w:val="clear" w:color="auto" w:fill="auto"/>
            <w:vAlign w:val="center"/>
            <w:hideMark/>
          </w:tcPr>
          <w:p w14:paraId="031444A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Привеждане на пирсове 1, 2 и 3 на ПТ „Росенец“ към нормативните изисквания и добрите европейски практики и изграждане на инсталация </w:t>
            </w:r>
            <w:r w:rsidRPr="00761800">
              <w:rPr>
                <w:rFonts w:ascii="Times New Roman" w:hAnsi="Times New Roman"/>
                <w:sz w:val="20"/>
                <w:lang w:eastAsia="bg-BG"/>
              </w:rPr>
              <w:lastRenderedPageBreak/>
              <w:t>за регенерация на парите (ВРУ)</w:t>
            </w:r>
          </w:p>
        </w:tc>
        <w:tc>
          <w:tcPr>
            <w:tcW w:w="436" w:type="pct"/>
            <w:tcBorders>
              <w:top w:val="nil"/>
              <w:left w:val="nil"/>
              <w:bottom w:val="single" w:sz="4" w:space="0" w:color="auto"/>
              <w:right w:val="single" w:sz="4" w:space="0" w:color="auto"/>
            </w:tcBorders>
            <w:shd w:val="clear" w:color="auto" w:fill="auto"/>
            <w:vAlign w:val="center"/>
            <w:hideMark/>
          </w:tcPr>
          <w:p w14:paraId="3B9A464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3 105,4</w:t>
            </w:r>
          </w:p>
        </w:tc>
        <w:tc>
          <w:tcPr>
            <w:tcW w:w="436" w:type="pct"/>
            <w:tcBorders>
              <w:top w:val="nil"/>
              <w:left w:val="nil"/>
              <w:bottom w:val="single" w:sz="4" w:space="0" w:color="auto"/>
              <w:right w:val="single" w:sz="4" w:space="0" w:color="auto"/>
            </w:tcBorders>
            <w:shd w:val="clear" w:color="auto" w:fill="auto"/>
            <w:vAlign w:val="center"/>
            <w:hideMark/>
          </w:tcPr>
          <w:p w14:paraId="288717E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1AD621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539916B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съоръжения - 3 пирса и 1 бр. инсталация за регенерация на парите (ВРУ) - 4</w:t>
            </w:r>
          </w:p>
        </w:tc>
        <w:tc>
          <w:tcPr>
            <w:tcW w:w="627" w:type="pct"/>
            <w:tcBorders>
              <w:top w:val="nil"/>
              <w:left w:val="nil"/>
              <w:bottom w:val="single" w:sz="4" w:space="0" w:color="auto"/>
              <w:right w:val="single" w:sz="4" w:space="0" w:color="auto"/>
            </w:tcBorders>
            <w:shd w:val="clear" w:color="auto" w:fill="auto"/>
            <w:vAlign w:val="center"/>
            <w:hideMark/>
          </w:tcPr>
          <w:p w14:paraId="330A8A0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71835B89" w14:textId="77777777" w:rsidTr="00406B4D">
        <w:trPr>
          <w:trHeight w:val="153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861CDF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168</w:t>
            </w:r>
          </w:p>
        </w:tc>
        <w:tc>
          <w:tcPr>
            <w:tcW w:w="529" w:type="pct"/>
            <w:tcBorders>
              <w:top w:val="nil"/>
              <w:left w:val="nil"/>
              <w:bottom w:val="single" w:sz="4" w:space="0" w:color="auto"/>
              <w:right w:val="single" w:sz="4" w:space="0" w:color="auto"/>
            </w:tcBorders>
            <w:shd w:val="clear" w:color="auto" w:fill="auto"/>
            <w:noWrap/>
            <w:vAlign w:val="center"/>
            <w:hideMark/>
          </w:tcPr>
          <w:p w14:paraId="3B2782A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NP-26.001-0085</w:t>
            </w:r>
          </w:p>
        </w:tc>
        <w:tc>
          <w:tcPr>
            <w:tcW w:w="855" w:type="pct"/>
            <w:tcBorders>
              <w:top w:val="nil"/>
              <w:left w:val="nil"/>
              <w:bottom w:val="single" w:sz="4" w:space="0" w:color="auto"/>
              <w:right w:val="single" w:sz="4" w:space="0" w:color="auto"/>
            </w:tcBorders>
            <w:shd w:val="clear" w:color="auto" w:fill="auto"/>
            <w:vAlign w:val="center"/>
            <w:hideMark/>
          </w:tcPr>
          <w:p w14:paraId="75CB24A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Надграждане на функционалностите и обхвата на обработваните данни на информационната система „Национален център за електронен документооборот на морския транспорт”, съгласно изискванията на Регламент (ЕС) 2019/1239 на Европейския парламент и на Съвета от 20 юни 2019 година за създаване на единна европейска среда за морско информационно обслужване (EMSWe) и за отмяна на Директива 2010/65/ЕС</w:t>
            </w:r>
          </w:p>
        </w:tc>
        <w:tc>
          <w:tcPr>
            <w:tcW w:w="436" w:type="pct"/>
            <w:tcBorders>
              <w:top w:val="nil"/>
              <w:left w:val="nil"/>
              <w:bottom w:val="single" w:sz="4" w:space="0" w:color="auto"/>
              <w:right w:val="single" w:sz="4" w:space="0" w:color="auto"/>
            </w:tcBorders>
            <w:shd w:val="clear" w:color="auto" w:fill="auto"/>
            <w:vAlign w:val="center"/>
            <w:hideMark/>
          </w:tcPr>
          <w:p w14:paraId="0D4A873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7F3233C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849,4</w:t>
            </w:r>
          </w:p>
        </w:tc>
        <w:tc>
          <w:tcPr>
            <w:tcW w:w="436" w:type="pct"/>
            <w:tcBorders>
              <w:top w:val="nil"/>
              <w:left w:val="nil"/>
              <w:bottom w:val="single" w:sz="4" w:space="0" w:color="auto"/>
              <w:right w:val="single" w:sz="4" w:space="0" w:color="auto"/>
            </w:tcBorders>
            <w:shd w:val="clear" w:color="auto" w:fill="auto"/>
            <w:vAlign w:val="center"/>
            <w:hideMark/>
          </w:tcPr>
          <w:p w14:paraId="43F846B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26BE690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Актуализиран софтуеър -1</w:t>
            </w:r>
          </w:p>
        </w:tc>
        <w:tc>
          <w:tcPr>
            <w:tcW w:w="627" w:type="pct"/>
            <w:tcBorders>
              <w:top w:val="nil"/>
              <w:left w:val="nil"/>
              <w:bottom w:val="single" w:sz="4" w:space="0" w:color="auto"/>
              <w:right w:val="single" w:sz="4" w:space="0" w:color="auto"/>
            </w:tcBorders>
            <w:shd w:val="clear" w:color="auto" w:fill="auto"/>
            <w:vAlign w:val="center"/>
            <w:hideMark/>
          </w:tcPr>
          <w:p w14:paraId="71D0C78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40A96C8B"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75B7A5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169</w:t>
            </w:r>
          </w:p>
        </w:tc>
        <w:tc>
          <w:tcPr>
            <w:tcW w:w="529" w:type="pct"/>
            <w:tcBorders>
              <w:top w:val="nil"/>
              <w:left w:val="nil"/>
              <w:bottom w:val="single" w:sz="4" w:space="0" w:color="auto"/>
              <w:right w:val="single" w:sz="4" w:space="0" w:color="auto"/>
            </w:tcBorders>
            <w:shd w:val="clear" w:color="auto" w:fill="auto"/>
            <w:noWrap/>
            <w:vAlign w:val="center"/>
            <w:hideMark/>
          </w:tcPr>
          <w:p w14:paraId="6B71919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NP-26.001-0086</w:t>
            </w:r>
          </w:p>
        </w:tc>
        <w:tc>
          <w:tcPr>
            <w:tcW w:w="855" w:type="pct"/>
            <w:tcBorders>
              <w:top w:val="nil"/>
              <w:left w:val="nil"/>
              <w:bottom w:val="single" w:sz="4" w:space="0" w:color="auto"/>
              <w:right w:val="single" w:sz="4" w:space="0" w:color="auto"/>
            </w:tcBorders>
            <w:shd w:val="clear" w:color="auto" w:fill="auto"/>
            <w:vAlign w:val="center"/>
            <w:hideMark/>
          </w:tcPr>
          <w:p w14:paraId="7EEBC90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Рехабилитация на сградите и инфраструктурата на ГКПП-Видин</w:t>
            </w:r>
          </w:p>
        </w:tc>
        <w:tc>
          <w:tcPr>
            <w:tcW w:w="436" w:type="pct"/>
            <w:tcBorders>
              <w:top w:val="nil"/>
              <w:left w:val="nil"/>
              <w:bottom w:val="single" w:sz="4" w:space="0" w:color="auto"/>
              <w:right w:val="single" w:sz="4" w:space="0" w:color="auto"/>
            </w:tcBorders>
            <w:shd w:val="clear" w:color="auto" w:fill="auto"/>
            <w:vAlign w:val="center"/>
            <w:hideMark/>
          </w:tcPr>
          <w:p w14:paraId="368B72E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1EC3B04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2 559,7</w:t>
            </w:r>
          </w:p>
        </w:tc>
        <w:tc>
          <w:tcPr>
            <w:tcW w:w="436" w:type="pct"/>
            <w:tcBorders>
              <w:top w:val="nil"/>
              <w:left w:val="nil"/>
              <w:bottom w:val="single" w:sz="4" w:space="0" w:color="auto"/>
              <w:right w:val="single" w:sz="4" w:space="0" w:color="auto"/>
            </w:tcBorders>
            <w:shd w:val="clear" w:color="auto" w:fill="auto"/>
            <w:vAlign w:val="center"/>
            <w:hideMark/>
          </w:tcPr>
          <w:p w14:paraId="544F768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0782085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Брой рехабилитирани сгради - 5  </w:t>
            </w:r>
            <w:r w:rsidRPr="00761800">
              <w:rPr>
                <w:rFonts w:ascii="Times New Roman" w:hAnsi="Times New Roman"/>
                <w:sz w:val="20"/>
                <w:lang w:eastAsia="bg-BG"/>
              </w:rPr>
              <w:br/>
              <w:t>2. Площ (кв. м) рехабилитирани настилки - 21,4</w:t>
            </w:r>
          </w:p>
        </w:tc>
        <w:tc>
          <w:tcPr>
            <w:tcW w:w="627" w:type="pct"/>
            <w:tcBorders>
              <w:top w:val="nil"/>
              <w:left w:val="nil"/>
              <w:bottom w:val="single" w:sz="4" w:space="0" w:color="auto"/>
              <w:right w:val="single" w:sz="4" w:space="0" w:color="auto"/>
            </w:tcBorders>
            <w:shd w:val="clear" w:color="auto" w:fill="auto"/>
            <w:vAlign w:val="center"/>
            <w:hideMark/>
          </w:tcPr>
          <w:p w14:paraId="22876E9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1E61D8F8"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EB5EF5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170</w:t>
            </w:r>
          </w:p>
        </w:tc>
        <w:tc>
          <w:tcPr>
            <w:tcW w:w="529" w:type="pct"/>
            <w:tcBorders>
              <w:top w:val="nil"/>
              <w:left w:val="nil"/>
              <w:bottom w:val="single" w:sz="4" w:space="0" w:color="auto"/>
              <w:right w:val="single" w:sz="4" w:space="0" w:color="auto"/>
            </w:tcBorders>
            <w:shd w:val="clear" w:color="auto" w:fill="auto"/>
            <w:noWrap/>
            <w:vAlign w:val="center"/>
            <w:hideMark/>
          </w:tcPr>
          <w:p w14:paraId="64AC4E3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NP-26.001-0087</w:t>
            </w:r>
          </w:p>
        </w:tc>
        <w:tc>
          <w:tcPr>
            <w:tcW w:w="855" w:type="pct"/>
            <w:tcBorders>
              <w:top w:val="nil"/>
              <w:left w:val="nil"/>
              <w:bottom w:val="single" w:sz="4" w:space="0" w:color="auto"/>
              <w:right w:val="single" w:sz="4" w:space="0" w:color="auto"/>
            </w:tcBorders>
            <w:shd w:val="clear" w:color="auto" w:fill="auto"/>
            <w:vAlign w:val="center"/>
            <w:hideMark/>
          </w:tcPr>
          <w:p w14:paraId="4142BF1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Подмяна на радиолокационни станции от системата БУЛРИС (радари)</w:t>
            </w:r>
          </w:p>
        </w:tc>
        <w:tc>
          <w:tcPr>
            <w:tcW w:w="436" w:type="pct"/>
            <w:tcBorders>
              <w:top w:val="nil"/>
              <w:left w:val="nil"/>
              <w:bottom w:val="single" w:sz="4" w:space="0" w:color="auto"/>
              <w:right w:val="single" w:sz="4" w:space="0" w:color="auto"/>
            </w:tcBorders>
            <w:shd w:val="clear" w:color="auto" w:fill="auto"/>
            <w:vAlign w:val="center"/>
            <w:hideMark/>
          </w:tcPr>
          <w:p w14:paraId="38A8FCD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2 839,7</w:t>
            </w:r>
          </w:p>
        </w:tc>
        <w:tc>
          <w:tcPr>
            <w:tcW w:w="436" w:type="pct"/>
            <w:tcBorders>
              <w:top w:val="nil"/>
              <w:left w:val="nil"/>
              <w:bottom w:val="single" w:sz="4" w:space="0" w:color="auto"/>
              <w:right w:val="single" w:sz="4" w:space="0" w:color="auto"/>
            </w:tcBorders>
            <w:shd w:val="clear" w:color="auto" w:fill="auto"/>
            <w:vAlign w:val="center"/>
            <w:hideMark/>
          </w:tcPr>
          <w:p w14:paraId="45F996A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716,4</w:t>
            </w:r>
          </w:p>
        </w:tc>
        <w:tc>
          <w:tcPr>
            <w:tcW w:w="436" w:type="pct"/>
            <w:tcBorders>
              <w:top w:val="nil"/>
              <w:left w:val="nil"/>
              <w:bottom w:val="single" w:sz="4" w:space="0" w:color="auto"/>
              <w:right w:val="single" w:sz="4" w:space="0" w:color="auto"/>
            </w:tcBorders>
            <w:shd w:val="clear" w:color="auto" w:fill="auto"/>
            <w:vAlign w:val="center"/>
            <w:hideMark/>
          </w:tcPr>
          <w:p w14:paraId="1314915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171914F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Модерни радиолокационни станции - брой -6</w:t>
            </w:r>
          </w:p>
        </w:tc>
        <w:tc>
          <w:tcPr>
            <w:tcW w:w="627" w:type="pct"/>
            <w:tcBorders>
              <w:top w:val="nil"/>
              <w:left w:val="nil"/>
              <w:bottom w:val="single" w:sz="4" w:space="0" w:color="auto"/>
              <w:right w:val="single" w:sz="4" w:space="0" w:color="auto"/>
            </w:tcBorders>
            <w:shd w:val="clear" w:color="auto" w:fill="auto"/>
            <w:vAlign w:val="center"/>
            <w:hideMark/>
          </w:tcPr>
          <w:p w14:paraId="3847324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320E3414" w14:textId="77777777" w:rsidTr="00406B4D">
        <w:trPr>
          <w:trHeight w:val="178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ACD548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171</w:t>
            </w:r>
          </w:p>
        </w:tc>
        <w:tc>
          <w:tcPr>
            <w:tcW w:w="529" w:type="pct"/>
            <w:tcBorders>
              <w:top w:val="nil"/>
              <w:left w:val="nil"/>
              <w:bottom w:val="single" w:sz="4" w:space="0" w:color="auto"/>
              <w:right w:val="single" w:sz="4" w:space="0" w:color="auto"/>
            </w:tcBorders>
            <w:shd w:val="clear" w:color="auto" w:fill="auto"/>
            <w:noWrap/>
            <w:vAlign w:val="center"/>
            <w:hideMark/>
          </w:tcPr>
          <w:p w14:paraId="2230558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NP-26.001-0088</w:t>
            </w:r>
          </w:p>
        </w:tc>
        <w:tc>
          <w:tcPr>
            <w:tcW w:w="855" w:type="pct"/>
            <w:tcBorders>
              <w:top w:val="nil"/>
              <w:left w:val="nil"/>
              <w:bottom w:val="single" w:sz="4" w:space="0" w:color="auto"/>
              <w:right w:val="single" w:sz="4" w:space="0" w:color="auto"/>
            </w:tcBorders>
            <w:shd w:val="clear" w:color="auto" w:fill="auto"/>
            <w:vAlign w:val="center"/>
            <w:hideMark/>
          </w:tcPr>
          <w:p w14:paraId="334DBC0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Доставка на резервни части за извънгаранционна поддръжка на речната информационна система БУЛРИС</w:t>
            </w:r>
          </w:p>
        </w:tc>
        <w:tc>
          <w:tcPr>
            <w:tcW w:w="436" w:type="pct"/>
            <w:tcBorders>
              <w:top w:val="nil"/>
              <w:left w:val="nil"/>
              <w:bottom w:val="single" w:sz="4" w:space="0" w:color="auto"/>
              <w:right w:val="single" w:sz="4" w:space="0" w:color="auto"/>
            </w:tcBorders>
            <w:shd w:val="clear" w:color="auto" w:fill="auto"/>
            <w:vAlign w:val="center"/>
            <w:hideMark/>
          </w:tcPr>
          <w:p w14:paraId="4833949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7DD921B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DEFBC7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1 073,7</w:t>
            </w:r>
          </w:p>
        </w:tc>
        <w:tc>
          <w:tcPr>
            <w:tcW w:w="1524" w:type="pct"/>
            <w:tcBorders>
              <w:top w:val="nil"/>
              <w:left w:val="nil"/>
              <w:bottom w:val="single" w:sz="4" w:space="0" w:color="auto"/>
              <w:right w:val="single" w:sz="4" w:space="0" w:color="auto"/>
            </w:tcBorders>
            <w:shd w:val="clear" w:color="auto" w:fill="auto"/>
            <w:vAlign w:val="center"/>
            <w:hideMark/>
          </w:tcPr>
          <w:p w14:paraId="411E815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Резервна система за видео наблюдение на критични участъци по р.Дунав -1 </w:t>
            </w:r>
            <w:r w:rsidRPr="00761800">
              <w:rPr>
                <w:rFonts w:ascii="Times New Roman" w:hAnsi="Times New Roman"/>
                <w:sz w:val="20"/>
                <w:lang w:eastAsia="bg-BG"/>
              </w:rPr>
              <w:br/>
              <w:t>2. Резервно мрежово оборудване за обекти от системата Булрис, различни типове и компоненти - 20</w:t>
            </w:r>
            <w:r w:rsidRPr="00761800">
              <w:rPr>
                <w:rFonts w:ascii="Times New Roman" w:hAnsi="Times New Roman"/>
                <w:sz w:val="20"/>
                <w:lang w:eastAsia="bg-BG"/>
              </w:rPr>
              <w:br/>
              <w:t xml:space="preserve">3. Резервни модули осигуряващи AIS подсистемата - 8  </w:t>
            </w:r>
            <w:r w:rsidRPr="00761800">
              <w:rPr>
                <w:rFonts w:ascii="Times New Roman" w:hAnsi="Times New Roman"/>
                <w:sz w:val="20"/>
                <w:lang w:eastAsia="bg-BG"/>
              </w:rPr>
              <w:br/>
              <w:t>4. Резервни операторски и контролни работни станции - 4</w:t>
            </w:r>
            <w:r w:rsidRPr="00761800">
              <w:rPr>
                <w:rFonts w:ascii="Times New Roman" w:hAnsi="Times New Roman"/>
                <w:sz w:val="20"/>
                <w:lang w:eastAsia="bg-BG"/>
              </w:rPr>
              <w:br/>
              <w:t xml:space="preserve">5. Резервни модули осигуряващи радио комуникационен пренос - 12  </w:t>
            </w:r>
            <w:r w:rsidRPr="00761800">
              <w:rPr>
                <w:rFonts w:ascii="Times New Roman" w:hAnsi="Times New Roman"/>
                <w:sz w:val="20"/>
                <w:lang w:eastAsia="bg-BG"/>
              </w:rPr>
              <w:br/>
              <w:t xml:space="preserve">6. Резервни модули от системите за електрозахранване -10 </w:t>
            </w:r>
          </w:p>
        </w:tc>
        <w:tc>
          <w:tcPr>
            <w:tcW w:w="627" w:type="pct"/>
            <w:tcBorders>
              <w:top w:val="nil"/>
              <w:left w:val="nil"/>
              <w:bottom w:val="single" w:sz="4" w:space="0" w:color="auto"/>
              <w:right w:val="single" w:sz="4" w:space="0" w:color="auto"/>
            </w:tcBorders>
            <w:shd w:val="clear" w:color="auto" w:fill="auto"/>
            <w:vAlign w:val="center"/>
            <w:hideMark/>
          </w:tcPr>
          <w:p w14:paraId="4A54CB7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103E8B80"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5F09E4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172</w:t>
            </w:r>
          </w:p>
        </w:tc>
        <w:tc>
          <w:tcPr>
            <w:tcW w:w="529" w:type="pct"/>
            <w:tcBorders>
              <w:top w:val="nil"/>
              <w:left w:val="nil"/>
              <w:bottom w:val="single" w:sz="4" w:space="0" w:color="auto"/>
              <w:right w:val="single" w:sz="4" w:space="0" w:color="auto"/>
            </w:tcBorders>
            <w:shd w:val="clear" w:color="auto" w:fill="auto"/>
            <w:noWrap/>
            <w:vAlign w:val="center"/>
            <w:hideMark/>
          </w:tcPr>
          <w:p w14:paraId="5AF61BA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NP-26.001-0089</w:t>
            </w:r>
          </w:p>
        </w:tc>
        <w:tc>
          <w:tcPr>
            <w:tcW w:w="855" w:type="pct"/>
            <w:tcBorders>
              <w:top w:val="nil"/>
              <w:left w:val="nil"/>
              <w:bottom w:val="single" w:sz="4" w:space="0" w:color="auto"/>
              <w:right w:val="single" w:sz="4" w:space="0" w:color="auto"/>
            </w:tcBorders>
            <w:shd w:val="clear" w:color="auto" w:fill="auto"/>
            <w:vAlign w:val="center"/>
            <w:hideMark/>
          </w:tcPr>
          <w:p w14:paraId="2E8EF50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Изграждане на система за сигнализация и визуализация на входното напрежение на обектите от системата на VTMIS</w:t>
            </w:r>
          </w:p>
        </w:tc>
        <w:tc>
          <w:tcPr>
            <w:tcW w:w="436" w:type="pct"/>
            <w:tcBorders>
              <w:top w:val="nil"/>
              <w:left w:val="nil"/>
              <w:bottom w:val="single" w:sz="4" w:space="0" w:color="auto"/>
              <w:right w:val="single" w:sz="4" w:space="0" w:color="auto"/>
            </w:tcBorders>
            <w:shd w:val="clear" w:color="auto" w:fill="auto"/>
            <w:vAlign w:val="center"/>
            <w:hideMark/>
          </w:tcPr>
          <w:p w14:paraId="3D5A41C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4A9ACA1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306,9</w:t>
            </w:r>
          </w:p>
        </w:tc>
        <w:tc>
          <w:tcPr>
            <w:tcW w:w="436" w:type="pct"/>
            <w:tcBorders>
              <w:top w:val="nil"/>
              <w:left w:val="nil"/>
              <w:bottom w:val="single" w:sz="4" w:space="0" w:color="auto"/>
              <w:right w:val="single" w:sz="4" w:space="0" w:color="auto"/>
            </w:tcBorders>
            <w:shd w:val="clear" w:color="auto" w:fill="auto"/>
            <w:vAlign w:val="center"/>
            <w:hideMark/>
          </w:tcPr>
          <w:p w14:paraId="2F47707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306,9</w:t>
            </w:r>
          </w:p>
        </w:tc>
        <w:tc>
          <w:tcPr>
            <w:tcW w:w="1524" w:type="pct"/>
            <w:tcBorders>
              <w:top w:val="nil"/>
              <w:left w:val="nil"/>
              <w:bottom w:val="single" w:sz="4" w:space="0" w:color="auto"/>
              <w:right w:val="single" w:sz="4" w:space="0" w:color="auto"/>
            </w:tcBorders>
            <w:shd w:val="clear" w:color="auto" w:fill="auto"/>
            <w:vAlign w:val="center"/>
            <w:hideMark/>
          </w:tcPr>
          <w:p w14:paraId="62B1F06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Оборудване - 1                                                  </w:t>
            </w:r>
            <w:r w:rsidRPr="00761800">
              <w:rPr>
                <w:rFonts w:ascii="Times New Roman" w:hAnsi="Times New Roman"/>
                <w:sz w:val="20"/>
                <w:lang w:eastAsia="bg-BG"/>
              </w:rPr>
              <w:br/>
              <w:t xml:space="preserve">2. Модули -3 </w:t>
            </w:r>
          </w:p>
        </w:tc>
        <w:tc>
          <w:tcPr>
            <w:tcW w:w="627" w:type="pct"/>
            <w:tcBorders>
              <w:top w:val="nil"/>
              <w:left w:val="nil"/>
              <w:bottom w:val="single" w:sz="4" w:space="0" w:color="auto"/>
              <w:right w:val="single" w:sz="4" w:space="0" w:color="auto"/>
            </w:tcBorders>
            <w:shd w:val="clear" w:color="auto" w:fill="auto"/>
            <w:vAlign w:val="center"/>
            <w:hideMark/>
          </w:tcPr>
          <w:p w14:paraId="5F60663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568C5D59" w14:textId="77777777" w:rsidTr="00406B4D">
        <w:trPr>
          <w:trHeight w:val="127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A7A6B7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173</w:t>
            </w:r>
          </w:p>
        </w:tc>
        <w:tc>
          <w:tcPr>
            <w:tcW w:w="529" w:type="pct"/>
            <w:tcBorders>
              <w:top w:val="nil"/>
              <w:left w:val="nil"/>
              <w:bottom w:val="single" w:sz="4" w:space="0" w:color="auto"/>
              <w:right w:val="single" w:sz="4" w:space="0" w:color="auto"/>
            </w:tcBorders>
            <w:shd w:val="clear" w:color="auto" w:fill="auto"/>
            <w:noWrap/>
            <w:vAlign w:val="center"/>
            <w:hideMark/>
          </w:tcPr>
          <w:p w14:paraId="5579966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NP-25.001-0150</w:t>
            </w:r>
          </w:p>
        </w:tc>
        <w:tc>
          <w:tcPr>
            <w:tcW w:w="855" w:type="pct"/>
            <w:tcBorders>
              <w:top w:val="nil"/>
              <w:left w:val="nil"/>
              <w:bottom w:val="single" w:sz="4" w:space="0" w:color="auto"/>
              <w:right w:val="single" w:sz="4" w:space="0" w:color="auto"/>
            </w:tcBorders>
            <w:shd w:val="clear" w:color="auto" w:fill="auto"/>
            <w:vAlign w:val="center"/>
            <w:hideMark/>
          </w:tcPr>
          <w:p w14:paraId="348B2BD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Рехабилитация на инфраструктурата на пристанищен терминал Фериботен комплекс Варна (ФКВ), включваща: „Рехабилитация на </w:t>
            </w:r>
            <w:r w:rsidRPr="00761800">
              <w:rPr>
                <w:rFonts w:ascii="Times New Roman" w:hAnsi="Times New Roman"/>
                <w:sz w:val="20"/>
                <w:lang w:eastAsia="bg-BG"/>
              </w:rPr>
              <w:lastRenderedPageBreak/>
              <w:t>вътрешна пътна мрежа“, „Рехабилитация на външен паркинг“, „Ремонт на сграда  Претоварен пункт, оборудвана с коловози за двете междурелсия“ и „Ремонт на сграда Цех за смяна на талиги“</w:t>
            </w:r>
          </w:p>
        </w:tc>
        <w:tc>
          <w:tcPr>
            <w:tcW w:w="436" w:type="pct"/>
            <w:tcBorders>
              <w:top w:val="nil"/>
              <w:left w:val="nil"/>
              <w:bottom w:val="single" w:sz="4" w:space="0" w:color="auto"/>
              <w:right w:val="single" w:sz="4" w:space="0" w:color="auto"/>
            </w:tcBorders>
            <w:shd w:val="clear" w:color="auto" w:fill="auto"/>
            <w:vAlign w:val="center"/>
            <w:hideMark/>
          </w:tcPr>
          <w:p w14:paraId="5A1E4CD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1 247,5</w:t>
            </w:r>
          </w:p>
        </w:tc>
        <w:tc>
          <w:tcPr>
            <w:tcW w:w="436" w:type="pct"/>
            <w:tcBorders>
              <w:top w:val="nil"/>
              <w:left w:val="nil"/>
              <w:bottom w:val="single" w:sz="4" w:space="0" w:color="auto"/>
              <w:right w:val="single" w:sz="4" w:space="0" w:color="auto"/>
            </w:tcBorders>
            <w:shd w:val="clear" w:color="auto" w:fill="auto"/>
            <w:vAlign w:val="center"/>
            <w:hideMark/>
          </w:tcPr>
          <w:p w14:paraId="5777D87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BB7EB5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49CCB64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ремонтирани/рехабилитирани обекти - сгради и комплексни съоръжения - 4</w:t>
            </w:r>
          </w:p>
        </w:tc>
        <w:tc>
          <w:tcPr>
            <w:tcW w:w="627" w:type="pct"/>
            <w:tcBorders>
              <w:top w:val="nil"/>
              <w:left w:val="nil"/>
              <w:bottom w:val="single" w:sz="4" w:space="0" w:color="auto"/>
              <w:right w:val="single" w:sz="4" w:space="0" w:color="auto"/>
            </w:tcBorders>
            <w:shd w:val="clear" w:color="auto" w:fill="auto"/>
            <w:vAlign w:val="center"/>
            <w:hideMark/>
          </w:tcPr>
          <w:p w14:paraId="4D79D92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Министерство на транспорта и съобщенията/ Държавно предприятие </w:t>
            </w:r>
            <w:r w:rsidRPr="00761800">
              <w:rPr>
                <w:rFonts w:ascii="Times New Roman" w:hAnsi="Times New Roman"/>
                <w:sz w:val="20"/>
                <w:lang w:eastAsia="bg-BG"/>
              </w:rPr>
              <w:lastRenderedPageBreak/>
              <w:t>„Пристанищна инфраструктура“</w:t>
            </w:r>
          </w:p>
        </w:tc>
      </w:tr>
      <w:tr w:rsidR="00761800" w:rsidRPr="00761800" w14:paraId="06B3F8BC"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1E5F14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174</w:t>
            </w:r>
          </w:p>
        </w:tc>
        <w:tc>
          <w:tcPr>
            <w:tcW w:w="529" w:type="pct"/>
            <w:tcBorders>
              <w:top w:val="nil"/>
              <w:left w:val="nil"/>
              <w:bottom w:val="single" w:sz="4" w:space="0" w:color="auto"/>
              <w:right w:val="single" w:sz="4" w:space="0" w:color="auto"/>
            </w:tcBorders>
            <w:shd w:val="clear" w:color="auto" w:fill="auto"/>
            <w:noWrap/>
            <w:vAlign w:val="center"/>
            <w:hideMark/>
          </w:tcPr>
          <w:p w14:paraId="4D670C3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NP-25.001-0154</w:t>
            </w:r>
          </w:p>
        </w:tc>
        <w:tc>
          <w:tcPr>
            <w:tcW w:w="855" w:type="pct"/>
            <w:tcBorders>
              <w:top w:val="nil"/>
              <w:left w:val="nil"/>
              <w:bottom w:val="single" w:sz="4" w:space="0" w:color="auto"/>
              <w:right w:val="single" w:sz="4" w:space="0" w:color="auto"/>
            </w:tcBorders>
            <w:shd w:val="clear" w:color="auto" w:fill="auto"/>
            <w:vAlign w:val="center"/>
            <w:hideMark/>
          </w:tcPr>
          <w:p w14:paraId="054D3DE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Преоборудване на съоръжения за средно и ниско напрежение  в: ,,Трафопост Стар стол“, ,,Трафопост Нов стол“, „Трафопост № 4 Силози“ и ,,Трафопост № 6 - Рибна борса“ - проектиране и строителство, пристанище Бургас</w:t>
            </w:r>
          </w:p>
        </w:tc>
        <w:tc>
          <w:tcPr>
            <w:tcW w:w="436" w:type="pct"/>
            <w:tcBorders>
              <w:top w:val="nil"/>
              <w:left w:val="nil"/>
              <w:bottom w:val="single" w:sz="4" w:space="0" w:color="auto"/>
              <w:right w:val="single" w:sz="4" w:space="0" w:color="auto"/>
            </w:tcBorders>
            <w:shd w:val="clear" w:color="auto" w:fill="auto"/>
            <w:vAlign w:val="center"/>
            <w:hideMark/>
          </w:tcPr>
          <w:p w14:paraId="7F4C942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1 648,5</w:t>
            </w:r>
          </w:p>
        </w:tc>
        <w:tc>
          <w:tcPr>
            <w:tcW w:w="436" w:type="pct"/>
            <w:tcBorders>
              <w:top w:val="nil"/>
              <w:left w:val="nil"/>
              <w:bottom w:val="single" w:sz="4" w:space="0" w:color="auto"/>
              <w:right w:val="single" w:sz="4" w:space="0" w:color="auto"/>
            </w:tcBorders>
            <w:shd w:val="clear" w:color="auto" w:fill="auto"/>
            <w:vAlign w:val="center"/>
            <w:hideMark/>
          </w:tcPr>
          <w:p w14:paraId="37DD19E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383681B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1E1B0D1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преоборудвани трафопостове на пристанище Бургас - 4</w:t>
            </w:r>
          </w:p>
        </w:tc>
        <w:tc>
          <w:tcPr>
            <w:tcW w:w="627" w:type="pct"/>
            <w:tcBorders>
              <w:top w:val="nil"/>
              <w:left w:val="nil"/>
              <w:bottom w:val="single" w:sz="4" w:space="0" w:color="auto"/>
              <w:right w:val="single" w:sz="4" w:space="0" w:color="auto"/>
            </w:tcBorders>
            <w:shd w:val="clear" w:color="auto" w:fill="auto"/>
            <w:vAlign w:val="center"/>
            <w:hideMark/>
          </w:tcPr>
          <w:p w14:paraId="0ED118E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28C74CFA"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159EFF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175</w:t>
            </w:r>
          </w:p>
        </w:tc>
        <w:tc>
          <w:tcPr>
            <w:tcW w:w="529" w:type="pct"/>
            <w:tcBorders>
              <w:top w:val="nil"/>
              <w:left w:val="nil"/>
              <w:bottom w:val="single" w:sz="4" w:space="0" w:color="auto"/>
              <w:right w:val="single" w:sz="4" w:space="0" w:color="auto"/>
            </w:tcBorders>
            <w:shd w:val="clear" w:color="auto" w:fill="auto"/>
            <w:noWrap/>
            <w:vAlign w:val="center"/>
            <w:hideMark/>
          </w:tcPr>
          <w:p w14:paraId="3258460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NP-25.001-0158</w:t>
            </w:r>
          </w:p>
        </w:tc>
        <w:tc>
          <w:tcPr>
            <w:tcW w:w="855" w:type="pct"/>
            <w:tcBorders>
              <w:top w:val="nil"/>
              <w:left w:val="nil"/>
              <w:bottom w:val="single" w:sz="4" w:space="0" w:color="auto"/>
              <w:right w:val="single" w:sz="4" w:space="0" w:color="auto"/>
            </w:tcBorders>
            <w:shd w:val="clear" w:color="auto" w:fill="auto"/>
            <w:vAlign w:val="center"/>
            <w:hideMark/>
          </w:tcPr>
          <w:p w14:paraId="7F8440B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Реконструкция и технологично обновяване на инфраструктурата и съоръженията на корабно място № 1 на пристанищен терминал „Петрол - Варна“</w:t>
            </w:r>
          </w:p>
        </w:tc>
        <w:tc>
          <w:tcPr>
            <w:tcW w:w="436" w:type="pct"/>
            <w:tcBorders>
              <w:top w:val="nil"/>
              <w:left w:val="nil"/>
              <w:bottom w:val="single" w:sz="4" w:space="0" w:color="auto"/>
              <w:right w:val="single" w:sz="4" w:space="0" w:color="auto"/>
            </w:tcBorders>
            <w:shd w:val="clear" w:color="auto" w:fill="auto"/>
            <w:vAlign w:val="center"/>
            <w:hideMark/>
          </w:tcPr>
          <w:p w14:paraId="0FB32D6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67E0C2F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843,7</w:t>
            </w:r>
          </w:p>
        </w:tc>
        <w:tc>
          <w:tcPr>
            <w:tcW w:w="436" w:type="pct"/>
            <w:tcBorders>
              <w:top w:val="nil"/>
              <w:left w:val="nil"/>
              <w:bottom w:val="single" w:sz="4" w:space="0" w:color="auto"/>
              <w:right w:val="single" w:sz="4" w:space="0" w:color="auto"/>
            </w:tcBorders>
            <w:shd w:val="clear" w:color="auto" w:fill="auto"/>
            <w:vAlign w:val="center"/>
            <w:hideMark/>
          </w:tcPr>
          <w:p w14:paraId="34A4910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285D0A8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Дължина на рехабилитирано корабно място на пристанищния терминал - 220</w:t>
            </w:r>
          </w:p>
        </w:tc>
        <w:tc>
          <w:tcPr>
            <w:tcW w:w="627" w:type="pct"/>
            <w:tcBorders>
              <w:top w:val="nil"/>
              <w:left w:val="nil"/>
              <w:bottom w:val="single" w:sz="4" w:space="0" w:color="auto"/>
              <w:right w:val="single" w:sz="4" w:space="0" w:color="auto"/>
            </w:tcBorders>
            <w:shd w:val="clear" w:color="auto" w:fill="auto"/>
            <w:vAlign w:val="center"/>
            <w:hideMark/>
          </w:tcPr>
          <w:p w14:paraId="14695AA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014921DD"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0E0CEE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176</w:t>
            </w:r>
          </w:p>
        </w:tc>
        <w:tc>
          <w:tcPr>
            <w:tcW w:w="529" w:type="pct"/>
            <w:tcBorders>
              <w:top w:val="nil"/>
              <w:left w:val="nil"/>
              <w:bottom w:val="single" w:sz="4" w:space="0" w:color="auto"/>
              <w:right w:val="single" w:sz="4" w:space="0" w:color="auto"/>
            </w:tcBorders>
            <w:shd w:val="clear" w:color="auto" w:fill="auto"/>
            <w:noWrap/>
            <w:vAlign w:val="center"/>
            <w:hideMark/>
          </w:tcPr>
          <w:p w14:paraId="4B6EB46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NP-25.001-0160</w:t>
            </w:r>
          </w:p>
        </w:tc>
        <w:tc>
          <w:tcPr>
            <w:tcW w:w="855" w:type="pct"/>
            <w:tcBorders>
              <w:top w:val="nil"/>
              <w:left w:val="nil"/>
              <w:bottom w:val="single" w:sz="4" w:space="0" w:color="auto"/>
              <w:right w:val="single" w:sz="4" w:space="0" w:color="auto"/>
            </w:tcBorders>
            <w:shd w:val="clear" w:color="auto" w:fill="auto"/>
            <w:vAlign w:val="center"/>
            <w:hideMark/>
          </w:tcPr>
          <w:p w14:paraId="710BEBF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Възстановяване на проектните параметри на кейови стени по терминали и пирс, пристанищен терминал Варна-изток</w:t>
            </w:r>
          </w:p>
        </w:tc>
        <w:tc>
          <w:tcPr>
            <w:tcW w:w="436" w:type="pct"/>
            <w:tcBorders>
              <w:top w:val="nil"/>
              <w:left w:val="nil"/>
              <w:bottom w:val="single" w:sz="4" w:space="0" w:color="auto"/>
              <w:right w:val="single" w:sz="4" w:space="0" w:color="auto"/>
            </w:tcBorders>
            <w:shd w:val="clear" w:color="auto" w:fill="auto"/>
            <w:vAlign w:val="center"/>
            <w:hideMark/>
          </w:tcPr>
          <w:p w14:paraId="71688DD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1 324,1</w:t>
            </w:r>
          </w:p>
        </w:tc>
        <w:tc>
          <w:tcPr>
            <w:tcW w:w="436" w:type="pct"/>
            <w:tcBorders>
              <w:top w:val="nil"/>
              <w:left w:val="nil"/>
              <w:bottom w:val="single" w:sz="4" w:space="0" w:color="auto"/>
              <w:right w:val="single" w:sz="4" w:space="0" w:color="auto"/>
            </w:tcBorders>
            <w:shd w:val="clear" w:color="auto" w:fill="auto"/>
            <w:vAlign w:val="center"/>
            <w:hideMark/>
          </w:tcPr>
          <w:p w14:paraId="5317526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40C0B0F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3B51465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Дължина на ремонтиран кейов фронт в метри - 513</w:t>
            </w:r>
          </w:p>
        </w:tc>
        <w:tc>
          <w:tcPr>
            <w:tcW w:w="627" w:type="pct"/>
            <w:tcBorders>
              <w:top w:val="nil"/>
              <w:left w:val="nil"/>
              <w:bottom w:val="single" w:sz="4" w:space="0" w:color="auto"/>
              <w:right w:val="single" w:sz="4" w:space="0" w:color="auto"/>
            </w:tcBorders>
            <w:shd w:val="clear" w:color="auto" w:fill="auto"/>
            <w:vAlign w:val="center"/>
            <w:hideMark/>
          </w:tcPr>
          <w:p w14:paraId="3803B52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Министерство на транспорта и съобщенията/ Държавно предприятие </w:t>
            </w:r>
            <w:r w:rsidRPr="00761800">
              <w:rPr>
                <w:rFonts w:ascii="Times New Roman" w:hAnsi="Times New Roman"/>
                <w:sz w:val="20"/>
                <w:lang w:eastAsia="bg-BG"/>
              </w:rPr>
              <w:lastRenderedPageBreak/>
              <w:t>„Пристанищна инфраструктура“</w:t>
            </w:r>
          </w:p>
        </w:tc>
      </w:tr>
      <w:tr w:rsidR="00761800" w:rsidRPr="00761800" w14:paraId="677C3D91"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DA4D17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177</w:t>
            </w:r>
          </w:p>
        </w:tc>
        <w:tc>
          <w:tcPr>
            <w:tcW w:w="529" w:type="pct"/>
            <w:tcBorders>
              <w:top w:val="nil"/>
              <w:left w:val="nil"/>
              <w:bottom w:val="single" w:sz="4" w:space="0" w:color="auto"/>
              <w:right w:val="single" w:sz="4" w:space="0" w:color="auto"/>
            </w:tcBorders>
            <w:shd w:val="clear" w:color="auto" w:fill="auto"/>
            <w:noWrap/>
            <w:vAlign w:val="center"/>
            <w:hideMark/>
          </w:tcPr>
          <w:p w14:paraId="67045BD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NP-25.001-0162</w:t>
            </w:r>
          </w:p>
        </w:tc>
        <w:tc>
          <w:tcPr>
            <w:tcW w:w="855" w:type="pct"/>
            <w:tcBorders>
              <w:top w:val="nil"/>
              <w:left w:val="nil"/>
              <w:bottom w:val="single" w:sz="4" w:space="0" w:color="auto"/>
              <w:right w:val="single" w:sz="4" w:space="0" w:color="auto"/>
            </w:tcBorders>
            <w:shd w:val="clear" w:color="auto" w:fill="auto"/>
            <w:vAlign w:val="center"/>
            <w:hideMark/>
          </w:tcPr>
          <w:p w14:paraId="2D44CA9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Удълбочаване на 6 и 7 к.м., пристанищен терминал Варна – изток</w:t>
            </w:r>
          </w:p>
        </w:tc>
        <w:tc>
          <w:tcPr>
            <w:tcW w:w="436" w:type="pct"/>
            <w:tcBorders>
              <w:top w:val="nil"/>
              <w:left w:val="nil"/>
              <w:bottom w:val="single" w:sz="4" w:space="0" w:color="auto"/>
              <w:right w:val="single" w:sz="4" w:space="0" w:color="auto"/>
            </w:tcBorders>
            <w:shd w:val="clear" w:color="auto" w:fill="auto"/>
            <w:vAlign w:val="center"/>
            <w:hideMark/>
          </w:tcPr>
          <w:p w14:paraId="431C90C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39EB8D5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1C9A3B6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2 030,6</w:t>
            </w:r>
          </w:p>
        </w:tc>
        <w:tc>
          <w:tcPr>
            <w:tcW w:w="1524" w:type="pct"/>
            <w:tcBorders>
              <w:top w:val="nil"/>
              <w:left w:val="nil"/>
              <w:bottom w:val="single" w:sz="4" w:space="0" w:color="auto"/>
              <w:right w:val="single" w:sz="4" w:space="0" w:color="auto"/>
            </w:tcBorders>
            <w:shd w:val="clear" w:color="auto" w:fill="auto"/>
            <w:vAlign w:val="center"/>
            <w:hideMark/>
          </w:tcPr>
          <w:p w14:paraId="63E53DA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Дължина на укрепения кейов фронт в метри - 326</w:t>
            </w:r>
          </w:p>
        </w:tc>
        <w:tc>
          <w:tcPr>
            <w:tcW w:w="627" w:type="pct"/>
            <w:tcBorders>
              <w:top w:val="nil"/>
              <w:left w:val="nil"/>
              <w:bottom w:val="single" w:sz="4" w:space="0" w:color="auto"/>
              <w:right w:val="single" w:sz="4" w:space="0" w:color="auto"/>
            </w:tcBorders>
            <w:shd w:val="clear" w:color="auto" w:fill="auto"/>
            <w:vAlign w:val="center"/>
            <w:hideMark/>
          </w:tcPr>
          <w:p w14:paraId="6C7BE13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2B2375CA"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452D93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178</w:t>
            </w:r>
          </w:p>
        </w:tc>
        <w:tc>
          <w:tcPr>
            <w:tcW w:w="529" w:type="pct"/>
            <w:tcBorders>
              <w:top w:val="nil"/>
              <w:left w:val="nil"/>
              <w:bottom w:val="single" w:sz="4" w:space="0" w:color="auto"/>
              <w:right w:val="single" w:sz="4" w:space="0" w:color="auto"/>
            </w:tcBorders>
            <w:shd w:val="clear" w:color="auto" w:fill="auto"/>
            <w:noWrap/>
            <w:vAlign w:val="center"/>
            <w:hideMark/>
          </w:tcPr>
          <w:p w14:paraId="1964D2C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NP-25.001-0163</w:t>
            </w:r>
          </w:p>
        </w:tc>
        <w:tc>
          <w:tcPr>
            <w:tcW w:w="855" w:type="pct"/>
            <w:tcBorders>
              <w:top w:val="nil"/>
              <w:left w:val="nil"/>
              <w:bottom w:val="single" w:sz="4" w:space="0" w:color="auto"/>
              <w:right w:val="single" w:sz="4" w:space="0" w:color="auto"/>
            </w:tcBorders>
            <w:shd w:val="clear" w:color="auto" w:fill="auto"/>
            <w:vAlign w:val="center"/>
            <w:hideMark/>
          </w:tcPr>
          <w:p w14:paraId="4BF6D90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Рехабилитация на акваториите и лиманите в пристанищните терминали за обществен транспорт, разположени на река Дунав в териториалния обхват на Клон ТП „Пристанище Русе“</w:t>
            </w:r>
          </w:p>
        </w:tc>
        <w:tc>
          <w:tcPr>
            <w:tcW w:w="436" w:type="pct"/>
            <w:tcBorders>
              <w:top w:val="nil"/>
              <w:left w:val="nil"/>
              <w:bottom w:val="single" w:sz="4" w:space="0" w:color="auto"/>
              <w:right w:val="single" w:sz="4" w:space="0" w:color="auto"/>
            </w:tcBorders>
            <w:shd w:val="clear" w:color="auto" w:fill="auto"/>
            <w:vAlign w:val="center"/>
            <w:hideMark/>
          </w:tcPr>
          <w:p w14:paraId="57F1FA3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791869F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38A70B9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2 556,4</w:t>
            </w:r>
          </w:p>
        </w:tc>
        <w:tc>
          <w:tcPr>
            <w:tcW w:w="1524" w:type="pct"/>
            <w:tcBorders>
              <w:top w:val="nil"/>
              <w:left w:val="nil"/>
              <w:bottom w:val="single" w:sz="4" w:space="0" w:color="auto"/>
              <w:right w:val="single" w:sz="4" w:space="0" w:color="auto"/>
            </w:tcBorders>
            <w:shd w:val="clear" w:color="auto" w:fill="auto"/>
            <w:vAlign w:val="center"/>
            <w:hideMark/>
          </w:tcPr>
          <w:p w14:paraId="7B74834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Достигната проектна кота в метри - 2,5</w:t>
            </w:r>
          </w:p>
        </w:tc>
        <w:tc>
          <w:tcPr>
            <w:tcW w:w="627" w:type="pct"/>
            <w:tcBorders>
              <w:top w:val="nil"/>
              <w:left w:val="nil"/>
              <w:bottom w:val="single" w:sz="4" w:space="0" w:color="auto"/>
              <w:right w:val="single" w:sz="4" w:space="0" w:color="auto"/>
            </w:tcBorders>
            <w:shd w:val="clear" w:color="auto" w:fill="auto"/>
            <w:vAlign w:val="center"/>
            <w:hideMark/>
          </w:tcPr>
          <w:p w14:paraId="3FDD62C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7501C1A3"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A6A85C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179</w:t>
            </w:r>
          </w:p>
        </w:tc>
        <w:tc>
          <w:tcPr>
            <w:tcW w:w="529" w:type="pct"/>
            <w:tcBorders>
              <w:top w:val="nil"/>
              <w:left w:val="nil"/>
              <w:bottom w:val="single" w:sz="4" w:space="0" w:color="auto"/>
              <w:right w:val="single" w:sz="4" w:space="0" w:color="auto"/>
            </w:tcBorders>
            <w:shd w:val="clear" w:color="auto" w:fill="auto"/>
            <w:noWrap/>
            <w:vAlign w:val="center"/>
            <w:hideMark/>
          </w:tcPr>
          <w:p w14:paraId="339ACA0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NP-25.001-0164</w:t>
            </w:r>
          </w:p>
        </w:tc>
        <w:tc>
          <w:tcPr>
            <w:tcW w:w="855" w:type="pct"/>
            <w:tcBorders>
              <w:top w:val="nil"/>
              <w:left w:val="nil"/>
              <w:bottom w:val="single" w:sz="4" w:space="0" w:color="auto"/>
              <w:right w:val="single" w:sz="4" w:space="0" w:color="auto"/>
            </w:tcBorders>
            <w:shd w:val="clear" w:color="auto" w:fill="auto"/>
            <w:vAlign w:val="center"/>
            <w:hideMark/>
          </w:tcPr>
          <w:p w14:paraId="54456B3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Строително-монтажни работи за укрепване и рехабилитация на кейови стени к.м. № 1, 2, 3, 6, 7, 8, 10, 11, 12, 13 в Пристанище Бургас</w:t>
            </w:r>
          </w:p>
        </w:tc>
        <w:tc>
          <w:tcPr>
            <w:tcW w:w="436" w:type="pct"/>
            <w:tcBorders>
              <w:top w:val="nil"/>
              <w:left w:val="nil"/>
              <w:bottom w:val="single" w:sz="4" w:space="0" w:color="auto"/>
              <w:right w:val="single" w:sz="4" w:space="0" w:color="auto"/>
            </w:tcBorders>
            <w:shd w:val="clear" w:color="auto" w:fill="auto"/>
            <w:vAlign w:val="center"/>
            <w:hideMark/>
          </w:tcPr>
          <w:p w14:paraId="062F4D2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5FAF12F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1 304,2</w:t>
            </w:r>
          </w:p>
        </w:tc>
        <w:tc>
          <w:tcPr>
            <w:tcW w:w="436" w:type="pct"/>
            <w:tcBorders>
              <w:top w:val="nil"/>
              <w:left w:val="nil"/>
              <w:bottom w:val="single" w:sz="4" w:space="0" w:color="auto"/>
              <w:right w:val="single" w:sz="4" w:space="0" w:color="auto"/>
            </w:tcBorders>
            <w:shd w:val="clear" w:color="auto" w:fill="auto"/>
            <w:vAlign w:val="center"/>
            <w:hideMark/>
          </w:tcPr>
          <w:p w14:paraId="5A77E3C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4 356,2</w:t>
            </w:r>
          </w:p>
        </w:tc>
        <w:tc>
          <w:tcPr>
            <w:tcW w:w="1524" w:type="pct"/>
            <w:tcBorders>
              <w:top w:val="nil"/>
              <w:left w:val="nil"/>
              <w:bottom w:val="single" w:sz="4" w:space="0" w:color="auto"/>
              <w:right w:val="single" w:sz="4" w:space="0" w:color="auto"/>
            </w:tcBorders>
            <w:shd w:val="clear" w:color="auto" w:fill="auto"/>
            <w:vAlign w:val="center"/>
            <w:hideMark/>
          </w:tcPr>
          <w:p w14:paraId="446B074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Дължина на рехабилитиран кейов фронт в метри - 310</w:t>
            </w:r>
          </w:p>
        </w:tc>
        <w:tc>
          <w:tcPr>
            <w:tcW w:w="627" w:type="pct"/>
            <w:tcBorders>
              <w:top w:val="nil"/>
              <w:left w:val="nil"/>
              <w:bottom w:val="single" w:sz="4" w:space="0" w:color="auto"/>
              <w:right w:val="single" w:sz="4" w:space="0" w:color="auto"/>
            </w:tcBorders>
            <w:shd w:val="clear" w:color="auto" w:fill="auto"/>
            <w:vAlign w:val="center"/>
            <w:hideMark/>
          </w:tcPr>
          <w:p w14:paraId="5903773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7D607544"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F6E74B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180</w:t>
            </w:r>
          </w:p>
        </w:tc>
        <w:tc>
          <w:tcPr>
            <w:tcW w:w="529" w:type="pct"/>
            <w:tcBorders>
              <w:top w:val="nil"/>
              <w:left w:val="nil"/>
              <w:bottom w:val="single" w:sz="4" w:space="0" w:color="auto"/>
              <w:right w:val="single" w:sz="4" w:space="0" w:color="auto"/>
            </w:tcBorders>
            <w:shd w:val="clear" w:color="auto" w:fill="auto"/>
            <w:noWrap/>
            <w:vAlign w:val="center"/>
            <w:hideMark/>
          </w:tcPr>
          <w:p w14:paraId="2B7F622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NP-25.001-0153</w:t>
            </w:r>
          </w:p>
        </w:tc>
        <w:tc>
          <w:tcPr>
            <w:tcW w:w="855" w:type="pct"/>
            <w:tcBorders>
              <w:top w:val="nil"/>
              <w:left w:val="nil"/>
              <w:bottom w:val="single" w:sz="4" w:space="0" w:color="auto"/>
              <w:right w:val="single" w:sz="4" w:space="0" w:color="auto"/>
            </w:tcBorders>
            <w:shd w:val="clear" w:color="auto" w:fill="auto"/>
            <w:vAlign w:val="center"/>
            <w:hideMark/>
          </w:tcPr>
          <w:p w14:paraId="50E4257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Обновяване и оптимизиране на Географската информационна система за управление на </w:t>
            </w:r>
            <w:r w:rsidRPr="00761800">
              <w:rPr>
                <w:rFonts w:ascii="Times New Roman" w:hAnsi="Times New Roman"/>
                <w:sz w:val="20"/>
                <w:lang w:eastAsia="bg-BG"/>
              </w:rPr>
              <w:lastRenderedPageBreak/>
              <w:t>пристанищната инфраструктура</w:t>
            </w:r>
          </w:p>
        </w:tc>
        <w:tc>
          <w:tcPr>
            <w:tcW w:w="436" w:type="pct"/>
            <w:tcBorders>
              <w:top w:val="nil"/>
              <w:left w:val="nil"/>
              <w:bottom w:val="single" w:sz="4" w:space="0" w:color="auto"/>
              <w:right w:val="single" w:sz="4" w:space="0" w:color="auto"/>
            </w:tcBorders>
            <w:shd w:val="clear" w:color="auto" w:fill="auto"/>
            <w:vAlign w:val="center"/>
            <w:hideMark/>
          </w:tcPr>
          <w:p w14:paraId="5B7E16C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w:t>
            </w:r>
          </w:p>
        </w:tc>
        <w:tc>
          <w:tcPr>
            <w:tcW w:w="436" w:type="pct"/>
            <w:tcBorders>
              <w:top w:val="nil"/>
              <w:left w:val="nil"/>
              <w:bottom w:val="single" w:sz="4" w:space="0" w:color="auto"/>
              <w:right w:val="single" w:sz="4" w:space="0" w:color="auto"/>
            </w:tcBorders>
            <w:shd w:val="clear" w:color="auto" w:fill="auto"/>
            <w:vAlign w:val="center"/>
            <w:hideMark/>
          </w:tcPr>
          <w:p w14:paraId="0F3CB44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119,2</w:t>
            </w:r>
          </w:p>
        </w:tc>
        <w:tc>
          <w:tcPr>
            <w:tcW w:w="436" w:type="pct"/>
            <w:tcBorders>
              <w:top w:val="nil"/>
              <w:left w:val="nil"/>
              <w:bottom w:val="single" w:sz="4" w:space="0" w:color="auto"/>
              <w:right w:val="single" w:sz="4" w:space="0" w:color="auto"/>
            </w:tcBorders>
            <w:shd w:val="clear" w:color="auto" w:fill="auto"/>
            <w:vAlign w:val="center"/>
            <w:hideMark/>
          </w:tcPr>
          <w:p w14:paraId="26DBBA9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569112C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Оптимизирана и модернизирана ГИС на ДП „Пристанищна инфраструктура“ - 1</w:t>
            </w:r>
          </w:p>
        </w:tc>
        <w:tc>
          <w:tcPr>
            <w:tcW w:w="627" w:type="pct"/>
            <w:tcBorders>
              <w:top w:val="nil"/>
              <w:left w:val="nil"/>
              <w:bottom w:val="single" w:sz="4" w:space="0" w:color="auto"/>
              <w:right w:val="single" w:sz="4" w:space="0" w:color="auto"/>
            </w:tcBorders>
            <w:shd w:val="clear" w:color="auto" w:fill="auto"/>
            <w:vAlign w:val="center"/>
            <w:hideMark/>
          </w:tcPr>
          <w:p w14:paraId="168B69A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Министерство на транспорта и съобщенията/ Държавно предприятие </w:t>
            </w:r>
            <w:r w:rsidRPr="00761800">
              <w:rPr>
                <w:rFonts w:ascii="Times New Roman" w:hAnsi="Times New Roman"/>
                <w:sz w:val="20"/>
                <w:lang w:eastAsia="bg-BG"/>
              </w:rPr>
              <w:lastRenderedPageBreak/>
              <w:t>„Пристанищна инфраструктура“</w:t>
            </w:r>
          </w:p>
        </w:tc>
      </w:tr>
      <w:tr w:rsidR="00761800" w:rsidRPr="00761800" w14:paraId="50C1E6D8"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87FB6D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181</w:t>
            </w:r>
          </w:p>
        </w:tc>
        <w:tc>
          <w:tcPr>
            <w:tcW w:w="529" w:type="pct"/>
            <w:tcBorders>
              <w:top w:val="nil"/>
              <w:left w:val="nil"/>
              <w:bottom w:val="single" w:sz="4" w:space="0" w:color="auto"/>
              <w:right w:val="single" w:sz="4" w:space="0" w:color="auto"/>
            </w:tcBorders>
            <w:shd w:val="clear" w:color="auto" w:fill="auto"/>
            <w:noWrap/>
            <w:vAlign w:val="center"/>
            <w:hideMark/>
          </w:tcPr>
          <w:p w14:paraId="56969A7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NP-25.001-0156</w:t>
            </w:r>
          </w:p>
        </w:tc>
        <w:tc>
          <w:tcPr>
            <w:tcW w:w="855" w:type="pct"/>
            <w:tcBorders>
              <w:top w:val="nil"/>
              <w:left w:val="nil"/>
              <w:bottom w:val="single" w:sz="4" w:space="0" w:color="auto"/>
              <w:right w:val="single" w:sz="4" w:space="0" w:color="auto"/>
            </w:tcBorders>
            <w:shd w:val="clear" w:color="auto" w:fill="auto"/>
            <w:vAlign w:val="center"/>
            <w:hideMark/>
          </w:tcPr>
          <w:p w14:paraId="6AB1B0C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Изпълнение на инженеринг (проектиране и изграждане) на яхтени зони в градовете Варна и Бургас и сервизна зона в град Варна, с две обособени позиции</w:t>
            </w:r>
          </w:p>
        </w:tc>
        <w:tc>
          <w:tcPr>
            <w:tcW w:w="436" w:type="pct"/>
            <w:tcBorders>
              <w:top w:val="nil"/>
              <w:left w:val="nil"/>
              <w:bottom w:val="single" w:sz="4" w:space="0" w:color="auto"/>
              <w:right w:val="single" w:sz="4" w:space="0" w:color="auto"/>
            </w:tcBorders>
            <w:shd w:val="clear" w:color="auto" w:fill="auto"/>
            <w:vAlign w:val="center"/>
            <w:hideMark/>
          </w:tcPr>
          <w:p w14:paraId="3DD6EC4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7933258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4 758,8</w:t>
            </w:r>
          </w:p>
        </w:tc>
        <w:tc>
          <w:tcPr>
            <w:tcW w:w="436" w:type="pct"/>
            <w:tcBorders>
              <w:top w:val="nil"/>
              <w:left w:val="nil"/>
              <w:bottom w:val="single" w:sz="4" w:space="0" w:color="auto"/>
              <w:right w:val="single" w:sz="4" w:space="0" w:color="auto"/>
            </w:tcBorders>
            <w:shd w:val="clear" w:color="auto" w:fill="auto"/>
            <w:vAlign w:val="center"/>
            <w:hideMark/>
          </w:tcPr>
          <w:p w14:paraId="3A34702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1 211,7</w:t>
            </w:r>
          </w:p>
        </w:tc>
        <w:tc>
          <w:tcPr>
            <w:tcW w:w="1524" w:type="pct"/>
            <w:tcBorders>
              <w:top w:val="nil"/>
              <w:left w:val="nil"/>
              <w:bottom w:val="single" w:sz="4" w:space="0" w:color="auto"/>
              <w:right w:val="single" w:sz="4" w:space="0" w:color="auto"/>
            </w:tcBorders>
            <w:shd w:val="clear" w:color="auto" w:fill="auto"/>
            <w:vAlign w:val="center"/>
            <w:hideMark/>
          </w:tcPr>
          <w:p w14:paraId="08C08C8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1. Брой изградени яхтени зони - 2  </w:t>
            </w:r>
            <w:r w:rsidRPr="00761800">
              <w:rPr>
                <w:rFonts w:ascii="Times New Roman" w:hAnsi="Times New Roman"/>
                <w:sz w:val="20"/>
                <w:lang w:eastAsia="bg-BG"/>
              </w:rPr>
              <w:br/>
              <w:t>2. Брой изградени сервизни зони - 1</w:t>
            </w:r>
          </w:p>
        </w:tc>
        <w:tc>
          <w:tcPr>
            <w:tcW w:w="627" w:type="pct"/>
            <w:tcBorders>
              <w:top w:val="nil"/>
              <w:left w:val="nil"/>
              <w:bottom w:val="single" w:sz="4" w:space="0" w:color="auto"/>
              <w:right w:val="single" w:sz="4" w:space="0" w:color="auto"/>
            </w:tcBorders>
            <w:shd w:val="clear" w:color="auto" w:fill="auto"/>
            <w:vAlign w:val="center"/>
            <w:hideMark/>
          </w:tcPr>
          <w:p w14:paraId="5DDBB52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2AD383A3"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9C1DD7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182</w:t>
            </w:r>
          </w:p>
        </w:tc>
        <w:tc>
          <w:tcPr>
            <w:tcW w:w="529" w:type="pct"/>
            <w:tcBorders>
              <w:top w:val="nil"/>
              <w:left w:val="nil"/>
              <w:bottom w:val="single" w:sz="4" w:space="0" w:color="auto"/>
              <w:right w:val="single" w:sz="4" w:space="0" w:color="auto"/>
            </w:tcBorders>
            <w:shd w:val="clear" w:color="auto" w:fill="auto"/>
            <w:noWrap/>
            <w:vAlign w:val="center"/>
            <w:hideMark/>
          </w:tcPr>
          <w:p w14:paraId="5D59CE6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NP-25.001-0157</w:t>
            </w:r>
          </w:p>
        </w:tc>
        <w:tc>
          <w:tcPr>
            <w:tcW w:w="855" w:type="pct"/>
            <w:tcBorders>
              <w:top w:val="nil"/>
              <w:left w:val="nil"/>
              <w:bottom w:val="single" w:sz="4" w:space="0" w:color="auto"/>
              <w:right w:val="single" w:sz="4" w:space="0" w:color="auto"/>
            </w:tcBorders>
            <w:shd w:val="clear" w:color="auto" w:fill="auto"/>
            <w:vAlign w:val="center"/>
            <w:hideMark/>
          </w:tcPr>
          <w:p w14:paraId="5950641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Реконструкция на сгради - Магазия 2 и Магазия 3, без промяна на кота било, пристанищен терминал Варна - изток</w:t>
            </w:r>
          </w:p>
        </w:tc>
        <w:tc>
          <w:tcPr>
            <w:tcW w:w="436" w:type="pct"/>
            <w:tcBorders>
              <w:top w:val="nil"/>
              <w:left w:val="nil"/>
              <w:bottom w:val="single" w:sz="4" w:space="0" w:color="auto"/>
              <w:right w:val="single" w:sz="4" w:space="0" w:color="auto"/>
            </w:tcBorders>
            <w:shd w:val="clear" w:color="auto" w:fill="auto"/>
            <w:vAlign w:val="center"/>
            <w:hideMark/>
          </w:tcPr>
          <w:p w14:paraId="7C1DA1C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518,7</w:t>
            </w:r>
          </w:p>
        </w:tc>
        <w:tc>
          <w:tcPr>
            <w:tcW w:w="436" w:type="pct"/>
            <w:tcBorders>
              <w:top w:val="nil"/>
              <w:left w:val="nil"/>
              <w:bottom w:val="single" w:sz="4" w:space="0" w:color="auto"/>
              <w:right w:val="single" w:sz="4" w:space="0" w:color="auto"/>
            </w:tcBorders>
            <w:shd w:val="clear" w:color="auto" w:fill="auto"/>
            <w:vAlign w:val="center"/>
            <w:hideMark/>
          </w:tcPr>
          <w:p w14:paraId="17D4F33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3 126,4</w:t>
            </w:r>
          </w:p>
        </w:tc>
        <w:tc>
          <w:tcPr>
            <w:tcW w:w="436" w:type="pct"/>
            <w:tcBorders>
              <w:top w:val="nil"/>
              <w:left w:val="nil"/>
              <w:bottom w:val="single" w:sz="4" w:space="0" w:color="auto"/>
              <w:right w:val="single" w:sz="4" w:space="0" w:color="auto"/>
            </w:tcBorders>
            <w:shd w:val="clear" w:color="auto" w:fill="auto"/>
            <w:vAlign w:val="center"/>
            <w:hideMark/>
          </w:tcPr>
          <w:p w14:paraId="5F83523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4BF685B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Реконструирани магазии, 2 бр., с РЗП - 4,964</w:t>
            </w:r>
          </w:p>
        </w:tc>
        <w:tc>
          <w:tcPr>
            <w:tcW w:w="627" w:type="pct"/>
            <w:tcBorders>
              <w:top w:val="nil"/>
              <w:left w:val="nil"/>
              <w:bottom w:val="single" w:sz="4" w:space="0" w:color="auto"/>
              <w:right w:val="single" w:sz="4" w:space="0" w:color="auto"/>
            </w:tcBorders>
            <w:shd w:val="clear" w:color="auto" w:fill="auto"/>
            <w:vAlign w:val="center"/>
            <w:hideMark/>
          </w:tcPr>
          <w:p w14:paraId="4B738C2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22F75A14"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F6DE02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183</w:t>
            </w:r>
          </w:p>
        </w:tc>
        <w:tc>
          <w:tcPr>
            <w:tcW w:w="529" w:type="pct"/>
            <w:tcBorders>
              <w:top w:val="nil"/>
              <w:left w:val="nil"/>
              <w:bottom w:val="single" w:sz="4" w:space="0" w:color="auto"/>
              <w:right w:val="single" w:sz="4" w:space="0" w:color="auto"/>
            </w:tcBorders>
            <w:shd w:val="clear" w:color="auto" w:fill="auto"/>
            <w:noWrap/>
            <w:vAlign w:val="center"/>
            <w:hideMark/>
          </w:tcPr>
          <w:p w14:paraId="053D0D2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NP-25.001-0155</w:t>
            </w:r>
          </w:p>
        </w:tc>
        <w:tc>
          <w:tcPr>
            <w:tcW w:w="855" w:type="pct"/>
            <w:tcBorders>
              <w:top w:val="nil"/>
              <w:left w:val="nil"/>
              <w:bottom w:val="single" w:sz="4" w:space="0" w:color="auto"/>
              <w:right w:val="single" w:sz="4" w:space="0" w:color="auto"/>
            </w:tcBorders>
            <w:shd w:val="clear" w:color="auto" w:fill="auto"/>
            <w:vAlign w:val="center"/>
            <w:hideMark/>
          </w:tcPr>
          <w:p w14:paraId="122DD0C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Модернизация на техническите съоръжения и разширяване обхвата на речната информационна система в българската част на р. Дунав – БУЛРИС</w:t>
            </w:r>
          </w:p>
        </w:tc>
        <w:tc>
          <w:tcPr>
            <w:tcW w:w="436" w:type="pct"/>
            <w:tcBorders>
              <w:top w:val="nil"/>
              <w:left w:val="nil"/>
              <w:bottom w:val="single" w:sz="4" w:space="0" w:color="auto"/>
              <w:right w:val="single" w:sz="4" w:space="0" w:color="auto"/>
            </w:tcBorders>
            <w:shd w:val="clear" w:color="auto" w:fill="auto"/>
            <w:vAlign w:val="center"/>
            <w:hideMark/>
          </w:tcPr>
          <w:p w14:paraId="02B0478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4 228,8</w:t>
            </w:r>
          </w:p>
        </w:tc>
        <w:tc>
          <w:tcPr>
            <w:tcW w:w="436" w:type="pct"/>
            <w:tcBorders>
              <w:top w:val="nil"/>
              <w:left w:val="nil"/>
              <w:bottom w:val="single" w:sz="4" w:space="0" w:color="auto"/>
              <w:right w:val="single" w:sz="4" w:space="0" w:color="auto"/>
            </w:tcBorders>
            <w:shd w:val="clear" w:color="auto" w:fill="auto"/>
            <w:vAlign w:val="center"/>
            <w:hideMark/>
          </w:tcPr>
          <w:p w14:paraId="3FB5C87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650,3</w:t>
            </w:r>
          </w:p>
        </w:tc>
        <w:tc>
          <w:tcPr>
            <w:tcW w:w="436" w:type="pct"/>
            <w:tcBorders>
              <w:top w:val="nil"/>
              <w:left w:val="nil"/>
              <w:bottom w:val="single" w:sz="4" w:space="0" w:color="auto"/>
              <w:right w:val="single" w:sz="4" w:space="0" w:color="auto"/>
            </w:tcBorders>
            <w:shd w:val="clear" w:color="auto" w:fill="auto"/>
            <w:vAlign w:val="center"/>
            <w:hideMark/>
          </w:tcPr>
          <w:p w14:paraId="3BD8215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vAlign w:val="center"/>
            <w:hideMark/>
          </w:tcPr>
          <w:p w14:paraId="6D8432F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Оптимизирана и модернизирана БУЛРИС на ДП „Пристанищна инфраструктура“ - 1</w:t>
            </w:r>
          </w:p>
        </w:tc>
        <w:tc>
          <w:tcPr>
            <w:tcW w:w="627" w:type="pct"/>
            <w:tcBorders>
              <w:top w:val="nil"/>
              <w:left w:val="nil"/>
              <w:bottom w:val="single" w:sz="4" w:space="0" w:color="auto"/>
              <w:right w:val="single" w:sz="4" w:space="0" w:color="auto"/>
            </w:tcBorders>
            <w:shd w:val="clear" w:color="auto" w:fill="auto"/>
            <w:vAlign w:val="center"/>
            <w:hideMark/>
          </w:tcPr>
          <w:p w14:paraId="03A318B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69D637FB" w14:textId="77777777" w:rsidTr="00406B4D">
        <w:trPr>
          <w:trHeight w:val="102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6477CF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184</w:t>
            </w:r>
          </w:p>
        </w:tc>
        <w:tc>
          <w:tcPr>
            <w:tcW w:w="529" w:type="pct"/>
            <w:tcBorders>
              <w:top w:val="nil"/>
              <w:left w:val="nil"/>
              <w:bottom w:val="single" w:sz="4" w:space="0" w:color="auto"/>
              <w:right w:val="single" w:sz="4" w:space="0" w:color="auto"/>
            </w:tcBorders>
            <w:shd w:val="clear" w:color="auto" w:fill="auto"/>
            <w:noWrap/>
            <w:vAlign w:val="center"/>
            <w:hideMark/>
          </w:tcPr>
          <w:p w14:paraId="7F9114E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NP-25.001-0161</w:t>
            </w:r>
          </w:p>
        </w:tc>
        <w:tc>
          <w:tcPr>
            <w:tcW w:w="855" w:type="pct"/>
            <w:tcBorders>
              <w:top w:val="nil"/>
              <w:left w:val="nil"/>
              <w:bottom w:val="single" w:sz="4" w:space="0" w:color="auto"/>
              <w:right w:val="single" w:sz="4" w:space="0" w:color="auto"/>
            </w:tcBorders>
            <w:shd w:val="clear" w:color="auto" w:fill="auto"/>
            <w:vAlign w:val="center"/>
            <w:hideMark/>
          </w:tcPr>
          <w:p w14:paraId="7BDC86B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и реконструкция на сграда на Приморски 5, гр. Варна</w:t>
            </w:r>
          </w:p>
        </w:tc>
        <w:tc>
          <w:tcPr>
            <w:tcW w:w="436" w:type="pct"/>
            <w:tcBorders>
              <w:top w:val="nil"/>
              <w:left w:val="nil"/>
              <w:bottom w:val="single" w:sz="4" w:space="0" w:color="auto"/>
              <w:right w:val="single" w:sz="4" w:space="0" w:color="auto"/>
            </w:tcBorders>
            <w:shd w:val="clear" w:color="auto" w:fill="auto"/>
            <w:vAlign w:val="center"/>
            <w:hideMark/>
          </w:tcPr>
          <w:p w14:paraId="5629D4C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1DD5BC1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464,2</w:t>
            </w:r>
          </w:p>
        </w:tc>
        <w:tc>
          <w:tcPr>
            <w:tcW w:w="436" w:type="pct"/>
            <w:tcBorders>
              <w:top w:val="nil"/>
              <w:left w:val="nil"/>
              <w:bottom w:val="single" w:sz="4" w:space="0" w:color="auto"/>
              <w:right w:val="single" w:sz="4" w:space="0" w:color="auto"/>
            </w:tcBorders>
            <w:shd w:val="clear" w:color="auto" w:fill="auto"/>
            <w:vAlign w:val="center"/>
            <w:hideMark/>
          </w:tcPr>
          <w:p w14:paraId="2B9D0B8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4 125,3</w:t>
            </w:r>
          </w:p>
        </w:tc>
        <w:tc>
          <w:tcPr>
            <w:tcW w:w="1524" w:type="pct"/>
            <w:tcBorders>
              <w:top w:val="nil"/>
              <w:left w:val="nil"/>
              <w:bottom w:val="single" w:sz="4" w:space="0" w:color="auto"/>
              <w:right w:val="single" w:sz="4" w:space="0" w:color="auto"/>
            </w:tcBorders>
            <w:shd w:val="clear" w:color="auto" w:fill="auto"/>
            <w:vAlign w:val="center"/>
            <w:hideMark/>
          </w:tcPr>
          <w:p w14:paraId="42D11A9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Преустроена РЗП - кв.м - 5,420</w:t>
            </w:r>
          </w:p>
        </w:tc>
        <w:tc>
          <w:tcPr>
            <w:tcW w:w="627" w:type="pct"/>
            <w:tcBorders>
              <w:top w:val="nil"/>
              <w:left w:val="nil"/>
              <w:bottom w:val="single" w:sz="4" w:space="0" w:color="auto"/>
              <w:right w:val="single" w:sz="4" w:space="0" w:color="auto"/>
            </w:tcBorders>
            <w:shd w:val="clear" w:color="auto" w:fill="auto"/>
            <w:vAlign w:val="center"/>
            <w:hideMark/>
          </w:tcPr>
          <w:p w14:paraId="6AF5915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 Държавно предприятие „Пристанищна инфраструктура“</w:t>
            </w:r>
          </w:p>
        </w:tc>
      </w:tr>
      <w:tr w:rsidR="00761800" w:rsidRPr="00761800" w14:paraId="61BA6928" w14:textId="77777777" w:rsidTr="00406B4D">
        <w:trPr>
          <w:trHeight w:val="127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A2E95F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185</w:t>
            </w:r>
          </w:p>
        </w:tc>
        <w:tc>
          <w:tcPr>
            <w:tcW w:w="529" w:type="pct"/>
            <w:tcBorders>
              <w:top w:val="nil"/>
              <w:left w:val="nil"/>
              <w:bottom w:val="single" w:sz="4" w:space="0" w:color="auto"/>
              <w:right w:val="single" w:sz="4" w:space="0" w:color="auto"/>
            </w:tcBorders>
            <w:shd w:val="clear" w:color="auto" w:fill="auto"/>
            <w:noWrap/>
            <w:vAlign w:val="center"/>
            <w:hideMark/>
          </w:tcPr>
          <w:p w14:paraId="483CE3C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NP-25.121-0003</w:t>
            </w:r>
          </w:p>
        </w:tc>
        <w:tc>
          <w:tcPr>
            <w:tcW w:w="855" w:type="pct"/>
            <w:tcBorders>
              <w:top w:val="nil"/>
              <w:left w:val="nil"/>
              <w:bottom w:val="single" w:sz="4" w:space="0" w:color="auto"/>
              <w:right w:val="single" w:sz="4" w:space="0" w:color="auto"/>
            </w:tcBorders>
            <w:shd w:val="clear" w:color="auto" w:fill="auto"/>
            <w:vAlign w:val="center"/>
            <w:hideMark/>
          </w:tcPr>
          <w:p w14:paraId="62FB0D1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Годишна програма за поддържане, ремонт, реконструкция, цялостно обновяване или създаване на нови спортни обекти и/или спорни съоръжения в държавни и общински училища въз основа на съвместна годишна програма на министъра на младежта и спорта и министъра на образованието и науката по чл.14, ал.3, т.2 от Закона за хазарта</w:t>
            </w:r>
          </w:p>
        </w:tc>
        <w:tc>
          <w:tcPr>
            <w:tcW w:w="436" w:type="pct"/>
            <w:tcBorders>
              <w:top w:val="nil"/>
              <w:left w:val="nil"/>
              <w:bottom w:val="single" w:sz="4" w:space="0" w:color="auto"/>
              <w:right w:val="single" w:sz="4" w:space="0" w:color="auto"/>
            </w:tcBorders>
            <w:shd w:val="clear" w:color="auto" w:fill="auto"/>
            <w:vAlign w:val="center"/>
            <w:hideMark/>
          </w:tcPr>
          <w:p w14:paraId="5432870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2 249,7</w:t>
            </w:r>
          </w:p>
        </w:tc>
        <w:tc>
          <w:tcPr>
            <w:tcW w:w="436" w:type="pct"/>
            <w:tcBorders>
              <w:top w:val="nil"/>
              <w:left w:val="nil"/>
              <w:bottom w:val="single" w:sz="4" w:space="0" w:color="auto"/>
              <w:right w:val="single" w:sz="4" w:space="0" w:color="auto"/>
            </w:tcBorders>
            <w:shd w:val="clear" w:color="auto" w:fill="auto"/>
            <w:vAlign w:val="center"/>
            <w:hideMark/>
          </w:tcPr>
          <w:p w14:paraId="3173A0B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2 249,7</w:t>
            </w:r>
          </w:p>
        </w:tc>
        <w:tc>
          <w:tcPr>
            <w:tcW w:w="436" w:type="pct"/>
            <w:tcBorders>
              <w:top w:val="nil"/>
              <w:left w:val="nil"/>
              <w:bottom w:val="single" w:sz="4" w:space="0" w:color="auto"/>
              <w:right w:val="single" w:sz="4" w:space="0" w:color="auto"/>
            </w:tcBorders>
            <w:shd w:val="clear" w:color="auto" w:fill="auto"/>
            <w:vAlign w:val="center"/>
            <w:hideMark/>
          </w:tcPr>
          <w:p w14:paraId="3BE95FA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2 249,7</w:t>
            </w:r>
          </w:p>
        </w:tc>
        <w:tc>
          <w:tcPr>
            <w:tcW w:w="1524" w:type="pct"/>
            <w:tcBorders>
              <w:top w:val="nil"/>
              <w:left w:val="nil"/>
              <w:bottom w:val="single" w:sz="4" w:space="0" w:color="auto"/>
              <w:right w:val="single" w:sz="4" w:space="0" w:color="auto"/>
            </w:tcBorders>
            <w:shd w:val="clear" w:color="auto" w:fill="auto"/>
            <w:vAlign w:val="center"/>
            <w:hideMark/>
          </w:tcPr>
          <w:p w14:paraId="030754F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Брой обновени и изградени спортни обекти /физкултурни салони/ - 3 </w:t>
            </w:r>
          </w:p>
        </w:tc>
        <w:tc>
          <w:tcPr>
            <w:tcW w:w="627" w:type="pct"/>
            <w:tcBorders>
              <w:top w:val="nil"/>
              <w:left w:val="nil"/>
              <w:bottom w:val="single" w:sz="4" w:space="0" w:color="auto"/>
              <w:right w:val="single" w:sz="4" w:space="0" w:color="auto"/>
            </w:tcBorders>
            <w:shd w:val="clear" w:color="auto" w:fill="auto"/>
            <w:vAlign w:val="center"/>
            <w:hideMark/>
          </w:tcPr>
          <w:p w14:paraId="4B539CF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младежта и спорта</w:t>
            </w:r>
          </w:p>
        </w:tc>
      </w:tr>
      <w:tr w:rsidR="00761800" w:rsidRPr="00761800" w14:paraId="289912D6"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47610CC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186</w:t>
            </w:r>
          </w:p>
        </w:tc>
        <w:tc>
          <w:tcPr>
            <w:tcW w:w="529" w:type="pct"/>
            <w:tcBorders>
              <w:top w:val="nil"/>
              <w:left w:val="nil"/>
              <w:bottom w:val="single" w:sz="4" w:space="0" w:color="auto"/>
              <w:right w:val="single" w:sz="4" w:space="0" w:color="auto"/>
            </w:tcBorders>
            <w:shd w:val="clear" w:color="auto" w:fill="auto"/>
            <w:noWrap/>
            <w:vAlign w:val="center"/>
            <w:hideMark/>
          </w:tcPr>
          <w:p w14:paraId="71351C8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NP-25.121-0005</w:t>
            </w:r>
          </w:p>
        </w:tc>
        <w:tc>
          <w:tcPr>
            <w:tcW w:w="855" w:type="pct"/>
            <w:tcBorders>
              <w:top w:val="nil"/>
              <w:left w:val="nil"/>
              <w:bottom w:val="single" w:sz="4" w:space="0" w:color="auto"/>
              <w:right w:val="single" w:sz="4" w:space="0" w:color="auto"/>
            </w:tcBorders>
            <w:shd w:val="clear" w:color="auto" w:fill="auto"/>
            <w:vAlign w:val="center"/>
            <w:hideMark/>
          </w:tcPr>
          <w:p w14:paraId="1D94D4F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Програма за финансово подпомагане на изграждането и обновяването на спортни обекти – държавна и общинска собственост за 2024 г. </w:t>
            </w:r>
          </w:p>
        </w:tc>
        <w:tc>
          <w:tcPr>
            <w:tcW w:w="436" w:type="pct"/>
            <w:tcBorders>
              <w:top w:val="nil"/>
              <w:left w:val="nil"/>
              <w:bottom w:val="single" w:sz="4" w:space="0" w:color="auto"/>
              <w:right w:val="single" w:sz="4" w:space="0" w:color="auto"/>
            </w:tcBorders>
            <w:shd w:val="clear" w:color="auto" w:fill="auto"/>
            <w:vAlign w:val="center"/>
            <w:hideMark/>
          </w:tcPr>
          <w:p w14:paraId="71B9F04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1 683,0</w:t>
            </w:r>
          </w:p>
        </w:tc>
        <w:tc>
          <w:tcPr>
            <w:tcW w:w="436" w:type="pct"/>
            <w:tcBorders>
              <w:top w:val="nil"/>
              <w:left w:val="nil"/>
              <w:bottom w:val="single" w:sz="4" w:space="0" w:color="auto"/>
              <w:right w:val="single" w:sz="4" w:space="0" w:color="auto"/>
            </w:tcBorders>
            <w:shd w:val="clear" w:color="auto" w:fill="auto"/>
            <w:vAlign w:val="center"/>
            <w:hideMark/>
          </w:tcPr>
          <w:p w14:paraId="0544902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3 112,9</w:t>
            </w:r>
          </w:p>
        </w:tc>
        <w:tc>
          <w:tcPr>
            <w:tcW w:w="436" w:type="pct"/>
            <w:tcBorders>
              <w:top w:val="nil"/>
              <w:left w:val="nil"/>
              <w:bottom w:val="single" w:sz="4" w:space="0" w:color="auto"/>
              <w:right w:val="single" w:sz="4" w:space="0" w:color="auto"/>
            </w:tcBorders>
            <w:shd w:val="clear" w:color="auto" w:fill="auto"/>
            <w:vAlign w:val="center"/>
            <w:hideMark/>
          </w:tcPr>
          <w:p w14:paraId="325A8AB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1524" w:type="pct"/>
            <w:tcBorders>
              <w:top w:val="nil"/>
              <w:left w:val="nil"/>
              <w:bottom w:val="single" w:sz="4" w:space="0" w:color="auto"/>
              <w:right w:val="single" w:sz="4" w:space="0" w:color="auto"/>
            </w:tcBorders>
            <w:shd w:val="clear" w:color="auto" w:fill="auto"/>
            <w:vAlign w:val="center"/>
            <w:hideMark/>
          </w:tcPr>
          <w:p w14:paraId="5688A64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изградени спортни обекти /физкултурни салони/ - 26</w:t>
            </w:r>
          </w:p>
        </w:tc>
        <w:tc>
          <w:tcPr>
            <w:tcW w:w="627" w:type="pct"/>
            <w:tcBorders>
              <w:top w:val="nil"/>
              <w:left w:val="nil"/>
              <w:bottom w:val="single" w:sz="4" w:space="0" w:color="auto"/>
              <w:right w:val="single" w:sz="4" w:space="0" w:color="auto"/>
            </w:tcBorders>
            <w:shd w:val="clear" w:color="auto" w:fill="auto"/>
            <w:vAlign w:val="center"/>
            <w:hideMark/>
          </w:tcPr>
          <w:p w14:paraId="5360188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младежта и спорта</w:t>
            </w:r>
          </w:p>
        </w:tc>
      </w:tr>
      <w:tr w:rsidR="00761800" w:rsidRPr="00761800" w14:paraId="1799917E"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3746CE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187</w:t>
            </w:r>
          </w:p>
        </w:tc>
        <w:tc>
          <w:tcPr>
            <w:tcW w:w="529" w:type="pct"/>
            <w:tcBorders>
              <w:top w:val="nil"/>
              <w:left w:val="nil"/>
              <w:bottom w:val="single" w:sz="4" w:space="0" w:color="auto"/>
              <w:right w:val="single" w:sz="4" w:space="0" w:color="auto"/>
            </w:tcBorders>
            <w:shd w:val="clear" w:color="auto" w:fill="auto"/>
            <w:noWrap/>
            <w:vAlign w:val="center"/>
            <w:hideMark/>
          </w:tcPr>
          <w:p w14:paraId="748235C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NP-25.121-0004</w:t>
            </w:r>
          </w:p>
        </w:tc>
        <w:tc>
          <w:tcPr>
            <w:tcW w:w="855" w:type="pct"/>
            <w:tcBorders>
              <w:top w:val="nil"/>
              <w:left w:val="nil"/>
              <w:bottom w:val="single" w:sz="4" w:space="0" w:color="auto"/>
              <w:right w:val="single" w:sz="4" w:space="0" w:color="auto"/>
            </w:tcBorders>
            <w:shd w:val="clear" w:color="auto" w:fill="auto"/>
            <w:vAlign w:val="center"/>
            <w:hideMark/>
          </w:tcPr>
          <w:p w14:paraId="4256E48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Национална програма за споделено финансиране на инвестиционни спортни проекти за 2024 г. </w:t>
            </w:r>
          </w:p>
        </w:tc>
        <w:tc>
          <w:tcPr>
            <w:tcW w:w="436" w:type="pct"/>
            <w:tcBorders>
              <w:top w:val="nil"/>
              <w:left w:val="nil"/>
              <w:bottom w:val="single" w:sz="4" w:space="0" w:color="auto"/>
              <w:right w:val="single" w:sz="4" w:space="0" w:color="auto"/>
            </w:tcBorders>
            <w:shd w:val="clear" w:color="auto" w:fill="auto"/>
            <w:vAlign w:val="center"/>
            <w:hideMark/>
          </w:tcPr>
          <w:p w14:paraId="1A8A981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155,1</w:t>
            </w:r>
          </w:p>
        </w:tc>
        <w:tc>
          <w:tcPr>
            <w:tcW w:w="436" w:type="pct"/>
            <w:tcBorders>
              <w:top w:val="nil"/>
              <w:left w:val="nil"/>
              <w:bottom w:val="single" w:sz="4" w:space="0" w:color="auto"/>
              <w:right w:val="single" w:sz="4" w:space="0" w:color="auto"/>
            </w:tcBorders>
            <w:shd w:val="clear" w:color="auto" w:fill="auto"/>
            <w:vAlign w:val="center"/>
            <w:hideMark/>
          </w:tcPr>
          <w:p w14:paraId="51F8896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1 751,9</w:t>
            </w:r>
          </w:p>
        </w:tc>
        <w:tc>
          <w:tcPr>
            <w:tcW w:w="436" w:type="pct"/>
            <w:tcBorders>
              <w:top w:val="nil"/>
              <w:left w:val="nil"/>
              <w:bottom w:val="single" w:sz="4" w:space="0" w:color="auto"/>
              <w:right w:val="single" w:sz="4" w:space="0" w:color="auto"/>
            </w:tcBorders>
            <w:shd w:val="clear" w:color="auto" w:fill="auto"/>
            <w:vAlign w:val="center"/>
            <w:hideMark/>
          </w:tcPr>
          <w:p w14:paraId="46BC54B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1524" w:type="pct"/>
            <w:tcBorders>
              <w:top w:val="nil"/>
              <w:left w:val="nil"/>
              <w:bottom w:val="single" w:sz="4" w:space="0" w:color="auto"/>
              <w:right w:val="single" w:sz="4" w:space="0" w:color="auto"/>
            </w:tcBorders>
            <w:shd w:val="clear" w:color="auto" w:fill="auto"/>
            <w:vAlign w:val="center"/>
            <w:hideMark/>
          </w:tcPr>
          <w:p w14:paraId="4209D21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изградени спортни обекти /физкултурни салони/ - 17</w:t>
            </w:r>
          </w:p>
        </w:tc>
        <w:tc>
          <w:tcPr>
            <w:tcW w:w="627" w:type="pct"/>
            <w:tcBorders>
              <w:top w:val="nil"/>
              <w:left w:val="nil"/>
              <w:bottom w:val="single" w:sz="4" w:space="0" w:color="auto"/>
              <w:right w:val="single" w:sz="4" w:space="0" w:color="auto"/>
            </w:tcBorders>
            <w:shd w:val="clear" w:color="auto" w:fill="auto"/>
            <w:vAlign w:val="center"/>
            <w:hideMark/>
          </w:tcPr>
          <w:p w14:paraId="0DCD49E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младежта и спорта</w:t>
            </w:r>
          </w:p>
        </w:tc>
      </w:tr>
      <w:tr w:rsidR="00761800" w:rsidRPr="00761800" w14:paraId="60005668"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796F4F6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188</w:t>
            </w:r>
          </w:p>
        </w:tc>
        <w:tc>
          <w:tcPr>
            <w:tcW w:w="529" w:type="pct"/>
            <w:tcBorders>
              <w:top w:val="nil"/>
              <w:left w:val="nil"/>
              <w:bottom w:val="single" w:sz="4" w:space="0" w:color="auto"/>
              <w:right w:val="single" w:sz="4" w:space="0" w:color="auto"/>
            </w:tcBorders>
            <w:shd w:val="clear" w:color="auto" w:fill="auto"/>
            <w:noWrap/>
            <w:vAlign w:val="center"/>
            <w:hideMark/>
          </w:tcPr>
          <w:p w14:paraId="3E474C2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NP-25.121-0006</w:t>
            </w:r>
          </w:p>
        </w:tc>
        <w:tc>
          <w:tcPr>
            <w:tcW w:w="855" w:type="pct"/>
            <w:tcBorders>
              <w:top w:val="nil"/>
              <w:left w:val="nil"/>
              <w:bottom w:val="single" w:sz="4" w:space="0" w:color="auto"/>
              <w:right w:val="single" w:sz="4" w:space="0" w:color="auto"/>
            </w:tcBorders>
            <w:shd w:val="clear" w:color="auto" w:fill="auto"/>
            <w:vAlign w:val="center"/>
            <w:hideMark/>
          </w:tcPr>
          <w:p w14:paraId="50419E0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Национална програма за споделено финансиране на инвестиционни спортни обекти 2025 г.</w:t>
            </w:r>
          </w:p>
        </w:tc>
        <w:tc>
          <w:tcPr>
            <w:tcW w:w="436" w:type="pct"/>
            <w:tcBorders>
              <w:top w:val="nil"/>
              <w:left w:val="nil"/>
              <w:bottom w:val="single" w:sz="4" w:space="0" w:color="auto"/>
              <w:right w:val="single" w:sz="4" w:space="0" w:color="auto"/>
            </w:tcBorders>
            <w:shd w:val="clear" w:color="auto" w:fill="auto"/>
            <w:vAlign w:val="center"/>
            <w:hideMark/>
          </w:tcPr>
          <w:p w14:paraId="00586A4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274,8</w:t>
            </w:r>
          </w:p>
        </w:tc>
        <w:tc>
          <w:tcPr>
            <w:tcW w:w="436" w:type="pct"/>
            <w:tcBorders>
              <w:top w:val="nil"/>
              <w:left w:val="nil"/>
              <w:bottom w:val="single" w:sz="4" w:space="0" w:color="auto"/>
              <w:right w:val="single" w:sz="4" w:space="0" w:color="auto"/>
            </w:tcBorders>
            <w:shd w:val="clear" w:color="auto" w:fill="auto"/>
            <w:vAlign w:val="center"/>
            <w:hideMark/>
          </w:tcPr>
          <w:p w14:paraId="5AF209A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436" w:type="pct"/>
            <w:tcBorders>
              <w:top w:val="nil"/>
              <w:left w:val="nil"/>
              <w:bottom w:val="single" w:sz="4" w:space="0" w:color="auto"/>
              <w:right w:val="single" w:sz="4" w:space="0" w:color="auto"/>
            </w:tcBorders>
            <w:shd w:val="clear" w:color="auto" w:fill="auto"/>
            <w:vAlign w:val="center"/>
            <w:hideMark/>
          </w:tcPr>
          <w:p w14:paraId="1269EA3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4 864,8</w:t>
            </w:r>
          </w:p>
        </w:tc>
        <w:tc>
          <w:tcPr>
            <w:tcW w:w="1524" w:type="pct"/>
            <w:tcBorders>
              <w:top w:val="nil"/>
              <w:left w:val="nil"/>
              <w:bottom w:val="single" w:sz="4" w:space="0" w:color="auto"/>
              <w:right w:val="single" w:sz="4" w:space="0" w:color="auto"/>
            </w:tcBorders>
            <w:shd w:val="clear" w:color="auto" w:fill="auto"/>
            <w:vAlign w:val="center"/>
            <w:hideMark/>
          </w:tcPr>
          <w:p w14:paraId="044A58C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изградени спортни обекти /физкултурни салони/ - 31</w:t>
            </w:r>
          </w:p>
        </w:tc>
        <w:tc>
          <w:tcPr>
            <w:tcW w:w="627" w:type="pct"/>
            <w:tcBorders>
              <w:top w:val="nil"/>
              <w:left w:val="nil"/>
              <w:bottom w:val="single" w:sz="4" w:space="0" w:color="auto"/>
              <w:right w:val="single" w:sz="4" w:space="0" w:color="auto"/>
            </w:tcBorders>
            <w:shd w:val="clear" w:color="auto" w:fill="auto"/>
            <w:vAlign w:val="center"/>
            <w:hideMark/>
          </w:tcPr>
          <w:p w14:paraId="333DAC1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младежта и спорта</w:t>
            </w:r>
          </w:p>
        </w:tc>
      </w:tr>
      <w:tr w:rsidR="00761800" w:rsidRPr="00761800" w14:paraId="3AED493C"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7FFC26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189</w:t>
            </w:r>
          </w:p>
        </w:tc>
        <w:tc>
          <w:tcPr>
            <w:tcW w:w="529" w:type="pct"/>
            <w:tcBorders>
              <w:top w:val="nil"/>
              <w:left w:val="nil"/>
              <w:bottom w:val="single" w:sz="4" w:space="0" w:color="auto"/>
              <w:right w:val="single" w:sz="4" w:space="0" w:color="auto"/>
            </w:tcBorders>
            <w:shd w:val="clear" w:color="auto" w:fill="auto"/>
            <w:noWrap/>
            <w:vAlign w:val="center"/>
            <w:hideMark/>
          </w:tcPr>
          <w:p w14:paraId="79D0BA9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NP-25.001-0168</w:t>
            </w:r>
          </w:p>
        </w:tc>
        <w:tc>
          <w:tcPr>
            <w:tcW w:w="855" w:type="pct"/>
            <w:tcBorders>
              <w:top w:val="nil"/>
              <w:left w:val="nil"/>
              <w:bottom w:val="single" w:sz="4" w:space="0" w:color="auto"/>
              <w:right w:val="single" w:sz="4" w:space="0" w:color="auto"/>
            </w:tcBorders>
            <w:shd w:val="clear" w:color="auto" w:fill="auto"/>
            <w:vAlign w:val="center"/>
            <w:hideMark/>
          </w:tcPr>
          <w:p w14:paraId="5793D56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Център за киберсигурност и споделени информационни ресурси</w:t>
            </w:r>
          </w:p>
        </w:tc>
        <w:tc>
          <w:tcPr>
            <w:tcW w:w="436" w:type="pct"/>
            <w:tcBorders>
              <w:top w:val="nil"/>
              <w:left w:val="nil"/>
              <w:bottom w:val="single" w:sz="4" w:space="0" w:color="auto"/>
              <w:right w:val="single" w:sz="4" w:space="0" w:color="auto"/>
            </w:tcBorders>
            <w:shd w:val="clear" w:color="auto" w:fill="auto"/>
            <w:vAlign w:val="center"/>
            <w:hideMark/>
          </w:tcPr>
          <w:p w14:paraId="5D6FA00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2 377,5</w:t>
            </w:r>
          </w:p>
        </w:tc>
        <w:tc>
          <w:tcPr>
            <w:tcW w:w="436" w:type="pct"/>
            <w:tcBorders>
              <w:top w:val="nil"/>
              <w:left w:val="nil"/>
              <w:bottom w:val="single" w:sz="4" w:space="0" w:color="auto"/>
              <w:right w:val="single" w:sz="4" w:space="0" w:color="auto"/>
            </w:tcBorders>
            <w:shd w:val="clear" w:color="auto" w:fill="auto"/>
            <w:vAlign w:val="center"/>
            <w:hideMark/>
          </w:tcPr>
          <w:p w14:paraId="1E5ACF7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1 086,8</w:t>
            </w:r>
          </w:p>
        </w:tc>
        <w:tc>
          <w:tcPr>
            <w:tcW w:w="436" w:type="pct"/>
            <w:tcBorders>
              <w:top w:val="nil"/>
              <w:left w:val="nil"/>
              <w:bottom w:val="single" w:sz="4" w:space="0" w:color="auto"/>
              <w:right w:val="single" w:sz="4" w:space="0" w:color="auto"/>
            </w:tcBorders>
            <w:shd w:val="clear" w:color="auto" w:fill="auto"/>
            <w:vAlign w:val="center"/>
            <w:hideMark/>
          </w:tcPr>
          <w:p w14:paraId="1CD5AE1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278,2</w:t>
            </w:r>
          </w:p>
        </w:tc>
        <w:tc>
          <w:tcPr>
            <w:tcW w:w="1524" w:type="pct"/>
            <w:tcBorders>
              <w:top w:val="nil"/>
              <w:left w:val="nil"/>
              <w:bottom w:val="single" w:sz="4" w:space="0" w:color="auto"/>
              <w:right w:val="single" w:sz="4" w:space="0" w:color="auto"/>
            </w:tcBorders>
            <w:shd w:val="clear" w:color="auto" w:fill="auto"/>
            <w:vAlign w:val="center"/>
            <w:hideMark/>
          </w:tcPr>
          <w:p w14:paraId="4C83B7F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Изграждане на част от  трети етап от Център за кибер сигурност и споделени информационни ресурси в срок до края на 2028 г.</w:t>
            </w:r>
          </w:p>
        </w:tc>
        <w:tc>
          <w:tcPr>
            <w:tcW w:w="627" w:type="pct"/>
            <w:tcBorders>
              <w:top w:val="nil"/>
              <w:left w:val="nil"/>
              <w:bottom w:val="single" w:sz="4" w:space="0" w:color="auto"/>
              <w:right w:val="single" w:sz="4" w:space="0" w:color="auto"/>
            </w:tcBorders>
            <w:shd w:val="clear" w:color="auto" w:fill="auto"/>
            <w:vAlign w:val="center"/>
            <w:hideMark/>
          </w:tcPr>
          <w:p w14:paraId="743546E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агенция „Национална сигурност“</w:t>
            </w:r>
          </w:p>
        </w:tc>
      </w:tr>
      <w:tr w:rsidR="00761800" w:rsidRPr="00761800" w14:paraId="2BAAF2DE"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3C1F437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190</w:t>
            </w:r>
          </w:p>
        </w:tc>
        <w:tc>
          <w:tcPr>
            <w:tcW w:w="529" w:type="pct"/>
            <w:tcBorders>
              <w:top w:val="nil"/>
              <w:left w:val="nil"/>
              <w:bottom w:val="single" w:sz="4" w:space="0" w:color="auto"/>
              <w:right w:val="single" w:sz="4" w:space="0" w:color="auto"/>
            </w:tcBorders>
            <w:shd w:val="clear" w:color="auto" w:fill="auto"/>
            <w:noWrap/>
            <w:vAlign w:val="center"/>
            <w:hideMark/>
          </w:tcPr>
          <w:p w14:paraId="166BD65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NP-25.001-0169</w:t>
            </w:r>
          </w:p>
        </w:tc>
        <w:tc>
          <w:tcPr>
            <w:tcW w:w="855" w:type="pct"/>
            <w:tcBorders>
              <w:top w:val="nil"/>
              <w:left w:val="nil"/>
              <w:bottom w:val="single" w:sz="4" w:space="0" w:color="auto"/>
              <w:right w:val="single" w:sz="4" w:space="0" w:color="auto"/>
            </w:tcBorders>
            <w:shd w:val="clear" w:color="auto" w:fill="auto"/>
            <w:vAlign w:val="center"/>
            <w:hideMark/>
          </w:tcPr>
          <w:p w14:paraId="420AA49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Придобиване на автомобилна техника за специализиран транспорт с цел осъвременяване на автомобилния парк на НСО </w:t>
            </w:r>
          </w:p>
        </w:tc>
        <w:tc>
          <w:tcPr>
            <w:tcW w:w="436" w:type="pct"/>
            <w:tcBorders>
              <w:top w:val="nil"/>
              <w:left w:val="nil"/>
              <w:bottom w:val="single" w:sz="4" w:space="0" w:color="auto"/>
              <w:right w:val="single" w:sz="4" w:space="0" w:color="auto"/>
            </w:tcBorders>
            <w:shd w:val="clear" w:color="auto" w:fill="auto"/>
            <w:vAlign w:val="center"/>
            <w:hideMark/>
          </w:tcPr>
          <w:p w14:paraId="2D591EA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709,0</w:t>
            </w:r>
          </w:p>
        </w:tc>
        <w:tc>
          <w:tcPr>
            <w:tcW w:w="436" w:type="pct"/>
            <w:tcBorders>
              <w:top w:val="nil"/>
              <w:left w:val="nil"/>
              <w:bottom w:val="single" w:sz="4" w:space="0" w:color="auto"/>
              <w:right w:val="single" w:sz="4" w:space="0" w:color="auto"/>
            </w:tcBorders>
            <w:shd w:val="clear" w:color="auto" w:fill="auto"/>
            <w:vAlign w:val="center"/>
            <w:hideMark/>
          </w:tcPr>
          <w:p w14:paraId="4EF9D8C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641,2</w:t>
            </w:r>
          </w:p>
        </w:tc>
        <w:tc>
          <w:tcPr>
            <w:tcW w:w="436" w:type="pct"/>
            <w:tcBorders>
              <w:top w:val="nil"/>
              <w:left w:val="nil"/>
              <w:bottom w:val="single" w:sz="4" w:space="0" w:color="auto"/>
              <w:right w:val="single" w:sz="4" w:space="0" w:color="auto"/>
            </w:tcBorders>
            <w:shd w:val="clear" w:color="auto" w:fill="auto"/>
            <w:vAlign w:val="center"/>
            <w:hideMark/>
          </w:tcPr>
          <w:p w14:paraId="61FE9B5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706,8</w:t>
            </w:r>
          </w:p>
        </w:tc>
        <w:tc>
          <w:tcPr>
            <w:tcW w:w="1524" w:type="pct"/>
            <w:tcBorders>
              <w:top w:val="nil"/>
              <w:left w:val="nil"/>
              <w:bottom w:val="single" w:sz="4" w:space="0" w:color="auto"/>
              <w:right w:val="single" w:sz="4" w:space="0" w:color="auto"/>
            </w:tcBorders>
            <w:shd w:val="clear" w:color="auto" w:fill="auto"/>
            <w:hideMark/>
          </w:tcPr>
          <w:p w14:paraId="7F9A504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w:t>
            </w:r>
          </w:p>
        </w:tc>
        <w:tc>
          <w:tcPr>
            <w:tcW w:w="627" w:type="pct"/>
            <w:tcBorders>
              <w:top w:val="nil"/>
              <w:left w:val="nil"/>
              <w:bottom w:val="single" w:sz="4" w:space="0" w:color="auto"/>
              <w:right w:val="single" w:sz="4" w:space="0" w:color="auto"/>
            </w:tcBorders>
            <w:shd w:val="clear" w:color="auto" w:fill="auto"/>
            <w:vAlign w:val="center"/>
            <w:hideMark/>
          </w:tcPr>
          <w:p w14:paraId="5E061D9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Национална служба за охрана</w:t>
            </w:r>
          </w:p>
        </w:tc>
      </w:tr>
      <w:tr w:rsidR="00761800" w:rsidRPr="00761800" w14:paraId="1F176B9B"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833F88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191</w:t>
            </w:r>
          </w:p>
        </w:tc>
        <w:tc>
          <w:tcPr>
            <w:tcW w:w="529" w:type="pct"/>
            <w:tcBorders>
              <w:top w:val="nil"/>
              <w:left w:val="nil"/>
              <w:bottom w:val="single" w:sz="4" w:space="0" w:color="auto"/>
              <w:right w:val="single" w:sz="4" w:space="0" w:color="auto"/>
            </w:tcBorders>
            <w:shd w:val="clear" w:color="auto" w:fill="auto"/>
            <w:noWrap/>
            <w:vAlign w:val="center"/>
            <w:hideMark/>
          </w:tcPr>
          <w:p w14:paraId="5CD230A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NP-25.141-0020</w:t>
            </w:r>
          </w:p>
        </w:tc>
        <w:tc>
          <w:tcPr>
            <w:tcW w:w="855" w:type="pct"/>
            <w:tcBorders>
              <w:top w:val="nil"/>
              <w:left w:val="nil"/>
              <w:bottom w:val="single" w:sz="4" w:space="0" w:color="auto"/>
              <w:right w:val="single" w:sz="4" w:space="0" w:color="auto"/>
            </w:tcBorders>
            <w:shd w:val="clear" w:color="auto" w:fill="auto"/>
            <w:vAlign w:val="center"/>
            <w:hideMark/>
          </w:tcPr>
          <w:p w14:paraId="06A0655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на покриви в СБ Българово, СБ Долна Махала, СБ Белозем, СБ Голямо Дряново и СБ Първомай</w:t>
            </w:r>
          </w:p>
        </w:tc>
        <w:tc>
          <w:tcPr>
            <w:tcW w:w="436" w:type="pct"/>
            <w:tcBorders>
              <w:top w:val="nil"/>
              <w:left w:val="nil"/>
              <w:bottom w:val="single" w:sz="4" w:space="0" w:color="auto"/>
              <w:right w:val="single" w:sz="4" w:space="0" w:color="auto"/>
            </w:tcBorders>
            <w:shd w:val="clear" w:color="auto" w:fill="auto"/>
            <w:vAlign w:val="center"/>
            <w:hideMark/>
          </w:tcPr>
          <w:p w14:paraId="525B52D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927,0</w:t>
            </w:r>
          </w:p>
        </w:tc>
        <w:tc>
          <w:tcPr>
            <w:tcW w:w="436" w:type="pct"/>
            <w:tcBorders>
              <w:top w:val="nil"/>
              <w:left w:val="nil"/>
              <w:bottom w:val="single" w:sz="4" w:space="0" w:color="auto"/>
              <w:right w:val="single" w:sz="4" w:space="0" w:color="auto"/>
            </w:tcBorders>
            <w:shd w:val="clear" w:color="auto" w:fill="auto"/>
            <w:vAlign w:val="center"/>
            <w:hideMark/>
          </w:tcPr>
          <w:p w14:paraId="1486562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00A3F1A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hideMark/>
          </w:tcPr>
          <w:p w14:paraId="2C7A8B8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Процент за завършените работи по инвестиционния проект в СБ Българово - 100</w:t>
            </w:r>
          </w:p>
        </w:tc>
        <w:tc>
          <w:tcPr>
            <w:tcW w:w="627" w:type="pct"/>
            <w:tcBorders>
              <w:top w:val="nil"/>
              <w:left w:val="nil"/>
              <w:bottom w:val="single" w:sz="4" w:space="0" w:color="auto"/>
              <w:right w:val="single" w:sz="4" w:space="0" w:color="auto"/>
            </w:tcBorders>
            <w:shd w:val="clear" w:color="auto" w:fill="auto"/>
            <w:vAlign w:val="center"/>
            <w:hideMark/>
          </w:tcPr>
          <w:p w14:paraId="7448920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агенция „Държавен резерв и военновременни запаси“</w:t>
            </w:r>
          </w:p>
        </w:tc>
      </w:tr>
      <w:tr w:rsidR="00761800" w:rsidRPr="00761800" w14:paraId="13AFAB72"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087CCA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192</w:t>
            </w:r>
          </w:p>
        </w:tc>
        <w:tc>
          <w:tcPr>
            <w:tcW w:w="529" w:type="pct"/>
            <w:tcBorders>
              <w:top w:val="nil"/>
              <w:left w:val="nil"/>
              <w:bottom w:val="single" w:sz="4" w:space="0" w:color="auto"/>
              <w:right w:val="single" w:sz="4" w:space="0" w:color="auto"/>
            </w:tcBorders>
            <w:shd w:val="clear" w:color="auto" w:fill="auto"/>
            <w:noWrap/>
            <w:vAlign w:val="center"/>
            <w:hideMark/>
          </w:tcPr>
          <w:p w14:paraId="54C24CF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NP-25.141-0021</w:t>
            </w:r>
          </w:p>
        </w:tc>
        <w:tc>
          <w:tcPr>
            <w:tcW w:w="855" w:type="pct"/>
            <w:tcBorders>
              <w:top w:val="nil"/>
              <w:left w:val="nil"/>
              <w:bottom w:val="single" w:sz="4" w:space="0" w:color="auto"/>
              <w:right w:val="single" w:sz="4" w:space="0" w:color="auto"/>
            </w:tcBorders>
            <w:shd w:val="clear" w:color="auto" w:fill="auto"/>
            <w:vAlign w:val="center"/>
            <w:hideMark/>
          </w:tcPr>
          <w:p w14:paraId="3D0EE7E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на покриви в СБ Силистра, СБ Търговище, СБ Дончево, СБ Генерал Тошево, СБ Ясен, СБ Славяново, СБ Ресен, СБ Образцов Чифлик, СБ Иваново, СБ Дебелец и СБ Ботевград</w:t>
            </w:r>
          </w:p>
        </w:tc>
        <w:tc>
          <w:tcPr>
            <w:tcW w:w="436" w:type="pct"/>
            <w:tcBorders>
              <w:top w:val="nil"/>
              <w:left w:val="nil"/>
              <w:bottom w:val="single" w:sz="4" w:space="0" w:color="auto"/>
              <w:right w:val="single" w:sz="4" w:space="0" w:color="auto"/>
            </w:tcBorders>
            <w:shd w:val="clear" w:color="auto" w:fill="auto"/>
            <w:vAlign w:val="center"/>
            <w:hideMark/>
          </w:tcPr>
          <w:p w14:paraId="7FE3A31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1 642,1</w:t>
            </w:r>
          </w:p>
        </w:tc>
        <w:tc>
          <w:tcPr>
            <w:tcW w:w="436" w:type="pct"/>
            <w:tcBorders>
              <w:top w:val="nil"/>
              <w:left w:val="nil"/>
              <w:bottom w:val="single" w:sz="4" w:space="0" w:color="auto"/>
              <w:right w:val="single" w:sz="4" w:space="0" w:color="auto"/>
            </w:tcBorders>
            <w:shd w:val="clear" w:color="auto" w:fill="auto"/>
            <w:vAlign w:val="center"/>
            <w:hideMark/>
          </w:tcPr>
          <w:p w14:paraId="5AF5AF0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1E49A15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hideMark/>
          </w:tcPr>
          <w:p w14:paraId="09BFB77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Процент за завършените работи по инвестиционния проект в СБ Силистра, СБ Търговище, СБ Дончево, СБ Генерал Тошево, СБ Ясен, СБ Славяново, СБ Ресен, СБ Образцов Чифлик, СБ Иваново, СБ Дебелец и СБ Ботевград - 100</w:t>
            </w:r>
          </w:p>
        </w:tc>
        <w:tc>
          <w:tcPr>
            <w:tcW w:w="627" w:type="pct"/>
            <w:tcBorders>
              <w:top w:val="nil"/>
              <w:left w:val="nil"/>
              <w:bottom w:val="single" w:sz="4" w:space="0" w:color="auto"/>
              <w:right w:val="single" w:sz="4" w:space="0" w:color="auto"/>
            </w:tcBorders>
            <w:shd w:val="clear" w:color="auto" w:fill="auto"/>
            <w:vAlign w:val="center"/>
            <w:hideMark/>
          </w:tcPr>
          <w:p w14:paraId="1AED10F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агенция „Държавен резерв и военновременни запаси“</w:t>
            </w:r>
          </w:p>
        </w:tc>
      </w:tr>
      <w:tr w:rsidR="00761800" w:rsidRPr="00761800" w14:paraId="4A61232D"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5550E93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193</w:t>
            </w:r>
          </w:p>
        </w:tc>
        <w:tc>
          <w:tcPr>
            <w:tcW w:w="529" w:type="pct"/>
            <w:tcBorders>
              <w:top w:val="nil"/>
              <w:left w:val="nil"/>
              <w:bottom w:val="single" w:sz="4" w:space="0" w:color="auto"/>
              <w:right w:val="single" w:sz="4" w:space="0" w:color="auto"/>
            </w:tcBorders>
            <w:shd w:val="clear" w:color="auto" w:fill="auto"/>
            <w:noWrap/>
            <w:vAlign w:val="center"/>
            <w:hideMark/>
          </w:tcPr>
          <w:p w14:paraId="1C10A52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NP-25.141-0022</w:t>
            </w:r>
          </w:p>
        </w:tc>
        <w:tc>
          <w:tcPr>
            <w:tcW w:w="855" w:type="pct"/>
            <w:tcBorders>
              <w:top w:val="nil"/>
              <w:left w:val="nil"/>
              <w:bottom w:val="single" w:sz="4" w:space="0" w:color="auto"/>
              <w:right w:val="single" w:sz="4" w:space="0" w:color="auto"/>
            </w:tcBorders>
            <w:shd w:val="clear" w:color="auto" w:fill="auto"/>
            <w:vAlign w:val="center"/>
            <w:hideMark/>
          </w:tcPr>
          <w:p w14:paraId="459D64E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Аварийно изграждане на ограда в ЗБ Козаревец</w:t>
            </w:r>
          </w:p>
        </w:tc>
        <w:tc>
          <w:tcPr>
            <w:tcW w:w="436" w:type="pct"/>
            <w:tcBorders>
              <w:top w:val="nil"/>
              <w:left w:val="nil"/>
              <w:bottom w:val="single" w:sz="4" w:space="0" w:color="auto"/>
              <w:right w:val="single" w:sz="4" w:space="0" w:color="auto"/>
            </w:tcBorders>
            <w:shd w:val="clear" w:color="auto" w:fill="auto"/>
            <w:vAlign w:val="center"/>
            <w:hideMark/>
          </w:tcPr>
          <w:p w14:paraId="423586B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273,4</w:t>
            </w:r>
          </w:p>
        </w:tc>
        <w:tc>
          <w:tcPr>
            <w:tcW w:w="436" w:type="pct"/>
            <w:tcBorders>
              <w:top w:val="nil"/>
              <w:left w:val="nil"/>
              <w:bottom w:val="single" w:sz="4" w:space="0" w:color="auto"/>
              <w:right w:val="single" w:sz="4" w:space="0" w:color="auto"/>
            </w:tcBorders>
            <w:shd w:val="clear" w:color="auto" w:fill="auto"/>
            <w:vAlign w:val="center"/>
            <w:hideMark/>
          </w:tcPr>
          <w:p w14:paraId="1A7D807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5BB6C76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hideMark/>
          </w:tcPr>
          <w:p w14:paraId="0E0C704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Процент на завършените работи по аварийното изграждане на ограда в ЗБ Козаревец - 100</w:t>
            </w:r>
          </w:p>
        </w:tc>
        <w:tc>
          <w:tcPr>
            <w:tcW w:w="627" w:type="pct"/>
            <w:tcBorders>
              <w:top w:val="nil"/>
              <w:left w:val="nil"/>
              <w:bottom w:val="single" w:sz="4" w:space="0" w:color="auto"/>
              <w:right w:val="single" w:sz="4" w:space="0" w:color="auto"/>
            </w:tcBorders>
            <w:shd w:val="clear" w:color="auto" w:fill="auto"/>
            <w:vAlign w:val="center"/>
            <w:hideMark/>
          </w:tcPr>
          <w:p w14:paraId="0E3CB7B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агенция „Държавен резерв и военновременни запаси“</w:t>
            </w:r>
          </w:p>
        </w:tc>
      </w:tr>
      <w:tr w:rsidR="00761800" w:rsidRPr="00761800" w14:paraId="6F7C8E99"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B8F4F9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194</w:t>
            </w:r>
          </w:p>
        </w:tc>
        <w:tc>
          <w:tcPr>
            <w:tcW w:w="529" w:type="pct"/>
            <w:tcBorders>
              <w:top w:val="nil"/>
              <w:left w:val="nil"/>
              <w:bottom w:val="single" w:sz="4" w:space="0" w:color="auto"/>
              <w:right w:val="single" w:sz="4" w:space="0" w:color="auto"/>
            </w:tcBorders>
            <w:shd w:val="clear" w:color="auto" w:fill="auto"/>
            <w:noWrap/>
            <w:vAlign w:val="center"/>
            <w:hideMark/>
          </w:tcPr>
          <w:p w14:paraId="13EC157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NP-25.001-0174</w:t>
            </w:r>
          </w:p>
        </w:tc>
        <w:tc>
          <w:tcPr>
            <w:tcW w:w="855" w:type="pct"/>
            <w:tcBorders>
              <w:top w:val="nil"/>
              <w:left w:val="nil"/>
              <w:bottom w:val="single" w:sz="4" w:space="0" w:color="auto"/>
              <w:right w:val="single" w:sz="4" w:space="0" w:color="auto"/>
            </w:tcBorders>
            <w:shd w:val="clear" w:color="auto" w:fill="auto"/>
            <w:vAlign w:val="center"/>
            <w:hideMark/>
          </w:tcPr>
          <w:p w14:paraId="63003B0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на складове в бази на ДА ДРВВЗ</w:t>
            </w:r>
          </w:p>
        </w:tc>
        <w:tc>
          <w:tcPr>
            <w:tcW w:w="436" w:type="pct"/>
            <w:tcBorders>
              <w:top w:val="nil"/>
              <w:left w:val="nil"/>
              <w:bottom w:val="single" w:sz="4" w:space="0" w:color="auto"/>
              <w:right w:val="single" w:sz="4" w:space="0" w:color="auto"/>
            </w:tcBorders>
            <w:shd w:val="clear" w:color="auto" w:fill="auto"/>
            <w:vAlign w:val="center"/>
            <w:hideMark/>
          </w:tcPr>
          <w:p w14:paraId="1AE4D88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585479B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5 013,1</w:t>
            </w:r>
          </w:p>
        </w:tc>
        <w:tc>
          <w:tcPr>
            <w:tcW w:w="436" w:type="pct"/>
            <w:tcBorders>
              <w:top w:val="nil"/>
              <w:left w:val="nil"/>
              <w:bottom w:val="single" w:sz="4" w:space="0" w:color="auto"/>
              <w:right w:val="single" w:sz="4" w:space="0" w:color="auto"/>
            </w:tcBorders>
            <w:shd w:val="clear" w:color="auto" w:fill="auto"/>
            <w:vAlign w:val="center"/>
            <w:hideMark/>
          </w:tcPr>
          <w:p w14:paraId="3BCED2F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5 013,1</w:t>
            </w:r>
          </w:p>
        </w:tc>
        <w:tc>
          <w:tcPr>
            <w:tcW w:w="1524" w:type="pct"/>
            <w:tcBorders>
              <w:top w:val="nil"/>
              <w:left w:val="nil"/>
              <w:bottom w:val="single" w:sz="4" w:space="0" w:color="auto"/>
              <w:right w:val="single" w:sz="4" w:space="0" w:color="auto"/>
            </w:tcBorders>
            <w:shd w:val="clear" w:color="auto" w:fill="auto"/>
            <w:hideMark/>
          </w:tcPr>
          <w:p w14:paraId="088084B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Процент на завършените работи по ремонта на складове в бази на ДА ДРВВЗ - 100</w:t>
            </w:r>
          </w:p>
        </w:tc>
        <w:tc>
          <w:tcPr>
            <w:tcW w:w="627" w:type="pct"/>
            <w:tcBorders>
              <w:top w:val="nil"/>
              <w:left w:val="nil"/>
              <w:bottom w:val="single" w:sz="4" w:space="0" w:color="auto"/>
              <w:right w:val="single" w:sz="4" w:space="0" w:color="auto"/>
            </w:tcBorders>
            <w:shd w:val="clear" w:color="auto" w:fill="auto"/>
            <w:vAlign w:val="center"/>
            <w:hideMark/>
          </w:tcPr>
          <w:p w14:paraId="456FDCF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агенция „Държавен резерв и военновременни запаси“</w:t>
            </w:r>
          </w:p>
        </w:tc>
      </w:tr>
      <w:tr w:rsidR="00761800" w:rsidRPr="00761800" w14:paraId="1CDB83BE"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18777D7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lastRenderedPageBreak/>
              <w:t>195</w:t>
            </w:r>
          </w:p>
        </w:tc>
        <w:tc>
          <w:tcPr>
            <w:tcW w:w="529" w:type="pct"/>
            <w:tcBorders>
              <w:top w:val="nil"/>
              <w:left w:val="nil"/>
              <w:bottom w:val="single" w:sz="4" w:space="0" w:color="auto"/>
              <w:right w:val="single" w:sz="4" w:space="0" w:color="auto"/>
            </w:tcBorders>
            <w:shd w:val="clear" w:color="auto" w:fill="auto"/>
            <w:noWrap/>
            <w:vAlign w:val="center"/>
            <w:hideMark/>
          </w:tcPr>
          <w:p w14:paraId="3B1612A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NP-25.141-0003</w:t>
            </w:r>
          </w:p>
        </w:tc>
        <w:tc>
          <w:tcPr>
            <w:tcW w:w="855" w:type="pct"/>
            <w:tcBorders>
              <w:top w:val="nil"/>
              <w:left w:val="nil"/>
              <w:bottom w:val="single" w:sz="4" w:space="0" w:color="auto"/>
              <w:right w:val="single" w:sz="4" w:space="0" w:color="auto"/>
            </w:tcBorders>
            <w:shd w:val="clear" w:color="auto" w:fill="auto"/>
            <w:vAlign w:val="center"/>
            <w:hideMark/>
          </w:tcPr>
          <w:p w14:paraId="58D58BB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Ремонт и поддръжка на инсталации в петролни бази</w:t>
            </w:r>
          </w:p>
        </w:tc>
        <w:tc>
          <w:tcPr>
            <w:tcW w:w="436" w:type="pct"/>
            <w:tcBorders>
              <w:top w:val="nil"/>
              <w:left w:val="nil"/>
              <w:bottom w:val="single" w:sz="4" w:space="0" w:color="auto"/>
              <w:right w:val="single" w:sz="4" w:space="0" w:color="auto"/>
            </w:tcBorders>
            <w:shd w:val="clear" w:color="auto" w:fill="auto"/>
            <w:vAlign w:val="center"/>
            <w:hideMark/>
          </w:tcPr>
          <w:p w14:paraId="135EEF6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123,0</w:t>
            </w:r>
          </w:p>
        </w:tc>
        <w:tc>
          <w:tcPr>
            <w:tcW w:w="436" w:type="pct"/>
            <w:tcBorders>
              <w:top w:val="nil"/>
              <w:left w:val="nil"/>
              <w:bottom w:val="single" w:sz="4" w:space="0" w:color="auto"/>
              <w:right w:val="single" w:sz="4" w:space="0" w:color="auto"/>
            </w:tcBorders>
            <w:shd w:val="clear" w:color="auto" w:fill="auto"/>
            <w:vAlign w:val="center"/>
            <w:hideMark/>
          </w:tcPr>
          <w:p w14:paraId="3C126A0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2979755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hideMark/>
          </w:tcPr>
          <w:p w14:paraId="33966CC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Процент на завършените работи по ремонта и поддръжката ПБ Сливен, ПБ Поликраище, ПБ Първомай и ПБ Антон - 100</w:t>
            </w:r>
          </w:p>
        </w:tc>
        <w:tc>
          <w:tcPr>
            <w:tcW w:w="627" w:type="pct"/>
            <w:tcBorders>
              <w:top w:val="nil"/>
              <w:left w:val="nil"/>
              <w:bottom w:val="single" w:sz="4" w:space="0" w:color="auto"/>
              <w:right w:val="single" w:sz="4" w:space="0" w:color="auto"/>
            </w:tcBorders>
            <w:shd w:val="clear" w:color="auto" w:fill="auto"/>
            <w:vAlign w:val="center"/>
            <w:hideMark/>
          </w:tcPr>
          <w:p w14:paraId="2CD9068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агенция „Държавен резерв и военновременни запаси“</w:t>
            </w:r>
          </w:p>
        </w:tc>
      </w:tr>
      <w:tr w:rsidR="00761800" w:rsidRPr="00761800" w14:paraId="15549C42"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2C59D3A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196</w:t>
            </w:r>
          </w:p>
        </w:tc>
        <w:tc>
          <w:tcPr>
            <w:tcW w:w="529" w:type="pct"/>
            <w:tcBorders>
              <w:top w:val="nil"/>
              <w:left w:val="nil"/>
              <w:bottom w:val="single" w:sz="4" w:space="0" w:color="auto"/>
              <w:right w:val="single" w:sz="4" w:space="0" w:color="auto"/>
            </w:tcBorders>
            <w:shd w:val="clear" w:color="auto" w:fill="auto"/>
            <w:noWrap/>
            <w:vAlign w:val="center"/>
            <w:hideMark/>
          </w:tcPr>
          <w:p w14:paraId="0D1ABB3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NP-25.001-0172</w:t>
            </w:r>
          </w:p>
        </w:tc>
        <w:tc>
          <w:tcPr>
            <w:tcW w:w="855" w:type="pct"/>
            <w:tcBorders>
              <w:top w:val="nil"/>
              <w:left w:val="nil"/>
              <w:bottom w:val="single" w:sz="4" w:space="0" w:color="auto"/>
              <w:right w:val="single" w:sz="4" w:space="0" w:color="auto"/>
            </w:tcBorders>
            <w:shd w:val="clear" w:color="auto" w:fill="auto"/>
            <w:vAlign w:val="center"/>
            <w:hideMark/>
          </w:tcPr>
          <w:p w14:paraId="558DE4C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Изпълнение на довършителни работи и въвеждане в експлоатация на зърно база Генерал Тошево</w:t>
            </w:r>
          </w:p>
        </w:tc>
        <w:tc>
          <w:tcPr>
            <w:tcW w:w="436" w:type="pct"/>
            <w:tcBorders>
              <w:top w:val="nil"/>
              <w:left w:val="nil"/>
              <w:bottom w:val="single" w:sz="4" w:space="0" w:color="auto"/>
              <w:right w:val="single" w:sz="4" w:space="0" w:color="auto"/>
            </w:tcBorders>
            <w:shd w:val="clear" w:color="auto" w:fill="auto"/>
            <w:vAlign w:val="center"/>
            <w:hideMark/>
          </w:tcPr>
          <w:p w14:paraId="3F8DB8E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2 107,6</w:t>
            </w:r>
          </w:p>
        </w:tc>
        <w:tc>
          <w:tcPr>
            <w:tcW w:w="436" w:type="pct"/>
            <w:tcBorders>
              <w:top w:val="nil"/>
              <w:left w:val="nil"/>
              <w:bottom w:val="single" w:sz="4" w:space="0" w:color="auto"/>
              <w:right w:val="single" w:sz="4" w:space="0" w:color="auto"/>
            </w:tcBorders>
            <w:shd w:val="clear" w:color="auto" w:fill="auto"/>
            <w:vAlign w:val="center"/>
            <w:hideMark/>
          </w:tcPr>
          <w:p w14:paraId="3AFB21E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436" w:type="pct"/>
            <w:tcBorders>
              <w:top w:val="nil"/>
              <w:left w:val="nil"/>
              <w:bottom w:val="single" w:sz="4" w:space="0" w:color="auto"/>
              <w:right w:val="single" w:sz="4" w:space="0" w:color="auto"/>
            </w:tcBorders>
            <w:shd w:val="clear" w:color="auto" w:fill="auto"/>
            <w:vAlign w:val="center"/>
            <w:hideMark/>
          </w:tcPr>
          <w:p w14:paraId="4F50664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1524" w:type="pct"/>
            <w:tcBorders>
              <w:top w:val="nil"/>
              <w:left w:val="nil"/>
              <w:bottom w:val="single" w:sz="4" w:space="0" w:color="auto"/>
              <w:right w:val="single" w:sz="4" w:space="0" w:color="auto"/>
            </w:tcBorders>
            <w:shd w:val="clear" w:color="auto" w:fill="auto"/>
            <w:hideMark/>
          </w:tcPr>
          <w:p w14:paraId="5A71411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Процент на завършените дейности и довършителните работи и въвеждане в експлоатация на зърно база Генерал Тошево - 100</w:t>
            </w:r>
          </w:p>
        </w:tc>
        <w:tc>
          <w:tcPr>
            <w:tcW w:w="627" w:type="pct"/>
            <w:tcBorders>
              <w:top w:val="nil"/>
              <w:left w:val="nil"/>
              <w:bottom w:val="single" w:sz="4" w:space="0" w:color="auto"/>
              <w:right w:val="single" w:sz="4" w:space="0" w:color="auto"/>
            </w:tcBorders>
            <w:shd w:val="clear" w:color="auto" w:fill="auto"/>
            <w:vAlign w:val="center"/>
            <w:hideMark/>
          </w:tcPr>
          <w:p w14:paraId="45DB9E4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агенция „Държавен резерв и военновременни запаси“</w:t>
            </w:r>
          </w:p>
        </w:tc>
      </w:tr>
      <w:tr w:rsidR="00761800" w:rsidRPr="00761800" w14:paraId="1E42BE31" w14:textId="77777777" w:rsidTr="00406B4D">
        <w:trPr>
          <w:trHeight w:val="51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69FB50D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197</w:t>
            </w:r>
          </w:p>
        </w:tc>
        <w:tc>
          <w:tcPr>
            <w:tcW w:w="529" w:type="pct"/>
            <w:tcBorders>
              <w:top w:val="nil"/>
              <w:left w:val="nil"/>
              <w:bottom w:val="single" w:sz="4" w:space="0" w:color="auto"/>
              <w:right w:val="single" w:sz="4" w:space="0" w:color="auto"/>
            </w:tcBorders>
            <w:shd w:val="clear" w:color="auto" w:fill="auto"/>
            <w:noWrap/>
            <w:vAlign w:val="center"/>
            <w:hideMark/>
          </w:tcPr>
          <w:p w14:paraId="695A13A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NP-25.003-0141</w:t>
            </w:r>
          </w:p>
        </w:tc>
        <w:tc>
          <w:tcPr>
            <w:tcW w:w="855" w:type="pct"/>
            <w:tcBorders>
              <w:top w:val="nil"/>
              <w:left w:val="nil"/>
              <w:bottom w:val="single" w:sz="4" w:space="0" w:color="auto"/>
              <w:right w:val="single" w:sz="4" w:space="0" w:color="auto"/>
            </w:tcBorders>
            <w:shd w:val="clear" w:color="auto" w:fill="auto"/>
            <w:vAlign w:val="center"/>
            <w:hideMark/>
          </w:tcPr>
          <w:p w14:paraId="3FB1316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Придобиване на специализирано оборудване за лаборатория за електромагнитна съвместимост (ЕМС)</w:t>
            </w:r>
          </w:p>
        </w:tc>
        <w:tc>
          <w:tcPr>
            <w:tcW w:w="436" w:type="pct"/>
            <w:tcBorders>
              <w:top w:val="nil"/>
              <w:left w:val="nil"/>
              <w:bottom w:val="single" w:sz="4" w:space="0" w:color="auto"/>
              <w:right w:val="single" w:sz="4" w:space="0" w:color="auto"/>
            </w:tcBorders>
            <w:shd w:val="clear" w:color="auto" w:fill="auto"/>
            <w:vAlign w:val="center"/>
            <w:hideMark/>
          </w:tcPr>
          <w:p w14:paraId="0BC0412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1 533,0</w:t>
            </w:r>
          </w:p>
        </w:tc>
        <w:tc>
          <w:tcPr>
            <w:tcW w:w="436" w:type="pct"/>
            <w:tcBorders>
              <w:top w:val="nil"/>
              <w:left w:val="nil"/>
              <w:bottom w:val="single" w:sz="4" w:space="0" w:color="auto"/>
              <w:right w:val="single" w:sz="4" w:space="0" w:color="auto"/>
            </w:tcBorders>
            <w:shd w:val="clear" w:color="auto" w:fill="auto"/>
            <w:vAlign w:val="center"/>
            <w:hideMark/>
          </w:tcPr>
          <w:p w14:paraId="6990A37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2 500,0</w:t>
            </w:r>
          </w:p>
        </w:tc>
        <w:tc>
          <w:tcPr>
            <w:tcW w:w="436" w:type="pct"/>
            <w:tcBorders>
              <w:top w:val="nil"/>
              <w:left w:val="nil"/>
              <w:bottom w:val="single" w:sz="4" w:space="0" w:color="auto"/>
              <w:right w:val="single" w:sz="4" w:space="0" w:color="auto"/>
            </w:tcBorders>
            <w:shd w:val="clear" w:color="auto" w:fill="auto"/>
            <w:vAlign w:val="center"/>
            <w:hideMark/>
          </w:tcPr>
          <w:p w14:paraId="6CDB5FA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2 000,0</w:t>
            </w:r>
          </w:p>
        </w:tc>
        <w:tc>
          <w:tcPr>
            <w:tcW w:w="1524" w:type="pct"/>
            <w:tcBorders>
              <w:top w:val="nil"/>
              <w:left w:val="nil"/>
              <w:bottom w:val="single" w:sz="4" w:space="0" w:color="auto"/>
              <w:right w:val="single" w:sz="4" w:space="0" w:color="auto"/>
            </w:tcBorders>
            <w:shd w:val="clear" w:color="auto" w:fill="auto"/>
            <w:hideMark/>
          </w:tcPr>
          <w:p w14:paraId="36F13A3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проведени тестове за оценка на електромагнитната съвместимост - 20</w:t>
            </w:r>
          </w:p>
        </w:tc>
        <w:tc>
          <w:tcPr>
            <w:tcW w:w="627" w:type="pct"/>
            <w:tcBorders>
              <w:top w:val="nil"/>
              <w:left w:val="nil"/>
              <w:bottom w:val="single" w:sz="4" w:space="0" w:color="auto"/>
              <w:right w:val="single" w:sz="4" w:space="0" w:color="auto"/>
            </w:tcBorders>
            <w:shd w:val="clear" w:color="auto" w:fill="auto"/>
            <w:vAlign w:val="center"/>
            <w:hideMark/>
          </w:tcPr>
          <w:p w14:paraId="5F536B2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Комисия за регулиране на съобщенията</w:t>
            </w:r>
          </w:p>
        </w:tc>
      </w:tr>
      <w:tr w:rsidR="00761800" w:rsidRPr="00761800" w14:paraId="2526F216" w14:textId="77777777" w:rsidTr="00406B4D">
        <w:trPr>
          <w:trHeight w:val="76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14:paraId="01871D6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198</w:t>
            </w:r>
          </w:p>
        </w:tc>
        <w:tc>
          <w:tcPr>
            <w:tcW w:w="529" w:type="pct"/>
            <w:tcBorders>
              <w:top w:val="nil"/>
              <w:left w:val="nil"/>
              <w:bottom w:val="single" w:sz="4" w:space="0" w:color="auto"/>
              <w:right w:val="single" w:sz="4" w:space="0" w:color="auto"/>
            </w:tcBorders>
            <w:shd w:val="clear" w:color="auto" w:fill="auto"/>
            <w:noWrap/>
            <w:vAlign w:val="center"/>
            <w:hideMark/>
          </w:tcPr>
          <w:p w14:paraId="37804D8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NP-25.003-0142</w:t>
            </w:r>
          </w:p>
        </w:tc>
        <w:tc>
          <w:tcPr>
            <w:tcW w:w="855" w:type="pct"/>
            <w:tcBorders>
              <w:top w:val="nil"/>
              <w:left w:val="nil"/>
              <w:bottom w:val="single" w:sz="4" w:space="0" w:color="auto"/>
              <w:right w:val="single" w:sz="4" w:space="0" w:color="auto"/>
            </w:tcBorders>
            <w:shd w:val="clear" w:color="auto" w:fill="auto"/>
            <w:vAlign w:val="center"/>
            <w:hideMark/>
          </w:tcPr>
          <w:p w14:paraId="502A8AE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Разширяване и оптимизиране на функционалните и технологичните възможности на Националната система за мониторинг на радиочестотния спектър за граждански нужди (НСМРЧС)</w:t>
            </w:r>
          </w:p>
        </w:tc>
        <w:tc>
          <w:tcPr>
            <w:tcW w:w="436" w:type="pct"/>
            <w:tcBorders>
              <w:top w:val="nil"/>
              <w:left w:val="nil"/>
              <w:bottom w:val="single" w:sz="4" w:space="0" w:color="auto"/>
              <w:right w:val="single" w:sz="4" w:space="0" w:color="auto"/>
            </w:tcBorders>
            <w:shd w:val="clear" w:color="auto" w:fill="auto"/>
            <w:vAlign w:val="center"/>
            <w:hideMark/>
          </w:tcPr>
          <w:p w14:paraId="0B1FD64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1 547,0</w:t>
            </w:r>
          </w:p>
        </w:tc>
        <w:tc>
          <w:tcPr>
            <w:tcW w:w="436" w:type="pct"/>
            <w:tcBorders>
              <w:top w:val="nil"/>
              <w:left w:val="nil"/>
              <w:bottom w:val="single" w:sz="4" w:space="0" w:color="auto"/>
              <w:right w:val="single" w:sz="4" w:space="0" w:color="auto"/>
            </w:tcBorders>
            <w:shd w:val="clear" w:color="auto" w:fill="auto"/>
            <w:vAlign w:val="center"/>
            <w:hideMark/>
          </w:tcPr>
          <w:p w14:paraId="5F6D10A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2 000,0</w:t>
            </w:r>
          </w:p>
        </w:tc>
        <w:tc>
          <w:tcPr>
            <w:tcW w:w="436" w:type="pct"/>
            <w:tcBorders>
              <w:top w:val="nil"/>
              <w:left w:val="nil"/>
              <w:bottom w:val="single" w:sz="4" w:space="0" w:color="auto"/>
              <w:right w:val="single" w:sz="4" w:space="0" w:color="auto"/>
            </w:tcBorders>
            <w:shd w:val="clear" w:color="auto" w:fill="auto"/>
            <w:vAlign w:val="center"/>
            <w:hideMark/>
          </w:tcPr>
          <w:p w14:paraId="7624B7D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2 530,0</w:t>
            </w:r>
          </w:p>
        </w:tc>
        <w:tc>
          <w:tcPr>
            <w:tcW w:w="1524" w:type="pct"/>
            <w:tcBorders>
              <w:top w:val="nil"/>
              <w:left w:val="nil"/>
              <w:bottom w:val="single" w:sz="4" w:space="0" w:color="auto"/>
              <w:right w:val="single" w:sz="4" w:space="0" w:color="auto"/>
            </w:tcBorders>
            <w:shd w:val="clear" w:color="auto" w:fill="auto"/>
            <w:hideMark/>
          </w:tcPr>
          <w:p w14:paraId="79ADF03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Брой извършени контролни проверки по отношение на ползване или проблеми при ползване на радиочестотен спектър - 100</w:t>
            </w:r>
          </w:p>
        </w:tc>
        <w:tc>
          <w:tcPr>
            <w:tcW w:w="627" w:type="pct"/>
            <w:tcBorders>
              <w:top w:val="nil"/>
              <w:left w:val="nil"/>
              <w:bottom w:val="single" w:sz="4" w:space="0" w:color="auto"/>
              <w:right w:val="single" w:sz="4" w:space="0" w:color="auto"/>
            </w:tcBorders>
            <w:shd w:val="clear" w:color="auto" w:fill="auto"/>
            <w:vAlign w:val="center"/>
            <w:hideMark/>
          </w:tcPr>
          <w:p w14:paraId="20E5A63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Комисия за регулиране на съобщенията</w:t>
            </w:r>
          </w:p>
        </w:tc>
      </w:tr>
    </w:tbl>
    <w:p w14:paraId="622208DC" w14:textId="1937F89D" w:rsidR="00761800" w:rsidRDefault="00761800" w:rsidP="00761800">
      <w:pPr>
        <w:spacing w:before="120"/>
        <w:jc w:val="both"/>
        <w:outlineLvl w:val="2"/>
        <w:rPr>
          <w:rFonts w:ascii="Times New Roman" w:eastAsia="Calibri" w:hAnsi="Times New Roman"/>
          <w:bCs/>
          <w:szCs w:val="22"/>
        </w:rPr>
      </w:pPr>
      <w:r w:rsidRPr="00761800">
        <w:rPr>
          <w:rFonts w:ascii="Times New Roman" w:eastAsia="Calibri" w:hAnsi="Times New Roman"/>
          <w:bCs/>
          <w:szCs w:val="22"/>
        </w:rPr>
        <w:t>* Индикаторите за резултат по проектите на Министерството на отбраната и на Националната служба за охрана представляват класифицирана информация.</w:t>
      </w:r>
    </w:p>
    <w:p w14:paraId="177BC368" w14:textId="77777777" w:rsidR="00761800" w:rsidRDefault="00761800" w:rsidP="00761800">
      <w:pPr>
        <w:spacing w:before="120"/>
        <w:jc w:val="both"/>
        <w:outlineLvl w:val="2"/>
        <w:rPr>
          <w:rFonts w:ascii="Calibri" w:eastAsia="Calibri" w:hAnsi="Calibri"/>
          <w:sz w:val="22"/>
          <w:szCs w:val="22"/>
        </w:rPr>
        <w:sectPr w:rsidR="00761800" w:rsidSect="00406B4D">
          <w:pgSz w:w="16838" w:h="11906" w:orient="landscape"/>
          <w:pgMar w:top="1418" w:right="1418" w:bottom="1418" w:left="1418" w:header="709" w:footer="709" w:gutter="0"/>
          <w:cols w:space="708"/>
          <w:docGrid w:linePitch="360"/>
        </w:sectPr>
      </w:pPr>
    </w:p>
    <w:p w14:paraId="13E6DB67" w14:textId="77777777" w:rsidR="00761800" w:rsidRPr="00761800" w:rsidRDefault="00761800" w:rsidP="00761800">
      <w:pPr>
        <w:jc w:val="center"/>
        <w:rPr>
          <w:rFonts w:ascii="Times New Roman" w:hAnsi="Times New Roman"/>
          <w:sz w:val="22"/>
          <w:szCs w:val="22"/>
          <w:lang w:eastAsia="ja-JP"/>
        </w:rPr>
      </w:pPr>
      <w:bookmarkStart w:id="4" w:name="OLE_LINK1"/>
      <w:bookmarkStart w:id="5" w:name="OLE_LINK2"/>
      <w:bookmarkStart w:id="6" w:name="OLE_LINK3"/>
      <w:bookmarkStart w:id="7" w:name="OLE_LINK4"/>
      <w:r w:rsidRPr="00761800">
        <w:rPr>
          <w:rFonts w:ascii="Times New Roman" w:hAnsi="Times New Roman"/>
          <w:noProof/>
          <w:sz w:val="22"/>
          <w:szCs w:val="22"/>
          <w:lang w:eastAsia="bg-BG"/>
        </w:rPr>
        <w:lastRenderedPageBreak/>
        <mc:AlternateContent>
          <mc:Choice Requires="wps">
            <w:drawing>
              <wp:anchor distT="0" distB="0" distL="114300" distR="114300" simplePos="0" relativeHeight="251830784" behindDoc="0" locked="0" layoutInCell="1" allowOverlap="1" wp14:anchorId="41D57810" wp14:editId="356BE0A5">
                <wp:simplePos x="0" y="0"/>
                <wp:positionH relativeFrom="margin">
                  <wp:posOffset>3462020</wp:posOffset>
                </wp:positionH>
                <wp:positionV relativeFrom="margin">
                  <wp:posOffset>-148590</wp:posOffset>
                </wp:positionV>
                <wp:extent cx="2534285" cy="790575"/>
                <wp:effectExtent l="0" t="0" r="0" b="0"/>
                <wp:wrapSquare wrapText="bothSides"/>
                <wp:docPr id="6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4285" cy="790575"/>
                        </a:xfrm>
                        <a:prstGeom prst="rect">
                          <a:avLst/>
                        </a:prstGeom>
                        <a:noFill/>
                        <a:ln w="6350">
                          <a:noFill/>
                        </a:ln>
                        <a:effectLst/>
                      </wps:spPr>
                      <wps:txbx>
                        <w:txbxContent>
                          <w:p w14:paraId="263F4798" w14:textId="77777777" w:rsidR="00406B4D" w:rsidRPr="00761800" w:rsidRDefault="00406B4D" w:rsidP="00761800">
                            <w:pPr>
                              <w:jc w:val="right"/>
                              <w:rPr>
                                <w:b/>
                                <w:color w:val="852010"/>
                                <w:sz w:val="48"/>
                                <w:szCs w:val="48"/>
                                <w:lang w:val="en-US"/>
                              </w:rPr>
                            </w:pPr>
                          </w:p>
                          <w:p w14:paraId="64AA5008" w14:textId="77777777" w:rsidR="00406B4D" w:rsidRPr="00761800" w:rsidRDefault="00406B4D" w:rsidP="00761800">
                            <w:pPr>
                              <w:jc w:val="right"/>
                              <w:rPr>
                                <w:rStyle w:val="Emphasis"/>
                                <w:rFonts w:ascii="Times New Roman" w:hAnsi="Times New Roman"/>
                                <w:i w:val="0"/>
                                <w:iCs w:val="0"/>
                                <w:spacing w:val="12"/>
                                <w:sz w:val="28"/>
                              </w:rPr>
                            </w:pPr>
                            <w:r w:rsidRPr="00761800">
                              <w:rPr>
                                <w:rStyle w:val="Emphasis"/>
                                <w:rFonts w:ascii="Times New Roman" w:hAnsi="Times New Roman"/>
                                <w:spacing w:val="12"/>
                                <w:sz w:val="28"/>
                              </w:rPr>
                              <w:t>Приложение към т.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57810" id="Text Box 24" o:spid="_x0000_s1027" type="#_x0000_t202" style="position:absolute;left:0;text-align:left;margin-left:272.6pt;margin-top:-11.7pt;width:199.55pt;height:62.25pt;z-index:2518307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" filled="f" stroked="f" strokeweight=".5pt">
                <v:textbox>
                  <w:txbxContent>
                    <w:p w14:paraId="263F4798" w14:textId="77777777" w:rsidR="00406B4D" w:rsidRPr="00761800" w:rsidRDefault="00406B4D" w:rsidP="00761800">
                      <w:pPr>
                        <w:jc w:val="right"/>
                        <w:rPr>
                          <w:b/>
                          <w:color w:val="852010"/>
                          <w:sz w:val="48"/>
                          <w:szCs w:val="48"/>
                          <w:lang w:val="en-US"/>
                        </w:rPr>
                      </w:pPr>
                    </w:p>
                    <w:p w14:paraId="64AA5008" w14:textId="77777777" w:rsidR="00406B4D" w:rsidRPr="00761800" w:rsidRDefault="00406B4D" w:rsidP="00761800">
                      <w:pPr>
                        <w:jc w:val="right"/>
                        <w:rPr>
                          <w:rStyle w:val="Emphasis"/>
                          <w:rFonts w:ascii="Times New Roman" w:hAnsi="Times New Roman"/>
                          <w:i w:val="0"/>
                          <w:iCs w:val="0"/>
                          <w:spacing w:val="12"/>
                          <w:sz w:val="28"/>
                        </w:rPr>
                      </w:pPr>
                      <w:r w:rsidRPr="00761800">
                        <w:rPr>
                          <w:rStyle w:val="Emphasis"/>
                          <w:rFonts w:ascii="Times New Roman" w:hAnsi="Times New Roman"/>
                          <w:spacing w:val="12"/>
                          <w:sz w:val="28"/>
                        </w:rPr>
                        <w:t>Приложение към т. 4</w:t>
                      </w:r>
                    </w:p>
                  </w:txbxContent>
                </v:textbox>
                <w10:wrap type="square" anchorx="margin" anchory="margin"/>
              </v:shape>
            </w:pict>
          </mc:Fallback>
        </mc:AlternateContent>
      </w:r>
      <w:r w:rsidRPr="00761800">
        <w:rPr>
          <w:rFonts w:ascii="Times New Roman" w:hAnsi="Times New Roman"/>
          <w:noProof/>
          <w:sz w:val="22"/>
          <w:szCs w:val="22"/>
          <w:lang w:eastAsia="bg-BG"/>
        </w:rPr>
        <mc:AlternateContent>
          <mc:Choice Requires="wps">
            <w:drawing>
              <wp:anchor distT="0" distB="0" distL="114300" distR="114300" simplePos="0" relativeHeight="251840000" behindDoc="0" locked="0" layoutInCell="1" allowOverlap="1" wp14:anchorId="0695E3D3" wp14:editId="3F51CCE0">
                <wp:simplePos x="0" y="0"/>
                <wp:positionH relativeFrom="column">
                  <wp:posOffset>-1009650</wp:posOffset>
                </wp:positionH>
                <wp:positionV relativeFrom="paragraph">
                  <wp:posOffset>3156476</wp:posOffset>
                </wp:positionV>
                <wp:extent cx="7669530" cy="6350"/>
                <wp:effectExtent l="0" t="0" r="26670" b="31750"/>
                <wp:wrapNone/>
                <wp:docPr id="31" name="Straight Connector 31"/>
                <wp:cNvGraphicFramePr/>
                <a:graphic xmlns:a="http://schemas.openxmlformats.org/drawingml/2006/main">
                  <a:graphicData uri="http://schemas.microsoft.com/office/word/2010/wordprocessingShape">
                    <wps:wsp>
                      <wps:cNvCnPr/>
                      <wps:spPr>
                        <a:xfrm>
                          <a:off x="0" y="0"/>
                          <a:ext cx="7669530" cy="6350"/>
                        </a:xfrm>
                        <a:prstGeom prst="line">
                          <a:avLst/>
                        </a:prstGeom>
                        <a:noFill/>
                        <a:ln w="9525" cap="flat" cmpd="sng" algn="ctr">
                          <a:solidFill>
                            <a:srgbClr val="B32C1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DF97A4" id="Straight Connector 31" o:spid="_x0000_s1026" style="position:absolute;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pt,248.55pt" to="524.4pt,2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" strokecolor="#b32c16"/>
            </w:pict>
          </mc:Fallback>
        </mc:AlternateContent>
      </w:r>
      <w:r w:rsidRPr="00761800">
        <w:rPr>
          <w:rFonts w:ascii="Times New Roman" w:hAnsi="Times New Roman"/>
          <w:noProof/>
          <w:sz w:val="22"/>
          <w:szCs w:val="22"/>
          <w:lang w:eastAsia="bg-BG"/>
        </w:rPr>
        <mc:AlternateContent>
          <mc:Choice Requires="wps">
            <w:drawing>
              <wp:anchor distT="0" distB="0" distL="114300" distR="114300" simplePos="0" relativeHeight="251832832" behindDoc="0" locked="0" layoutInCell="1" allowOverlap="1" wp14:anchorId="402D8232" wp14:editId="2CE88352">
                <wp:simplePos x="0" y="0"/>
                <wp:positionH relativeFrom="margin">
                  <wp:posOffset>4108664</wp:posOffset>
                </wp:positionH>
                <wp:positionV relativeFrom="paragraph">
                  <wp:posOffset>-531495</wp:posOffset>
                </wp:positionV>
                <wp:extent cx="1898650" cy="521970"/>
                <wp:effectExtent l="0" t="0" r="0" b="0"/>
                <wp:wrapNone/>
                <wp:docPr id="3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0" cy="521970"/>
                        </a:xfrm>
                        <a:prstGeom prst="rect">
                          <a:avLst/>
                        </a:prstGeom>
                        <a:noFill/>
                        <a:ln w="6350">
                          <a:noFill/>
                        </a:ln>
                        <a:effectLst/>
                      </wps:spPr>
                      <wps:txbx>
                        <w:txbxContent>
                          <w:p w14:paraId="00BCC48C" w14:textId="77777777" w:rsidR="00406B4D" w:rsidRPr="00761800" w:rsidRDefault="00406B4D" w:rsidP="00761800">
                            <w:pPr>
                              <w:jc w:val="right"/>
                              <w:rPr>
                                <w:b/>
                                <w:color w:val="852010"/>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D8232" id="_x0000_s1028" type="#_x0000_t202" style="position:absolute;left:0;text-align:left;margin-left:323.5pt;margin-top:-41.85pt;width:149.5pt;height:41.1pt;z-index:25183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" filled="f" stroked="f" strokeweight=".5pt">
                <v:textbox>
                  <w:txbxContent>
                    <w:p w14:paraId="00BCC48C" w14:textId="77777777" w:rsidR="00406B4D" w:rsidRPr="00761800" w:rsidRDefault="00406B4D" w:rsidP="00761800">
                      <w:pPr>
                        <w:jc w:val="right"/>
                        <w:rPr>
                          <w:b/>
                          <w:color w:val="852010"/>
                          <w:sz w:val="48"/>
                          <w:szCs w:val="48"/>
                        </w:rPr>
                      </w:pPr>
                    </w:p>
                  </w:txbxContent>
                </v:textbox>
                <w10:wrap anchorx="margin"/>
              </v:shape>
            </w:pict>
          </mc:Fallback>
        </mc:AlternateContent>
      </w:r>
      <w:r w:rsidRPr="00761800">
        <w:rPr>
          <w:rFonts w:ascii="Times New Roman" w:hAnsi="Times New Roman"/>
          <w:noProof/>
          <w:sz w:val="22"/>
          <w:szCs w:val="22"/>
          <w:lang w:eastAsia="bg-BG"/>
        </w:rPr>
        <mc:AlternateContent>
          <mc:Choice Requires="wps">
            <w:drawing>
              <wp:anchor distT="0" distB="0" distL="114300" distR="114300" simplePos="0" relativeHeight="251837952" behindDoc="1" locked="0" layoutInCell="1" allowOverlap="1" wp14:anchorId="6F029B61" wp14:editId="520FDA17">
                <wp:simplePos x="0" y="0"/>
                <wp:positionH relativeFrom="page">
                  <wp:posOffset>0</wp:posOffset>
                </wp:positionH>
                <wp:positionV relativeFrom="page">
                  <wp:posOffset>0</wp:posOffset>
                </wp:positionV>
                <wp:extent cx="7560000" cy="4068000"/>
                <wp:effectExtent l="0" t="0" r="3175" b="8890"/>
                <wp:wrapNone/>
                <wp:docPr id="33" name="Rectangle 33"/>
                <wp:cNvGraphicFramePr/>
                <a:graphic xmlns:a="http://schemas.openxmlformats.org/drawingml/2006/main">
                  <a:graphicData uri="http://schemas.microsoft.com/office/word/2010/wordprocessingShape">
                    <wps:wsp>
                      <wps:cNvSpPr/>
                      <wps:spPr>
                        <a:xfrm>
                          <a:off x="0" y="0"/>
                          <a:ext cx="7560000" cy="4068000"/>
                        </a:xfrm>
                        <a:prstGeom prst="rect">
                          <a:avLst/>
                        </a:prstGeom>
                        <a:solidFill>
                          <a:srgbClr val="B32C16">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806BE" id="Rectangle 33" o:spid="_x0000_s1026" style="position:absolute;margin-left:0;margin-top:0;width:595.3pt;height:320.3pt;z-index:-25147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" fillcolor="#f8cfc8" stroked="f" strokeweight="2pt">
                <w10:wrap anchorx="page" anchory="page"/>
              </v:rect>
            </w:pict>
          </mc:Fallback>
        </mc:AlternateContent>
      </w:r>
      <w:r w:rsidRPr="00761800">
        <w:rPr>
          <w:rFonts w:ascii="Times New Roman" w:hAnsi="Times New Roman"/>
          <w:noProof/>
          <w:sz w:val="22"/>
          <w:szCs w:val="22"/>
          <w:lang w:eastAsia="bg-BG"/>
        </w:rPr>
        <mc:AlternateContent>
          <mc:Choice Requires="wps">
            <w:drawing>
              <wp:anchor distT="0" distB="0" distL="114300" distR="114300" simplePos="0" relativeHeight="251834880" behindDoc="0" locked="0" layoutInCell="1" allowOverlap="1" wp14:anchorId="452E75F4" wp14:editId="226FE410">
                <wp:simplePos x="0" y="0"/>
                <wp:positionH relativeFrom="margin">
                  <wp:align>left</wp:align>
                </wp:positionH>
                <wp:positionV relativeFrom="margin">
                  <wp:align>bottom</wp:align>
                </wp:positionV>
                <wp:extent cx="3559175" cy="318770"/>
                <wp:effectExtent l="0" t="0" r="0" b="5080"/>
                <wp:wrapSquare wrapText="bothSides"/>
                <wp:docPr id="3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9175" cy="318770"/>
                        </a:xfrm>
                        <a:prstGeom prst="rect">
                          <a:avLst/>
                        </a:prstGeom>
                        <a:noFill/>
                        <a:ln w="6350">
                          <a:noFill/>
                        </a:ln>
                        <a:effectLst/>
                      </wps:spPr>
                      <wps:txbx>
                        <w:txbxContent>
                          <w:p w14:paraId="2358CBD0" w14:textId="77777777" w:rsidR="00406B4D" w:rsidRPr="00370580" w:rsidRDefault="00406B4D" w:rsidP="00761800">
                            <w:pPr>
                              <w:rPr>
                                <w:iCs/>
                                <w:sz w:val="28"/>
                                <w:szCs w:val="28"/>
                                <w:lang w:eastAsia="en-GB"/>
                              </w:rPr>
                            </w:pPr>
                            <w:r>
                              <w:rPr>
                                <w:bCs/>
                                <w:iCs/>
                                <w:sz w:val="28"/>
                                <w:szCs w:val="28"/>
                                <w:lang w:eastAsia="en-GB"/>
                              </w:rPr>
                              <w:t>2026</w:t>
                            </w:r>
                            <w:r w:rsidRPr="00821E98">
                              <w:rPr>
                                <w:bCs/>
                                <w:iCs/>
                                <w:sz w:val="28"/>
                                <w:szCs w:val="28"/>
                                <w:lang w:eastAsia="en-GB"/>
                              </w:rPr>
                              <w:t xml:space="preserve"> г.</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E75F4" id="_x0000_s1029" type="#_x0000_t202" style="position:absolute;left:0;text-align:left;margin-left:0;margin-top:0;width:280.25pt;height:25.1pt;z-index:251834880;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" filled="f" stroked="f" strokeweight=".5pt">
                <v:textbox inset="0">
                  <w:txbxContent>
                    <w:p w14:paraId="2358CBD0" w14:textId="77777777" w:rsidR="00406B4D" w:rsidRPr="00370580" w:rsidRDefault="00406B4D" w:rsidP="00761800">
                      <w:pPr>
                        <w:rPr>
                          <w:iCs/>
                          <w:sz w:val="28"/>
                          <w:szCs w:val="28"/>
                          <w:lang w:eastAsia="en-GB"/>
                        </w:rPr>
                      </w:pPr>
                      <w:r>
                        <w:rPr>
                          <w:bCs/>
                          <w:iCs/>
                          <w:sz w:val="28"/>
                          <w:szCs w:val="28"/>
                          <w:lang w:eastAsia="en-GB"/>
                        </w:rPr>
                        <w:t>2026</w:t>
                      </w:r>
                      <w:r w:rsidRPr="00821E98">
                        <w:rPr>
                          <w:bCs/>
                          <w:iCs/>
                          <w:sz w:val="28"/>
                          <w:szCs w:val="28"/>
                          <w:lang w:eastAsia="en-GB"/>
                        </w:rPr>
                        <w:t xml:space="preserve"> г.</w:t>
                      </w:r>
                    </w:p>
                  </w:txbxContent>
                </v:textbox>
                <w10:wrap type="square" anchorx="margin" anchory="margin"/>
              </v:shape>
            </w:pict>
          </mc:Fallback>
        </mc:AlternateContent>
      </w:r>
    </w:p>
    <w:p w14:paraId="1A7BBDCF" w14:textId="77777777" w:rsidR="00761800" w:rsidRPr="00761800" w:rsidRDefault="00761800" w:rsidP="00761800">
      <w:pPr>
        <w:spacing w:after="200"/>
        <w:jc w:val="both"/>
        <w:rPr>
          <w:rFonts w:ascii="Times New Roman" w:hAnsi="Times New Roman"/>
          <w:szCs w:val="22"/>
          <w:lang w:eastAsia="ja-JP"/>
        </w:rPr>
      </w:pPr>
    </w:p>
    <w:p w14:paraId="182D7B4E" w14:textId="77777777" w:rsidR="00761800" w:rsidRPr="00761800" w:rsidRDefault="00761800" w:rsidP="00761800">
      <w:pPr>
        <w:spacing w:after="200"/>
        <w:jc w:val="both"/>
        <w:rPr>
          <w:rFonts w:ascii="Times New Roman" w:hAnsi="Times New Roman"/>
          <w:szCs w:val="22"/>
          <w:lang w:eastAsia="ja-JP"/>
        </w:rPr>
      </w:pPr>
    </w:p>
    <w:p w14:paraId="23E00F4B" w14:textId="77777777" w:rsidR="00761800" w:rsidRPr="00761800" w:rsidRDefault="00761800" w:rsidP="00761800">
      <w:pPr>
        <w:spacing w:after="200"/>
        <w:jc w:val="both"/>
        <w:rPr>
          <w:rFonts w:ascii="Times New Roman" w:hAnsi="Times New Roman"/>
          <w:szCs w:val="22"/>
          <w:lang w:eastAsia="ja-JP"/>
        </w:rPr>
      </w:pPr>
    </w:p>
    <w:p w14:paraId="65B76D50" w14:textId="77777777" w:rsidR="00761800" w:rsidRPr="00761800" w:rsidRDefault="00761800" w:rsidP="00761800">
      <w:pPr>
        <w:spacing w:after="200"/>
        <w:jc w:val="both"/>
        <w:rPr>
          <w:rFonts w:ascii="Times New Roman" w:hAnsi="Times New Roman"/>
          <w:szCs w:val="22"/>
          <w:lang w:eastAsia="ja-JP"/>
        </w:rPr>
      </w:pPr>
      <w:r w:rsidRPr="00761800">
        <w:rPr>
          <w:rFonts w:ascii="Times New Roman" w:hAnsi="Times New Roman"/>
          <w:noProof/>
          <w:szCs w:val="22"/>
          <w:lang w:eastAsia="bg-BG"/>
        </w:rPr>
        <mc:AlternateContent>
          <mc:Choice Requires="wps">
            <w:drawing>
              <wp:anchor distT="0" distB="0" distL="114300" distR="114300" simplePos="0" relativeHeight="251836928" behindDoc="0" locked="0" layoutInCell="1" allowOverlap="1" wp14:anchorId="398D0C29" wp14:editId="73184C45">
                <wp:simplePos x="0" y="0"/>
                <wp:positionH relativeFrom="margin">
                  <wp:posOffset>-138430</wp:posOffset>
                </wp:positionH>
                <wp:positionV relativeFrom="page">
                  <wp:posOffset>2171700</wp:posOffset>
                </wp:positionV>
                <wp:extent cx="6077585" cy="1779270"/>
                <wp:effectExtent l="0" t="0" r="18415"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77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2285C" w14:textId="77777777" w:rsidR="00406B4D" w:rsidRPr="00761800" w:rsidRDefault="00406B4D" w:rsidP="00761800">
                            <w:pPr>
                              <w:rPr>
                                <w:rFonts w:ascii="Times New Roman" w:eastAsia="Calibri" w:hAnsi="Times New Roman"/>
                                <w:sz w:val="64"/>
                                <w:szCs w:val="64"/>
                                <w14:shadow w14:blurRad="50800" w14:dist="38100" w14:dir="2700000" w14:sx="100000" w14:sy="100000" w14:kx="0" w14:ky="0" w14:algn="tl">
                                  <w14:srgbClr w14:val="000000">
                                    <w14:alpha w14:val="60000"/>
                                  </w14:srgbClr>
                                </w14:shadow>
                              </w:rPr>
                            </w:pPr>
                            <w:r w:rsidRPr="00761800">
                              <w:rPr>
                                <w:rFonts w:ascii="Times New Roman" w:eastAsia="Calibri" w:hAnsi="Times New Roman"/>
                                <w:sz w:val="64"/>
                                <w:szCs w:val="64"/>
                                <w14:shadow w14:blurRad="50800" w14:dist="38100" w14:dir="2700000" w14:sx="100000" w14:sy="100000" w14:kx="0" w14:ky="0" w14:algn="tl">
                                  <w14:srgbClr w14:val="000000">
                                    <w14:alpha w14:val="60000"/>
                                  </w14:srgbClr>
                                </w14:shadow>
                              </w:rPr>
                              <w:t xml:space="preserve">Актуализирана средносрочна бюджетна прогноза </w:t>
                            </w:r>
                            <w:r w:rsidRPr="00761800">
                              <w:rPr>
                                <w:rFonts w:ascii="Times New Roman" w:eastAsia="Calibri" w:hAnsi="Times New Roman"/>
                                <w:sz w:val="64"/>
                                <w:szCs w:val="64"/>
                                <w:lang w:val="ru-RU"/>
                                <w14:shadow w14:blurRad="50800" w14:dist="38100" w14:dir="2700000" w14:sx="100000" w14:sy="100000" w14:kx="0" w14:ky="0" w14:algn="tl">
                                  <w14:srgbClr w14:val="000000">
                                    <w14:alpha w14:val="60000"/>
                                  </w14:srgbClr>
                                </w14:shadow>
                              </w:rPr>
                              <w:br/>
                            </w:r>
                            <w:r w:rsidRPr="00761800">
                              <w:rPr>
                                <w:rFonts w:ascii="Times New Roman" w:eastAsia="Calibri" w:hAnsi="Times New Roman"/>
                                <w:sz w:val="64"/>
                                <w:szCs w:val="64"/>
                                <w14:shadow w14:blurRad="50800" w14:dist="38100" w14:dir="2700000" w14:sx="100000" w14:sy="100000" w14:kx="0" w14:ky="0" w14:algn="tl">
                                  <w14:srgbClr w14:val="000000">
                                    <w14:alpha w14:val="60000"/>
                                  </w14:srgbClr>
                                </w14:shadow>
                              </w:rPr>
                              <w:t>за периода 2026-20</w:t>
                            </w:r>
                            <w:r w:rsidRPr="00761800">
                              <w:rPr>
                                <w:rFonts w:ascii="Times New Roman" w:eastAsia="Calibri" w:hAnsi="Times New Roman"/>
                                <w:sz w:val="64"/>
                                <w:szCs w:val="64"/>
                                <w:lang w:val="ru-RU"/>
                                <w14:shadow w14:blurRad="50800" w14:dist="38100" w14:dir="2700000" w14:sx="100000" w14:sy="100000" w14:kx="0" w14:ky="0" w14:algn="tl">
                                  <w14:srgbClr w14:val="000000">
                                    <w14:alpha w14:val="60000"/>
                                  </w14:srgbClr>
                                </w14:shadow>
                              </w:rPr>
                              <w:t>28</w:t>
                            </w:r>
                            <w:r w:rsidRPr="00761800">
                              <w:rPr>
                                <w:rFonts w:ascii="Times New Roman" w:eastAsia="Calibri" w:hAnsi="Times New Roman"/>
                                <w:sz w:val="64"/>
                                <w:szCs w:val="64"/>
                                <w14:shadow w14:blurRad="50800" w14:dist="38100" w14:dir="2700000" w14:sx="100000" w14:sy="100000" w14:kx="0" w14:ky="0" w14:algn="tl">
                                  <w14:srgbClr w14:val="000000">
                                    <w14:alpha w14:val="60000"/>
                                  </w14:srgbClr>
                                </w14:shadow>
                              </w:rPr>
                              <w:t xml:space="preserve"> г.</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D0C29" id="Text Box 35" o:spid="_x0000_s1030" type="#_x0000_t202" style="position:absolute;left:0;text-align:left;margin-left:-10.9pt;margin-top:171pt;width:478.55pt;height:140.1pt;z-index:2518369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" filled="f" stroked="f">
                <v:textbox inset="0,,0">
                  <w:txbxContent>
                    <w:p w14:paraId="44C2285C" w14:textId="77777777" w:rsidR="00406B4D" w:rsidRPr="00761800" w:rsidRDefault="00406B4D" w:rsidP="00761800">
                      <w:pPr>
                        <w:rPr>
                          <w:rFonts w:ascii="Times New Roman" w:eastAsia="Calibri" w:hAnsi="Times New Roman"/>
                          <w:sz w:val="64"/>
                          <w:szCs w:val="64"/>
                          <w14:shadow w14:blurRad="50800" w14:dist="38100" w14:dir="2700000" w14:sx="100000" w14:sy="100000" w14:kx="0" w14:ky="0" w14:algn="tl">
                            <w14:srgbClr w14:val="000000">
                              <w14:alpha w14:val="60000"/>
                            </w14:srgbClr>
                          </w14:shadow>
                        </w:rPr>
                      </w:pPr>
                      <w:r w:rsidRPr="00761800">
                        <w:rPr>
                          <w:rFonts w:ascii="Times New Roman" w:eastAsia="Calibri" w:hAnsi="Times New Roman"/>
                          <w:sz w:val="64"/>
                          <w:szCs w:val="64"/>
                          <w14:shadow w14:blurRad="50800" w14:dist="38100" w14:dir="2700000" w14:sx="100000" w14:sy="100000" w14:kx="0" w14:ky="0" w14:algn="tl">
                            <w14:srgbClr w14:val="000000">
                              <w14:alpha w14:val="60000"/>
                            </w14:srgbClr>
                          </w14:shadow>
                        </w:rPr>
                        <w:t xml:space="preserve">Актуализирана средносрочна бюджетна прогноза </w:t>
                      </w:r>
                      <w:r w:rsidRPr="00761800">
                        <w:rPr>
                          <w:rFonts w:ascii="Times New Roman" w:eastAsia="Calibri" w:hAnsi="Times New Roman"/>
                          <w:sz w:val="64"/>
                          <w:szCs w:val="64"/>
                          <w:lang w:val="ru-RU"/>
                          <w14:shadow w14:blurRad="50800" w14:dist="38100" w14:dir="2700000" w14:sx="100000" w14:sy="100000" w14:kx="0" w14:ky="0" w14:algn="tl">
                            <w14:srgbClr w14:val="000000">
                              <w14:alpha w14:val="60000"/>
                            </w14:srgbClr>
                          </w14:shadow>
                        </w:rPr>
                        <w:br/>
                      </w:r>
                      <w:r w:rsidRPr="00761800">
                        <w:rPr>
                          <w:rFonts w:ascii="Times New Roman" w:eastAsia="Calibri" w:hAnsi="Times New Roman"/>
                          <w:sz w:val="64"/>
                          <w:szCs w:val="64"/>
                          <w14:shadow w14:blurRad="50800" w14:dist="38100" w14:dir="2700000" w14:sx="100000" w14:sy="100000" w14:kx="0" w14:ky="0" w14:algn="tl">
                            <w14:srgbClr w14:val="000000">
                              <w14:alpha w14:val="60000"/>
                            </w14:srgbClr>
                          </w14:shadow>
                        </w:rPr>
                        <w:t>за периода 2026-20</w:t>
                      </w:r>
                      <w:r w:rsidRPr="00761800">
                        <w:rPr>
                          <w:rFonts w:ascii="Times New Roman" w:eastAsia="Calibri" w:hAnsi="Times New Roman"/>
                          <w:sz w:val="64"/>
                          <w:szCs w:val="64"/>
                          <w:lang w:val="ru-RU"/>
                          <w14:shadow w14:blurRad="50800" w14:dist="38100" w14:dir="2700000" w14:sx="100000" w14:sy="100000" w14:kx="0" w14:ky="0" w14:algn="tl">
                            <w14:srgbClr w14:val="000000">
                              <w14:alpha w14:val="60000"/>
                            </w14:srgbClr>
                          </w14:shadow>
                        </w:rPr>
                        <w:t>28</w:t>
                      </w:r>
                      <w:r w:rsidRPr="00761800">
                        <w:rPr>
                          <w:rFonts w:ascii="Times New Roman" w:eastAsia="Calibri" w:hAnsi="Times New Roman"/>
                          <w:sz w:val="64"/>
                          <w:szCs w:val="64"/>
                          <w14:shadow w14:blurRad="50800" w14:dist="38100" w14:dir="2700000" w14:sx="100000" w14:sy="100000" w14:kx="0" w14:ky="0" w14:algn="tl">
                            <w14:srgbClr w14:val="000000">
                              <w14:alpha w14:val="60000"/>
                            </w14:srgbClr>
                          </w14:shadow>
                        </w:rPr>
                        <w:t xml:space="preserve"> г.</w:t>
                      </w:r>
                    </w:p>
                  </w:txbxContent>
                </v:textbox>
                <w10:wrap anchorx="margin" anchory="page"/>
              </v:shape>
            </w:pict>
          </mc:Fallback>
        </mc:AlternateContent>
      </w:r>
    </w:p>
    <w:p w14:paraId="48E97153" w14:textId="77777777" w:rsidR="00761800" w:rsidRPr="00761800" w:rsidRDefault="00761800" w:rsidP="00761800">
      <w:pPr>
        <w:spacing w:after="200"/>
        <w:jc w:val="both"/>
        <w:rPr>
          <w:rFonts w:ascii="Times New Roman" w:hAnsi="Times New Roman"/>
          <w:szCs w:val="22"/>
          <w:lang w:eastAsia="ja-JP"/>
        </w:rPr>
      </w:pPr>
    </w:p>
    <w:p w14:paraId="3EAD6022" w14:textId="77777777" w:rsidR="00761800" w:rsidRPr="00761800" w:rsidRDefault="00761800" w:rsidP="00761800">
      <w:pPr>
        <w:spacing w:after="200"/>
        <w:jc w:val="both"/>
        <w:rPr>
          <w:rFonts w:ascii="Times New Roman" w:hAnsi="Times New Roman"/>
          <w:szCs w:val="22"/>
          <w:lang w:eastAsia="ja-JP"/>
        </w:rPr>
      </w:pPr>
    </w:p>
    <w:p w14:paraId="1C4DD02C" w14:textId="77777777" w:rsidR="00761800" w:rsidRPr="00761800" w:rsidRDefault="00761800" w:rsidP="00761800">
      <w:pPr>
        <w:spacing w:after="200"/>
        <w:jc w:val="both"/>
        <w:rPr>
          <w:rFonts w:ascii="Times New Roman" w:hAnsi="Times New Roman"/>
          <w:szCs w:val="22"/>
          <w:lang w:eastAsia="ja-JP"/>
        </w:rPr>
      </w:pPr>
    </w:p>
    <w:p w14:paraId="7037D6F6" w14:textId="77777777" w:rsidR="00761800" w:rsidRPr="00761800" w:rsidRDefault="00761800" w:rsidP="00761800">
      <w:pPr>
        <w:spacing w:after="200"/>
        <w:jc w:val="both"/>
        <w:rPr>
          <w:rFonts w:ascii="Times New Roman" w:hAnsi="Times New Roman"/>
          <w:szCs w:val="22"/>
          <w:lang w:eastAsia="ja-JP"/>
        </w:rPr>
      </w:pPr>
    </w:p>
    <w:p w14:paraId="293E974D" w14:textId="77777777" w:rsidR="00761800" w:rsidRPr="00761800" w:rsidRDefault="00761800" w:rsidP="00761800">
      <w:pPr>
        <w:spacing w:after="200"/>
        <w:jc w:val="both"/>
        <w:rPr>
          <w:rFonts w:ascii="Times New Roman" w:hAnsi="Times New Roman"/>
          <w:szCs w:val="22"/>
          <w:lang w:eastAsia="ja-JP"/>
        </w:rPr>
      </w:pPr>
    </w:p>
    <w:p w14:paraId="613F293B" w14:textId="77777777" w:rsidR="00761800" w:rsidRPr="00761800" w:rsidRDefault="00761800" w:rsidP="00761800">
      <w:pPr>
        <w:spacing w:after="200"/>
        <w:jc w:val="both"/>
        <w:rPr>
          <w:rFonts w:ascii="Times New Roman" w:hAnsi="Times New Roman"/>
          <w:szCs w:val="22"/>
          <w:lang w:eastAsia="ja-JP"/>
        </w:rPr>
      </w:pPr>
    </w:p>
    <w:p w14:paraId="4F1DA87B" w14:textId="77777777" w:rsidR="00761800" w:rsidRPr="00761800" w:rsidRDefault="00761800" w:rsidP="00761800">
      <w:pPr>
        <w:rPr>
          <w:rFonts w:ascii="Times New Roman" w:hAnsi="Times New Roman"/>
          <w:iCs/>
          <w:sz w:val="36"/>
          <w:szCs w:val="36"/>
          <w:lang w:eastAsia="en-GB"/>
        </w:rPr>
      </w:pPr>
      <w:r w:rsidRPr="00761800">
        <w:rPr>
          <w:rFonts w:ascii="Times New Roman" w:hAnsi="Times New Roman"/>
          <w:iCs/>
          <w:noProof/>
          <w:sz w:val="36"/>
          <w:szCs w:val="36"/>
          <w:lang w:eastAsia="bg-BG"/>
        </w:rPr>
        <mc:AlternateContent>
          <mc:Choice Requires="wps">
            <w:drawing>
              <wp:anchor distT="0" distB="0" distL="114300" distR="114300" simplePos="0" relativeHeight="251843072" behindDoc="0" locked="0" layoutInCell="1" allowOverlap="1" wp14:anchorId="0632E8EF" wp14:editId="6A1EC1A8">
                <wp:simplePos x="0" y="0"/>
                <wp:positionH relativeFrom="column">
                  <wp:posOffset>-137133</wp:posOffset>
                </wp:positionH>
                <wp:positionV relativeFrom="paragraph">
                  <wp:posOffset>199860</wp:posOffset>
                </wp:positionV>
                <wp:extent cx="3227705" cy="937895"/>
                <wp:effectExtent l="0" t="0" r="10795" b="14605"/>
                <wp:wrapNone/>
                <wp:docPr id="701" name="Double Bracket 701"/>
                <wp:cNvGraphicFramePr/>
                <a:graphic xmlns:a="http://schemas.openxmlformats.org/drawingml/2006/main">
                  <a:graphicData uri="http://schemas.microsoft.com/office/word/2010/wordprocessingShape">
                    <wps:wsp>
                      <wps:cNvSpPr/>
                      <wps:spPr>
                        <a:xfrm>
                          <a:off x="0" y="0"/>
                          <a:ext cx="3227705" cy="93789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DC49F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701" o:spid="_x0000_s1026" type="#_x0000_t185" style="position:absolute;margin-left:-10.8pt;margin-top:15.75pt;width:254.15pt;height:73.85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" strokecolor="windowText"/>
            </w:pict>
          </mc:Fallback>
        </mc:AlternateContent>
      </w:r>
    </w:p>
    <w:p w14:paraId="3FD54DAD" w14:textId="77777777" w:rsidR="00761800" w:rsidRPr="00761800" w:rsidRDefault="00761800" w:rsidP="00761800">
      <w:pPr>
        <w:rPr>
          <w:rFonts w:ascii="Times New Roman" w:hAnsi="Times New Roman"/>
          <w:iCs/>
          <w:sz w:val="36"/>
          <w:szCs w:val="36"/>
          <w:lang w:eastAsia="en-GB"/>
        </w:rPr>
      </w:pPr>
      <w:r w:rsidRPr="00761800">
        <w:rPr>
          <w:rFonts w:ascii="Times New Roman" w:hAnsi="Times New Roman"/>
          <w:iCs/>
          <w:sz w:val="36"/>
          <w:szCs w:val="36"/>
          <w:lang w:eastAsia="en-GB"/>
        </w:rPr>
        <w:t xml:space="preserve">Мотиви към законопроекта за </w:t>
      </w:r>
    </w:p>
    <w:p w14:paraId="7511BB43" w14:textId="77777777" w:rsidR="00761800" w:rsidRPr="00761800" w:rsidRDefault="00761800" w:rsidP="00761800">
      <w:pPr>
        <w:rPr>
          <w:rFonts w:ascii="Times New Roman" w:hAnsi="Times New Roman"/>
          <w:iCs/>
          <w:sz w:val="36"/>
          <w:szCs w:val="36"/>
          <w:lang w:eastAsia="en-GB"/>
        </w:rPr>
      </w:pPr>
      <w:r w:rsidRPr="00761800">
        <w:rPr>
          <w:rFonts w:ascii="Times New Roman" w:hAnsi="Times New Roman"/>
          <w:iCs/>
          <w:sz w:val="36"/>
          <w:szCs w:val="36"/>
          <w:lang w:eastAsia="en-GB"/>
        </w:rPr>
        <w:t xml:space="preserve">държавния бюджет на </w:t>
      </w:r>
    </w:p>
    <w:p w14:paraId="4449FC3D" w14:textId="77777777" w:rsidR="00761800" w:rsidRPr="00761800" w:rsidRDefault="00761800" w:rsidP="00761800">
      <w:pPr>
        <w:rPr>
          <w:rFonts w:ascii="Times New Roman" w:hAnsi="Times New Roman"/>
          <w:iCs/>
          <w:sz w:val="36"/>
          <w:szCs w:val="36"/>
          <w:lang w:eastAsia="en-GB"/>
        </w:rPr>
      </w:pPr>
      <w:r w:rsidRPr="00761800">
        <w:rPr>
          <w:rFonts w:ascii="Times New Roman" w:hAnsi="Times New Roman"/>
          <w:iCs/>
          <w:sz w:val="36"/>
          <w:szCs w:val="36"/>
          <w:lang w:eastAsia="en-GB"/>
        </w:rPr>
        <w:t>Република България за 2026 г.</w:t>
      </w:r>
    </w:p>
    <w:p w14:paraId="655E9696" w14:textId="77777777" w:rsidR="00761800" w:rsidRPr="00761800" w:rsidRDefault="00761800" w:rsidP="00761800">
      <w:pPr>
        <w:spacing w:after="200"/>
        <w:ind w:firstLine="709"/>
        <w:jc w:val="both"/>
        <w:rPr>
          <w:rFonts w:ascii="Times New Roman" w:hAnsi="Times New Roman"/>
          <w:szCs w:val="22"/>
          <w:lang w:eastAsia="ja-JP"/>
        </w:rPr>
      </w:pPr>
    </w:p>
    <w:p w14:paraId="78C3DDF1" w14:textId="77777777" w:rsidR="00761800" w:rsidRPr="00761800" w:rsidRDefault="00761800" w:rsidP="00761800">
      <w:pPr>
        <w:spacing w:after="200"/>
        <w:ind w:firstLine="709"/>
        <w:jc w:val="both"/>
        <w:rPr>
          <w:rFonts w:ascii="Times New Roman" w:hAnsi="Times New Roman"/>
          <w:szCs w:val="22"/>
          <w:lang w:eastAsia="ja-JP"/>
        </w:rPr>
      </w:pPr>
    </w:p>
    <w:p w14:paraId="0D266482" w14:textId="77777777" w:rsidR="00761800" w:rsidRPr="00761800" w:rsidRDefault="00761800" w:rsidP="00761800">
      <w:pPr>
        <w:spacing w:after="200"/>
        <w:ind w:firstLine="709"/>
        <w:jc w:val="both"/>
        <w:rPr>
          <w:rFonts w:ascii="Times New Roman" w:hAnsi="Times New Roman"/>
          <w:szCs w:val="22"/>
          <w:lang w:eastAsia="ja-JP"/>
        </w:rPr>
      </w:pPr>
    </w:p>
    <w:p w14:paraId="14EA8FBE" w14:textId="77777777" w:rsidR="00761800" w:rsidRPr="00761800" w:rsidRDefault="00761800" w:rsidP="00761800">
      <w:pPr>
        <w:spacing w:after="200"/>
        <w:ind w:firstLine="709"/>
        <w:jc w:val="both"/>
        <w:rPr>
          <w:rFonts w:ascii="Times New Roman" w:hAnsi="Times New Roman"/>
          <w:szCs w:val="22"/>
          <w:lang w:eastAsia="ja-JP"/>
        </w:rPr>
      </w:pPr>
    </w:p>
    <w:p w14:paraId="05992E90" w14:textId="77777777" w:rsidR="00761800" w:rsidRPr="00761800" w:rsidRDefault="00761800" w:rsidP="00761800">
      <w:pPr>
        <w:spacing w:after="200"/>
        <w:ind w:firstLine="709"/>
        <w:jc w:val="both"/>
        <w:rPr>
          <w:rFonts w:ascii="Times New Roman" w:hAnsi="Times New Roman"/>
          <w:szCs w:val="22"/>
          <w:lang w:eastAsia="ja-JP"/>
        </w:rPr>
        <w:sectPr w:rsidR="00761800" w:rsidRPr="00761800" w:rsidSect="00761800">
          <w:headerReference w:type="even" r:id="rId13"/>
          <w:pgSz w:w="11906" w:h="16838" w:code="9"/>
          <w:pgMar w:top="1418" w:right="1418" w:bottom="851" w:left="1418" w:header="708" w:footer="708" w:gutter="0"/>
          <w:cols w:space="708"/>
          <w:docGrid w:linePitch="360"/>
        </w:sectPr>
      </w:pPr>
    </w:p>
    <w:p w14:paraId="609C092D" w14:textId="77777777" w:rsidR="00761800" w:rsidRPr="00761800" w:rsidRDefault="00761800" w:rsidP="00761800">
      <w:pPr>
        <w:spacing w:after="240"/>
        <w:jc w:val="both"/>
        <w:rPr>
          <w:rFonts w:ascii="Times New Roman" w:hAnsi="Times New Roman"/>
          <w:spacing w:val="12"/>
          <w:sz w:val="32"/>
          <w:szCs w:val="22"/>
          <w:lang w:eastAsia="bg-BG"/>
        </w:rPr>
      </w:pPr>
      <w:bookmarkStart w:id="11" w:name="_Toc464737527"/>
      <w:bookmarkStart w:id="12" w:name="_Toc464746957"/>
      <w:bookmarkStart w:id="13" w:name="_Toc465070434"/>
      <w:bookmarkStart w:id="14" w:name="_Toc465176562"/>
      <w:bookmarkStart w:id="15" w:name="_Toc465177066"/>
      <w:bookmarkStart w:id="16" w:name="_Toc465177879"/>
      <w:bookmarkStart w:id="17" w:name="_Toc465177987"/>
      <w:bookmarkStart w:id="18" w:name="_Toc465178095"/>
      <w:bookmarkEnd w:id="4"/>
      <w:bookmarkEnd w:id="5"/>
      <w:bookmarkEnd w:id="6"/>
      <w:bookmarkEnd w:id="7"/>
      <w:r w:rsidRPr="00761800">
        <w:rPr>
          <w:rFonts w:ascii="Times New Roman" w:hAnsi="Times New Roman"/>
          <w:spacing w:val="12"/>
          <w:sz w:val="32"/>
          <w:szCs w:val="22"/>
          <w:lang w:eastAsia="bg-BG"/>
        </w:rPr>
        <w:lastRenderedPageBreak/>
        <w:t>Съдържание</w:t>
      </w:r>
      <w:bookmarkEnd w:id="11"/>
      <w:bookmarkEnd w:id="12"/>
      <w:bookmarkEnd w:id="13"/>
      <w:bookmarkEnd w:id="14"/>
      <w:bookmarkEnd w:id="15"/>
      <w:bookmarkEnd w:id="16"/>
      <w:bookmarkEnd w:id="17"/>
      <w:bookmarkEnd w:id="18"/>
    </w:p>
    <w:p w14:paraId="5D18EC65" w14:textId="77777777" w:rsidR="00761800" w:rsidRPr="00761800" w:rsidRDefault="00761800" w:rsidP="00761800">
      <w:pPr>
        <w:spacing w:after="240"/>
        <w:jc w:val="both"/>
        <w:rPr>
          <w:rFonts w:ascii="Times New Roman" w:hAnsi="Times New Roman"/>
          <w:spacing w:val="12"/>
          <w:sz w:val="32"/>
          <w:szCs w:val="22"/>
          <w:lang w:eastAsia="bg-BG"/>
        </w:rPr>
      </w:pPr>
    </w:p>
    <w:p w14:paraId="2031D1DC" w14:textId="25EE28E2" w:rsidR="00761800" w:rsidRPr="00761800" w:rsidRDefault="00761800" w:rsidP="00761800">
      <w:pPr>
        <w:tabs>
          <w:tab w:val="right" w:leader="dot" w:pos="9060"/>
        </w:tabs>
        <w:spacing w:before="240" w:after="200"/>
        <w:outlineLvl w:val="0"/>
        <w:rPr>
          <w:rFonts w:ascii="Times New Roman" w:hAnsi="Times New Roman"/>
          <w:noProof/>
          <w:sz w:val="22"/>
          <w:szCs w:val="22"/>
          <w:lang w:eastAsia="bg-BG"/>
          <w14:scene3d>
            <w14:camera w14:prst="orthographicFront"/>
            <w14:lightRig w14:rig="threePt" w14:dir="t">
              <w14:rot w14:lat="0" w14:lon="0" w14:rev="0"/>
            </w14:lightRig>
          </w14:scene3d>
        </w:rPr>
      </w:pPr>
      <w:r w:rsidRPr="00761800">
        <w:rPr>
          <w:rFonts w:ascii="Times New Roman" w:hAnsi="Times New Roman"/>
          <w:b/>
          <w:noProof/>
          <w:color w:val="852010"/>
          <w:w w:val="90"/>
          <w:sz w:val="22"/>
          <w:szCs w:val="22"/>
          <w:lang w:eastAsia="zh-CN"/>
          <w14:scene3d>
            <w14:camera w14:prst="orthographicFront"/>
            <w14:lightRig w14:rig="threePt" w14:dir="t">
              <w14:rot w14:lat="0" w14:lon="0" w14:rev="0"/>
            </w14:lightRig>
          </w14:scene3d>
        </w:rPr>
        <w:fldChar w:fldCharType="begin"/>
      </w:r>
      <w:r w:rsidRPr="00761800">
        <w:rPr>
          <w:rFonts w:ascii="Times New Roman" w:hAnsi="Times New Roman"/>
          <w:b/>
          <w:noProof/>
          <w:color w:val="852010"/>
          <w:w w:val="90"/>
          <w:sz w:val="22"/>
          <w:szCs w:val="22"/>
          <w:lang w:eastAsia="zh-CN"/>
          <w14:scene3d>
            <w14:camera w14:prst="orthographicFront"/>
            <w14:lightRig w14:rig="threePt" w14:dir="t">
              <w14:rot w14:lat="0" w14:lon="0" w14:rev="0"/>
            </w14:lightRig>
          </w14:scene3d>
        </w:rPr>
        <w:instrText xml:space="preserve"> TOC \o "1-2" \h \z \u </w:instrText>
      </w:r>
      <w:r w:rsidRPr="00761800">
        <w:rPr>
          <w:rFonts w:ascii="Times New Roman" w:hAnsi="Times New Roman"/>
          <w:b/>
          <w:noProof/>
          <w:color w:val="852010"/>
          <w:w w:val="90"/>
          <w:sz w:val="22"/>
          <w:szCs w:val="22"/>
          <w:lang w:eastAsia="zh-CN"/>
          <w14:scene3d>
            <w14:camera w14:prst="orthographicFront"/>
            <w14:lightRig w14:rig="threePt" w14:dir="t">
              <w14:rot w14:lat="0" w14:lon="0" w14:rev="0"/>
            </w14:lightRig>
          </w14:scene3d>
        </w:rPr>
        <w:fldChar w:fldCharType="separate"/>
      </w:r>
      <w:hyperlink w:anchor="_Toc233717468" w:history="1">
        <w:r w:rsidRPr="00761800">
          <w:rPr>
            <w:rFonts w:ascii="Times New Roman" w:hAnsi="Times New Roman"/>
            <w:b/>
            <w:noProof/>
            <w:color w:val="0000FF"/>
            <w:sz w:val="22"/>
            <w:szCs w:val="22"/>
            <w:u w:val="single"/>
            <w:lang w:eastAsia="bg-BG"/>
            <w14:scene3d>
              <w14:camera w14:prst="orthographicFront"/>
              <w14:lightRig w14:rig="threePt" w14:dir="t">
                <w14:rot w14:lat="0" w14:lon="0" w14:rev="0"/>
              </w14:lightRig>
            </w14:scene3d>
          </w:rPr>
          <w:t>Въведение</w:t>
        </w:r>
        <w:r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ab/>
        </w:r>
        <w:r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begin"/>
        </w:r>
        <w:r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instrText xml:space="preserve"> PAGEREF _Toc233717468 \h </w:instrText>
        </w:r>
        <w:r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r>
        <w:r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separate"/>
        </w:r>
        <w:r w:rsidR="00406B4D">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209</w:t>
        </w:r>
        <w:r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end"/>
        </w:r>
      </w:hyperlink>
    </w:p>
    <w:p w14:paraId="324C9F5E" w14:textId="46532948" w:rsidR="00761800" w:rsidRPr="00761800" w:rsidRDefault="00406B4D" w:rsidP="00761800">
      <w:pPr>
        <w:tabs>
          <w:tab w:val="right" w:leader="dot" w:pos="9060"/>
        </w:tabs>
        <w:spacing w:before="240" w:after="200"/>
        <w:outlineLvl w:val="0"/>
        <w:rPr>
          <w:rFonts w:ascii="Times New Roman" w:hAnsi="Times New Roman"/>
          <w:noProof/>
          <w:sz w:val="22"/>
          <w:szCs w:val="22"/>
          <w:lang w:eastAsia="bg-BG"/>
          <w14:scene3d>
            <w14:camera w14:prst="orthographicFront"/>
            <w14:lightRig w14:rig="threePt" w14:dir="t">
              <w14:rot w14:lat="0" w14:lon="0" w14:rev="0"/>
            </w14:lightRig>
          </w14:scene3d>
        </w:rPr>
      </w:pPr>
      <w:hyperlink w:anchor="_Toc233717469" w:history="1">
        <w:r w:rsidR="00761800" w:rsidRPr="00761800">
          <w:rPr>
            <w:rFonts w:ascii="Times New Roman" w:hAnsi="Times New Roman"/>
            <w:b/>
            <w:noProof/>
            <w:color w:val="0000FF"/>
            <w:sz w:val="22"/>
            <w:szCs w:val="22"/>
            <w:u w:val="single"/>
            <w:lang w:eastAsia="bg-BG"/>
            <w14:scene3d>
              <w14:camera w14:prst="orthographicFront"/>
              <w14:lightRig w14:rig="threePt" w14:dir="t">
                <w14:rot w14:lat="0" w14:lon="0" w14:rev="0"/>
              </w14:lightRig>
            </w14:scene3d>
          </w:rPr>
          <w:t>Част I.  Икономически перспективи за  периода 2026-2028 г.</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ab/>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begin"/>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instrText xml:space="preserve"> PAGEREF _Toc233717469 \h </w:instrTex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separate"/>
        </w:r>
        <w:r>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221</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end"/>
        </w:r>
      </w:hyperlink>
    </w:p>
    <w:p w14:paraId="408AA6B3" w14:textId="279A06A3"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70" w:history="1">
        <w:r w:rsidR="00761800" w:rsidRPr="00761800">
          <w:rPr>
            <w:rFonts w:ascii="Times New Roman" w:hAnsi="Times New Roman"/>
            <w:bCs/>
            <w:caps/>
            <w:noProof/>
            <w:color w:val="0000FF"/>
            <w:sz w:val="18"/>
            <w:szCs w:val="22"/>
            <w:u w:val="single"/>
            <w:lang w:val="en-US" w:eastAsia="bg-BG"/>
          </w:rPr>
          <w:t>1.</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Преглед на развитието на световната и европейската икономика през 2025 г. и началото на 2026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_Toc233717470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221</w:t>
        </w:r>
        <w:r w:rsidR="00761800" w:rsidRPr="00761800">
          <w:rPr>
            <w:rFonts w:ascii="Times New Roman" w:hAnsi="Times New Roman"/>
            <w:bCs/>
            <w:caps/>
            <w:noProof/>
            <w:webHidden/>
            <w:sz w:val="18"/>
            <w:szCs w:val="22"/>
            <w:lang w:val="en-US" w:eastAsia="bg-BG"/>
          </w:rPr>
          <w:fldChar w:fldCharType="end"/>
        </w:r>
      </w:hyperlink>
    </w:p>
    <w:p w14:paraId="2229FACB" w14:textId="4760F8B1"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71" w:history="1">
        <w:r w:rsidR="00761800" w:rsidRPr="00761800">
          <w:rPr>
            <w:rFonts w:ascii="Times New Roman" w:hAnsi="Times New Roman"/>
            <w:bCs/>
            <w:caps/>
            <w:noProof/>
            <w:color w:val="0000FF"/>
            <w:sz w:val="18"/>
            <w:szCs w:val="22"/>
            <w:u w:val="single"/>
            <w:lang w:val="en-US" w:eastAsia="bg-BG"/>
          </w:rPr>
          <w:t>2.</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Преглед на развитието на националната икономика</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_Toc233717471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222</w:t>
        </w:r>
        <w:r w:rsidR="00761800" w:rsidRPr="00761800">
          <w:rPr>
            <w:rFonts w:ascii="Times New Roman" w:hAnsi="Times New Roman"/>
            <w:bCs/>
            <w:caps/>
            <w:noProof/>
            <w:webHidden/>
            <w:sz w:val="18"/>
            <w:szCs w:val="22"/>
            <w:lang w:val="en-US" w:eastAsia="bg-BG"/>
          </w:rPr>
          <w:fldChar w:fldCharType="end"/>
        </w:r>
      </w:hyperlink>
    </w:p>
    <w:p w14:paraId="3F870873" w14:textId="794E2098"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72" w:history="1">
        <w:r w:rsidR="00761800" w:rsidRPr="00761800">
          <w:rPr>
            <w:rFonts w:ascii="Times New Roman" w:hAnsi="Times New Roman"/>
            <w:bCs/>
            <w:caps/>
            <w:noProof/>
            <w:color w:val="0000FF"/>
            <w:sz w:val="18"/>
            <w:szCs w:val="22"/>
            <w:u w:val="single"/>
            <w:lang w:val="en-US" w:eastAsia="bg-BG"/>
          </w:rPr>
          <w:t>3.</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Основни допускания, на които се основава прогнозата и макроикономическата рамка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_Toc233717472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225</w:t>
        </w:r>
        <w:r w:rsidR="00761800" w:rsidRPr="00761800">
          <w:rPr>
            <w:rFonts w:ascii="Times New Roman" w:hAnsi="Times New Roman"/>
            <w:bCs/>
            <w:caps/>
            <w:noProof/>
            <w:webHidden/>
            <w:sz w:val="18"/>
            <w:szCs w:val="22"/>
            <w:lang w:val="en-US" w:eastAsia="bg-BG"/>
          </w:rPr>
          <w:fldChar w:fldCharType="end"/>
        </w:r>
      </w:hyperlink>
    </w:p>
    <w:p w14:paraId="3A5C014A" w14:textId="11897866"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73" w:history="1">
        <w:r w:rsidR="00761800" w:rsidRPr="00761800">
          <w:rPr>
            <w:rFonts w:ascii="Times New Roman" w:hAnsi="Times New Roman"/>
            <w:bCs/>
            <w:caps/>
            <w:noProof/>
            <w:color w:val="0000FF"/>
            <w:sz w:val="18"/>
            <w:szCs w:val="22"/>
            <w:u w:val="single"/>
            <w:lang w:val="en-US" w:eastAsia="bg-BG"/>
          </w:rPr>
          <w:t>4.</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Макроикономическа прогноза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_Toc233717473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226</w:t>
        </w:r>
        <w:r w:rsidR="00761800" w:rsidRPr="00761800">
          <w:rPr>
            <w:rFonts w:ascii="Times New Roman" w:hAnsi="Times New Roman"/>
            <w:bCs/>
            <w:caps/>
            <w:noProof/>
            <w:webHidden/>
            <w:sz w:val="18"/>
            <w:szCs w:val="22"/>
            <w:lang w:val="en-US" w:eastAsia="bg-BG"/>
          </w:rPr>
          <w:fldChar w:fldCharType="end"/>
        </w:r>
      </w:hyperlink>
    </w:p>
    <w:p w14:paraId="76AA41BB" w14:textId="6900F722" w:rsidR="00761800" w:rsidRPr="00761800" w:rsidRDefault="00406B4D" w:rsidP="00761800">
      <w:pPr>
        <w:tabs>
          <w:tab w:val="right" w:leader="dot" w:pos="9060"/>
        </w:tabs>
        <w:spacing w:before="240" w:after="200"/>
        <w:outlineLvl w:val="0"/>
        <w:rPr>
          <w:rFonts w:ascii="Times New Roman" w:hAnsi="Times New Roman"/>
          <w:noProof/>
          <w:sz w:val="22"/>
          <w:szCs w:val="22"/>
          <w:lang w:eastAsia="bg-BG"/>
          <w14:scene3d>
            <w14:camera w14:prst="orthographicFront"/>
            <w14:lightRig w14:rig="threePt" w14:dir="t">
              <w14:rot w14:lat="0" w14:lon="0" w14:rev="0"/>
            </w14:lightRig>
          </w14:scene3d>
        </w:rPr>
      </w:pPr>
      <w:hyperlink w:anchor="_Toc233717474" w:history="1">
        <w:r w:rsidR="00761800" w:rsidRPr="00761800">
          <w:rPr>
            <w:rFonts w:ascii="Times New Roman" w:hAnsi="Times New Roman"/>
            <w:b/>
            <w:noProof/>
            <w:color w:val="0000FF"/>
            <w:sz w:val="22"/>
            <w:szCs w:val="22"/>
            <w:u w:val="single"/>
            <w:lang w:eastAsia="bg-BG"/>
            <w14:scene3d>
              <w14:camera w14:prst="orthographicFront"/>
              <w14:lightRig w14:rig="threePt" w14:dir="t">
                <w14:rot w14:lat="0" w14:lon="0" w14:rev="0"/>
              </w14:lightRig>
            </w14:scene3d>
          </w:rPr>
          <w:t>Част II.  Фискална политика и основни параметри за периода 2026-2028 г.</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ab/>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begin"/>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instrText xml:space="preserve"> PAGEREF _Toc233717474 \h </w:instrTex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separate"/>
        </w:r>
        <w:r>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233</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end"/>
        </w:r>
      </w:hyperlink>
    </w:p>
    <w:p w14:paraId="7CA89891" w14:textId="0E3FC458"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75" w:history="1">
        <w:r w:rsidR="00761800" w:rsidRPr="00761800">
          <w:rPr>
            <w:rFonts w:ascii="Times New Roman" w:hAnsi="Times New Roman"/>
            <w:bCs/>
            <w:caps/>
            <w:noProof/>
            <w:color w:val="0000FF"/>
            <w:sz w:val="18"/>
            <w:szCs w:val="22"/>
            <w:u w:val="single"/>
            <w:lang w:val="en-US" w:eastAsia="bg-BG"/>
          </w:rPr>
          <w:t>1.</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Средносрочни цели на фискалната политика</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_Toc233717475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233</w:t>
        </w:r>
        <w:r w:rsidR="00761800" w:rsidRPr="00761800">
          <w:rPr>
            <w:rFonts w:ascii="Times New Roman" w:hAnsi="Times New Roman"/>
            <w:bCs/>
            <w:caps/>
            <w:noProof/>
            <w:webHidden/>
            <w:sz w:val="18"/>
            <w:szCs w:val="22"/>
            <w:lang w:val="en-US" w:eastAsia="bg-BG"/>
          </w:rPr>
          <w:fldChar w:fldCharType="end"/>
        </w:r>
      </w:hyperlink>
    </w:p>
    <w:p w14:paraId="6AF1F9C5" w14:textId="4ABFE4CD"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76" w:history="1">
        <w:r w:rsidR="00761800" w:rsidRPr="00761800">
          <w:rPr>
            <w:rFonts w:ascii="Times New Roman" w:hAnsi="Times New Roman"/>
            <w:bCs/>
            <w:caps/>
            <w:noProof/>
            <w:color w:val="0000FF"/>
            <w:sz w:val="18"/>
            <w:szCs w:val="22"/>
            <w:u w:val="single"/>
            <w:lang w:val="en-US" w:eastAsia="bg-BG"/>
          </w:rPr>
          <w:t>2.</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Основни фискални параметри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_Toc233717476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234</w:t>
        </w:r>
        <w:r w:rsidR="00761800" w:rsidRPr="00761800">
          <w:rPr>
            <w:rFonts w:ascii="Times New Roman" w:hAnsi="Times New Roman"/>
            <w:bCs/>
            <w:caps/>
            <w:noProof/>
            <w:webHidden/>
            <w:sz w:val="18"/>
            <w:szCs w:val="22"/>
            <w:lang w:val="en-US" w:eastAsia="bg-BG"/>
          </w:rPr>
          <w:fldChar w:fldCharType="end"/>
        </w:r>
      </w:hyperlink>
    </w:p>
    <w:p w14:paraId="6007E796" w14:textId="6AFE2C91"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77" w:history="1">
        <w:r w:rsidR="00761800" w:rsidRPr="00761800">
          <w:rPr>
            <w:rFonts w:ascii="Times New Roman" w:hAnsi="Times New Roman"/>
            <w:bCs/>
            <w:caps/>
            <w:noProof/>
            <w:color w:val="0000FF"/>
            <w:sz w:val="18"/>
            <w:szCs w:val="22"/>
            <w:u w:val="single"/>
            <w:lang w:val="en-US" w:eastAsia="bg-BG"/>
          </w:rPr>
          <w:t>3.</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Прогноза за сектор „Държавно управление“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_Toc233717477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237</w:t>
        </w:r>
        <w:r w:rsidR="00761800" w:rsidRPr="00761800">
          <w:rPr>
            <w:rFonts w:ascii="Times New Roman" w:hAnsi="Times New Roman"/>
            <w:bCs/>
            <w:caps/>
            <w:noProof/>
            <w:webHidden/>
            <w:sz w:val="18"/>
            <w:szCs w:val="22"/>
            <w:lang w:val="en-US" w:eastAsia="bg-BG"/>
          </w:rPr>
          <w:fldChar w:fldCharType="end"/>
        </w:r>
      </w:hyperlink>
    </w:p>
    <w:p w14:paraId="2A4C4A6C" w14:textId="17EDE4A9" w:rsidR="00761800" w:rsidRPr="00761800" w:rsidRDefault="00406B4D" w:rsidP="00761800">
      <w:pPr>
        <w:tabs>
          <w:tab w:val="right" w:leader="dot" w:pos="9060"/>
        </w:tabs>
        <w:spacing w:before="240" w:after="200"/>
        <w:outlineLvl w:val="0"/>
        <w:rPr>
          <w:rFonts w:ascii="Times New Roman" w:hAnsi="Times New Roman"/>
          <w:noProof/>
          <w:sz w:val="22"/>
          <w:szCs w:val="22"/>
          <w:lang w:eastAsia="bg-BG"/>
          <w14:scene3d>
            <w14:camera w14:prst="orthographicFront"/>
            <w14:lightRig w14:rig="threePt" w14:dir="t">
              <w14:rot w14:lat="0" w14:lon="0" w14:rev="0"/>
            </w14:lightRig>
          </w14:scene3d>
        </w:rPr>
      </w:pPr>
      <w:hyperlink w:anchor="_Toc233717478" w:history="1">
        <w:r w:rsidR="00761800" w:rsidRPr="00761800">
          <w:rPr>
            <w:rFonts w:ascii="Times New Roman" w:hAnsi="Times New Roman"/>
            <w:b/>
            <w:noProof/>
            <w:color w:val="0000FF"/>
            <w:sz w:val="22"/>
            <w:szCs w:val="22"/>
            <w:u w:val="single"/>
            <w:lang w:eastAsia="bg-BG"/>
            <w14:scene3d>
              <w14:camera w14:prst="orthographicFront"/>
              <w14:lightRig w14:rig="threePt" w14:dir="t">
                <w14:rot w14:lat="0" w14:lon="0" w14:rev="0"/>
              </w14:lightRig>
            </w14:scene3d>
          </w:rPr>
          <w:t>Част III.  Приоритети на политиките и основни допускания за периода 2026-2028 г.</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ab/>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begin"/>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instrText xml:space="preserve"> PAGEREF _Toc233717478 \h </w:instrTex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separate"/>
        </w:r>
        <w:r>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257</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end"/>
        </w:r>
      </w:hyperlink>
    </w:p>
    <w:p w14:paraId="4BCFDE69" w14:textId="26FDEC28"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79" w:history="1">
        <w:r w:rsidR="00761800" w:rsidRPr="00761800">
          <w:rPr>
            <w:rFonts w:ascii="Times New Roman" w:hAnsi="Times New Roman"/>
            <w:bCs/>
            <w:caps/>
            <w:noProof/>
            <w:color w:val="0000FF"/>
            <w:sz w:val="18"/>
            <w:szCs w:val="22"/>
            <w:u w:val="single"/>
            <w:lang w:val="en-US" w:eastAsia="bg-BG"/>
          </w:rPr>
          <w:t>1.</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Политики в приходите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_Toc233717479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257</w:t>
        </w:r>
        <w:r w:rsidR="00761800" w:rsidRPr="00761800">
          <w:rPr>
            <w:rFonts w:ascii="Times New Roman" w:hAnsi="Times New Roman"/>
            <w:bCs/>
            <w:caps/>
            <w:noProof/>
            <w:webHidden/>
            <w:sz w:val="18"/>
            <w:szCs w:val="22"/>
            <w:lang w:val="en-US" w:eastAsia="bg-BG"/>
          </w:rPr>
          <w:fldChar w:fldCharType="end"/>
        </w:r>
      </w:hyperlink>
    </w:p>
    <w:p w14:paraId="00943F6F" w14:textId="61A16018"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80" w:history="1">
        <w:r w:rsidR="00761800" w:rsidRPr="00761800">
          <w:rPr>
            <w:rFonts w:ascii="Times New Roman" w:hAnsi="Times New Roman"/>
            <w:bCs/>
            <w:caps/>
            <w:noProof/>
            <w:color w:val="0000FF"/>
            <w:sz w:val="18"/>
            <w:szCs w:val="22"/>
            <w:u w:val="single"/>
            <w:lang w:val="en-US" w:eastAsia="bg-BG"/>
          </w:rPr>
          <w:t>2.</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Разходни политики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_Toc233717480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275</w:t>
        </w:r>
        <w:r w:rsidR="00761800" w:rsidRPr="00761800">
          <w:rPr>
            <w:rFonts w:ascii="Times New Roman" w:hAnsi="Times New Roman"/>
            <w:bCs/>
            <w:caps/>
            <w:noProof/>
            <w:webHidden/>
            <w:sz w:val="18"/>
            <w:szCs w:val="22"/>
            <w:lang w:val="en-US" w:eastAsia="bg-BG"/>
          </w:rPr>
          <w:fldChar w:fldCharType="end"/>
        </w:r>
      </w:hyperlink>
    </w:p>
    <w:p w14:paraId="52523E45" w14:textId="4D540158"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81" w:history="1">
        <w:r w:rsidR="00761800" w:rsidRPr="00761800">
          <w:rPr>
            <w:rFonts w:ascii="Times New Roman" w:hAnsi="Times New Roman"/>
            <w:bCs/>
            <w:caps/>
            <w:noProof/>
            <w:color w:val="0000FF"/>
            <w:sz w:val="18"/>
            <w:szCs w:val="22"/>
            <w:u w:val="single"/>
            <w:lang w:val="en-US" w:eastAsia="bg-BG"/>
          </w:rPr>
          <w:t>3.</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Инвестиционна политика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_Toc233717481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329</w:t>
        </w:r>
        <w:r w:rsidR="00761800" w:rsidRPr="00761800">
          <w:rPr>
            <w:rFonts w:ascii="Times New Roman" w:hAnsi="Times New Roman"/>
            <w:bCs/>
            <w:caps/>
            <w:noProof/>
            <w:webHidden/>
            <w:sz w:val="18"/>
            <w:szCs w:val="22"/>
            <w:lang w:val="en-US" w:eastAsia="bg-BG"/>
          </w:rPr>
          <w:fldChar w:fldCharType="end"/>
        </w:r>
      </w:hyperlink>
    </w:p>
    <w:p w14:paraId="382BB8B5" w14:textId="4C4F9D5F" w:rsidR="00761800" w:rsidRPr="00761800" w:rsidRDefault="00406B4D" w:rsidP="00761800">
      <w:pPr>
        <w:tabs>
          <w:tab w:val="right" w:leader="dot" w:pos="9060"/>
        </w:tabs>
        <w:spacing w:before="240" w:after="200"/>
        <w:outlineLvl w:val="0"/>
        <w:rPr>
          <w:rFonts w:ascii="Times New Roman" w:hAnsi="Times New Roman"/>
          <w:noProof/>
          <w:sz w:val="22"/>
          <w:szCs w:val="22"/>
          <w:lang w:eastAsia="bg-BG"/>
          <w14:scene3d>
            <w14:camera w14:prst="orthographicFront"/>
            <w14:lightRig w14:rig="threePt" w14:dir="t">
              <w14:rot w14:lat="0" w14:lon="0" w14:rev="0"/>
            </w14:lightRig>
          </w14:scene3d>
        </w:rPr>
      </w:pPr>
      <w:hyperlink w:anchor="_Toc233717482" w:history="1">
        <w:r w:rsidR="00761800" w:rsidRPr="00761800">
          <w:rPr>
            <w:rFonts w:ascii="Times New Roman" w:hAnsi="Times New Roman"/>
            <w:b/>
            <w:noProof/>
            <w:color w:val="0000FF"/>
            <w:sz w:val="22"/>
            <w:szCs w:val="22"/>
            <w:u w:val="single"/>
            <w:lang w:eastAsia="bg-BG"/>
            <w14:scene3d>
              <w14:camera w14:prst="orthographicFront"/>
              <w14:lightRig w14:rig="threePt" w14:dir="t">
                <w14:rot w14:lat="0" w14:lon="0" w14:rev="0"/>
              </w14:lightRig>
            </w14:scene3d>
          </w:rPr>
          <w:t>Част IV. Фискална децентрализация и бюджетни взаимоотношения с общините за периода 2026-2028 г.</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ab/>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begin"/>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instrText xml:space="preserve"> PAGEREF _Toc233717482 \h </w:instrTex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separate"/>
        </w:r>
        <w:r>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333</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end"/>
        </w:r>
      </w:hyperlink>
    </w:p>
    <w:p w14:paraId="0059BC51" w14:textId="4C3C2167" w:rsidR="00761800" w:rsidRPr="00761800" w:rsidRDefault="00406B4D" w:rsidP="00761800">
      <w:pPr>
        <w:tabs>
          <w:tab w:val="right" w:leader="dot" w:pos="9060"/>
        </w:tabs>
        <w:spacing w:before="240" w:after="200"/>
        <w:outlineLvl w:val="0"/>
        <w:rPr>
          <w:rFonts w:ascii="Times New Roman" w:hAnsi="Times New Roman"/>
          <w:noProof/>
          <w:sz w:val="22"/>
          <w:szCs w:val="22"/>
          <w:lang w:eastAsia="bg-BG"/>
          <w14:scene3d>
            <w14:camera w14:prst="orthographicFront"/>
            <w14:lightRig w14:rig="threePt" w14:dir="t">
              <w14:rot w14:lat="0" w14:lon="0" w14:rev="0"/>
            </w14:lightRig>
          </w14:scene3d>
        </w:rPr>
      </w:pPr>
      <w:hyperlink w:anchor="_Toc233717483" w:history="1">
        <w:r w:rsidR="00761800" w:rsidRPr="00761800">
          <w:rPr>
            <w:rFonts w:ascii="Times New Roman" w:hAnsi="Times New Roman"/>
            <w:b/>
            <w:noProof/>
            <w:color w:val="0000FF"/>
            <w:sz w:val="22"/>
            <w:szCs w:val="22"/>
            <w:u w:val="single"/>
            <w:lang w:eastAsia="bg-BG"/>
            <w14:scene3d>
              <w14:camera w14:prst="orthographicFront"/>
              <w14:lightRig w14:rig="threePt" w14:dir="t">
                <w14:rot w14:lat="0" w14:lon="0" w14:rev="0"/>
              </w14:lightRig>
            </w14:scene3d>
          </w:rPr>
          <w:t>Част V.  Управление на средствата от европейските фондове и програми за периода 2026-2028 г.</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ab/>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begin"/>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instrText xml:space="preserve"> PAGEREF _Toc233717483 \h </w:instrTex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separate"/>
        </w:r>
        <w:r>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337</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end"/>
        </w:r>
      </w:hyperlink>
    </w:p>
    <w:p w14:paraId="0D9A2A9F" w14:textId="078C4F38"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84" w:history="1">
        <w:r w:rsidR="00761800" w:rsidRPr="00761800">
          <w:rPr>
            <w:rFonts w:ascii="Times New Roman" w:hAnsi="Times New Roman"/>
            <w:bCs/>
            <w:caps/>
            <w:noProof/>
            <w:color w:val="0000FF"/>
            <w:sz w:val="18"/>
            <w:szCs w:val="22"/>
            <w:u w:val="single"/>
            <w:lang w:val="en-US" w:eastAsia="bg-BG"/>
          </w:rPr>
          <w:t>1.</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Национален фонд</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_Toc233717484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337</w:t>
        </w:r>
        <w:r w:rsidR="00761800" w:rsidRPr="00761800">
          <w:rPr>
            <w:rFonts w:ascii="Times New Roman" w:hAnsi="Times New Roman"/>
            <w:bCs/>
            <w:caps/>
            <w:noProof/>
            <w:webHidden/>
            <w:sz w:val="18"/>
            <w:szCs w:val="22"/>
            <w:lang w:val="en-US" w:eastAsia="bg-BG"/>
          </w:rPr>
          <w:fldChar w:fldCharType="end"/>
        </w:r>
      </w:hyperlink>
    </w:p>
    <w:p w14:paraId="6E61DC45" w14:textId="07D3AAEE"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85" w:history="1">
        <w:r w:rsidR="00761800" w:rsidRPr="00761800">
          <w:rPr>
            <w:rFonts w:ascii="Times New Roman" w:hAnsi="Times New Roman"/>
            <w:bCs/>
            <w:caps/>
            <w:noProof/>
            <w:color w:val="0000FF"/>
            <w:sz w:val="18"/>
            <w:szCs w:val="22"/>
            <w:u w:val="single"/>
            <w:lang w:val="en-US" w:eastAsia="bg-BG"/>
          </w:rPr>
          <w:t>2.</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Държавен Фонд „Земеделие“</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_Toc233717485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338</w:t>
        </w:r>
        <w:r w:rsidR="00761800" w:rsidRPr="00761800">
          <w:rPr>
            <w:rFonts w:ascii="Times New Roman" w:hAnsi="Times New Roman"/>
            <w:bCs/>
            <w:caps/>
            <w:noProof/>
            <w:webHidden/>
            <w:sz w:val="18"/>
            <w:szCs w:val="22"/>
            <w:lang w:val="en-US" w:eastAsia="bg-BG"/>
          </w:rPr>
          <w:fldChar w:fldCharType="end"/>
        </w:r>
      </w:hyperlink>
    </w:p>
    <w:p w14:paraId="3B4C285A" w14:textId="6A00C352"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86" w:history="1">
        <w:r w:rsidR="00761800" w:rsidRPr="00761800">
          <w:rPr>
            <w:rFonts w:ascii="Times New Roman" w:hAnsi="Times New Roman"/>
            <w:bCs/>
            <w:caps/>
            <w:noProof/>
            <w:color w:val="0000FF"/>
            <w:sz w:val="18"/>
            <w:szCs w:val="22"/>
            <w:u w:val="single"/>
            <w:lang w:val="en-US" w:eastAsia="bg-BG"/>
          </w:rPr>
          <w:t>3.</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Други сметки за средства от ЕС и средства по международни програми и договори, за които се прилага режим на сметките за средства от ЕС</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_Toc233717486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339</w:t>
        </w:r>
        <w:r w:rsidR="00761800" w:rsidRPr="00761800">
          <w:rPr>
            <w:rFonts w:ascii="Times New Roman" w:hAnsi="Times New Roman"/>
            <w:bCs/>
            <w:caps/>
            <w:noProof/>
            <w:webHidden/>
            <w:sz w:val="18"/>
            <w:szCs w:val="22"/>
            <w:lang w:val="en-US" w:eastAsia="bg-BG"/>
          </w:rPr>
          <w:fldChar w:fldCharType="end"/>
        </w:r>
      </w:hyperlink>
    </w:p>
    <w:p w14:paraId="73B4D64A" w14:textId="7B3308AB"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87" w:history="1">
        <w:r w:rsidR="00761800" w:rsidRPr="00761800">
          <w:rPr>
            <w:rFonts w:ascii="Times New Roman" w:hAnsi="Times New Roman"/>
            <w:bCs/>
            <w:caps/>
            <w:noProof/>
            <w:color w:val="0000FF"/>
            <w:sz w:val="18"/>
            <w:szCs w:val="22"/>
            <w:u w:val="single"/>
            <w:lang w:val="en-US" w:eastAsia="bg-BG"/>
          </w:rPr>
          <w:t>4.</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Прогноза за вноската на Република България в общия бюджет на ЕС</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_Toc233717487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341</w:t>
        </w:r>
        <w:r w:rsidR="00761800" w:rsidRPr="00761800">
          <w:rPr>
            <w:rFonts w:ascii="Times New Roman" w:hAnsi="Times New Roman"/>
            <w:bCs/>
            <w:caps/>
            <w:noProof/>
            <w:webHidden/>
            <w:sz w:val="18"/>
            <w:szCs w:val="22"/>
            <w:lang w:val="en-US" w:eastAsia="bg-BG"/>
          </w:rPr>
          <w:fldChar w:fldCharType="end"/>
        </w:r>
      </w:hyperlink>
    </w:p>
    <w:p w14:paraId="7B8DCDAA" w14:textId="11680618"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88" w:history="1">
        <w:r w:rsidR="00761800" w:rsidRPr="00761800">
          <w:rPr>
            <w:rFonts w:ascii="Times New Roman" w:hAnsi="Times New Roman"/>
            <w:bCs/>
            <w:caps/>
            <w:noProof/>
            <w:color w:val="0000FF"/>
            <w:sz w:val="18"/>
            <w:szCs w:val="22"/>
            <w:u w:val="single"/>
            <w:lang w:val="en-US" w:eastAsia="bg-BG"/>
          </w:rPr>
          <w:t>5.</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Прогноза за вноската на Република България съгласно Споразумението за финансов принос по инструмента макрофинансова помощ +</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_Toc233717488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342</w:t>
        </w:r>
        <w:r w:rsidR="00761800" w:rsidRPr="00761800">
          <w:rPr>
            <w:rFonts w:ascii="Times New Roman" w:hAnsi="Times New Roman"/>
            <w:bCs/>
            <w:caps/>
            <w:noProof/>
            <w:webHidden/>
            <w:sz w:val="18"/>
            <w:szCs w:val="22"/>
            <w:lang w:val="en-US" w:eastAsia="bg-BG"/>
          </w:rPr>
          <w:fldChar w:fldCharType="end"/>
        </w:r>
      </w:hyperlink>
    </w:p>
    <w:p w14:paraId="0A17EB79" w14:textId="4FC6BAC7" w:rsidR="00761800" w:rsidRPr="00761800" w:rsidRDefault="00406B4D" w:rsidP="00761800">
      <w:pPr>
        <w:tabs>
          <w:tab w:val="right" w:leader="dot" w:pos="9060"/>
        </w:tabs>
        <w:spacing w:before="240" w:after="200"/>
        <w:outlineLvl w:val="0"/>
        <w:rPr>
          <w:rFonts w:ascii="Times New Roman" w:hAnsi="Times New Roman"/>
          <w:noProof/>
          <w:sz w:val="22"/>
          <w:szCs w:val="22"/>
          <w:lang w:eastAsia="bg-BG"/>
          <w14:scene3d>
            <w14:camera w14:prst="orthographicFront"/>
            <w14:lightRig w14:rig="threePt" w14:dir="t">
              <w14:rot w14:lat="0" w14:lon="0" w14:rev="0"/>
            </w14:lightRig>
          </w14:scene3d>
        </w:rPr>
      </w:pPr>
      <w:hyperlink w:anchor="_Toc233717489" w:history="1">
        <w:r w:rsidR="00761800" w:rsidRPr="00761800">
          <w:rPr>
            <w:rFonts w:ascii="Times New Roman" w:hAnsi="Times New Roman"/>
            <w:b/>
            <w:noProof/>
            <w:color w:val="0000FF"/>
            <w:sz w:val="22"/>
            <w:szCs w:val="22"/>
            <w:u w:val="single"/>
            <w:lang w:eastAsia="bg-BG"/>
            <w14:scene3d>
              <w14:camera w14:prst="orthographicFront"/>
              <w14:lightRig w14:rig="threePt" w14:dir="t">
                <w14:rot w14:lat="0" w14:lon="0" w14:rev="0"/>
              </w14:lightRig>
            </w14:scene3d>
          </w:rPr>
          <w:t>Част VI.  Политика по дълга и финансирането  за периода 2026-2028 г.</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ab/>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begin"/>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instrText xml:space="preserve"> PAGEREF _Toc233717489 \h </w:instrTex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separate"/>
        </w:r>
        <w:r>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343</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end"/>
        </w:r>
      </w:hyperlink>
    </w:p>
    <w:p w14:paraId="52B1260C" w14:textId="72994BCF"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90" w:history="1">
        <w:r w:rsidR="00761800" w:rsidRPr="00761800">
          <w:rPr>
            <w:rFonts w:ascii="Times New Roman" w:hAnsi="Times New Roman"/>
            <w:bCs/>
            <w:caps/>
            <w:noProof/>
            <w:color w:val="0000FF"/>
            <w:sz w:val="18"/>
            <w:szCs w:val="22"/>
            <w:u w:val="single"/>
            <w:lang w:val="en-US" w:eastAsia="bg-BG"/>
          </w:rPr>
          <w:t>1.</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Държавен дълг. Обслужване и финансиране</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_Toc233717490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343</w:t>
        </w:r>
        <w:r w:rsidR="00761800" w:rsidRPr="00761800">
          <w:rPr>
            <w:rFonts w:ascii="Times New Roman" w:hAnsi="Times New Roman"/>
            <w:bCs/>
            <w:caps/>
            <w:noProof/>
            <w:webHidden/>
            <w:sz w:val="18"/>
            <w:szCs w:val="22"/>
            <w:lang w:val="en-US" w:eastAsia="bg-BG"/>
          </w:rPr>
          <w:fldChar w:fldCharType="end"/>
        </w:r>
      </w:hyperlink>
    </w:p>
    <w:p w14:paraId="710D70D3" w14:textId="1E0EBB1E"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91" w:history="1">
        <w:r w:rsidR="00761800" w:rsidRPr="00761800">
          <w:rPr>
            <w:rFonts w:ascii="Times New Roman" w:hAnsi="Times New Roman"/>
            <w:bCs/>
            <w:caps/>
            <w:noProof/>
            <w:color w:val="0000FF"/>
            <w:sz w:val="18"/>
            <w:szCs w:val="22"/>
            <w:u w:val="single"/>
            <w:lang w:val="en-US" w:eastAsia="bg-BG"/>
          </w:rPr>
          <w:t>2.</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Държавногарантиран дълг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_Toc233717491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351</w:t>
        </w:r>
        <w:r w:rsidR="00761800" w:rsidRPr="00761800">
          <w:rPr>
            <w:rFonts w:ascii="Times New Roman" w:hAnsi="Times New Roman"/>
            <w:bCs/>
            <w:caps/>
            <w:noProof/>
            <w:webHidden/>
            <w:sz w:val="18"/>
            <w:szCs w:val="22"/>
            <w:lang w:val="en-US" w:eastAsia="bg-BG"/>
          </w:rPr>
          <w:fldChar w:fldCharType="end"/>
        </w:r>
      </w:hyperlink>
    </w:p>
    <w:p w14:paraId="2BAE4005" w14:textId="7D0CEA0B"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92" w:history="1">
        <w:r w:rsidR="00761800" w:rsidRPr="00761800">
          <w:rPr>
            <w:rFonts w:ascii="Times New Roman" w:hAnsi="Times New Roman"/>
            <w:bCs/>
            <w:caps/>
            <w:noProof/>
            <w:color w:val="0000FF"/>
            <w:sz w:val="18"/>
            <w:szCs w:val="22"/>
            <w:u w:val="single"/>
            <w:lang w:val="en-US" w:eastAsia="bg-BG"/>
          </w:rPr>
          <w:t>3.</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Държавен дълг чрез финансов лизинг и други форми на държавен дълг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_Toc233717492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353</w:t>
        </w:r>
        <w:r w:rsidR="00761800" w:rsidRPr="00761800">
          <w:rPr>
            <w:rFonts w:ascii="Times New Roman" w:hAnsi="Times New Roman"/>
            <w:bCs/>
            <w:caps/>
            <w:noProof/>
            <w:webHidden/>
            <w:sz w:val="18"/>
            <w:szCs w:val="22"/>
            <w:lang w:val="en-US" w:eastAsia="bg-BG"/>
          </w:rPr>
          <w:fldChar w:fldCharType="end"/>
        </w:r>
      </w:hyperlink>
    </w:p>
    <w:p w14:paraId="56DAD2E9" w14:textId="688C0E4F"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93" w:history="1">
        <w:r w:rsidR="00761800" w:rsidRPr="00761800">
          <w:rPr>
            <w:rFonts w:ascii="Times New Roman" w:hAnsi="Times New Roman"/>
            <w:bCs/>
            <w:caps/>
            <w:noProof/>
            <w:color w:val="0000FF"/>
            <w:sz w:val="18"/>
            <w:szCs w:val="22"/>
            <w:u w:val="single"/>
            <w:lang w:val="en-US" w:eastAsia="bg-BG"/>
          </w:rPr>
          <w:t>4.</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Други операции в частта на финансирането</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_Toc233717493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353</w:t>
        </w:r>
        <w:r w:rsidR="00761800" w:rsidRPr="00761800">
          <w:rPr>
            <w:rFonts w:ascii="Times New Roman" w:hAnsi="Times New Roman"/>
            <w:bCs/>
            <w:caps/>
            <w:noProof/>
            <w:webHidden/>
            <w:sz w:val="18"/>
            <w:szCs w:val="22"/>
            <w:lang w:val="en-US" w:eastAsia="bg-BG"/>
          </w:rPr>
          <w:fldChar w:fldCharType="end"/>
        </w:r>
      </w:hyperlink>
    </w:p>
    <w:p w14:paraId="23DA1F58" w14:textId="0E5ACD38" w:rsidR="00761800" w:rsidRPr="00761800" w:rsidRDefault="00406B4D" w:rsidP="00761800">
      <w:pPr>
        <w:tabs>
          <w:tab w:val="right" w:leader="dot" w:pos="9060"/>
        </w:tabs>
        <w:spacing w:before="240" w:after="200"/>
        <w:outlineLvl w:val="0"/>
        <w:rPr>
          <w:rFonts w:ascii="Times New Roman" w:hAnsi="Times New Roman"/>
          <w:noProof/>
          <w:sz w:val="22"/>
          <w:szCs w:val="22"/>
          <w:lang w:eastAsia="bg-BG"/>
          <w14:scene3d>
            <w14:camera w14:prst="orthographicFront"/>
            <w14:lightRig w14:rig="threePt" w14:dir="t">
              <w14:rot w14:lat="0" w14:lon="0" w14:rev="0"/>
            </w14:lightRig>
          </w14:scene3d>
        </w:rPr>
      </w:pPr>
      <w:hyperlink w:anchor="_Toc233717494" w:history="1">
        <w:r w:rsidR="00761800" w:rsidRPr="00761800">
          <w:rPr>
            <w:rFonts w:ascii="Times New Roman" w:hAnsi="Times New Roman"/>
            <w:b/>
            <w:noProof/>
            <w:color w:val="0000FF"/>
            <w:sz w:val="22"/>
            <w:szCs w:val="22"/>
            <w:u w:val="single"/>
            <w:lang w:eastAsia="bg-BG"/>
            <w14:scene3d>
              <w14:camera w14:prst="orthographicFront"/>
              <w14:lightRig w14:rig="threePt" w14:dir="t">
                <w14:rot w14:lat="0" w14:lon="0" w14:rev="0"/>
              </w14:lightRig>
            </w14:scene3d>
          </w:rPr>
          <w:t>Част VII.  Перспективи за развитието на публичните финанси</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ab/>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begin"/>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instrText xml:space="preserve"> PAGEREF _Toc233717494 \h </w:instrTex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separate"/>
        </w:r>
        <w:r>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358</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end"/>
        </w:r>
      </w:hyperlink>
    </w:p>
    <w:p w14:paraId="01F13FA0" w14:textId="546ADF64"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95" w:history="1">
        <w:r w:rsidR="00761800" w:rsidRPr="00761800">
          <w:rPr>
            <w:rFonts w:ascii="Times New Roman" w:hAnsi="Times New Roman"/>
            <w:bCs/>
            <w:caps/>
            <w:noProof/>
            <w:color w:val="0000FF"/>
            <w:sz w:val="18"/>
            <w:szCs w:val="22"/>
            <w:u w:val="single"/>
            <w:lang w:val="en-US" w:eastAsia="bg-BG"/>
          </w:rPr>
          <w:t>1.</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Устойчивост на публичните финанси</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_Toc233717495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358</w:t>
        </w:r>
        <w:r w:rsidR="00761800" w:rsidRPr="00761800">
          <w:rPr>
            <w:rFonts w:ascii="Times New Roman" w:hAnsi="Times New Roman"/>
            <w:bCs/>
            <w:caps/>
            <w:noProof/>
            <w:webHidden/>
            <w:sz w:val="18"/>
            <w:szCs w:val="22"/>
            <w:lang w:val="en-US" w:eastAsia="bg-BG"/>
          </w:rPr>
          <w:fldChar w:fldCharType="end"/>
        </w:r>
      </w:hyperlink>
    </w:p>
    <w:p w14:paraId="1F2289A2" w14:textId="285FF730"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96" w:history="1">
        <w:r w:rsidR="00761800" w:rsidRPr="00761800">
          <w:rPr>
            <w:rFonts w:ascii="Times New Roman" w:hAnsi="Times New Roman"/>
            <w:bCs/>
            <w:caps/>
            <w:noProof/>
            <w:color w:val="0000FF"/>
            <w:sz w:val="18"/>
            <w:szCs w:val="22"/>
            <w:u w:val="single"/>
            <w:lang w:val="en-US" w:eastAsia="bg-BG"/>
          </w:rPr>
          <w:t>2.</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Анализ на чувствителността</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_Toc233717496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360</w:t>
        </w:r>
        <w:r w:rsidR="00761800" w:rsidRPr="00761800">
          <w:rPr>
            <w:rFonts w:ascii="Times New Roman" w:hAnsi="Times New Roman"/>
            <w:bCs/>
            <w:caps/>
            <w:noProof/>
            <w:webHidden/>
            <w:sz w:val="18"/>
            <w:szCs w:val="22"/>
            <w:lang w:val="en-US" w:eastAsia="bg-BG"/>
          </w:rPr>
          <w:fldChar w:fldCharType="end"/>
        </w:r>
      </w:hyperlink>
    </w:p>
    <w:p w14:paraId="0B06E1A6" w14:textId="3DC44559"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497" w:history="1">
        <w:r w:rsidR="00761800" w:rsidRPr="00761800">
          <w:rPr>
            <w:rFonts w:ascii="Times New Roman" w:hAnsi="Times New Roman"/>
            <w:bCs/>
            <w:caps/>
            <w:noProof/>
            <w:color w:val="0000FF"/>
            <w:sz w:val="18"/>
            <w:szCs w:val="22"/>
            <w:u w:val="single"/>
            <w:lang w:val="en-US" w:eastAsia="bg-BG"/>
          </w:rPr>
          <w:t>3.</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Процедури и качество на публичните финанси</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_Toc233717497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362</w:t>
        </w:r>
        <w:r w:rsidR="00761800" w:rsidRPr="00761800">
          <w:rPr>
            <w:rFonts w:ascii="Times New Roman" w:hAnsi="Times New Roman"/>
            <w:bCs/>
            <w:caps/>
            <w:noProof/>
            <w:webHidden/>
            <w:sz w:val="18"/>
            <w:szCs w:val="22"/>
            <w:lang w:val="en-US" w:eastAsia="bg-BG"/>
          </w:rPr>
          <w:fldChar w:fldCharType="end"/>
        </w:r>
      </w:hyperlink>
    </w:p>
    <w:p w14:paraId="220B66F6" w14:textId="38857DDD" w:rsidR="00761800" w:rsidRPr="00761800" w:rsidRDefault="00406B4D" w:rsidP="00761800">
      <w:pPr>
        <w:tabs>
          <w:tab w:val="right" w:leader="dot" w:pos="9060"/>
        </w:tabs>
        <w:spacing w:before="240" w:after="200"/>
        <w:outlineLvl w:val="0"/>
        <w:rPr>
          <w:rFonts w:ascii="Times New Roman" w:hAnsi="Times New Roman"/>
          <w:noProof/>
          <w:sz w:val="22"/>
          <w:szCs w:val="22"/>
          <w:lang w:eastAsia="bg-BG"/>
          <w14:scene3d>
            <w14:camera w14:prst="orthographicFront"/>
            <w14:lightRig w14:rig="threePt" w14:dir="t">
              <w14:rot w14:lat="0" w14:lon="0" w14:rev="0"/>
            </w14:lightRig>
          </w14:scene3d>
        </w:rPr>
      </w:pPr>
      <w:hyperlink w:anchor="_Toc233717498" w:history="1">
        <w:r w:rsidR="00761800" w:rsidRPr="00761800">
          <w:rPr>
            <w:rFonts w:ascii="Times New Roman" w:hAnsi="Times New Roman"/>
            <w:b/>
            <w:noProof/>
            <w:color w:val="0000FF"/>
            <w:sz w:val="22"/>
            <w:szCs w:val="22"/>
            <w:u w:val="single"/>
            <w:lang w:eastAsia="bg-BG"/>
            <w14:scene3d>
              <w14:camera w14:prst="orthographicFront"/>
              <w14:lightRig w14:rig="threePt" w14:dir="t">
                <w14:rot w14:lat="0" w14:lon="0" w14:rev="0"/>
              </w14:lightRig>
            </w14:scene3d>
          </w:rPr>
          <w:t>Част VIII.  Мотиви към предложенията за промяна на други закони в проекта на ЗДБРБ за 2026 г.</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ab/>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begin"/>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instrText xml:space="preserve"> PAGEREF _Toc233717498 \h </w:instrTex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separate"/>
        </w:r>
        <w:r>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367</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end"/>
        </w:r>
      </w:hyperlink>
    </w:p>
    <w:p w14:paraId="2A79B40D" w14:textId="7CDB2F3F" w:rsidR="00761800" w:rsidRPr="00761800" w:rsidRDefault="00406B4D" w:rsidP="00761800">
      <w:pPr>
        <w:tabs>
          <w:tab w:val="right" w:leader="dot" w:pos="9060"/>
        </w:tabs>
        <w:spacing w:before="240" w:after="200"/>
        <w:outlineLvl w:val="0"/>
        <w:rPr>
          <w:rFonts w:ascii="Times New Roman" w:hAnsi="Times New Roman"/>
          <w:noProof/>
          <w:sz w:val="22"/>
          <w:szCs w:val="22"/>
          <w:lang w:eastAsia="bg-BG"/>
          <w14:scene3d>
            <w14:camera w14:prst="orthographicFront"/>
            <w14:lightRig w14:rig="threePt" w14:dir="t">
              <w14:rot w14:lat="0" w14:lon="0" w14:rev="0"/>
            </w14:lightRig>
          </w14:scene3d>
        </w:rPr>
      </w:pPr>
      <w:hyperlink w:anchor="_Toc233717499" w:history="1">
        <w:r w:rsidR="00761800" w:rsidRPr="00761800">
          <w:rPr>
            <w:rFonts w:ascii="Times New Roman" w:hAnsi="Times New Roman"/>
            <w:b/>
            <w:noProof/>
            <w:color w:val="0000FF"/>
            <w:sz w:val="22"/>
            <w:szCs w:val="22"/>
            <w:u w:val="single"/>
            <w:lang w:eastAsia="bg-BG"/>
            <w14:scene3d>
              <w14:camera w14:prst="orthographicFront"/>
              <w14:lightRig w14:rig="threePt" w14:dir="t">
                <w14:rot w14:lat="0" w14:lon="0" w14:rev="0"/>
              </w14:lightRig>
            </w14:scene3d>
          </w:rPr>
          <w:t>Част IX.  Приложения</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ab/>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begin"/>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instrText xml:space="preserve"> PAGEREF _Toc233717499 \h </w:instrTex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separate"/>
        </w:r>
        <w:r>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t>373</w:t>
        </w:r>
        <w:r w:rsidR="00761800" w:rsidRPr="00761800">
          <w:rPr>
            <w:rFonts w:ascii="Times New Roman" w:hAnsi="Times New Roman"/>
            <w:b/>
            <w:noProof/>
            <w:webHidden/>
            <w:color w:val="852010"/>
            <w:sz w:val="22"/>
            <w:szCs w:val="22"/>
            <w:lang w:eastAsia="bg-BG"/>
            <w14:scene3d>
              <w14:camera w14:prst="orthographicFront"/>
              <w14:lightRig w14:rig="threePt" w14:dir="t">
                <w14:rot w14:lat="0" w14:lon="0" w14:rev="0"/>
              </w14:lightRig>
            </w14:scene3d>
          </w:rPr>
          <w:fldChar w:fldCharType="end"/>
        </w:r>
      </w:hyperlink>
    </w:p>
    <w:p w14:paraId="19FD118B" w14:textId="2E476074" w:rsidR="00761800" w:rsidRPr="00761800" w:rsidRDefault="00406B4D" w:rsidP="00761800">
      <w:pPr>
        <w:tabs>
          <w:tab w:val="left" w:pos="284"/>
          <w:tab w:val="left" w:pos="400"/>
          <w:tab w:val="right" w:leader="dot" w:pos="9060"/>
        </w:tabs>
        <w:spacing w:before="120" w:after="60"/>
        <w:ind w:left="687" w:hanging="403"/>
        <w:rPr>
          <w:rFonts w:ascii="Times New Roman" w:hAnsi="Times New Roman"/>
          <w:noProof/>
          <w:sz w:val="22"/>
          <w:szCs w:val="22"/>
          <w:lang w:eastAsia="bg-BG"/>
        </w:rPr>
      </w:pPr>
      <w:hyperlink w:anchor="_Toc233717500" w:history="1">
        <w:r w:rsidR="00761800" w:rsidRPr="00761800">
          <w:rPr>
            <w:rFonts w:ascii="Times New Roman" w:hAnsi="Times New Roman"/>
            <w:bCs/>
            <w:caps/>
            <w:noProof/>
            <w:color w:val="0000FF"/>
            <w:sz w:val="18"/>
            <w:szCs w:val="22"/>
            <w:u w:val="single"/>
            <w:lang w:val="en-US" w:eastAsia="bg-BG"/>
          </w:rPr>
          <w:t>Приложение № 1:  Преглед на изпълнението на КФП за 2024 г., предварителен отчет за 2025 г. и изпълнение на КФП към 30.04.2026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_Toc233717500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373</w:t>
        </w:r>
        <w:r w:rsidR="00761800" w:rsidRPr="00761800">
          <w:rPr>
            <w:rFonts w:ascii="Times New Roman" w:hAnsi="Times New Roman"/>
            <w:bCs/>
            <w:caps/>
            <w:noProof/>
            <w:webHidden/>
            <w:sz w:val="18"/>
            <w:szCs w:val="22"/>
            <w:lang w:val="en-US" w:eastAsia="bg-BG"/>
          </w:rPr>
          <w:fldChar w:fldCharType="end"/>
        </w:r>
      </w:hyperlink>
    </w:p>
    <w:p w14:paraId="1C96CB87" w14:textId="180E528D"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501" w:history="1">
        <w:r w:rsidR="00761800" w:rsidRPr="00761800">
          <w:rPr>
            <w:rFonts w:ascii="Times New Roman" w:hAnsi="Times New Roman"/>
            <w:bCs/>
            <w:caps/>
            <w:noProof/>
            <w:color w:val="0000FF"/>
            <w:sz w:val="18"/>
            <w:szCs w:val="22"/>
            <w:u w:val="single"/>
            <w:lang w:val="en-US" w:eastAsia="bg-BG"/>
          </w:rPr>
          <w:t>1.</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Преглед на изпълнението на КФП за 2024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_Toc233717501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373</w:t>
        </w:r>
        <w:r w:rsidR="00761800" w:rsidRPr="00761800">
          <w:rPr>
            <w:rFonts w:ascii="Times New Roman" w:hAnsi="Times New Roman"/>
            <w:bCs/>
            <w:caps/>
            <w:noProof/>
            <w:webHidden/>
            <w:sz w:val="18"/>
            <w:szCs w:val="22"/>
            <w:lang w:val="en-US" w:eastAsia="bg-BG"/>
          </w:rPr>
          <w:fldChar w:fldCharType="end"/>
        </w:r>
      </w:hyperlink>
    </w:p>
    <w:p w14:paraId="600ABF33" w14:textId="20B4D611"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502" w:history="1">
        <w:r w:rsidR="00761800" w:rsidRPr="00761800">
          <w:rPr>
            <w:rFonts w:ascii="Times New Roman" w:hAnsi="Times New Roman"/>
            <w:bCs/>
            <w:caps/>
            <w:noProof/>
            <w:color w:val="0000FF"/>
            <w:sz w:val="18"/>
            <w:szCs w:val="22"/>
            <w:u w:val="single"/>
            <w:lang w:val="en-US" w:eastAsia="bg-BG"/>
          </w:rPr>
          <w:t>2.</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Предварителен отчет на КФП за 2025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_Toc233717502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378</w:t>
        </w:r>
        <w:r w:rsidR="00761800" w:rsidRPr="00761800">
          <w:rPr>
            <w:rFonts w:ascii="Times New Roman" w:hAnsi="Times New Roman"/>
            <w:bCs/>
            <w:caps/>
            <w:noProof/>
            <w:webHidden/>
            <w:sz w:val="18"/>
            <w:szCs w:val="22"/>
            <w:lang w:val="en-US" w:eastAsia="bg-BG"/>
          </w:rPr>
          <w:fldChar w:fldCharType="end"/>
        </w:r>
      </w:hyperlink>
    </w:p>
    <w:p w14:paraId="1755FA78" w14:textId="0D823BA7" w:rsidR="00761800" w:rsidRPr="00761800" w:rsidRDefault="00406B4D" w:rsidP="00761800">
      <w:pPr>
        <w:tabs>
          <w:tab w:val="left" w:pos="284"/>
          <w:tab w:val="left" w:pos="400"/>
          <w:tab w:val="left" w:pos="687"/>
          <w:tab w:val="right" w:leader="dot" w:pos="9060"/>
        </w:tabs>
        <w:spacing w:before="120" w:after="60"/>
        <w:ind w:left="687" w:hanging="403"/>
        <w:rPr>
          <w:rFonts w:ascii="Times New Roman" w:hAnsi="Times New Roman"/>
          <w:noProof/>
          <w:sz w:val="22"/>
          <w:szCs w:val="22"/>
          <w:lang w:eastAsia="bg-BG"/>
        </w:rPr>
      </w:pPr>
      <w:hyperlink w:anchor="_Toc233717503" w:history="1">
        <w:r w:rsidR="00761800" w:rsidRPr="00761800">
          <w:rPr>
            <w:rFonts w:ascii="Times New Roman" w:hAnsi="Times New Roman"/>
            <w:bCs/>
            <w:caps/>
            <w:noProof/>
            <w:color w:val="0000FF"/>
            <w:sz w:val="18"/>
            <w:szCs w:val="22"/>
            <w:u w:val="single"/>
            <w:lang w:val="en-US" w:eastAsia="bg-BG"/>
          </w:rPr>
          <w:t>3.</w:t>
        </w:r>
        <w:r w:rsidR="00761800" w:rsidRPr="00761800">
          <w:rPr>
            <w:rFonts w:ascii="Times New Roman" w:hAnsi="Times New Roman"/>
            <w:noProof/>
            <w:sz w:val="22"/>
            <w:szCs w:val="22"/>
            <w:lang w:eastAsia="bg-BG"/>
          </w:rPr>
          <w:tab/>
        </w:r>
        <w:r w:rsidR="00761800" w:rsidRPr="00761800">
          <w:rPr>
            <w:rFonts w:ascii="Times New Roman" w:hAnsi="Times New Roman"/>
            <w:bCs/>
            <w:caps/>
            <w:noProof/>
            <w:color w:val="0000FF"/>
            <w:sz w:val="18"/>
            <w:szCs w:val="22"/>
            <w:u w:val="single"/>
            <w:lang w:val="en-US" w:eastAsia="bg-BG"/>
          </w:rPr>
          <w:t>Изпълнение на КФП към 30.04.2026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_Toc233717503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382</w:t>
        </w:r>
        <w:r w:rsidR="00761800" w:rsidRPr="00761800">
          <w:rPr>
            <w:rFonts w:ascii="Times New Roman" w:hAnsi="Times New Roman"/>
            <w:bCs/>
            <w:caps/>
            <w:noProof/>
            <w:webHidden/>
            <w:sz w:val="18"/>
            <w:szCs w:val="22"/>
            <w:lang w:val="en-US" w:eastAsia="bg-BG"/>
          </w:rPr>
          <w:fldChar w:fldCharType="end"/>
        </w:r>
      </w:hyperlink>
    </w:p>
    <w:p w14:paraId="5876997F" w14:textId="58B370C8" w:rsidR="00761800" w:rsidRPr="00761800" w:rsidRDefault="00406B4D" w:rsidP="00761800">
      <w:pPr>
        <w:tabs>
          <w:tab w:val="left" w:pos="284"/>
          <w:tab w:val="left" w:pos="400"/>
          <w:tab w:val="right" w:leader="dot" w:pos="9060"/>
        </w:tabs>
        <w:spacing w:before="120" w:after="60"/>
        <w:ind w:left="687" w:hanging="403"/>
        <w:rPr>
          <w:rFonts w:ascii="Times New Roman" w:hAnsi="Times New Roman"/>
          <w:noProof/>
          <w:sz w:val="22"/>
          <w:szCs w:val="22"/>
          <w:lang w:eastAsia="bg-BG"/>
        </w:rPr>
      </w:pPr>
      <w:hyperlink w:anchor="_Toc233717504" w:history="1">
        <w:r w:rsidR="00761800" w:rsidRPr="00761800">
          <w:rPr>
            <w:rFonts w:ascii="Times New Roman" w:hAnsi="Times New Roman"/>
            <w:bCs/>
            <w:caps/>
            <w:noProof/>
            <w:color w:val="0000FF"/>
            <w:sz w:val="18"/>
            <w:szCs w:val="22"/>
            <w:u w:val="single"/>
            <w:lang w:val="en-US" w:eastAsia="bg-BG"/>
          </w:rPr>
          <w:t>Приложение № 2:  Основни допускания по Актуализираната средносрочна бюджетна прогноза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_Toc233717504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386</w:t>
        </w:r>
        <w:r w:rsidR="00761800" w:rsidRPr="00761800">
          <w:rPr>
            <w:rFonts w:ascii="Times New Roman" w:hAnsi="Times New Roman"/>
            <w:bCs/>
            <w:caps/>
            <w:noProof/>
            <w:webHidden/>
            <w:sz w:val="18"/>
            <w:szCs w:val="22"/>
            <w:lang w:val="en-US" w:eastAsia="bg-BG"/>
          </w:rPr>
          <w:fldChar w:fldCharType="end"/>
        </w:r>
      </w:hyperlink>
    </w:p>
    <w:p w14:paraId="58EB770D" w14:textId="06D6EC7F" w:rsidR="00761800" w:rsidRPr="00761800" w:rsidRDefault="00406B4D" w:rsidP="00761800">
      <w:pPr>
        <w:tabs>
          <w:tab w:val="left" w:pos="284"/>
          <w:tab w:val="left" w:pos="400"/>
          <w:tab w:val="right" w:leader="dot" w:pos="9060"/>
        </w:tabs>
        <w:spacing w:before="120" w:after="60"/>
        <w:ind w:left="687" w:hanging="403"/>
        <w:rPr>
          <w:rFonts w:ascii="Times New Roman" w:hAnsi="Times New Roman"/>
          <w:noProof/>
          <w:sz w:val="22"/>
          <w:szCs w:val="22"/>
          <w:lang w:eastAsia="bg-BG"/>
        </w:rPr>
      </w:pPr>
      <w:hyperlink w:anchor="_Toc233717505" w:history="1">
        <w:r w:rsidR="00761800" w:rsidRPr="00761800">
          <w:rPr>
            <w:rFonts w:ascii="Times New Roman" w:hAnsi="Times New Roman"/>
            <w:bCs/>
            <w:caps/>
            <w:noProof/>
            <w:color w:val="0000FF"/>
            <w:sz w:val="18"/>
            <w:szCs w:val="22"/>
            <w:u w:val="single"/>
            <w:lang w:val="en-US" w:eastAsia="bg-BG"/>
          </w:rPr>
          <w:t>Приложение № 3: Консолидирана фискална програма за периода 2023-2028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_Toc233717505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397</w:t>
        </w:r>
        <w:r w:rsidR="00761800" w:rsidRPr="00761800">
          <w:rPr>
            <w:rFonts w:ascii="Times New Roman" w:hAnsi="Times New Roman"/>
            <w:bCs/>
            <w:caps/>
            <w:noProof/>
            <w:webHidden/>
            <w:sz w:val="18"/>
            <w:szCs w:val="22"/>
            <w:lang w:val="en-US" w:eastAsia="bg-BG"/>
          </w:rPr>
          <w:fldChar w:fldCharType="end"/>
        </w:r>
      </w:hyperlink>
    </w:p>
    <w:p w14:paraId="5C43065D" w14:textId="4C56FD76" w:rsidR="00761800" w:rsidRPr="00761800" w:rsidRDefault="00406B4D" w:rsidP="00761800">
      <w:pPr>
        <w:tabs>
          <w:tab w:val="left" w:pos="284"/>
          <w:tab w:val="left" w:pos="400"/>
          <w:tab w:val="right" w:leader="dot" w:pos="9060"/>
        </w:tabs>
        <w:spacing w:before="120" w:after="60"/>
        <w:ind w:left="687" w:hanging="403"/>
        <w:rPr>
          <w:rFonts w:ascii="Times New Roman" w:hAnsi="Times New Roman"/>
          <w:noProof/>
          <w:sz w:val="22"/>
          <w:szCs w:val="22"/>
          <w:lang w:eastAsia="bg-BG"/>
        </w:rPr>
      </w:pPr>
      <w:hyperlink w:anchor="_Toc233717506" w:history="1">
        <w:r w:rsidR="00761800" w:rsidRPr="00761800">
          <w:rPr>
            <w:rFonts w:ascii="Times New Roman" w:hAnsi="Times New Roman"/>
            <w:bCs/>
            <w:caps/>
            <w:noProof/>
            <w:color w:val="0000FF"/>
            <w:sz w:val="18"/>
            <w:szCs w:val="22"/>
            <w:u w:val="single"/>
            <w:lang w:val="en-US" w:eastAsia="bg-BG"/>
          </w:rPr>
          <w:t>Приложение № 4:  Тавани на разходите по бюджетни организации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_Toc233717506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401</w:t>
        </w:r>
        <w:r w:rsidR="00761800" w:rsidRPr="00761800">
          <w:rPr>
            <w:rFonts w:ascii="Times New Roman" w:hAnsi="Times New Roman"/>
            <w:bCs/>
            <w:caps/>
            <w:noProof/>
            <w:webHidden/>
            <w:sz w:val="18"/>
            <w:szCs w:val="22"/>
            <w:lang w:val="en-US" w:eastAsia="bg-BG"/>
          </w:rPr>
          <w:fldChar w:fldCharType="end"/>
        </w:r>
      </w:hyperlink>
    </w:p>
    <w:p w14:paraId="1257F30F" w14:textId="6C7BDC48" w:rsidR="00761800" w:rsidRPr="00761800" w:rsidRDefault="00406B4D" w:rsidP="00761800">
      <w:pPr>
        <w:tabs>
          <w:tab w:val="left" w:pos="284"/>
          <w:tab w:val="left" w:pos="400"/>
          <w:tab w:val="right" w:leader="dot" w:pos="9060"/>
        </w:tabs>
        <w:spacing w:before="120" w:after="60"/>
        <w:ind w:left="687" w:hanging="403"/>
        <w:rPr>
          <w:rFonts w:ascii="Times New Roman" w:hAnsi="Times New Roman"/>
          <w:noProof/>
          <w:sz w:val="22"/>
          <w:szCs w:val="22"/>
          <w:lang w:eastAsia="bg-BG"/>
        </w:rPr>
      </w:pPr>
      <w:hyperlink w:anchor="_Toc233717507" w:history="1">
        <w:r w:rsidR="00761800" w:rsidRPr="00761800">
          <w:rPr>
            <w:rFonts w:ascii="Times New Roman" w:hAnsi="Times New Roman"/>
            <w:bCs/>
            <w:caps/>
            <w:noProof/>
            <w:color w:val="0000FF"/>
            <w:sz w:val="18"/>
            <w:szCs w:val="22"/>
            <w:u w:val="single"/>
            <w:lang w:val="en-US" w:eastAsia="bg-BG"/>
          </w:rPr>
          <w:t>Приложение № 5:  Препоръчителни тавани на разходите по бюджетите на Народното събрание и на съдебната власт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_Toc233717507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403</w:t>
        </w:r>
        <w:r w:rsidR="00761800" w:rsidRPr="00761800">
          <w:rPr>
            <w:rFonts w:ascii="Times New Roman" w:hAnsi="Times New Roman"/>
            <w:bCs/>
            <w:caps/>
            <w:noProof/>
            <w:webHidden/>
            <w:sz w:val="18"/>
            <w:szCs w:val="22"/>
            <w:lang w:val="en-US" w:eastAsia="bg-BG"/>
          </w:rPr>
          <w:fldChar w:fldCharType="end"/>
        </w:r>
      </w:hyperlink>
    </w:p>
    <w:p w14:paraId="53142EAF" w14:textId="3B4491BE" w:rsidR="00761800" w:rsidRPr="00761800" w:rsidRDefault="00406B4D" w:rsidP="00761800">
      <w:pPr>
        <w:tabs>
          <w:tab w:val="left" w:pos="284"/>
          <w:tab w:val="left" w:pos="400"/>
          <w:tab w:val="right" w:leader="dot" w:pos="9060"/>
        </w:tabs>
        <w:spacing w:before="120" w:after="60"/>
        <w:ind w:left="687" w:hanging="403"/>
        <w:rPr>
          <w:rFonts w:ascii="Times New Roman" w:hAnsi="Times New Roman"/>
          <w:noProof/>
          <w:sz w:val="22"/>
          <w:szCs w:val="22"/>
          <w:lang w:eastAsia="bg-BG"/>
        </w:rPr>
      </w:pPr>
      <w:hyperlink w:anchor="_Toc233717508" w:history="1">
        <w:r w:rsidR="00761800" w:rsidRPr="00761800">
          <w:rPr>
            <w:rFonts w:ascii="Times New Roman" w:hAnsi="Times New Roman"/>
            <w:bCs/>
            <w:caps/>
            <w:noProof/>
            <w:color w:val="0000FF"/>
            <w:sz w:val="18"/>
            <w:szCs w:val="22"/>
            <w:u w:val="single"/>
            <w:lang w:val="en-US" w:eastAsia="bg-BG"/>
          </w:rPr>
          <w:t>Приложение № 6:  Размери на бюджетните взаимоотношения (трансферите) на държавния бюджет с бюджетите на БНТ, БНР, БТА, БАН, държавните висши училища и държавните висши военни училища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_Toc233717508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403</w:t>
        </w:r>
        <w:r w:rsidR="00761800" w:rsidRPr="00761800">
          <w:rPr>
            <w:rFonts w:ascii="Times New Roman" w:hAnsi="Times New Roman"/>
            <w:bCs/>
            <w:caps/>
            <w:noProof/>
            <w:webHidden/>
            <w:sz w:val="18"/>
            <w:szCs w:val="22"/>
            <w:lang w:val="en-US" w:eastAsia="bg-BG"/>
          </w:rPr>
          <w:fldChar w:fldCharType="end"/>
        </w:r>
      </w:hyperlink>
    </w:p>
    <w:p w14:paraId="484FDE2B" w14:textId="6FD58EC2" w:rsidR="00761800" w:rsidRPr="00761800" w:rsidRDefault="00406B4D" w:rsidP="00761800">
      <w:pPr>
        <w:tabs>
          <w:tab w:val="left" w:pos="284"/>
          <w:tab w:val="left" w:pos="400"/>
          <w:tab w:val="right" w:leader="dot" w:pos="9060"/>
        </w:tabs>
        <w:spacing w:before="120" w:after="60"/>
        <w:ind w:left="687" w:hanging="403"/>
        <w:rPr>
          <w:rFonts w:ascii="Times New Roman" w:hAnsi="Times New Roman"/>
          <w:noProof/>
          <w:sz w:val="22"/>
          <w:szCs w:val="22"/>
          <w:lang w:eastAsia="bg-BG"/>
        </w:rPr>
      </w:pPr>
      <w:hyperlink w:anchor="_Toc233717509" w:history="1">
        <w:r w:rsidR="00761800" w:rsidRPr="00761800">
          <w:rPr>
            <w:rFonts w:ascii="Times New Roman" w:hAnsi="Times New Roman"/>
            <w:bCs/>
            <w:caps/>
            <w:noProof/>
            <w:color w:val="0000FF"/>
            <w:sz w:val="18"/>
            <w:szCs w:val="22"/>
            <w:u w:val="single"/>
            <w:lang w:val="en-US" w:eastAsia="bg-BG"/>
          </w:rPr>
          <w:t>Приложение № 7:  Размери на разходите и трансферите (нето) по сметките за средствата от Европейския съюз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_Toc233717509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404</w:t>
        </w:r>
        <w:r w:rsidR="00761800" w:rsidRPr="00761800">
          <w:rPr>
            <w:rFonts w:ascii="Times New Roman" w:hAnsi="Times New Roman"/>
            <w:bCs/>
            <w:caps/>
            <w:noProof/>
            <w:webHidden/>
            <w:sz w:val="18"/>
            <w:szCs w:val="22"/>
            <w:lang w:val="en-US" w:eastAsia="bg-BG"/>
          </w:rPr>
          <w:fldChar w:fldCharType="end"/>
        </w:r>
      </w:hyperlink>
    </w:p>
    <w:p w14:paraId="3B0AF55B" w14:textId="23198779" w:rsidR="00761800" w:rsidRPr="00761800" w:rsidRDefault="00406B4D" w:rsidP="00761800">
      <w:pPr>
        <w:tabs>
          <w:tab w:val="left" w:pos="284"/>
          <w:tab w:val="left" w:pos="400"/>
          <w:tab w:val="right" w:leader="dot" w:pos="9060"/>
        </w:tabs>
        <w:spacing w:before="120" w:after="60"/>
        <w:ind w:left="687" w:hanging="403"/>
        <w:rPr>
          <w:rFonts w:ascii="Times New Roman" w:hAnsi="Times New Roman"/>
          <w:noProof/>
          <w:sz w:val="22"/>
          <w:szCs w:val="22"/>
          <w:lang w:eastAsia="bg-BG"/>
        </w:rPr>
      </w:pPr>
      <w:hyperlink w:anchor="_Toc233717510" w:history="1">
        <w:r w:rsidR="00761800" w:rsidRPr="00761800">
          <w:rPr>
            <w:rFonts w:ascii="Times New Roman" w:hAnsi="Times New Roman"/>
            <w:bCs/>
            <w:caps/>
            <w:noProof/>
            <w:color w:val="0000FF"/>
            <w:sz w:val="18"/>
            <w:szCs w:val="22"/>
            <w:u w:val="single"/>
            <w:lang w:val="en-US" w:eastAsia="bg-BG"/>
          </w:rPr>
          <w:t>Приложение № 8:  Размери на разходите и трансферите (нето) по други икономически обособени лица и структурни единици, включени в КФП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_Toc233717510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405</w:t>
        </w:r>
        <w:r w:rsidR="00761800" w:rsidRPr="00761800">
          <w:rPr>
            <w:rFonts w:ascii="Times New Roman" w:hAnsi="Times New Roman"/>
            <w:bCs/>
            <w:caps/>
            <w:noProof/>
            <w:webHidden/>
            <w:sz w:val="18"/>
            <w:szCs w:val="22"/>
            <w:lang w:val="en-US" w:eastAsia="bg-BG"/>
          </w:rPr>
          <w:fldChar w:fldCharType="end"/>
        </w:r>
      </w:hyperlink>
    </w:p>
    <w:p w14:paraId="2E7386D1" w14:textId="2DDDA35F" w:rsidR="00761800" w:rsidRPr="00761800" w:rsidRDefault="00406B4D" w:rsidP="00761800">
      <w:pPr>
        <w:tabs>
          <w:tab w:val="left" w:pos="284"/>
          <w:tab w:val="left" w:pos="400"/>
          <w:tab w:val="right" w:leader="dot" w:pos="9060"/>
        </w:tabs>
        <w:spacing w:before="120" w:after="60"/>
        <w:ind w:left="687" w:hanging="403"/>
        <w:rPr>
          <w:rFonts w:ascii="Times New Roman" w:hAnsi="Times New Roman"/>
          <w:noProof/>
          <w:sz w:val="22"/>
          <w:szCs w:val="22"/>
          <w:lang w:eastAsia="bg-BG"/>
        </w:rPr>
      </w:pPr>
      <w:hyperlink w:anchor="_Toc233717511" w:history="1">
        <w:r w:rsidR="00761800" w:rsidRPr="00761800">
          <w:rPr>
            <w:rFonts w:ascii="Times New Roman" w:hAnsi="Times New Roman"/>
            <w:bCs/>
            <w:caps/>
            <w:noProof/>
            <w:color w:val="0000FF"/>
            <w:sz w:val="18"/>
            <w:szCs w:val="22"/>
            <w:u w:val="single"/>
            <w:lang w:val="en-US" w:eastAsia="bg-BG"/>
          </w:rPr>
          <w:t>Приложение № 9:  Размери на основните бюджетни взаимоотношения между централния бюджет и бюджетите на общините за периода 2026-2028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_Toc233717511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406</w:t>
        </w:r>
        <w:r w:rsidR="00761800" w:rsidRPr="00761800">
          <w:rPr>
            <w:rFonts w:ascii="Times New Roman" w:hAnsi="Times New Roman"/>
            <w:bCs/>
            <w:caps/>
            <w:noProof/>
            <w:webHidden/>
            <w:sz w:val="18"/>
            <w:szCs w:val="22"/>
            <w:lang w:val="en-US" w:eastAsia="bg-BG"/>
          </w:rPr>
          <w:fldChar w:fldCharType="end"/>
        </w:r>
      </w:hyperlink>
    </w:p>
    <w:p w14:paraId="2107C2D7" w14:textId="38412202" w:rsidR="00761800" w:rsidRPr="00761800" w:rsidRDefault="00406B4D" w:rsidP="00761800">
      <w:pPr>
        <w:tabs>
          <w:tab w:val="left" w:pos="284"/>
          <w:tab w:val="left" w:pos="400"/>
          <w:tab w:val="right" w:leader="dot" w:pos="9060"/>
        </w:tabs>
        <w:spacing w:before="120" w:after="60"/>
        <w:ind w:left="687" w:hanging="403"/>
        <w:rPr>
          <w:rFonts w:ascii="Times New Roman" w:hAnsi="Times New Roman"/>
          <w:noProof/>
          <w:sz w:val="22"/>
          <w:szCs w:val="22"/>
          <w:lang w:eastAsia="bg-BG"/>
        </w:rPr>
      </w:pPr>
      <w:hyperlink w:anchor="_Toc233717512" w:history="1">
        <w:r w:rsidR="00761800" w:rsidRPr="00761800">
          <w:rPr>
            <w:rFonts w:ascii="Times New Roman" w:hAnsi="Times New Roman"/>
            <w:bCs/>
            <w:caps/>
            <w:noProof/>
            <w:color w:val="0000FF"/>
            <w:sz w:val="18"/>
            <w:szCs w:val="22"/>
            <w:u w:val="single"/>
            <w:lang w:val="en-US" w:eastAsia="bg-BG"/>
          </w:rPr>
          <w:t>Приложение № 10:  Данъчни разходи за 2024 г. и 2026 г.</w:t>
        </w:r>
        <w:r w:rsidR="00761800" w:rsidRPr="00761800">
          <w:rPr>
            <w:rFonts w:ascii="Times New Roman" w:hAnsi="Times New Roman"/>
            <w:bCs/>
            <w:caps/>
            <w:noProof/>
            <w:webHidden/>
            <w:sz w:val="18"/>
            <w:szCs w:val="22"/>
            <w:lang w:val="en-US" w:eastAsia="bg-BG"/>
          </w:rPr>
          <w:tab/>
        </w:r>
        <w:r w:rsidR="00761800" w:rsidRPr="00761800">
          <w:rPr>
            <w:rFonts w:ascii="Times New Roman" w:hAnsi="Times New Roman"/>
            <w:bCs/>
            <w:caps/>
            <w:noProof/>
            <w:webHidden/>
            <w:sz w:val="18"/>
            <w:szCs w:val="22"/>
            <w:lang w:val="en-US" w:eastAsia="bg-BG"/>
          </w:rPr>
          <w:fldChar w:fldCharType="begin"/>
        </w:r>
        <w:r w:rsidR="00761800" w:rsidRPr="00761800">
          <w:rPr>
            <w:rFonts w:ascii="Times New Roman" w:hAnsi="Times New Roman"/>
            <w:bCs/>
            <w:caps/>
            <w:noProof/>
            <w:webHidden/>
            <w:sz w:val="18"/>
            <w:szCs w:val="22"/>
            <w:lang w:val="en-US" w:eastAsia="bg-BG"/>
          </w:rPr>
          <w:instrText xml:space="preserve"> PAGEREF _Toc233717512 \h </w:instrText>
        </w:r>
        <w:r w:rsidR="00761800" w:rsidRPr="00761800">
          <w:rPr>
            <w:rFonts w:ascii="Times New Roman" w:hAnsi="Times New Roman"/>
            <w:bCs/>
            <w:caps/>
            <w:noProof/>
            <w:webHidden/>
            <w:sz w:val="18"/>
            <w:szCs w:val="22"/>
            <w:lang w:val="en-US" w:eastAsia="bg-BG"/>
          </w:rPr>
        </w:r>
        <w:r w:rsidR="00761800" w:rsidRPr="00761800">
          <w:rPr>
            <w:rFonts w:ascii="Times New Roman" w:hAnsi="Times New Roman"/>
            <w:bCs/>
            <w:caps/>
            <w:noProof/>
            <w:webHidden/>
            <w:sz w:val="18"/>
            <w:szCs w:val="22"/>
            <w:lang w:val="en-US" w:eastAsia="bg-BG"/>
          </w:rPr>
          <w:fldChar w:fldCharType="separate"/>
        </w:r>
        <w:r>
          <w:rPr>
            <w:rFonts w:ascii="Times New Roman" w:hAnsi="Times New Roman"/>
            <w:bCs/>
            <w:caps/>
            <w:noProof/>
            <w:webHidden/>
            <w:sz w:val="18"/>
            <w:szCs w:val="22"/>
            <w:lang w:val="en-US" w:eastAsia="bg-BG"/>
          </w:rPr>
          <w:t>407</w:t>
        </w:r>
        <w:r w:rsidR="00761800" w:rsidRPr="00761800">
          <w:rPr>
            <w:rFonts w:ascii="Times New Roman" w:hAnsi="Times New Roman"/>
            <w:bCs/>
            <w:caps/>
            <w:noProof/>
            <w:webHidden/>
            <w:sz w:val="18"/>
            <w:szCs w:val="22"/>
            <w:lang w:val="en-US" w:eastAsia="bg-BG"/>
          </w:rPr>
          <w:fldChar w:fldCharType="end"/>
        </w:r>
      </w:hyperlink>
    </w:p>
    <w:p w14:paraId="41CA6D73" w14:textId="77777777" w:rsidR="00761800" w:rsidRPr="00761800" w:rsidRDefault="00761800" w:rsidP="00761800">
      <w:pPr>
        <w:rPr>
          <w:rFonts w:ascii="Times New Roman" w:hAnsi="Times New Roman"/>
          <w:b/>
          <w:bCs/>
          <w:caps/>
          <w:sz w:val="28"/>
          <w:szCs w:val="32"/>
          <w:lang w:eastAsia="bg-BG"/>
        </w:rPr>
      </w:pPr>
      <w:r w:rsidRPr="00761800">
        <w:rPr>
          <w:rFonts w:ascii="Times New Roman" w:hAnsi="Times New Roman"/>
          <w:w w:val="90"/>
          <w:szCs w:val="22"/>
          <w:lang w:eastAsia="zh-CN"/>
        </w:rPr>
        <w:fldChar w:fldCharType="end"/>
      </w:r>
    </w:p>
    <w:p w14:paraId="0DD5A93A" w14:textId="77777777" w:rsidR="00761800" w:rsidRPr="00761800" w:rsidRDefault="00761800" w:rsidP="00761800">
      <w:pPr>
        <w:spacing w:after="200"/>
        <w:jc w:val="both"/>
        <w:rPr>
          <w:rFonts w:ascii="Times New Roman" w:hAnsi="Times New Roman"/>
          <w:color w:val="0000FF"/>
          <w:u w:val="single"/>
          <w:lang w:eastAsia="en-GB"/>
        </w:rPr>
      </w:pPr>
      <w:r w:rsidRPr="00761800">
        <w:rPr>
          <w:rFonts w:ascii="Times New Roman" w:hAnsi="Times New Roman"/>
          <w:color w:val="0000FF"/>
          <w:u w:val="single"/>
          <w:lang w:eastAsia="en-GB"/>
        </w:rPr>
        <w:br w:type="page"/>
      </w:r>
    </w:p>
    <w:p w14:paraId="58C9BE61" w14:textId="77777777" w:rsidR="00761800" w:rsidRPr="00761800" w:rsidRDefault="00761800" w:rsidP="00761800">
      <w:pPr>
        <w:spacing w:after="200"/>
        <w:jc w:val="both"/>
        <w:rPr>
          <w:rFonts w:ascii="Times New Roman" w:hAnsi="Times New Roman"/>
          <w:spacing w:val="12"/>
          <w:sz w:val="32"/>
          <w:szCs w:val="22"/>
          <w:lang w:eastAsia="bg-BG"/>
        </w:rPr>
      </w:pPr>
      <w:bookmarkStart w:id="19" w:name="_Toc464746958"/>
      <w:bookmarkStart w:id="20" w:name="_Toc465070435"/>
      <w:bookmarkStart w:id="21" w:name="_Toc465176563"/>
      <w:bookmarkStart w:id="22" w:name="_Toc465177067"/>
      <w:bookmarkStart w:id="23" w:name="_Toc465177880"/>
      <w:bookmarkStart w:id="24" w:name="_Toc465177988"/>
      <w:bookmarkStart w:id="25" w:name="_Toc465178096"/>
      <w:r w:rsidRPr="00761800">
        <w:rPr>
          <w:rFonts w:ascii="Times New Roman" w:hAnsi="Times New Roman"/>
          <w:spacing w:val="12"/>
          <w:sz w:val="32"/>
          <w:szCs w:val="22"/>
          <w:lang w:eastAsia="bg-BG"/>
        </w:rPr>
        <w:lastRenderedPageBreak/>
        <w:t>Списък с включените в текста таблици</w:t>
      </w:r>
      <w:bookmarkEnd w:id="19"/>
      <w:bookmarkEnd w:id="20"/>
      <w:bookmarkEnd w:id="21"/>
      <w:bookmarkEnd w:id="22"/>
      <w:bookmarkEnd w:id="23"/>
      <w:bookmarkEnd w:id="24"/>
      <w:bookmarkEnd w:id="25"/>
    </w:p>
    <w:p w14:paraId="4E9984CD" w14:textId="77777777" w:rsidR="00761800" w:rsidRPr="00761800" w:rsidRDefault="00761800" w:rsidP="00761800">
      <w:pPr>
        <w:tabs>
          <w:tab w:val="left" w:pos="1530"/>
        </w:tabs>
        <w:spacing w:after="200"/>
        <w:ind w:hanging="180"/>
        <w:jc w:val="both"/>
        <w:rPr>
          <w:rFonts w:ascii="Times New Roman" w:hAnsi="Times New Roman"/>
          <w:color w:val="0000FF"/>
          <w:u w:val="single"/>
          <w:lang w:eastAsia="en-GB"/>
        </w:rPr>
      </w:pPr>
    </w:p>
    <w:p w14:paraId="72888616" w14:textId="13A1BEDF" w:rsidR="00761800" w:rsidRPr="00761800" w:rsidRDefault="00761800" w:rsidP="00761800">
      <w:pPr>
        <w:tabs>
          <w:tab w:val="left" w:pos="1224"/>
          <w:tab w:val="right" w:leader="dot" w:pos="9060"/>
        </w:tabs>
        <w:ind w:left="1134" w:hanging="1134"/>
        <w:jc w:val="both"/>
        <w:rPr>
          <w:rFonts w:ascii="Times New Roman" w:hAnsi="Times New Roman"/>
          <w:noProof/>
          <w:sz w:val="22"/>
          <w:szCs w:val="22"/>
          <w:lang w:eastAsia="bg-BG"/>
        </w:rPr>
      </w:pPr>
      <w:r w:rsidRPr="00761800">
        <w:rPr>
          <w:rFonts w:ascii="Times New Roman" w:hAnsi="Times New Roman"/>
          <w:color w:val="0000FF"/>
          <w:sz w:val="22"/>
          <w:szCs w:val="22"/>
          <w:highlight w:val="yellow"/>
          <w:u w:val="single"/>
          <w:lang w:eastAsia="en-GB"/>
        </w:rPr>
        <w:fldChar w:fldCharType="begin"/>
      </w:r>
      <w:r w:rsidRPr="00761800">
        <w:rPr>
          <w:rFonts w:ascii="Times New Roman" w:hAnsi="Times New Roman"/>
          <w:color w:val="0000FF"/>
          <w:sz w:val="22"/>
          <w:szCs w:val="22"/>
          <w:highlight w:val="yellow"/>
          <w:u w:val="single"/>
          <w:lang w:eastAsia="en-GB"/>
        </w:rPr>
        <w:instrText xml:space="preserve"> TOC \h \z \c "Табл." </w:instrText>
      </w:r>
      <w:r w:rsidRPr="00761800">
        <w:rPr>
          <w:rFonts w:ascii="Times New Roman" w:hAnsi="Times New Roman"/>
          <w:color w:val="0000FF"/>
          <w:sz w:val="22"/>
          <w:szCs w:val="22"/>
          <w:highlight w:val="yellow"/>
          <w:u w:val="single"/>
          <w:lang w:eastAsia="en-GB"/>
        </w:rPr>
        <w:fldChar w:fldCharType="separate"/>
      </w:r>
      <w:hyperlink w:anchor="_Toc233185119" w:history="1">
        <w:r w:rsidRPr="00761800">
          <w:rPr>
            <w:rFonts w:ascii="Times New Roman" w:hAnsi="Times New Roman"/>
            <w:noProof/>
            <w:color w:val="0000FF"/>
            <w:sz w:val="22"/>
            <w:szCs w:val="22"/>
            <w:u w:val="single"/>
            <w:lang w:eastAsia="en-GB"/>
          </w:rPr>
          <w:t>Табл. I</w:t>
        </w:r>
        <w:r w:rsidRPr="00761800">
          <w:rPr>
            <w:rFonts w:ascii="Times New Roman" w:hAnsi="Times New Roman"/>
            <w:noProof/>
            <w:color w:val="0000FF"/>
            <w:sz w:val="22"/>
            <w:szCs w:val="22"/>
            <w:u w:val="single"/>
            <w:lang w:eastAsia="en-GB"/>
          </w:rPr>
          <w:noBreakHyphen/>
          <w:t>1:</w:t>
        </w:r>
        <w:r w:rsidRPr="00761800">
          <w:rPr>
            <w:rFonts w:ascii="Times New Roman" w:hAnsi="Times New Roman"/>
            <w:noProof/>
            <w:sz w:val="22"/>
            <w:szCs w:val="22"/>
            <w:lang w:eastAsia="bg-BG"/>
          </w:rPr>
          <w:tab/>
        </w:r>
        <w:r w:rsidRPr="00761800">
          <w:rPr>
            <w:rFonts w:ascii="Times New Roman" w:hAnsi="Times New Roman"/>
            <w:noProof/>
            <w:color w:val="0000FF"/>
            <w:sz w:val="22"/>
            <w:szCs w:val="22"/>
            <w:u w:val="single"/>
          </w:rPr>
          <w:t>Основни допускания за развитието на външната среда</w:t>
        </w:r>
        <w:r w:rsidRPr="00761800">
          <w:rPr>
            <w:rFonts w:ascii="Times New Roman" w:hAnsi="Times New Roman"/>
            <w:noProof/>
            <w:webHidden/>
            <w:sz w:val="22"/>
            <w:szCs w:val="22"/>
            <w:lang w:eastAsia="en-GB"/>
          </w:rPr>
          <w:tab/>
        </w:r>
        <w:r w:rsidRPr="00761800">
          <w:rPr>
            <w:rFonts w:ascii="Times New Roman" w:hAnsi="Times New Roman"/>
            <w:noProof/>
            <w:webHidden/>
            <w:sz w:val="22"/>
            <w:szCs w:val="22"/>
            <w:lang w:eastAsia="en-GB"/>
          </w:rPr>
          <w:fldChar w:fldCharType="begin"/>
        </w:r>
        <w:r w:rsidRPr="00761800">
          <w:rPr>
            <w:rFonts w:ascii="Times New Roman" w:hAnsi="Times New Roman"/>
            <w:noProof/>
            <w:webHidden/>
            <w:sz w:val="22"/>
            <w:szCs w:val="22"/>
            <w:lang w:eastAsia="en-GB"/>
          </w:rPr>
          <w:instrText xml:space="preserve"> PAGEREF _Toc233185119 \h </w:instrText>
        </w:r>
        <w:r w:rsidRPr="00761800">
          <w:rPr>
            <w:rFonts w:ascii="Times New Roman" w:hAnsi="Times New Roman"/>
            <w:noProof/>
            <w:webHidden/>
            <w:sz w:val="22"/>
            <w:szCs w:val="22"/>
            <w:lang w:eastAsia="en-GB"/>
          </w:rPr>
        </w:r>
        <w:r w:rsidRPr="00761800">
          <w:rPr>
            <w:rFonts w:ascii="Times New Roman" w:hAnsi="Times New Roman"/>
            <w:noProof/>
            <w:webHidden/>
            <w:sz w:val="22"/>
            <w:szCs w:val="22"/>
            <w:lang w:eastAsia="en-GB"/>
          </w:rPr>
          <w:fldChar w:fldCharType="separate"/>
        </w:r>
        <w:r w:rsidR="00406B4D">
          <w:rPr>
            <w:rFonts w:ascii="Times New Roman" w:hAnsi="Times New Roman"/>
            <w:noProof/>
            <w:webHidden/>
            <w:sz w:val="22"/>
            <w:szCs w:val="22"/>
            <w:lang w:eastAsia="en-GB"/>
          </w:rPr>
          <w:t>225</w:t>
        </w:r>
        <w:r w:rsidRPr="00761800">
          <w:rPr>
            <w:rFonts w:ascii="Times New Roman" w:hAnsi="Times New Roman"/>
            <w:noProof/>
            <w:webHidden/>
            <w:sz w:val="22"/>
            <w:szCs w:val="22"/>
            <w:lang w:eastAsia="en-GB"/>
          </w:rPr>
          <w:fldChar w:fldCharType="end"/>
        </w:r>
      </w:hyperlink>
    </w:p>
    <w:p w14:paraId="7A8CDD1E" w14:textId="6BC8FC5A" w:rsidR="00761800" w:rsidRPr="00761800" w:rsidRDefault="00406B4D" w:rsidP="00761800">
      <w:pPr>
        <w:tabs>
          <w:tab w:val="left" w:pos="1224"/>
          <w:tab w:val="right" w:leader="dot" w:pos="9060"/>
        </w:tabs>
        <w:ind w:left="1134" w:hanging="1134"/>
        <w:jc w:val="both"/>
        <w:rPr>
          <w:rFonts w:ascii="Times New Roman" w:hAnsi="Times New Roman"/>
          <w:noProof/>
          <w:sz w:val="22"/>
          <w:szCs w:val="22"/>
          <w:lang w:eastAsia="bg-BG"/>
        </w:rPr>
      </w:pPr>
      <w:hyperlink w:anchor="_Toc233185120" w:history="1">
        <w:r w:rsidR="00761800" w:rsidRPr="00761800">
          <w:rPr>
            <w:rFonts w:ascii="Times New Roman" w:hAnsi="Times New Roman"/>
            <w:noProof/>
            <w:color w:val="0000FF"/>
            <w:sz w:val="22"/>
            <w:szCs w:val="22"/>
            <w:u w:val="single"/>
            <w:lang w:eastAsia="en-GB"/>
          </w:rPr>
          <w:t>Табл. I</w:t>
        </w:r>
        <w:r w:rsidR="00761800" w:rsidRPr="00761800">
          <w:rPr>
            <w:rFonts w:ascii="Times New Roman" w:hAnsi="Times New Roman"/>
            <w:noProof/>
            <w:color w:val="0000FF"/>
            <w:sz w:val="22"/>
            <w:szCs w:val="22"/>
            <w:u w:val="single"/>
            <w:lang w:eastAsia="en-GB"/>
          </w:rPr>
          <w:noBreakHyphen/>
          <w:t>2:</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rPr>
          <w:t>Основни макроикономически показатели</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_Toc233185120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226</w:t>
        </w:r>
        <w:r w:rsidR="00761800" w:rsidRPr="00761800">
          <w:rPr>
            <w:rFonts w:ascii="Times New Roman" w:hAnsi="Times New Roman"/>
            <w:noProof/>
            <w:webHidden/>
            <w:sz w:val="22"/>
            <w:szCs w:val="22"/>
            <w:lang w:eastAsia="en-GB"/>
          </w:rPr>
          <w:fldChar w:fldCharType="end"/>
        </w:r>
      </w:hyperlink>
    </w:p>
    <w:p w14:paraId="090BD418" w14:textId="661393B3" w:rsidR="00761800" w:rsidRPr="00761800" w:rsidRDefault="00406B4D" w:rsidP="00761800">
      <w:pPr>
        <w:tabs>
          <w:tab w:val="left" w:pos="1224"/>
          <w:tab w:val="right" w:leader="dot" w:pos="9060"/>
        </w:tabs>
        <w:ind w:left="1134" w:hanging="1134"/>
        <w:jc w:val="both"/>
        <w:rPr>
          <w:rFonts w:ascii="Times New Roman" w:hAnsi="Times New Roman"/>
          <w:noProof/>
          <w:sz w:val="22"/>
          <w:szCs w:val="22"/>
          <w:lang w:eastAsia="bg-BG"/>
        </w:rPr>
      </w:pPr>
      <w:hyperlink w:anchor="_Toc233185121" w:history="1">
        <w:r w:rsidR="00761800" w:rsidRPr="00761800">
          <w:rPr>
            <w:rFonts w:ascii="Times New Roman" w:hAnsi="Times New Roman"/>
            <w:noProof/>
            <w:color w:val="0000FF"/>
            <w:sz w:val="22"/>
            <w:szCs w:val="22"/>
            <w:u w:val="single"/>
            <w:lang w:eastAsia="en-GB"/>
          </w:rPr>
          <w:t>Табл. I</w:t>
        </w:r>
        <w:r w:rsidR="00761800" w:rsidRPr="00761800">
          <w:rPr>
            <w:rFonts w:ascii="Times New Roman" w:hAnsi="Times New Roman"/>
            <w:noProof/>
            <w:color w:val="0000FF"/>
            <w:sz w:val="22"/>
            <w:szCs w:val="22"/>
            <w:u w:val="single"/>
            <w:lang w:eastAsia="en-GB"/>
          </w:rPr>
          <w:noBreakHyphen/>
          <w:t>3:</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rPr>
          <w:t>Стойности на потенциалния растеж и на отклонението от потенциалния БВП</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_Toc233185121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231</w:t>
        </w:r>
        <w:r w:rsidR="00761800" w:rsidRPr="00761800">
          <w:rPr>
            <w:rFonts w:ascii="Times New Roman" w:hAnsi="Times New Roman"/>
            <w:noProof/>
            <w:webHidden/>
            <w:sz w:val="22"/>
            <w:szCs w:val="22"/>
            <w:lang w:eastAsia="en-GB"/>
          </w:rPr>
          <w:fldChar w:fldCharType="end"/>
        </w:r>
      </w:hyperlink>
    </w:p>
    <w:p w14:paraId="25D44A80" w14:textId="264C2C0D" w:rsidR="00761800" w:rsidRPr="00761800" w:rsidRDefault="00406B4D" w:rsidP="00761800">
      <w:pPr>
        <w:tabs>
          <w:tab w:val="left" w:pos="1224"/>
          <w:tab w:val="right" w:leader="dot" w:pos="9060"/>
        </w:tabs>
        <w:ind w:left="1134" w:hanging="1134"/>
        <w:jc w:val="both"/>
        <w:rPr>
          <w:rFonts w:ascii="Times New Roman" w:hAnsi="Times New Roman"/>
          <w:noProof/>
          <w:sz w:val="22"/>
          <w:szCs w:val="22"/>
          <w:lang w:eastAsia="bg-BG"/>
        </w:rPr>
      </w:pPr>
      <w:hyperlink w:anchor="_Toc233185122" w:history="1">
        <w:r w:rsidR="00761800" w:rsidRPr="00761800">
          <w:rPr>
            <w:rFonts w:ascii="Times New Roman" w:hAnsi="Times New Roman"/>
            <w:noProof/>
            <w:color w:val="0000FF"/>
            <w:sz w:val="22"/>
            <w:szCs w:val="22"/>
            <w:u w:val="single"/>
            <w:lang w:eastAsia="en-GB"/>
          </w:rPr>
          <w:t>Табл. I</w:t>
        </w:r>
        <w:r w:rsidR="00761800" w:rsidRPr="00761800">
          <w:rPr>
            <w:rFonts w:ascii="Times New Roman" w:hAnsi="Times New Roman"/>
            <w:noProof/>
            <w:color w:val="0000FF"/>
            <w:sz w:val="22"/>
            <w:szCs w:val="22"/>
            <w:u w:val="single"/>
            <w:lang w:eastAsia="en-GB"/>
          </w:rPr>
          <w:noBreakHyphen/>
          <w:t>4:</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Сравнение на макроикономическата прогноза на МФ с прогнозата на ЕК</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_Toc233185122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231</w:t>
        </w:r>
        <w:r w:rsidR="00761800" w:rsidRPr="00761800">
          <w:rPr>
            <w:rFonts w:ascii="Times New Roman" w:hAnsi="Times New Roman"/>
            <w:noProof/>
            <w:webHidden/>
            <w:sz w:val="22"/>
            <w:szCs w:val="22"/>
            <w:lang w:eastAsia="en-GB"/>
          </w:rPr>
          <w:fldChar w:fldCharType="end"/>
        </w:r>
      </w:hyperlink>
    </w:p>
    <w:p w14:paraId="5C3AE9AA" w14:textId="3EAE6C31" w:rsidR="00761800" w:rsidRPr="00761800" w:rsidRDefault="00406B4D" w:rsidP="00761800">
      <w:pPr>
        <w:tabs>
          <w:tab w:val="left" w:pos="1261"/>
          <w:tab w:val="right" w:leader="dot" w:pos="9060"/>
        </w:tabs>
        <w:ind w:left="1134" w:hanging="1134"/>
        <w:jc w:val="both"/>
        <w:rPr>
          <w:rFonts w:ascii="Times New Roman" w:hAnsi="Times New Roman"/>
          <w:noProof/>
          <w:sz w:val="22"/>
          <w:szCs w:val="22"/>
          <w:lang w:eastAsia="bg-BG"/>
        </w:rPr>
      </w:pPr>
      <w:hyperlink w:anchor="_Toc233185123" w:history="1">
        <w:r w:rsidR="00761800" w:rsidRPr="00761800">
          <w:rPr>
            <w:rFonts w:ascii="Times New Roman" w:hAnsi="Times New Roman"/>
            <w:noProof/>
            <w:color w:val="0000FF"/>
            <w:sz w:val="22"/>
            <w:szCs w:val="22"/>
            <w:u w:val="single"/>
            <w:lang w:eastAsia="en-GB"/>
          </w:rPr>
          <w:t>Табл. II</w:t>
        </w:r>
        <w:r w:rsidR="00761800" w:rsidRPr="00761800">
          <w:rPr>
            <w:rFonts w:ascii="Times New Roman" w:hAnsi="Times New Roman"/>
            <w:noProof/>
            <w:color w:val="0000FF"/>
            <w:sz w:val="22"/>
            <w:szCs w:val="22"/>
            <w:u w:val="single"/>
            <w:lang w:eastAsia="en-GB"/>
          </w:rPr>
          <w:noBreakHyphen/>
          <w:t>1:</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Основни показатели на КФП (касова основа)</w:t>
        </w:r>
        <w:r w:rsidR="00761800" w:rsidRPr="00761800">
          <w:rPr>
            <w:rFonts w:ascii="Times New Roman" w:hAnsi="Times New Roman"/>
            <w:noProof/>
            <w:color w:val="0000FF"/>
            <w:sz w:val="22"/>
            <w:szCs w:val="22"/>
            <w:u w:val="single"/>
            <w:vertAlign w:val="superscript"/>
            <w:lang w:eastAsia="en-GB"/>
          </w:rPr>
          <w:t xml:space="preserve"> </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_Toc233185123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233</w:t>
        </w:r>
        <w:r w:rsidR="00761800" w:rsidRPr="00761800">
          <w:rPr>
            <w:rFonts w:ascii="Times New Roman" w:hAnsi="Times New Roman"/>
            <w:noProof/>
            <w:webHidden/>
            <w:sz w:val="22"/>
            <w:szCs w:val="22"/>
            <w:lang w:eastAsia="en-GB"/>
          </w:rPr>
          <w:fldChar w:fldCharType="end"/>
        </w:r>
      </w:hyperlink>
    </w:p>
    <w:p w14:paraId="5B22FE71" w14:textId="7F78F4E1" w:rsidR="00761800" w:rsidRPr="00761800" w:rsidRDefault="00406B4D" w:rsidP="00761800">
      <w:pPr>
        <w:tabs>
          <w:tab w:val="left" w:pos="1261"/>
          <w:tab w:val="right" w:leader="dot" w:pos="9060"/>
        </w:tabs>
        <w:ind w:left="1134" w:hanging="1134"/>
        <w:jc w:val="both"/>
        <w:rPr>
          <w:rFonts w:ascii="Times New Roman" w:hAnsi="Times New Roman"/>
          <w:noProof/>
          <w:sz w:val="22"/>
          <w:szCs w:val="22"/>
          <w:lang w:eastAsia="bg-BG"/>
        </w:rPr>
      </w:pPr>
      <w:hyperlink w:anchor="_Toc233185124" w:history="1">
        <w:r w:rsidR="00761800" w:rsidRPr="00761800">
          <w:rPr>
            <w:rFonts w:ascii="Times New Roman" w:hAnsi="Times New Roman"/>
            <w:noProof/>
            <w:color w:val="0000FF"/>
            <w:sz w:val="22"/>
            <w:szCs w:val="22"/>
            <w:u w:val="single"/>
            <w:lang w:eastAsia="en-GB"/>
          </w:rPr>
          <w:t>Табл. II</w:t>
        </w:r>
        <w:r w:rsidR="00761800" w:rsidRPr="00761800">
          <w:rPr>
            <w:rFonts w:ascii="Times New Roman" w:hAnsi="Times New Roman"/>
            <w:noProof/>
            <w:color w:val="0000FF"/>
            <w:sz w:val="22"/>
            <w:szCs w:val="22"/>
            <w:u w:val="single"/>
            <w:lang w:eastAsia="en-GB"/>
          </w:rPr>
          <w:noBreakHyphen/>
          <w:t>2:</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Основни показатели по КФП (2026-2028 г.)</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_Toc233185124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235</w:t>
        </w:r>
        <w:r w:rsidR="00761800" w:rsidRPr="00761800">
          <w:rPr>
            <w:rFonts w:ascii="Times New Roman" w:hAnsi="Times New Roman"/>
            <w:noProof/>
            <w:webHidden/>
            <w:sz w:val="22"/>
            <w:szCs w:val="22"/>
            <w:lang w:eastAsia="en-GB"/>
          </w:rPr>
          <w:fldChar w:fldCharType="end"/>
        </w:r>
      </w:hyperlink>
    </w:p>
    <w:p w14:paraId="68880D2A" w14:textId="5735AC78" w:rsidR="00761800" w:rsidRPr="00761800" w:rsidRDefault="00406B4D" w:rsidP="00761800">
      <w:pPr>
        <w:tabs>
          <w:tab w:val="left" w:pos="1261"/>
          <w:tab w:val="right" w:leader="dot" w:pos="9060"/>
        </w:tabs>
        <w:ind w:left="1134" w:hanging="1134"/>
        <w:jc w:val="both"/>
        <w:rPr>
          <w:rFonts w:ascii="Times New Roman" w:hAnsi="Times New Roman"/>
          <w:noProof/>
          <w:sz w:val="22"/>
          <w:szCs w:val="22"/>
          <w:lang w:eastAsia="bg-BG"/>
        </w:rPr>
      </w:pPr>
      <w:hyperlink w:anchor="_Toc233185125" w:history="1">
        <w:r w:rsidR="00761800" w:rsidRPr="00761800">
          <w:rPr>
            <w:rFonts w:ascii="Times New Roman" w:hAnsi="Times New Roman"/>
            <w:noProof/>
            <w:color w:val="0000FF"/>
            <w:sz w:val="22"/>
            <w:szCs w:val="22"/>
            <w:u w:val="single"/>
            <w:lang w:eastAsia="en-GB"/>
          </w:rPr>
          <w:t>Табл. II</w:t>
        </w:r>
        <w:r w:rsidR="00761800" w:rsidRPr="00761800">
          <w:rPr>
            <w:rFonts w:ascii="Times New Roman" w:hAnsi="Times New Roman"/>
            <w:noProof/>
            <w:color w:val="0000FF"/>
            <w:sz w:val="22"/>
            <w:szCs w:val="22"/>
            <w:u w:val="single"/>
            <w:lang w:eastAsia="en-GB"/>
          </w:rPr>
          <w:noBreakHyphen/>
          <w:t>3:</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КФП – Национален бюджет (2026-2028 г.)</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_Toc233185125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235</w:t>
        </w:r>
        <w:r w:rsidR="00761800" w:rsidRPr="00761800">
          <w:rPr>
            <w:rFonts w:ascii="Times New Roman" w:hAnsi="Times New Roman"/>
            <w:noProof/>
            <w:webHidden/>
            <w:sz w:val="22"/>
            <w:szCs w:val="22"/>
            <w:lang w:eastAsia="en-GB"/>
          </w:rPr>
          <w:fldChar w:fldCharType="end"/>
        </w:r>
      </w:hyperlink>
    </w:p>
    <w:p w14:paraId="466DF579" w14:textId="7667FCFC" w:rsidR="00761800" w:rsidRPr="00761800" w:rsidRDefault="00406B4D" w:rsidP="00761800">
      <w:pPr>
        <w:tabs>
          <w:tab w:val="left" w:pos="1261"/>
          <w:tab w:val="right" w:leader="dot" w:pos="9060"/>
        </w:tabs>
        <w:ind w:left="1134" w:hanging="1134"/>
        <w:jc w:val="both"/>
        <w:rPr>
          <w:rFonts w:ascii="Times New Roman" w:hAnsi="Times New Roman"/>
          <w:noProof/>
          <w:sz w:val="22"/>
          <w:szCs w:val="22"/>
          <w:lang w:eastAsia="bg-BG"/>
        </w:rPr>
      </w:pPr>
      <w:hyperlink w:anchor="_Toc233185126" w:history="1">
        <w:r w:rsidR="00761800" w:rsidRPr="00761800">
          <w:rPr>
            <w:rFonts w:ascii="Times New Roman" w:hAnsi="Times New Roman"/>
            <w:noProof/>
            <w:color w:val="0000FF"/>
            <w:sz w:val="22"/>
            <w:szCs w:val="22"/>
            <w:u w:val="single"/>
            <w:lang w:eastAsia="en-GB"/>
          </w:rPr>
          <w:t>Табл. II</w:t>
        </w:r>
        <w:r w:rsidR="00761800" w:rsidRPr="00761800">
          <w:rPr>
            <w:rFonts w:ascii="Times New Roman" w:hAnsi="Times New Roman"/>
            <w:noProof/>
            <w:color w:val="0000FF"/>
            <w:sz w:val="22"/>
            <w:szCs w:val="22"/>
            <w:u w:val="single"/>
            <w:lang w:eastAsia="en-GB"/>
          </w:rPr>
          <w:noBreakHyphen/>
          <w:t>4:</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КФП – Сметки за средства от ЕС (2026-2028 г.)</w:t>
        </w:r>
        <w:r w:rsidR="00761800" w:rsidRPr="00761800">
          <w:rPr>
            <w:rFonts w:ascii="Times New Roman" w:hAnsi="Times New Roman"/>
            <w:noProof/>
            <w:color w:val="0000FF"/>
            <w:sz w:val="22"/>
            <w:szCs w:val="22"/>
            <w:u w:val="single"/>
            <w:vertAlign w:val="superscript"/>
            <w:lang w:eastAsia="en-GB"/>
          </w:rPr>
          <w:t xml:space="preserve"> </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_Toc233185126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236</w:t>
        </w:r>
        <w:r w:rsidR="00761800" w:rsidRPr="00761800">
          <w:rPr>
            <w:rFonts w:ascii="Times New Roman" w:hAnsi="Times New Roman"/>
            <w:noProof/>
            <w:webHidden/>
            <w:sz w:val="22"/>
            <w:szCs w:val="22"/>
            <w:lang w:eastAsia="en-GB"/>
          </w:rPr>
          <w:fldChar w:fldCharType="end"/>
        </w:r>
      </w:hyperlink>
    </w:p>
    <w:p w14:paraId="036F0E69" w14:textId="4446410E" w:rsidR="00761800" w:rsidRPr="00761800" w:rsidRDefault="00406B4D" w:rsidP="00761800">
      <w:pPr>
        <w:tabs>
          <w:tab w:val="left" w:pos="1261"/>
          <w:tab w:val="right" w:leader="dot" w:pos="9060"/>
        </w:tabs>
        <w:ind w:left="1134" w:hanging="1134"/>
        <w:jc w:val="both"/>
        <w:rPr>
          <w:rFonts w:ascii="Times New Roman" w:hAnsi="Times New Roman"/>
          <w:noProof/>
          <w:sz w:val="22"/>
          <w:szCs w:val="22"/>
          <w:lang w:eastAsia="bg-BG"/>
        </w:rPr>
      </w:pPr>
      <w:hyperlink w:anchor="_Toc233185127" w:history="1">
        <w:r w:rsidR="00761800" w:rsidRPr="00761800">
          <w:rPr>
            <w:rFonts w:ascii="Times New Roman" w:hAnsi="Times New Roman"/>
            <w:noProof/>
            <w:color w:val="0000FF"/>
            <w:sz w:val="22"/>
            <w:szCs w:val="22"/>
            <w:u w:val="single"/>
            <w:lang w:eastAsia="en-GB"/>
          </w:rPr>
          <w:t>Табл. II</w:t>
        </w:r>
        <w:r w:rsidR="00761800" w:rsidRPr="00761800">
          <w:rPr>
            <w:rFonts w:ascii="Times New Roman" w:hAnsi="Times New Roman"/>
            <w:noProof/>
            <w:color w:val="0000FF"/>
            <w:sz w:val="22"/>
            <w:szCs w:val="22"/>
            <w:u w:val="single"/>
            <w:lang w:eastAsia="en-GB"/>
          </w:rPr>
          <w:noBreakHyphen/>
          <w:t>5:</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Фискален ангажимент</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_Toc233185127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238</w:t>
        </w:r>
        <w:r w:rsidR="00761800" w:rsidRPr="00761800">
          <w:rPr>
            <w:rFonts w:ascii="Times New Roman" w:hAnsi="Times New Roman"/>
            <w:noProof/>
            <w:webHidden/>
            <w:sz w:val="22"/>
            <w:szCs w:val="22"/>
            <w:lang w:eastAsia="en-GB"/>
          </w:rPr>
          <w:fldChar w:fldCharType="end"/>
        </w:r>
      </w:hyperlink>
    </w:p>
    <w:p w14:paraId="56887163" w14:textId="1E76F6DE" w:rsidR="00761800" w:rsidRPr="00761800" w:rsidRDefault="00406B4D" w:rsidP="00761800">
      <w:pPr>
        <w:tabs>
          <w:tab w:val="left" w:pos="1314"/>
          <w:tab w:val="right" w:leader="dot" w:pos="9060"/>
        </w:tabs>
        <w:ind w:left="1134" w:hanging="1134"/>
        <w:jc w:val="both"/>
        <w:rPr>
          <w:rFonts w:ascii="Times New Roman" w:hAnsi="Times New Roman"/>
          <w:noProof/>
          <w:sz w:val="22"/>
          <w:szCs w:val="22"/>
          <w:lang w:eastAsia="bg-BG"/>
        </w:rPr>
      </w:pPr>
      <w:hyperlink w:anchor="_Toc233185128" w:history="1">
        <w:r w:rsidR="00761800" w:rsidRPr="00761800">
          <w:rPr>
            <w:rFonts w:ascii="Times New Roman" w:hAnsi="Times New Roman"/>
            <w:noProof/>
            <w:color w:val="0000FF"/>
            <w:sz w:val="22"/>
            <w:szCs w:val="22"/>
            <w:u w:val="single"/>
            <w:lang w:eastAsia="en-GB"/>
          </w:rPr>
          <w:t>Табл. II</w:t>
        </w:r>
        <w:r w:rsidR="00761800" w:rsidRPr="00761800">
          <w:rPr>
            <w:rFonts w:ascii="Times New Roman" w:hAnsi="Times New Roman"/>
            <w:noProof/>
            <w:color w:val="0000FF"/>
            <w:sz w:val="22"/>
            <w:szCs w:val="22"/>
            <w:u w:val="single"/>
            <w:lang w:eastAsia="en-GB"/>
          </w:rPr>
          <w:noBreakHyphen/>
          <w:t>6:</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Изменение на показателите на сектор „Държавно управление“ за периода 2025-2028 г.</w:t>
        </w:r>
        <w:r w:rsidR="00761800" w:rsidRPr="00761800">
          <w:rPr>
            <w:rFonts w:ascii="Times New Roman" w:hAnsi="Times New Roman"/>
            <w:noProof/>
            <w:color w:val="0000FF"/>
            <w:sz w:val="22"/>
            <w:szCs w:val="22"/>
            <w:u w:val="single"/>
            <w:vertAlign w:val="superscript"/>
            <w:lang w:eastAsia="en-GB"/>
          </w:rPr>
          <w:t xml:space="preserve"> </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_Toc233185128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240</w:t>
        </w:r>
        <w:r w:rsidR="00761800" w:rsidRPr="00761800">
          <w:rPr>
            <w:rFonts w:ascii="Times New Roman" w:hAnsi="Times New Roman"/>
            <w:noProof/>
            <w:webHidden/>
            <w:sz w:val="22"/>
            <w:szCs w:val="22"/>
            <w:lang w:eastAsia="en-GB"/>
          </w:rPr>
          <w:fldChar w:fldCharType="end"/>
        </w:r>
      </w:hyperlink>
    </w:p>
    <w:p w14:paraId="4B72D95A" w14:textId="1A9C0D21" w:rsidR="00761800" w:rsidRPr="00761800" w:rsidRDefault="00406B4D" w:rsidP="00761800">
      <w:pPr>
        <w:tabs>
          <w:tab w:val="left" w:pos="1333"/>
          <w:tab w:val="right" w:leader="dot" w:pos="9060"/>
        </w:tabs>
        <w:ind w:left="1134" w:hanging="1134"/>
        <w:jc w:val="both"/>
        <w:rPr>
          <w:rFonts w:ascii="Times New Roman" w:hAnsi="Times New Roman"/>
          <w:noProof/>
          <w:sz w:val="22"/>
          <w:szCs w:val="22"/>
          <w:lang w:eastAsia="bg-BG"/>
        </w:rPr>
      </w:pPr>
      <w:hyperlink w:anchor="_Toc233185129" w:history="1">
        <w:r w:rsidR="00761800" w:rsidRPr="00761800">
          <w:rPr>
            <w:rFonts w:ascii="Times New Roman" w:hAnsi="Times New Roman"/>
            <w:noProof/>
            <w:color w:val="0000FF"/>
            <w:sz w:val="22"/>
            <w:szCs w:val="22"/>
            <w:u w:val="single"/>
            <w:lang w:eastAsia="en-GB"/>
          </w:rPr>
          <w:t>Табл. II</w:t>
        </w:r>
        <w:r w:rsidR="00761800" w:rsidRPr="00761800">
          <w:rPr>
            <w:rFonts w:ascii="Times New Roman" w:hAnsi="Times New Roman"/>
            <w:noProof/>
            <w:color w:val="0000FF"/>
            <w:sz w:val="22"/>
            <w:szCs w:val="22"/>
            <w:u w:val="single"/>
            <w:lang w:eastAsia="en-GB"/>
          </w:rPr>
          <w:noBreakHyphen/>
          <w:t>7:</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Бюджетна прогноза на сектор „Държавно управление“ при непроменени политики за периода 2025-2028 г.</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_Toc233185129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242</w:t>
        </w:r>
        <w:r w:rsidR="00761800" w:rsidRPr="00761800">
          <w:rPr>
            <w:rFonts w:ascii="Times New Roman" w:hAnsi="Times New Roman"/>
            <w:noProof/>
            <w:webHidden/>
            <w:sz w:val="22"/>
            <w:szCs w:val="22"/>
            <w:lang w:eastAsia="en-GB"/>
          </w:rPr>
          <w:fldChar w:fldCharType="end"/>
        </w:r>
      </w:hyperlink>
    </w:p>
    <w:p w14:paraId="10092B3D" w14:textId="5FD0C29C" w:rsidR="00761800" w:rsidRPr="00761800" w:rsidRDefault="00406B4D" w:rsidP="00761800">
      <w:pPr>
        <w:tabs>
          <w:tab w:val="left" w:pos="1261"/>
          <w:tab w:val="right" w:leader="dot" w:pos="9060"/>
        </w:tabs>
        <w:ind w:left="1134" w:hanging="1134"/>
        <w:jc w:val="both"/>
        <w:rPr>
          <w:rFonts w:ascii="Times New Roman" w:hAnsi="Times New Roman"/>
          <w:noProof/>
          <w:sz w:val="22"/>
          <w:szCs w:val="22"/>
          <w:lang w:eastAsia="bg-BG"/>
        </w:rPr>
      </w:pPr>
      <w:hyperlink w:anchor="_Toc233185130" w:history="1">
        <w:r w:rsidR="00761800" w:rsidRPr="00761800">
          <w:rPr>
            <w:rFonts w:ascii="Times New Roman" w:hAnsi="Times New Roman"/>
            <w:noProof/>
            <w:color w:val="0000FF"/>
            <w:sz w:val="22"/>
            <w:szCs w:val="22"/>
            <w:u w:val="single"/>
            <w:lang w:eastAsia="en-GB"/>
          </w:rPr>
          <w:t>Табл. II</w:t>
        </w:r>
        <w:r w:rsidR="00761800" w:rsidRPr="00761800">
          <w:rPr>
            <w:rFonts w:ascii="Times New Roman" w:hAnsi="Times New Roman"/>
            <w:noProof/>
            <w:color w:val="0000FF"/>
            <w:sz w:val="22"/>
            <w:szCs w:val="22"/>
            <w:u w:val="single"/>
            <w:lang w:eastAsia="en-GB"/>
          </w:rPr>
          <w:noBreakHyphen/>
          <w:t>8:</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Дискреционни приходни мерки на начислена основа, млн. евро</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_Toc233185130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245</w:t>
        </w:r>
        <w:r w:rsidR="00761800" w:rsidRPr="00761800">
          <w:rPr>
            <w:rFonts w:ascii="Times New Roman" w:hAnsi="Times New Roman"/>
            <w:noProof/>
            <w:webHidden/>
            <w:sz w:val="22"/>
            <w:szCs w:val="22"/>
            <w:lang w:eastAsia="en-GB"/>
          </w:rPr>
          <w:fldChar w:fldCharType="end"/>
        </w:r>
      </w:hyperlink>
    </w:p>
    <w:p w14:paraId="4ACC78F5" w14:textId="74FE5E19" w:rsidR="00761800" w:rsidRPr="00761800" w:rsidRDefault="00406B4D" w:rsidP="00761800">
      <w:pPr>
        <w:tabs>
          <w:tab w:val="left" w:pos="1261"/>
          <w:tab w:val="right" w:leader="dot" w:pos="9060"/>
        </w:tabs>
        <w:ind w:left="1134" w:hanging="1134"/>
        <w:jc w:val="both"/>
        <w:rPr>
          <w:rFonts w:ascii="Times New Roman" w:hAnsi="Times New Roman"/>
          <w:noProof/>
          <w:sz w:val="22"/>
          <w:szCs w:val="22"/>
          <w:lang w:eastAsia="bg-BG"/>
        </w:rPr>
      </w:pPr>
      <w:hyperlink w:anchor="_Toc233185131" w:history="1">
        <w:r w:rsidR="00761800" w:rsidRPr="00761800">
          <w:rPr>
            <w:rFonts w:ascii="Times New Roman" w:hAnsi="Times New Roman"/>
            <w:noProof/>
            <w:color w:val="0000FF"/>
            <w:sz w:val="22"/>
            <w:szCs w:val="22"/>
            <w:u w:val="single"/>
            <w:lang w:eastAsia="en-GB"/>
          </w:rPr>
          <w:t>Табл. II</w:t>
        </w:r>
        <w:r w:rsidR="00761800" w:rsidRPr="00761800">
          <w:rPr>
            <w:rFonts w:ascii="Times New Roman" w:hAnsi="Times New Roman"/>
            <w:noProof/>
            <w:color w:val="0000FF"/>
            <w:sz w:val="22"/>
            <w:szCs w:val="22"/>
            <w:u w:val="single"/>
            <w:lang w:eastAsia="en-GB"/>
          </w:rPr>
          <w:noBreakHyphen/>
          <w:t>9:</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Дискреционни разходни мерки на начислена основа, млн. евро</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_Toc233185131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246</w:t>
        </w:r>
        <w:r w:rsidR="00761800" w:rsidRPr="00761800">
          <w:rPr>
            <w:rFonts w:ascii="Times New Roman" w:hAnsi="Times New Roman"/>
            <w:noProof/>
            <w:webHidden/>
            <w:sz w:val="22"/>
            <w:szCs w:val="22"/>
            <w:lang w:eastAsia="en-GB"/>
          </w:rPr>
          <w:fldChar w:fldCharType="end"/>
        </w:r>
      </w:hyperlink>
    </w:p>
    <w:p w14:paraId="214938E1" w14:textId="32D093DC" w:rsidR="00761800" w:rsidRPr="00761800" w:rsidRDefault="00406B4D" w:rsidP="00761800">
      <w:pPr>
        <w:tabs>
          <w:tab w:val="left" w:pos="1276"/>
          <w:tab w:val="right" w:leader="dot" w:pos="9060"/>
        </w:tabs>
        <w:ind w:left="1134" w:hanging="1134"/>
        <w:jc w:val="both"/>
        <w:rPr>
          <w:rFonts w:ascii="Times New Roman" w:hAnsi="Times New Roman"/>
          <w:noProof/>
          <w:sz w:val="22"/>
          <w:szCs w:val="22"/>
          <w:lang w:eastAsia="bg-BG"/>
        </w:rPr>
      </w:pPr>
      <w:hyperlink w:anchor="_Toc233185132" w:history="1">
        <w:r w:rsidR="00761800" w:rsidRPr="00761800">
          <w:rPr>
            <w:rFonts w:ascii="Times New Roman" w:hAnsi="Times New Roman"/>
            <w:noProof/>
            <w:color w:val="0000FF"/>
            <w:sz w:val="22"/>
            <w:szCs w:val="22"/>
            <w:u w:val="single"/>
            <w:lang w:eastAsia="en-GB"/>
          </w:rPr>
          <w:t>Табл. II</w:t>
        </w:r>
        <w:r w:rsidR="00761800" w:rsidRPr="00761800">
          <w:rPr>
            <w:rFonts w:ascii="Times New Roman" w:hAnsi="Times New Roman"/>
            <w:noProof/>
            <w:color w:val="0000FF"/>
            <w:sz w:val="22"/>
            <w:szCs w:val="22"/>
            <w:u w:val="single"/>
            <w:lang w:eastAsia="en-GB"/>
          </w:rPr>
          <w:noBreakHyphen/>
          <w:t>10:</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Сравнение на бюджетната прогноза на МФ с прогнозата на ЕК</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_Toc233185132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247</w:t>
        </w:r>
        <w:r w:rsidR="00761800" w:rsidRPr="00761800">
          <w:rPr>
            <w:rFonts w:ascii="Times New Roman" w:hAnsi="Times New Roman"/>
            <w:noProof/>
            <w:webHidden/>
            <w:sz w:val="22"/>
            <w:szCs w:val="22"/>
            <w:lang w:eastAsia="en-GB"/>
          </w:rPr>
          <w:fldChar w:fldCharType="end"/>
        </w:r>
      </w:hyperlink>
    </w:p>
    <w:p w14:paraId="1117DC78" w14:textId="52C134D2" w:rsidR="00761800" w:rsidRPr="00761800" w:rsidRDefault="00406B4D" w:rsidP="00761800">
      <w:pPr>
        <w:tabs>
          <w:tab w:val="left" w:pos="1367"/>
          <w:tab w:val="right" w:leader="dot" w:pos="9060"/>
        </w:tabs>
        <w:ind w:left="1134" w:hanging="1134"/>
        <w:jc w:val="both"/>
        <w:rPr>
          <w:rFonts w:ascii="Times New Roman" w:hAnsi="Times New Roman"/>
          <w:noProof/>
          <w:sz w:val="22"/>
          <w:szCs w:val="22"/>
          <w:lang w:eastAsia="bg-BG"/>
        </w:rPr>
      </w:pPr>
      <w:hyperlink w:anchor="_Toc233185133" w:history="1">
        <w:r w:rsidR="00761800" w:rsidRPr="00761800">
          <w:rPr>
            <w:rFonts w:ascii="Times New Roman" w:hAnsi="Times New Roman"/>
            <w:noProof/>
            <w:color w:val="0000FF"/>
            <w:sz w:val="22"/>
            <w:szCs w:val="22"/>
            <w:u w:val="single"/>
            <w:lang w:eastAsia="en-GB"/>
          </w:rPr>
          <w:t>Табл. III</w:t>
        </w:r>
        <w:r w:rsidR="00761800" w:rsidRPr="00761800">
          <w:rPr>
            <w:rFonts w:ascii="Times New Roman" w:hAnsi="Times New Roman"/>
            <w:noProof/>
            <w:color w:val="0000FF"/>
            <w:sz w:val="22"/>
            <w:szCs w:val="22"/>
            <w:u w:val="single"/>
            <w:lang w:eastAsia="en-GB"/>
          </w:rPr>
          <w:noBreakHyphen/>
          <w:t>1:</w:t>
        </w:r>
        <w:r w:rsidR="00761800" w:rsidRPr="00761800">
          <w:rPr>
            <w:rFonts w:ascii="Times New Roman" w:hAnsi="Times New Roman"/>
            <w:noProof/>
            <w:sz w:val="22"/>
            <w:szCs w:val="22"/>
            <w:lang w:eastAsia="bg-BG"/>
          </w:rPr>
          <w:tab/>
        </w:r>
        <w:r w:rsidR="00761800" w:rsidRPr="00761800">
          <w:rPr>
            <w:rFonts w:ascii="Times New Roman" w:hAnsi="Times New Roman" w:cs="Calibri"/>
            <w:noProof/>
            <w:color w:val="0000FF"/>
            <w:sz w:val="22"/>
            <w:szCs w:val="22"/>
            <w:u w:val="single"/>
            <w:lang w:eastAsia="en-GB"/>
          </w:rPr>
          <w:t>Разходи по функции по КФП за периода 2026-2028 г. с разпределен резерв по функции (без вноска в общия бюджет на ЕС)</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_Toc233185133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275</w:t>
        </w:r>
        <w:r w:rsidR="00761800" w:rsidRPr="00761800">
          <w:rPr>
            <w:rFonts w:ascii="Times New Roman" w:hAnsi="Times New Roman"/>
            <w:noProof/>
            <w:webHidden/>
            <w:sz w:val="22"/>
            <w:szCs w:val="22"/>
            <w:lang w:eastAsia="en-GB"/>
          </w:rPr>
          <w:fldChar w:fldCharType="end"/>
        </w:r>
      </w:hyperlink>
    </w:p>
    <w:p w14:paraId="5B719B11" w14:textId="7622D088" w:rsidR="00761800" w:rsidRPr="00761800" w:rsidRDefault="00406B4D" w:rsidP="00761800">
      <w:pPr>
        <w:tabs>
          <w:tab w:val="left" w:pos="1341"/>
          <w:tab w:val="right" w:leader="dot" w:pos="9060"/>
        </w:tabs>
        <w:ind w:left="1134" w:hanging="1134"/>
        <w:jc w:val="both"/>
        <w:rPr>
          <w:rFonts w:ascii="Times New Roman" w:hAnsi="Times New Roman"/>
          <w:noProof/>
          <w:sz w:val="22"/>
          <w:szCs w:val="22"/>
          <w:lang w:eastAsia="bg-BG"/>
        </w:rPr>
      </w:pPr>
      <w:hyperlink w:anchor="_Toc233185134" w:history="1">
        <w:r w:rsidR="00761800" w:rsidRPr="00761800">
          <w:rPr>
            <w:rFonts w:ascii="Times New Roman" w:hAnsi="Times New Roman"/>
            <w:noProof/>
            <w:color w:val="0000FF"/>
            <w:sz w:val="22"/>
            <w:szCs w:val="22"/>
            <w:u w:val="single"/>
            <w:lang w:eastAsia="en-GB"/>
          </w:rPr>
          <w:t>Табл. III</w:t>
        </w:r>
        <w:r w:rsidR="00761800" w:rsidRPr="00761800">
          <w:rPr>
            <w:rFonts w:ascii="Times New Roman" w:hAnsi="Times New Roman"/>
            <w:noProof/>
            <w:color w:val="0000FF"/>
            <w:sz w:val="22"/>
            <w:szCs w:val="22"/>
            <w:u w:val="single"/>
            <w:lang w:eastAsia="en-GB"/>
          </w:rPr>
          <w:noBreakHyphen/>
          <w:t>2:</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Разходи за отбрана за периода 2025-2028 г.</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_Toc233185134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289</w:t>
        </w:r>
        <w:r w:rsidR="00761800" w:rsidRPr="00761800">
          <w:rPr>
            <w:rFonts w:ascii="Times New Roman" w:hAnsi="Times New Roman"/>
            <w:noProof/>
            <w:webHidden/>
            <w:sz w:val="22"/>
            <w:szCs w:val="22"/>
            <w:lang w:eastAsia="en-GB"/>
          </w:rPr>
          <w:fldChar w:fldCharType="end"/>
        </w:r>
      </w:hyperlink>
    </w:p>
    <w:p w14:paraId="3056D336" w14:textId="0BC70B14" w:rsidR="00761800" w:rsidRPr="00761800" w:rsidRDefault="00406B4D" w:rsidP="00761800">
      <w:pPr>
        <w:tabs>
          <w:tab w:val="left" w:pos="1367"/>
          <w:tab w:val="right" w:leader="dot" w:pos="9060"/>
        </w:tabs>
        <w:ind w:left="1134" w:hanging="1134"/>
        <w:jc w:val="both"/>
        <w:rPr>
          <w:rFonts w:ascii="Times New Roman" w:hAnsi="Times New Roman"/>
          <w:noProof/>
          <w:sz w:val="22"/>
          <w:szCs w:val="22"/>
          <w:lang w:eastAsia="bg-BG"/>
        </w:rPr>
      </w:pPr>
      <w:hyperlink w:anchor="_Toc233185135" w:history="1">
        <w:r w:rsidR="00761800" w:rsidRPr="00761800">
          <w:rPr>
            <w:rFonts w:ascii="Times New Roman" w:hAnsi="Times New Roman"/>
            <w:noProof/>
            <w:color w:val="0000FF"/>
            <w:sz w:val="22"/>
            <w:szCs w:val="22"/>
            <w:u w:val="single"/>
            <w:lang w:eastAsia="en-GB"/>
          </w:rPr>
          <w:t>Табл. IV</w:t>
        </w:r>
        <w:r w:rsidR="00761800" w:rsidRPr="00761800">
          <w:rPr>
            <w:rFonts w:ascii="Times New Roman" w:hAnsi="Times New Roman"/>
            <w:noProof/>
            <w:color w:val="0000FF"/>
            <w:sz w:val="22"/>
            <w:szCs w:val="22"/>
            <w:u w:val="single"/>
            <w:lang w:eastAsia="en-GB"/>
          </w:rPr>
          <w:noBreakHyphen/>
          <w:t>1:</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Основни бюджетни взаимоотношения на общините с централния бюджет за периода 2026-2028 г.</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_Toc233185135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334</w:t>
        </w:r>
        <w:r w:rsidR="00761800" w:rsidRPr="00761800">
          <w:rPr>
            <w:rFonts w:ascii="Times New Roman" w:hAnsi="Times New Roman"/>
            <w:noProof/>
            <w:webHidden/>
            <w:sz w:val="22"/>
            <w:szCs w:val="22"/>
            <w:lang w:eastAsia="en-GB"/>
          </w:rPr>
          <w:fldChar w:fldCharType="end"/>
        </w:r>
      </w:hyperlink>
    </w:p>
    <w:p w14:paraId="0DF19803" w14:textId="2EDD1319" w:rsidR="00761800" w:rsidRPr="00761800" w:rsidRDefault="00406B4D" w:rsidP="00761800">
      <w:pPr>
        <w:tabs>
          <w:tab w:val="left" w:pos="1275"/>
          <w:tab w:val="right" w:leader="dot" w:pos="9060"/>
        </w:tabs>
        <w:ind w:left="1134" w:hanging="1134"/>
        <w:jc w:val="both"/>
        <w:rPr>
          <w:rFonts w:ascii="Times New Roman" w:hAnsi="Times New Roman"/>
          <w:noProof/>
          <w:sz w:val="22"/>
          <w:szCs w:val="22"/>
          <w:lang w:eastAsia="bg-BG"/>
        </w:rPr>
      </w:pPr>
      <w:hyperlink w:anchor="_Toc233185136" w:history="1">
        <w:r w:rsidR="00761800" w:rsidRPr="00761800">
          <w:rPr>
            <w:rFonts w:ascii="Times New Roman" w:hAnsi="Times New Roman"/>
            <w:noProof/>
            <w:color w:val="0000FF"/>
            <w:sz w:val="22"/>
            <w:szCs w:val="22"/>
            <w:u w:val="single"/>
            <w:lang w:eastAsia="en-GB"/>
          </w:rPr>
          <w:t>Табл. V</w:t>
        </w:r>
        <w:r w:rsidR="00761800" w:rsidRPr="00761800">
          <w:rPr>
            <w:rFonts w:ascii="Times New Roman" w:hAnsi="Times New Roman"/>
            <w:noProof/>
            <w:color w:val="0000FF"/>
            <w:sz w:val="22"/>
            <w:szCs w:val="22"/>
            <w:u w:val="single"/>
            <w:lang w:eastAsia="en-GB"/>
          </w:rPr>
          <w:noBreakHyphen/>
          <w:t>1:</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Разходи и плащания за селскостопанската политика за периода 2026-2028 г.</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_Toc233185136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339</w:t>
        </w:r>
        <w:r w:rsidR="00761800" w:rsidRPr="00761800">
          <w:rPr>
            <w:rFonts w:ascii="Times New Roman" w:hAnsi="Times New Roman"/>
            <w:noProof/>
            <w:webHidden/>
            <w:sz w:val="22"/>
            <w:szCs w:val="22"/>
            <w:lang w:eastAsia="en-GB"/>
          </w:rPr>
          <w:fldChar w:fldCharType="end"/>
        </w:r>
      </w:hyperlink>
    </w:p>
    <w:p w14:paraId="086152F5" w14:textId="1406AD91" w:rsidR="00761800" w:rsidRPr="00761800" w:rsidRDefault="00406B4D" w:rsidP="00761800">
      <w:pPr>
        <w:tabs>
          <w:tab w:val="left" w:pos="1275"/>
          <w:tab w:val="right" w:leader="dot" w:pos="9060"/>
        </w:tabs>
        <w:ind w:left="1134" w:hanging="1134"/>
        <w:jc w:val="both"/>
        <w:rPr>
          <w:rFonts w:ascii="Times New Roman" w:hAnsi="Times New Roman"/>
          <w:noProof/>
          <w:sz w:val="22"/>
          <w:szCs w:val="22"/>
          <w:lang w:eastAsia="bg-BG"/>
        </w:rPr>
      </w:pPr>
      <w:hyperlink w:anchor="_Toc233185137" w:history="1">
        <w:r w:rsidR="00761800" w:rsidRPr="00761800">
          <w:rPr>
            <w:rFonts w:ascii="Times New Roman" w:hAnsi="Times New Roman"/>
            <w:noProof/>
            <w:color w:val="0000FF"/>
            <w:sz w:val="22"/>
            <w:szCs w:val="22"/>
            <w:u w:val="single"/>
            <w:lang w:eastAsia="en-GB"/>
          </w:rPr>
          <w:t>Табл. V</w:t>
        </w:r>
        <w:r w:rsidR="00761800" w:rsidRPr="00761800">
          <w:rPr>
            <w:rFonts w:ascii="Times New Roman" w:hAnsi="Times New Roman"/>
            <w:noProof/>
            <w:color w:val="0000FF"/>
            <w:sz w:val="22"/>
            <w:szCs w:val="22"/>
            <w:u w:val="single"/>
            <w:lang w:eastAsia="en-GB"/>
          </w:rPr>
          <w:noBreakHyphen/>
          <w:t>2:</w:t>
        </w:r>
        <w:r w:rsidR="00761800" w:rsidRPr="00761800">
          <w:rPr>
            <w:rFonts w:ascii="Times New Roman" w:hAnsi="Times New Roman"/>
            <w:noProof/>
            <w:sz w:val="22"/>
            <w:szCs w:val="22"/>
            <w:lang w:eastAsia="bg-BG"/>
          </w:rPr>
          <w:tab/>
        </w:r>
        <w:r w:rsidR="00761800" w:rsidRPr="00761800">
          <w:rPr>
            <w:rFonts w:ascii="Times New Roman" w:hAnsi="Times New Roman" w:cs="Calibri"/>
            <w:noProof/>
            <w:color w:val="0000FF"/>
            <w:sz w:val="22"/>
            <w:szCs w:val="22"/>
            <w:u w:val="single"/>
            <w:lang w:eastAsia="en-GB"/>
          </w:rPr>
          <w:t>Разходи и плащания за рибарската политика за периода 2026-2028 г.</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_Toc233185137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339</w:t>
        </w:r>
        <w:r w:rsidR="00761800" w:rsidRPr="00761800">
          <w:rPr>
            <w:rFonts w:ascii="Times New Roman" w:hAnsi="Times New Roman"/>
            <w:noProof/>
            <w:webHidden/>
            <w:sz w:val="22"/>
            <w:szCs w:val="22"/>
            <w:lang w:eastAsia="en-GB"/>
          </w:rPr>
          <w:fldChar w:fldCharType="end"/>
        </w:r>
      </w:hyperlink>
    </w:p>
    <w:p w14:paraId="18B82665" w14:textId="500450A1" w:rsidR="00761800" w:rsidRPr="00761800" w:rsidRDefault="00406B4D" w:rsidP="00761800">
      <w:pPr>
        <w:tabs>
          <w:tab w:val="left" w:pos="1355"/>
          <w:tab w:val="right" w:leader="dot" w:pos="9060"/>
        </w:tabs>
        <w:ind w:left="1134" w:hanging="1134"/>
        <w:jc w:val="both"/>
        <w:rPr>
          <w:rFonts w:ascii="Times New Roman" w:hAnsi="Times New Roman"/>
          <w:noProof/>
          <w:sz w:val="22"/>
          <w:szCs w:val="22"/>
          <w:lang w:eastAsia="bg-BG"/>
        </w:rPr>
      </w:pPr>
      <w:hyperlink w:anchor="_Toc233185138" w:history="1">
        <w:r w:rsidR="00761800" w:rsidRPr="00761800">
          <w:rPr>
            <w:rFonts w:ascii="Times New Roman" w:hAnsi="Times New Roman"/>
            <w:noProof/>
            <w:color w:val="0000FF"/>
            <w:sz w:val="22"/>
            <w:szCs w:val="22"/>
            <w:u w:val="single"/>
            <w:lang w:eastAsia="en-GB"/>
          </w:rPr>
          <w:t>Табл. VI</w:t>
        </w:r>
        <w:r w:rsidR="00761800" w:rsidRPr="00761800">
          <w:rPr>
            <w:rFonts w:ascii="Times New Roman" w:hAnsi="Times New Roman"/>
            <w:noProof/>
            <w:color w:val="0000FF"/>
            <w:sz w:val="22"/>
            <w:szCs w:val="22"/>
            <w:u w:val="single"/>
            <w:lang w:eastAsia="en-GB"/>
          </w:rPr>
          <w:noBreakHyphen/>
          <w:t>1:</w:t>
        </w:r>
        <w:r w:rsidR="00761800" w:rsidRPr="00761800">
          <w:rPr>
            <w:rFonts w:ascii="Times New Roman" w:hAnsi="Times New Roman"/>
            <w:noProof/>
            <w:sz w:val="22"/>
            <w:szCs w:val="22"/>
            <w:lang w:eastAsia="bg-BG"/>
          </w:rPr>
          <w:tab/>
        </w:r>
        <w:r w:rsidR="00761800" w:rsidRPr="00761800">
          <w:rPr>
            <w:rFonts w:ascii="Times New Roman" w:hAnsi="Times New Roman" w:cs="Calibri"/>
            <w:noProof/>
            <w:color w:val="0000FF"/>
            <w:sz w:val="22"/>
            <w:szCs w:val="22"/>
            <w:u w:val="single"/>
            <w:lang w:eastAsia="en-GB"/>
          </w:rPr>
          <w:t>Държавен дълг – вътрешен и външен и съотношение спрямо БВП</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_Toc233185138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348</w:t>
        </w:r>
        <w:r w:rsidR="00761800" w:rsidRPr="00761800">
          <w:rPr>
            <w:rFonts w:ascii="Times New Roman" w:hAnsi="Times New Roman"/>
            <w:noProof/>
            <w:webHidden/>
            <w:sz w:val="22"/>
            <w:szCs w:val="22"/>
            <w:lang w:eastAsia="en-GB"/>
          </w:rPr>
          <w:fldChar w:fldCharType="end"/>
        </w:r>
      </w:hyperlink>
    </w:p>
    <w:p w14:paraId="6BA5BCAB" w14:textId="2692D023" w:rsidR="00761800" w:rsidRPr="00761800" w:rsidRDefault="00406B4D" w:rsidP="00761800">
      <w:pPr>
        <w:tabs>
          <w:tab w:val="left" w:pos="1355"/>
          <w:tab w:val="right" w:leader="dot" w:pos="9060"/>
        </w:tabs>
        <w:ind w:left="1134" w:hanging="1134"/>
        <w:jc w:val="both"/>
        <w:rPr>
          <w:rFonts w:ascii="Times New Roman" w:hAnsi="Times New Roman"/>
          <w:noProof/>
          <w:sz w:val="22"/>
          <w:szCs w:val="22"/>
          <w:lang w:eastAsia="bg-BG"/>
        </w:rPr>
      </w:pPr>
      <w:hyperlink w:anchor="_Toc233185139" w:history="1">
        <w:r w:rsidR="00761800" w:rsidRPr="00761800">
          <w:rPr>
            <w:rFonts w:ascii="Times New Roman" w:hAnsi="Times New Roman"/>
            <w:noProof/>
            <w:color w:val="0000FF"/>
            <w:sz w:val="22"/>
            <w:szCs w:val="22"/>
            <w:u w:val="single"/>
            <w:lang w:eastAsia="en-GB"/>
          </w:rPr>
          <w:t>Табл. VI</w:t>
        </w:r>
        <w:r w:rsidR="00761800" w:rsidRPr="00761800">
          <w:rPr>
            <w:rFonts w:ascii="Times New Roman" w:hAnsi="Times New Roman"/>
            <w:noProof/>
            <w:color w:val="0000FF"/>
            <w:sz w:val="22"/>
            <w:szCs w:val="22"/>
            <w:u w:val="single"/>
            <w:lang w:eastAsia="en-GB"/>
          </w:rPr>
          <w:noBreakHyphen/>
          <w:t>2:</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Структура на държавния дълг за периода 2024-2028 г.</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_Toc233185139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350</w:t>
        </w:r>
        <w:r w:rsidR="00761800" w:rsidRPr="00761800">
          <w:rPr>
            <w:rFonts w:ascii="Times New Roman" w:hAnsi="Times New Roman"/>
            <w:noProof/>
            <w:webHidden/>
            <w:sz w:val="22"/>
            <w:szCs w:val="22"/>
            <w:lang w:eastAsia="en-GB"/>
          </w:rPr>
          <w:fldChar w:fldCharType="end"/>
        </w:r>
      </w:hyperlink>
    </w:p>
    <w:p w14:paraId="5043CD01" w14:textId="7CB2A5E9" w:rsidR="00761800" w:rsidRPr="00761800" w:rsidRDefault="00406B4D" w:rsidP="00761800">
      <w:pPr>
        <w:tabs>
          <w:tab w:val="left" w:pos="1435"/>
          <w:tab w:val="right" w:leader="dot" w:pos="9060"/>
        </w:tabs>
        <w:ind w:left="1134" w:hanging="1134"/>
        <w:jc w:val="both"/>
        <w:rPr>
          <w:rFonts w:ascii="Times New Roman" w:hAnsi="Times New Roman"/>
          <w:noProof/>
          <w:sz w:val="22"/>
          <w:szCs w:val="22"/>
          <w:lang w:eastAsia="bg-BG"/>
        </w:rPr>
      </w:pPr>
      <w:hyperlink w:anchor="_Toc233185140" w:history="1">
        <w:r w:rsidR="00761800" w:rsidRPr="00761800">
          <w:rPr>
            <w:rFonts w:ascii="Times New Roman" w:hAnsi="Times New Roman"/>
            <w:noProof/>
            <w:color w:val="0000FF"/>
            <w:sz w:val="22"/>
            <w:szCs w:val="22"/>
            <w:u w:val="single"/>
            <w:lang w:eastAsia="en-GB"/>
          </w:rPr>
          <w:t>Табл. VII</w:t>
        </w:r>
        <w:r w:rsidR="00761800" w:rsidRPr="00761800">
          <w:rPr>
            <w:rFonts w:ascii="Times New Roman" w:hAnsi="Times New Roman"/>
            <w:noProof/>
            <w:color w:val="0000FF"/>
            <w:sz w:val="22"/>
            <w:szCs w:val="22"/>
            <w:u w:val="single"/>
            <w:lang w:eastAsia="en-GB"/>
          </w:rPr>
          <w:noBreakHyphen/>
          <w:t>1:</w:t>
        </w:r>
        <w:r w:rsidR="00761800" w:rsidRPr="00761800">
          <w:rPr>
            <w:rFonts w:ascii="Times New Roman" w:hAnsi="Times New Roman"/>
            <w:noProof/>
            <w:sz w:val="22"/>
            <w:szCs w:val="22"/>
            <w:lang w:eastAsia="bg-BG"/>
          </w:rPr>
          <w:tab/>
        </w:r>
        <w:r w:rsidR="00761800" w:rsidRPr="00761800">
          <w:rPr>
            <w:rFonts w:ascii="Times New Roman" w:eastAsia="MS Mincho" w:hAnsi="Times New Roman"/>
            <w:noProof/>
            <w:color w:val="0000FF"/>
            <w:sz w:val="22"/>
            <w:szCs w:val="22"/>
            <w:u w:val="single"/>
            <w:lang w:eastAsia="ar-SA"/>
          </w:rPr>
          <w:t>Индикатори за устойчивост</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_Toc233185140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358</w:t>
        </w:r>
        <w:r w:rsidR="00761800" w:rsidRPr="00761800">
          <w:rPr>
            <w:rFonts w:ascii="Times New Roman" w:hAnsi="Times New Roman"/>
            <w:noProof/>
            <w:webHidden/>
            <w:sz w:val="22"/>
            <w:szCs w:val="22"/>
            <w:lang w:eastAsia="en-GB"/>
          </w:rPr>
          <w:fldChar w:fldCharType="end"/>
        </w:r>
      </w:hyperlink>
    </w:p>
    <w:p w14:paraId="541C73F5" w14:textId="7E912F25" w:rsidR="00761800" w:rsidRPr="00761800" w:rsidRDefault="00406B4D" w:rsidP="00761800">
      <w:pPr>
        <w:tabs>
          <w:tab w:val="left" w:pos="1560"/>
          <w:tab w:val="right" w:leader="dot" w:pos="9060"/>
        </w:tabs>
        <w:ind w:left="1134" w:hanging="1134"/>
        <w:jc w:val="both"/>
        <w:rPr>
          <w:rFonts w:ascii="Times New Roman" w:hAnsi="Times New Roman"/>
          <w:noProof/>
          <w:sz w:val="22"/>
          <w:szCs w:val="22"/>
          <w:lang w:eastAsia="bg-BG"/>
        </w:rPr>
      </w:pPr>
      <w:hyperlink w:anchor="_Toc233185141" w:history="1">
        <w:r w:rsidR="00761800" w:rsidRPr="00761800">
          <w:rPr>
            <w:rFonts w:ascii="Times New Roman" w:hAnsi="Times New Roman"/>
            <w:noProof/>
            <w:color w:val="0000FF"/>
            <w:sz w:val="22"/>
            <w:szCs w:val="22"/>
            <w:u w:val="single"/>
            <w:lang w:eastAsia="en-GB"/>
          </w:rPr>
          <w:t>Табл. VII</w:t>
        </w:r>
        <w:r w:rsidR="00761800" w:rsidRPr="00761800">
          <w:rPr>
            <w:rFonts w:ascii="Times New Roman" w:hAnsi="Times New Roman"/>
            <w:noProof/>
            <w:color w:val="0000FF"/>
            <w:sz w:val="22"/>
            <w:szCs w:val="22"/>
            <w:u w:val="single"/>
            <w:lang w:eastAsia="en-GB"/>
          </w:rPr>
          <w:noBreakHyphen/>
          <w:t>2:</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Обобщение на допусканията, използвани в алтернативния сценарий (отклонение спрямо базовия)</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_Toc233185141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361</w:t>
        </w:r>
        <w:r w:rsidR="00761800" w:rsidRPr="00761800">
          <w:rPr>
            <w:rFonts w:ascii="Times New Roman" w:hAnsi="Times New Roman"/>
            <w:noProof/>
            <w:webHidden/>
            <w:sz w:val="22"/>
            <w:szCs w:val="22"/>
            <w:lang w:eastAsia="en-GB"/>
          </w:rPr>
          <w:fldChar w:fldCharType="end"/>
        </w:r>
      </w:hyperlink>
    </w:p>
    <w:p w14:paraId="62995A9D" w14:textId="52E729AB" w:rsidR="00761800" w:rsidRPr="00761800" w:rsidRDefault="00406B4D" w:rsidP="00761800">
      <w:pPr>
        <w:tabs>
          <w:tab w:val="left" w:pos="1535"/>
          <w:tab w:val="right" w:leader="dot" w:pos="9060"/>
        </w:tabs>
        <w:ind w:left="1134" w:hanging="1134"/>
        <w:jc w:val="both"/>
        <w:rPr>
          <w:rFonts w:ascii="Times New Roman" w:hAnsi="Times New Roman"/>
          <w:noProof/>
          <w:sz w:val="22"/>
          <w:szCs w:val="22"/>
          <w:lang w:eastAsia="bg-BG"/>
        </w:rPr>
      </w:pPr>
      <w:hyperlink w:anchor="_Toc233185142" w:history="1">
        <w:r w:rsidR="00761800" w:rsidRPr="00761800">
          <w:rPr>
            <w:rFonts w:ascii="Times New Roman" w:hAnsi="Times New Roman"/>
            <w:noProof/>
            <w:color w:val="0000FF"/>
            <w:sz w:val="22"/>
            <w:szCs w:val="22"/>
            <w:u w:val="single"/>
            <w:lang w:eastAsia="en-GB"/>
          </w:rPr>
          <w:t>Табл. VII</w:t>
        </w:r>
        <w:r w:rsidR="00761800" w:rsidRPr="00761800">
          <w:rPr>
            <w:rFonts w:ascii="Times New Roman" w:hAnsi="Times New Roman"/>
            <w:noProof/>
            <w:color w:val="0000FF"/>
            <w:sz w:val="22"/>
            <w:szCs w:val="22"/>
            <w:u w:val="single"/>
            <w:lang w:eastAsia="en-GB"/>
          </w:rPr>
          <w:noBreakHyphen/>
          <w:t>3:</w:t>
        </w:r>
        <w:r w:rsidR="00761800" w:rsidRPr="00761800">
          <w:rPr>
            <w:rFonts w:ascii="Times New Roman" w:hAnsi="Times New Roman"/>
            <w:noProof/>
            <w:sz w:val="22"/>
            <w:szCs w:val="22"/>
            <w:lang w:eastAsia="bg-BG"/>
          </w:rPr>
          <w:tab/>
        </w:r>
        <w:r w:rsidR="00761800" w:rsidRPr="00761800">
          <w:rPr>
            <w:rFonts w:ascii="Times New Roman" w:hAnsi="Times New Roman"/>
            <w:noProof/>
            <w:color w:val="0000FF"/>
            <w:sz w:val="22"/>
            <w:szCs w:val="22"/>
            <w:u w:val="single"/>
            <w:lang w:eastAsia="en-GB"/>
          </w:rPr>
          <w:t>Основни макроикономически показатели</w:t>
        </w:r>
        <w:r w:rsidR="00761800" w:rsidRPr="00761800">
          <w:rPr>
            <w:rFonts w:ascii="Times New Roman" w:hAnsi="Times New Roman"/>
            <w:noProof/>
            <w:color w:val="0000FF"/>
            <w:sz w:val="22"/>
            <w:szCs w:val="22"/>
            <w:u w:val="single"/>
          </w:rPr>
          <w:t xml:space="preserve"> </w:t>
        </w:r>
        <w:r w:rsidR="00761800" w:rsidRPr="00761800">
          <w:rPr>
            <w:rFonts w:ascii="Times New Roman" w:hAnsi="Times New Roman"/>
            <w:noProof/>
            <w:color w:val="0000FF"/>
            <w:sz w:val="22"/>
            <w:szCs w:val="22"/>
            <w:u w:val="single"/>
            <w:lang w:eastAsia="en-GB"/>
          </w:rPr>
          <w:t>при алтернативния сценарий (отклонение спрямо базовия)</w:t>
        </w:r>
        <w:r w:rsidR="00761800" w:rsidRPr="00761800">
          <w:rPr>
            <w:rFonts w:ascii="Times New Roman" w:hAnsi="Times New Roman"/>
            <w:noProof/>
            <w:webHidden/>
            <w:sz w:val="22"/>
            <w:szCs w:val="22"/>
            <w:lang w:eastAsia="en-GB"/>
          </w:rPr>
          <w:tab/>
        </w:r>
        <w:r w:rsidR="00761800" w:rsidRPr="00761800">
          <w:rPr>
            <w:rFonts w:ascii="Times New Roman" w:hAnsi="Times New Roman"/>
            <w:noProof/>
            <w:webHidden/>
            <w:sz w:val="22"/>
            <w:szCs w:val="22"/>
            <w:lang w:eastAsia="en-GB"/>
          </w:rPr>
          <w:fldChar w:fldCharType="begin"/>
        </w:r>
        <w:r w:rsidR="00761800" w:rsidRPr="00761800">
          <w:rPr>
            <w:rFonts w:ascii="Times New Roman" w:hAnsi="Times New Roman"/>
            <w:noProof/>
            <w:webHidden/>
            <w:sz w:val="22"/>
            <w:szCs w:val="22"/>
            <w:lang w:eastAsia="en-GB"/>
          </w:rPr>
          <w:instrText xml:space="preserve"> PAGEREF _Toc233185142 \h </w:instrText>
        </w:r>
        <w:r w:rsidR="00761800" w:rsidRPr="00761800">
          <w:rPr>
            <w:rFonts w:ascii="Times New Roman" w:hAnsi="Times New Roman"/>
            <w:noProof/>
            <w:webHidden/>
            <w:sz w:val="22"/>
            <w:szCs w:val="22"/>
            <w:lang w:eastAsia="en-GB"/>
          </w:rPr>
        </w:r>
        <w:r w:rsidR="00761800" w:rsidRPr="00761800">
          <w:rPr>
            <w:rFonts w:ascii="Times New Roman" w:hAnsi="Times New Roman"/>
            <w:noProof/>
            <w:webHidden/>
            <w:sz w:val="22"/>
            <w:szCs w:val="22"/>
            <w:lang w:eastAsia="en-GB"/>
          </w:rPr>
          <w:fldChar w:fldCharType="separate"/>
        </w:r>
        <w:r>
          <w:rPr>
            <w:rFonts w:ascii="Times New Roman" w:hAnsi="Times New Roman"/>
            <w:noProof/>
            <w:webHidden/>
            <w:sz w:val="22"/>
            <w:szCs w:val="22"/>
            <w:lang w:eastAsia="en-GB"/>
          </w:rPr>
          <w:t>361</w:t>
        </w:r>
        <w:r w:rsidR="00761800" w:rsidRPr="00761800">
          <w:rPr>
            <w:rFonts w:ascii="Times New Roman" w:hAnsi="Times New Roman"/>
            <w:noProof/>
            <w:webHidden/>
            <w:sz w:val="22"/>
            <w:szCs w:val="22"/>
            <w:lang w:eastAsia="en-GB"/>
          </w:rPr>
          <w:fldChar w:fldCharType="end"/>
        </w:r>
      </w:hyperlink>
    </w:p>
    <w:p w14:paraId="3036265B" w14:textId="77777777" w:rsidR="00761800" w:rsidRPr="00761800" w:rsidRDefault="00761800" w:rsidP="00761800">
      <w:pPr>
        <w:tabs>
          <w:tab w:val="left" w:pos="993"/>
          <w:tab w:val="left" w:pos="1134"/>
          <w:tab w:val="left" w:pos="1224"/>
          <w:tab w:val="left" w:pos="1276"/>
          <w:tab w:val="left" w:pos="1530"/>
          <w:tab w:val="right" w:leader="dot" w:pos="9070"/>
        </w:tabs>
        <w:spacing w:after="60"/>
        <w:ind w:left="1134" w:hanging="1134"/>
        <w:jc w:val="both"/>
        <w:rPr>
          <w:rFonts w:ascii="Times New Roman" w:hAnsi="Times New Roman"/>
          <w:spacing w:val="12"/>
          <w:sz w:val="22"/>
          <w:szCs w:val="22"/>
          <w:lang w:eastAsia="bg-BG"/>
        </w:rPr>
        <w:sectPr w:rsidR="00761800" w:rsidRPr="00761800" w:rsidSect="00406B4D">
          <w:headerReference w:type="even" r:id="rId14"/>
          <w:headerReference w:type="default" r:id="rId15"/>
          <w:footerReference w:type="even" r:id="rId16"/>
          <w:footerReference w:type="default" r:id="rId17"/>
          <w:footerReference w:type="first" r:id="rId18"/>
          <w:type w:val="evenPage"/>
          <w:pgSz w:w="11906" w:h="16838" w:code="9"/>
          <w:pgMar w:top="1418" w:right="1418" w:bottom="851" w:left="1418" w:header="709" w:footer="709" w:gutter="0"/>
          <w:cols w:space="708"/>
          <w:titlePg/>
          <w:docGrid w:linePitch="360"/>
        </w:sectPr>
      </w:pPr>
      <w:r w:rsidRPr="00761800">
        <w:rPr>
          <w:rFonts w:ascii="Times New Roman" w:hAnsi="Times New Roman"/>
          <w:color w:val="0000FF"/>
          <w:spacing w:val="12"/>
          <w:sz w:val="22"/>
          <w:szCs w:val="22"/>
          <w:highlight w:val="yellow"/>
          <w:u w:val="single"/>
          <w:lang w:eastAsia="bg-BG"/>
        </w:rPr>
        <w:fldChar w:fldCharType="end"/>
      </w:r>
      <w:bookmarkStart w:id="26" w:name="_Toc464470169"/>
      <w:bookmarkStart w:id="27" w:name="_Toc464470213"/>
      <w:bookmarkStart w:id="28" w:name="_Toc464644944"/>
      <w:bookmarkStart w:id="29" w:name="_Toc464646345"/>
      <w:bookmarkStart w:id="30" w:name="_Toc465205487"/>
      <w:r w:rsidRPr="00761800">
        <w:rPr>
          <w:rFonts w:ascii="Times New Roman" w:hAnsi="Times New Roman"/>
          <w:spacing w:val="12"/>
          <w:sz w:val="22"/>
          <w:szCs w:val="22"/>
          <w:lang w:eastAsia="bg-BG"/>
        </w:rPr>
        <w:t xml:space="preserve"> </w:t>
      </w:r>
    </w:p>
    <w:p w14:paraId="286A4B6D" w14:textId="77777777" w:rsidR="00761800" w:rsidRPr="00761800" w:rsidRDefault="00761800" w:rsidP="00761800">
      <w:pPr>
        <w:keepNext/>
        <w:keepLines/>
        <w:spacing w:before="120" w:after="1080"/>
        <w:outlineLvl w:val="0"/>
        <w:rPr>
          <w:rFonts w:ascii="Times New Roman" w:hAnsi="Times New Roman"/>
          <w:bCs/>
          <w:color w:val="852010"/>
          <w:spacing w:val="10"/>
          <w:sz w:val="52"/>
          <w:szCs w:val="28"/>
          <w:lang w:eastAsia="bg-BG"/>
        </w:rPr>
      </w:pPr>
      <w:bookmarkStart w:id="31" w:name="_Toc233717468"/>
      <w:r w:rsidRPr="00761800">
        <w:rPr>
          <w:rFonts w:ascii="Times New Roman" w:hAnsi="Times New Roman"/>
          <w:bCs/>
          <w:color w:val="852010"/>
          <w:spacing w:val="10"/>
          <w:sz w:val="52"/>
          <w:szCs w:val="28"/>
          <w:lang w:eastAsia="bg-BG"/>
        </w:rPr>
        <w:lastRenderedPageBreak/>
        <w:t>Въведение</w:t>
      </w:r>
      <w:bookmarkEnd w:id="26"/>
      <w:bookmarkEnd w:id="27"/>
      <w:bookmarkEnd w:id="28"/>
      <w:bookmarkEnd w:id="29"/>
      <w:bookmarkEnd w:id="30"/>
      <w:bookmarkEnd w:id="31"/>
    </w:p>
    <w:p w14:paraId="10DC4A53" w14:textId="77777777" w:rsidR="00761800" w:rsidRPr="00761800" w:rsidRDefault="00761800" w:rsidP="00761800">
      <w:pPr>
        <w:spacing w:after="200"/>
        <w:jc w:val="both"/>
        <w:rPr>
          <w:rFonts w:ascii="Times New Roman" w:hAnsi="Times New Roman"/>
          <w:szCs w:val="22"/>
          <w:lang w:eastAsia="zh-CN"/>
        </w:rPr>
      </w:pPr>
      <w:bookmarkStart w:id="32" w:name="_Toc464224767"/>
      <w:bookmarkStart w:id="33" w:name="_Toc464225408"/>
      <w:bookmarkStart w:id="34" w:name="OLE_LINK24"/>
      <w:bookmarkStart w:id="35" w:name="OLE_LINK25"/>
      <w:bookmarkStart w:id="36" w:name="_Toc464458954"/>
      <w:bookmarkStart w:id="37" w:name="_Toc464459700"/>
      <w:bookmarkStart w:id="38" w:name="_Toc464460655"/>
      <w:bookmarkStart w:id="39" w:name="_Toc464463054"/>
      <w:bookmarkStart w:id="40" w:name="_Toc464464881"/>
      <w:bookmarkStart w:id="41" w:name="_Toc464465387"/>
      <w:bookmarkStart w:id="42" w:name="_Toc464465575"/>
      <w:bookmarkStart w:id="43" w:name="_Toc464466400"/>
      <w:bookmarkStart w:id="44" w:name="_Toc464466644"/>
      <w:bookmarkStart w:id="45" w:name="_Toc464466722"/>
      <w:bookmarkStart w:id="46" w:name="_Toc464470171"/>
      <w:bookmarkStart w:id="47" w:name="_Toc464470215"/>
      <w:bookmarkStart w:id="48" w:name="_Toc464644946"/>
      <w:bookmarkStart w:id="49" w:name="_Toc464646347"/>
      <w:r w:rsidRPr="00761800">
        <w:rPr>
          <w:rFonts w:ascii="Times New Roman" w:hAnsi="Times New Roman"/>
          <w:szCs w:val="22"/>
          <w:lang w:eastAsia="zh-CN"/>
        </w:rPr>
        <w:t>Актуализираната средносрочна бюджетна прогноза за периода 2026-2028 г. (АСБП 2026-2028) е изготвена на основание чл. 79 от Закона за публичните финанси. Тя представлява мотиви към законопроекта за държавния бюджет на Република България за 2026 г.</w:t>
      </w:r>
    </w:p>
    <w:p w14:paraId="6E1C0EB1" w14:textId="77777777" w:rsidR="00761800" w:rsidRPr="00761800" w:rsidRDefault="00761800" w:rsidP="00761800">
      <w:pPr>
        <w:spacing w:after="200"/>
        <w:jc w:val="both"/>
        <w:rPr>
          <w:rFonts w:ascii="Times New Roman" w:hAnsi="Times New Roman"/>
          <w:szCs w:val="22"/>
          <w:lang w:eastAsia="zh-CN"/>
        </w:rPr>
      </w:pPr>
      <w:r w:rsidRPr="00761800">
        <w:rPr>
          <w:rFonts w:ascii="Times New Roman" w:hAnsi="Times New Roman"/>
          <w:szCs w:val="22"/>
          <w:lang w:eastAsia="zh-CN"/>
        </w:rPr>
        <w:t>Във връзка с въвеждането на еврото от 1 януари 2026 г. информацията и документите по  бюджетната процедура за 2026 г. се изготвят в евро при официален валутен курс съгласно чл. 5 от Закона за въвеждане на еврото в Република България.</w:t>
      </w:r>
    </w:p>
    <w:p w14:paraId="456C938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Бюджетната процедура за 2026 г. беше приета с Решение № 474 от 17 юли 2025 г. на Министерския съвет - значително по-късно, предвид неприемането в срок на Бюджет 2025, който се явява база и отправна точка за стартирането на подготовката на бюджета за следващата година.</w:t>
      </w:r>
    </w:p>
    <w:p w14:paraId="7163E220"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Първоначално разработените проекти на бюджетни закони за 2026 г., които бяха одобрени от Министерския съвет и внесени за разглеждане в Народното събрание през м. ноември 2025 г., бяха оттеглени с Решение № 839 от 2 декември 2025 г. на Министерския съвет поради липса на консенсус със социалните партньори относно някои от предлаганите консолидационни мерки. С Решение № 860 на Министерския съвет от 8 декември 2025 г. беше повторно одобрен законопроект за държавния бюджет на Република България за 2026 г. и Актуализирана средносрочна бюджетна прогноза за периода 2026-2028 г. като мотиви към него, но поради последвалата оставка на правителство законопроектът не беше разгледан в Народното събрание.</w:t>
      </w:r>
    </w:p>
    <w:p w14:paraId="1FE6E82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С Решение № 886 на Министерския съвет от 15.12.2025 г. беше одобрен проектът на Закон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който беше приет от Народното събрание на 17 декември 2025 г. (обн., ДВ</w:t>
      </w:r>
      <w:r w:rsidRPr="00761800">
        <w:rPr>
          <w:rFonts w:ascii="Times New Roman" w:hAnsi="Times New Roman"/>
          <w:position w:val="2"/>
          <w:sz w:val="18"/>
          <w:szCs w:val="24"/>
          <w:vertAlign w:val="superscript"/>
        </w:rPr>
        <w:footnoteReference w:id="1"/>
      </w:r>
      <w:r w:rsidRPr="00761800">
        <w:rPr>
          <w:rFonts w:ascii="Times New Roman" w:hAnsi="Times New Roman"/>
          <w:szCs w:val="24"/>
          <w:lang w:eastAsia="bg-BG"/>
        </w:rPr>
        <w:t xml:space="preserve">, бр. 113 от 23.12.2025 г.). </w:t>
      </w:r>
    </w:p>
    <w:p w14:paraId="7864E3D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С приетия удължителен закон за бюджета се осигури правна рамка за безпроблемното функциониране на държавата и общините, а от друга страна се гарантираха правата и законните интереси на гражданите, предоставяйки им правна сигурност във връзка с изплащането на възнаграждения, пенсии, социални помощи и други социални плащания, ползване на данъчни преференции и облекчения, както и извършването на други плащания. Едновременно с това беше осигурено прилагането на специалните закони уреждащи специфични обществени отношения до приемането на бюджетните закони за 2026 г., в т.ч. и редът за извършване на плащанията по бюджетите на общините, бюджета на ДОО</w:t>
      </w:r>
      <w:r w:rsidRPr="00761800">
        <w:rPr>
          <w:rFonts w:ascii="Times New Roman" w:hAnsi="Times New Roman"/>
          <w:position w:val="2"/>
          <w:sz w:val="18"/>
          <w:szCs w:val="24"/>
          <w:vertAlign w:val="superscript"/>
        </w:rPr>
        <w:footnoteReference w:id="2"/>
      </w:r>
      <w:r w:rsidRPr="00761800">
        <w:rPr>
          <w:rFonts w:ascii="Times New Roman" w:hAnsi="Times New Roman"/>
          <w:szCs w:val="24"/>
          <w:lang w:eastAsia="bg-BG"/>
        </w:rPr>
        <w:t xml:space="preserve"> и бюджета на НЗОК</w:t>
      </w:r>
      <w:r w:rsidRPr="00761800">
        <w:rPr>
          <w:rFonts w:ascii="Times New Roman" w:hAnsi="Times New Roman"/>
          <w:position w:val="2"/>
          <w:sz w:val="18"/>
          <w:szCs w:val="24"/>
          <w:vertAlign w:val="superscript"/>
        </w:rPr>
        <w:footnoteReference w:id="3"/>
      </w:r>
      <w:r w:rsidRPr="00761800">
        <w:rPr>
          <w:rFonts w:ascii="Times New Roman" w:hAnsi="Times New Roman"/>
          <w:szCs w:val="24"/>
          <w:lang w:eastAsia="bg-BG"/>
        </w:rPr>
        <w:t>.</w:t>
      </w:r>
    </w:p>
    <w:p w14:paraId="518516AE"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lastRenderedPageBreak/>
        <w:t xml:space="preserve">Законът за изменение и допълнение на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беше приет на 18 март 2026 г. (обн., ДВ, бр. 30 от 27 март 2026 г.). С него беше удължен срокът на действие на удължителния закон да приемането редовен бюджет за 2026 г. </w:t>
      </w:r>
    </w:p>
    <w:p w14:paraId="79C3E2F4"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Освен това беше предложена възможност предвиденото увеличение на възнагражденията с еднократна индексация и от ръста на минималната работна заплата, както и увеличението на социалните плащания, произтичащи от влезли в сила нормативни актове, включително и трансферите за общини, да може да се финансират и за сметка на наличности от предходната година с изключение на средствата на Държавния фонд за гарантиране на устойчивост на държавната пенсионна система.</w:t>
      </w:r>
    </w:p>
    <w:p w14:paraId="6AE6B15C"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Осигурена беше възможност общините да извършват разходи за делегираните от държавата дейности при отчитане на влезли в сила нормативни актове. Беше уредено след решение на общинския съвет кметът на общината да може да финансира разходи за местни дейности в размери, по-големи от разходите за същия период на предходната година, до размера на собствените приходи на общината за съответния период, бюджетните взаимоотношения с централния бюджет и с други бюджети и сметки за средства от Европейския съюз и заемните средства на общината. Също така беше удължен срокът за оценка на общините с финансови затруднения, по реда на ЗПФ</w:t>
      </w:r>
      <w:r w:rsidRPr="00761800">
        <w:rPr>
          <w:rFonts w:ascii="Times New Roman" w:hAnsi="Times New Roman"/>
          <w:position w:val="2"/>
          <w:sz w:val="18"/>
          <w:szCs w:val="24"/>
          <w:vertAlign w:val="superscript"/>
        </w:rPr>
        <w:footnoteReference w:id="4"/>
      </w:r>
      <w:r w:rsidRPr="00761800">
        <w:rPr>
          <w:rFonts w:ascii="Times New Roman" w:hAnsi="Times New Roman"/>
          <w:szCs w:val="24"/>
          <w:lang w:eastAsia="bg-BG"/>
        </w:rPr>
        <w:t>, в условията на неприет бюджет за 2026 г.</w:t>
      </w:r>
    </w:p>
    <w:p w14:paraId="2F2F070A"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Беше дадена възможност до приемането на Закона за държавния бюджет на Република България за 2026 г., освен дълга по чл. 87, ал. 2 от Закона за публичните финанси, Министерският съвет да може да проведе преговори и да сключи с Европейската комисия споразумение за заем в размер до 3 261,7 млн. евро за получаване на финансова подкрепа под формата на заем по линия на инструмента „Мерки за сигурността на Европа (SAFE) чрез укрепване на европейската отбранителна промишленост“, при условие за последваща ратификация.</w:t>
      </w:r>
    </w:p>
    <w:p w14:paraId="3A2DE4C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По този начин значително се разхлабва предвиденото в ЗПФ ограничение за извършването на разходи до приемането на годишния закон за държавния бюджет за 2026 г. При база Бюджет 2025, чието изпълнение по отношение на дефицита се постига при значително неизпълнение на данъчно-осигурителните приходи и при по-ниско ниво на разходите, основно в резултат на неусвояване на капиталови разходи за сметка на средствата от Европейския съюз (ЕС), продължаващото вече половин година изпълнение в условията на удължителен закон за бюджета е предпоставка за натрупване на дефицит, който на годишна база не може да бъде свит в рамките на ограниченията, дори ако бъдат приложени консолидационни усилия от приемането на Бюджет 2026 до края на годината. </w:t>
      </w:r>
    </w:p>
    <w:p w14:paraId="0DAE471D"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След проведените парламентарни избори на 19 април 2026 г. и сформирането на ново редовно правителство една от първите задачи беше да бъдат разработени законопроект за държавния бюджет за 2026 г. и Актуализирана средносрочна бюджетна прогноза за периода 2026-2028 г. като мотиви към него. </w:t>
      </w:r>
    </w:p>
    <w:p w14:paraId="71EAEC70"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Независимо че Бюджет 2025 по програма и по предварителни отчетни данни е в рамките на ограничението за дефицита, в отчета са налице значителни отклонения от номиналните нива на приходите и разходите – неизпълнение на приходите (които са били силно надценени) и съответно в разходите или не са били разчетени всички </w:t>
      </w:r>
      <w:r w:rsidRPr="00761800">
        <w:rPr>
          <w:rFonts w:ascii="Times New Roman" w:hAnsi="Times New Roman"/>
          <w:szCs w:val="24"/>
          <w:lang w:eastAsia="bg-BG"/>
        </w:rPr>
        <w:lastRenderedPageBreak/>
        <w:t xml:space="preserve">нормативно регламентирани разходи или са били отложени/задържани, където е било възможно. </w:t>
      </w:r>
    </w:p>
    <w:p w14:paraId="5C7D7AC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В същото време през 2025 г., независимо от неизпълнението на приходите, разходите по националния бюджет са извършени почти в пълен размер за сметка на неизпълнението на разчетените разходи по сметки за средства от ЕС и при използване на възможността, предвидена в чл. 82, ал. 6 от ЗДБРБ за 2025 г. под формата на възстановяване на трансфери от минали години, като използването на тези наличности води до необходимост от дългово финансиране през 2026 г.</w:t>
      </w:r>
    </w:p>
    <w:p w14:paraId="54DBE1F5"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Това на практика означава, че към момента при база 2025 г. се надграждат разходи за сметка на поемани ангажименти, водещи до натрупване на нови постоянни разходи с целогодишен ефект при запазване на нивото на приходите, които реалната икономика генерира без допълнителни мерки. </w:t>
      </w:r>
    </w:p>
    <w:p w14:paraId="127860A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В условията на т.нар. удължителен закон за бюджета почти половин година значителното увеличаване на разходите не може да бъде ефективно контролирано, тъй като  ръстът се дължи на целогодишния ефект от прилагането на политики в областта на заплатите в публичния сектор, социалните плащания, инвестициите и др., а приходната част на бюджета не нараства със същите темпове.</w:t>
      </w:r>
    </w:p>
    <w:p w14:paraId="2F20A8AE"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Предвид действието към момента на удължителния закон за бюджета, с правителствени решения са одобрявани допълнителни разходи за 2026 г., които не фигурират в рамката на Бюджет 2025, за които е предвидено след приемането на ЗДБРБ за 2026 г. да бъдат осигурени по реда на Закона за публичните финанси. </w:t>
      </w:r>
    </w:p>
    <w:p w14:paraId="12F3F60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Веднага след сформирането на редовния кабинет на 8 май 2026 г. бяха изготвени разчети при непроменени политики и допускания в приходната и в разходната част на бюджета спрямо 2025 г. По КФП на касова основа за 2026 г. се очерта дефицит в значителен размер (7,4% от БВП), което е значително над определените законови ограничения от 3% от БВП.</w:t>
      </w:r>
      <w:r w:rsidRPr="00761800">
        <w:rPr>
          <w:rFonts w:ascii="Times New Roman" w:hAnsi="Times New Roman"/>
          <w:sz w:val="26"/>
          <w:szCs w:val="26"/>
        </w:rPr>
        <w:t xml:space="preserve"> </w:t>
      </w:r>
      <w:r w:rsidRPr="00761800">
        <w:rPr>
          <w:rFonts w:ascii="Times New Roman" w:hAnsi="Times New Roman"/>
          <w:szCs w:val="24"/>
          <w:lang w:eastAsia="bg-BG"/>
        </w:rPr>
        <w:t>В тези разчети не са отразени поети ангажименти през 2024 г. и 2025 г., които са възникнали като задължения и/или се очаква да възникнат като задължение през 2026 г. в размер на около 2,2 млрд. евро или 1,8% от БВП. Това са основно инвестиционната програма на общините (по приложение № 3 към ЗДБРБ за 2025 г.) и инвестиционната програма на Агенция „Пътна инфраструктура“. Тези разчети са изходната позиция за подготовката на новата бюджетната рамка, или Базов бюджет.</w:t>
      </w:r>
    </w:p>
    <w:p w14:paraId="343223B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Значителният размер на дефицита се дължи на натрупаните структурни дисбаланси през последните години в резултат на неудържимия ръст на разходите, най-вече</w:t>
      </w:r>
      <w:r w:rsidRPr="00761800">
        <w:rPr>
          <w:rFonts w:ascii="Times New Roman" w:hAnsi="Times New Roman"/>
          <w:color w:val="FF0000"/>
          <w:szCs w:val="24"/>
          <w:lang w:eastAsia="bg-BG"/>
        </w:rPr>
        <w:t xml:space="preserve"> </w:t>
      </w:r>
      <w:r w:rsidRPr="00761800">
        <w:rPr>
          <w:rFonts w:ascii="Times New Roman" w:hAnsi="Times New Roman"/>
          <w:szCs w:val="24"/>
          <w:lang w:eastAsia="bg-BG"/>
        </w:rPr>
        <w:t xml:space="preserve">за персонал в публичния сектор, за социални плащания, за компенсации за бизнеса и домакинствата, като в същото време приходната част на бюджета остава непроменена или са прилагани еднократни мерки за частично покриване на дефицитите. </w:t>
      </w:r>
    </w:p>
    <w:p w14:paraId="0290EDAA"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В допълнение към това е и непоследователната и финансово необвързана национална инвестиционна политика, включваща списъци от проекти в две приложения към законите за държавния бюджет на Република България за 2024 и 2025 г. </w:t>
      </w:r>
    </w:p>
    <w:p w14:paraId="0CFA3F7E"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Неефективното управление на публичните средства, непрозрачните обществени поръчки и липсата на контрол върху разходите допълнително увеличава натиска върху бюджета.</w:t>
      </w:r>
    </w:p>
    <w:p w14:paraId="7762891B" w14:textId="77777777" w:rsidR="00761800" w:rsidRPr="00761800" w:rsidRDefault="00761800" w:rsidP="00761800">
      <w:pPr>
        <w:spacing w:after="200"/>
        <w:jc w:val="both"/>
        <w:rPr>
          <w:rFonts w:ascii="Times New Roman" w:hAnsi="Times New Roman"/>
          <w:sz w:val="22"/>
          <w:szCs w:val="22"/>
          <w:lang w:eastAsia="bg-BG"/>
        </w:rPr>
      </w:pPr>
      <w:r w:rsidRPr="00761800">
        <w:rPr>
          <w:rFonts w:ascii="Times New Roman" w:hAnsi="Times New Roman"/>
          <w:szCs w:val="24"/>
          <w:lang w:eastAsia="bg-BG"/>
        </w:rPr>
        <w:t xml:space="preserve">Горните констатации се потвърждават и в Годишния доклад за България за 2026 г. на Европейската комисия, в който се посочва, че големите и постоянни увеличения в разходната част, без компенсаторни структурни финансиращи мерки, са довели до продължителни дефицити въпреки положителния растеж. Прогнозата е, че страната ни </w:t>
      </w:r>
      <w:r w:rsidRPr="00761800">
        <w:rPr>
          <w:rFonts w:ascii="Times New Roman" w:hAnsi="Times New Roman"/>
          <w:szCs w:val="24"/>
          <w:lang w:eastAsia="bg-BG"/>
        </w:rPr>
        <w:lastRenderedPageBreak/>
        <w:t xml:space="preserve">може да се изправи през предизвикателства за изпълнение на ангажиментите си по средносрочния фискално-структурен план при липсата на строги консолидационни усилия. </w:t>
      </w:r>
      <w:r w:rsidRPr="00761800">
        <w:rPr>
          <w:rFonts w:ascii="Times New Roman" w:hAnsi="Times New Roman"/>
          <w:szCs w:val="22"/>
          <w:lang w:eastAsia="bg-BG"/>
        </w:rPr>
        <w:t>На 3 юни 2026 г. Комисията прие доклад по член 126, параграф 3 от ДФЕС</w:t>
      </w:r>
      <w:r w:rsidRPr="00761800">
        <w:rPr>
          <w:rFonts w:ascii="Times New Roman" w:hAnsi="Times New Roman"/>
          <w:position w:val="2"/>
          <w:sz w:val="18"/>
          <w:szCs w:val="22"/>
          <w:vertAlign w:val="superscript"/>
        </w:rPr>
        <w:footnoteReference w:id="5"/>
      </w:r>
      <w:r w:rsidRPr="00761800">
        <w:rPr>
          <w:rFonts w:ascii="Times New Roman" w:hAnsi="Times New Roman"/>
          <w:szCs w:val="22"/>
          <w:lang w:eastAsia="bg-BG"/>
        </w:rPr>
        <w:t xml:space="preserve">. В този доклад беше оценено положението на България по отношение на критерия за дефицит. През 2025 г. дефицитът беше под 3% от БВП, като се отчете увеличението на разходите за отбрана от 2024 г. насам съгласно националната клауза за дерогация в областта на отбраната. Въз основа на прогнозата на Комисията от пролетта на 2026 г. се очаква дефицитът да надхвърли референтната стойност от 3% от БВП през 2026 г., също и след като се вземе предвид увеличението на разходите за отбрана от 2024 г. насам. В доклада се заключава, че като се вземат предвид всички съответни фактори, критерият за дефицит не е изпълнен от България. В светлината на това и след като взе предвид становището на Икономическия и финансов комитет, създаден съгласно член 126, параграф 4 от ДФЕС, Комисията предложи да открие процедура при прекомерен дефицит, като препоръча на Съвета да приеме решение по член 126, параграф 6 от ДФЕС, с което да се установи наличието на прекомерен дефицит поради неспазване на критерия за дефицит през 2026 г. </w:t>
      </w:r>
    </w:p>
    <w:p w14:paraId="1A32DAD2"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Съставянето на Бюджет 2026 е истинско предизвикателство, особено в контекста на Националния средносрочен фискално-структурен план на Република България за периода 2025-2028 година, одобрен с Решение № 111 на Министерския съвет от 2025 г., който съдържа политики, приоритети, реформи и планове за инвестиции в средносрочен хоризонт. </w:t>
      </w:r>
    </w:p>
    <w:p w14:paraId="2C0164F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Целите на фискалната политика и параметрите на бюджетната рамка за периода 2026-2028 г. отразяват наследеното състояние на публичните финанси и натрупаните дисбаланси, като са съобразени с възможностите за реализиране на краткосрочни мерки в рамките на 2026 г. и с набелязаните цели и приоритети на политиките, включително и за запазване на фискалната устойчивост в средносрочен план. </w:t>
      </w:r>
    </w:p>
    <w:p w14:paraId="4C8AED76" w14:textId="77777777" w:rsidR="00761800" w:rsidRPr="00761800" w:rsidRDefault="00761800" w:rsidP="00761800">
      <w:pPr>
        <w:spacing w:after="200"/>
        <w:jc w:val="both"/>
        <w:rPr>
          <w:rFonts w:ascii="Times New Roman" w:hAnsi="Times New Roman"/>
          <w:bCs/>
          <w:szCs w:val="24"/>
          <w:lang w:eastAsia="bg-BG" w:bidi="bg-BG"/>
        </w:rPr>
      </w:pPr>
      <w:r w:rsidRPr="00761800">
        <w:rPr>
          <w:rFonts w:ascii="Times New Roman" w:hAnsi="Times New Roman"/>
          <w:bCs/>
          <w:szCs w:val="24"/>
          <w:lang w:eastAsia="bg-BG" w:bidi="bg-BG"/>
        </w:rPr>
        <w:t xml:space="preserve">Пролетната </w:t>
      </w:r>
      <w:r w:rsidRPr="00761800">
        <w:rPr>
          <w:rFonts w:ascii="Times New Roman" w:hAnsi="Times New Roman"/>
          <w:szCs w:val="24"/>
          <w:lang w:eastAsia="bg-BG" w:bidi="bg-BG"/>
        </w:rPr>
        <w:t>макроикономическа прогноза за периода,</w:t>
      </w:r>
      <w:r w:rsidRPr="00761800">
        <w:rPr>
          <w:rFonts w:ascii="Times New Roman" w:hAnsi="Times New Roman"/>
          <w:b/>
          <w:szCs w:val="24"/>
          <w:lang w:eastAsia="bg-BG" w:bidi="bg-BG"/>
        </w:rPr>
        <w:t xml:space="preserve"> </w:t>
      </w:r>
      <w:r w:rsidRPr="00761800">
        <w:rPr>
          <w:rFonts w:ascii="Times New Roman" w:hAnsi="Times New Roman"/>
          <w:szCs w:val="24"/>
          <w:lang w:eastAsia="bg-BG" w:bidi="bg-BG"/>
        </w:rPr>
        <w:t xml:space="preserve">изготвена от Министерството на финансите (МФ), предвижда </w:t>
      </w:r>
      <w:r w:rsidRPr="00761800">
        <w:rPr>
          <w:rFonts w:ascii="Times New Roman" w:hAnsi="Times New Roman"/>
          <w:bCs/>
          <w:szCs w:val="24"/>
          <w:lang w:eastAsia="bg-BG" w:bidi="bg-BG"/>
        </w:rPr>
        <w:t xml:space="preserve">растежът на икономиката да достигне 2,6% през 2026 г. и 2,5% през 2027 г. През 2028 г. се очаква растежът да се запази на ниво от 2,5%. Вследствие на военния конфликт в Близкия изток и блокирането на Ормузкия проток и свързаното с това рязко повишение на котировките на суров петрол и природен газ през март 2026 г., прогнозата е за съществено ускорение на темпа на инфлация в страната. Средногодишната инфлация през 2026 г. се очаква да се повиши до 4,3% според ХИПЦ, а нарастването на потребителските цени в края на годината да възлезе на 5,2%, при 3,5% към декември 2025 г. на годишна база. Средногодишната инфлация за 2027 г. се очаква да бъде 3,8%, след което ще се забави до 2,5% през 2028 г. </w:t>
      </w:r>
    </w:p>
    <w:p w14:paraId="08C49546" w14:textId="77777777" w:rsidR="00761800" w:rsidRPr="00761800" w:rsidRDefault="00761800" w:rsidP="00761800">
      <w:pPr>
        <w:spacing w:after="200"/>
        <w:jc w:val="both"/>
        <w:rPr>
          <w:rFonts w:ascii="Times New Roman" w:hAnsi="Times New Roman"/>
          <w:szCs w:val="24"/>
          <w:lang w:eastAsia="zh-CN" w:bidi="bg-BG"/>
        </w:rPr>
      </w:pPr>
      <w:r w:rsidRPr="00761800">
        <w:rPr>
          <w:rFonts w:ascii="Times New Roman" w:hAnsi="Times New Roman"/>
          <w:szCs w:val="24"/>
          <w:lang w:eastAsia="zh-CN" w:bidi="bg-BG"/>
        </w:rPr>
        <w:t>Разчетите в АСБП за периода 2026-2028 г. отразяват тенденциите в пролетната макроикономическа прогноза за развитието на националната икономика, основните допускания и оценките за ефекта от приходните и разходните дискреционни мерки. Параметрите на разходите за прогнозния период са съобразени с възможностите на бюджета за финансиране на политиките, както и с перспективите за развитие на публичните сфери, фискалните цели и приоритети на правителството.</w:t>
      </w:r>
    </w:p>
    <w:p w14:paraId="789F43E4" w14:textId="77777777" w:rsidR="00761800" w:rsidRPr="00761800" w:rsidRDefault="00761800" w:rsidP="00761800">
      <w:pPr>
        <w:spacing w:after="200"/>
        <w:jc w:val="both"/>
        <w:rPr>
          <w:rFonts w:ascii="Times New Roman" w:hAnsi="Times New Roman"/>
          <w:b/>
          <w:szCs w:val="24"/>
          <w:lang w:eastAsia="bg-BG"/>
        </w:rPr>
      </w:pPr>
      <w:r w:rsidRPr="00761800">
        <w:rPr>
          <w:rFonts w:ascii="Times New Roman" w:hAnsi="Times New Roman"/>
          <w:szCs w:val="24"/>
          <w:lang w:eastAsia="bg-BG"/>
        </w:rPr>
        <w:t xml:space="preserve">Параметрите на бюджетната рамка за периода 2026-2028 г., доколкото позволяват възможностите за корекции още от тази година, са съобразени с предложението на Европейската комисия за активиране на процедура по прекомерен  бюджетен дефицит и с необходимостта от стабилизирането на публичните финанси в средносрочен план. В </w:t>
      </w:r>
      <w:r w:rsidRPr="00761800">
        <w:rPr>
          <w:rFonts w:ascii="Times New Roman" w:hAnsi="Times New Roman"/>
          <w:szCs w:val="24"/>
          <w:lang w:eastAsia="bg-BG"/>
        </w:rPr>
        <w:lastRenderedPageBreak/>
        <w:t>Годишния доклад за България за 2026 г. на Европейската комисия се посочва, че големите и постоянни увеличения в разходната част, без компенсаторни структурни финансиращи мерки, са довели до продължителни дефицити въпреки положителния растеж. Прогнозата е, че страната ни може да се изправи пред предизвикателства за изпълнение на ангажиментите си по средносрочния фискално-структурен план при липсата на строги консолидационни усилия.</w:t>
      </w:r>
    </w:p>
    <w:p w14:paraId="10FC7B24" w14:textId="77777777" w:rsidR="00761800" w:rsidRPr="00761800" w:rsidRDefault="00761800" w:rsidP="00761800">
      <w:pPr>
        <w:spacing w:after="200"/>
        <w:jc w:val="both"/>
        <w:rPr>
          <w:rFonts w:ascii="Times New Roman" w:hAnsi="Times New Roman"/>
          <w:szCs w:val="24"/>
          <w:lang w:eastAsia="zh-CN" w:bidi="bg-BG"/>
        </w:rPr>
      </w:pPr>
      <w:r w:rsidRPr="00761800">
        <w:rPr>
          <w:rFonts w:ascii="Times New Roman" w:hAnsi="Times New Roman"/>
          <w:b/>
          <w:szCs w:val="24"/>
          <w:lang w:eastAsia="zh-CN" w:bidi="bg-BG"/>
        </w:rPr>
        <w:t>Размерът на бюджетното салдо по консолидираната фискална програма (КФП)</w:t>
      </w:r>
      <w:r w:rsidRPr="00761800">
        <w:rPr>
          <w:rFonts w:ascii="Times New Roman" w:hAnsi="Times New Roman"/>
          <w:szCs w:val="24"/>
          <w:lang w:eastAsia="zh-CN" w:bidi="bg-BG"/>
        </w:rPr>
        <w:t>, изразен като дял от БВП, през прогнозния период 2026-2028 г. е дефицит от 5,7% от БВП през 2026 г., 3,8% от БВП през 2027 г. и 3,0% от БВП през 2028 г. Консолидирането на нивото на дефицита по КФП на този етап осигурява завръщане към ограниченията в края на периода.</w:t>
      </w:r>
    </w:p>
    <w:p w14:paraId="410CCA8D" w14:textId="77777777" w:rsidR="00761800" w:rsidRPr="00761800" w:rsidRDefault="00761800" w:rsidP="00761800">
      <w:pPr>
        <w:spacing w:after="200"/>
        <w:jc w:val="both"/>
        <w:rPr>
          <w:rFonts w:ascii="Times New Roman" w:hAnsi="Times New Roman"/>
          <w:szCs w:val="24"/>
          <w:lang w:eastAsia="zh-CN" w:bidi="bg-BG"/>
        </w:rPr>
      </w:pPr>
      <w:r w:rsidRPr="00761800">
        <w:rPr>
          <w:rFonts w:ascii="Times New Roman" w:hAnsi="Times New Roman"/>
          <w:szCs w:val="24"/>
          <w:lang w:eastAsia="zh-CN" w:bidi="bg-BG"/>
        </w:rPr>
        <w:t xml:space="preserve">При това ниво на дефицита размерът на приходите, помощите и даренията по КФП е съответно – 49 615,3 млн. евро през 2026 г., 50 272,0 млн. евро през 2027 г. и 53 394,9 млн. евро през 2028 г., като ръстът през 2026 г. спрямо предварителните отчетни данни от 44 014,7 млн. евро през 2025 г. се дължи на различни фактори - заложените приходни мерки, от ръста на икономиката, повишена събираемост в условията на стабилност в работата на приходните администрации, както и на очакваните по-високи приходи от ЕС. </w:t>
      </w:r>
    </w:p>
    <w:p w14:paraId="22C35F16" w14:textId="77777777" w:rsidR="00761800" w:rsidRPr="00761800" w:rsidRDefault="00761800" w:rsidP="00761800">
      <w:pPr>
        <w:spacing w:after="200"/>
        <w:jc w:val="both"/>
        <w:rPr>
          <w:rFonts w:ascii="Times New Roman" w:hAnsi="Times New Roman"/>
          <w:szCs w:val="24"/>
          <w:lang w:eastAsia="zh-CN" w:bidi="bg-BG"/>
        </w:rPr>
      </w:pPr>
      <w:r w:rsidRPr="00761800">
        <w:rPr>
          <w:rFonts w:ascii="Times New Roman" w:hAnsi="Times New Roman"/>
          <w:szCs w:val="24"/>
          <w:lang w:eastAsia="zh-CN" w:bidi="bg-BG"/>
        </w:rPr>
        <w:t>Размерът на общите разходи по КФП по годините от периода е съответно 56 807,2 млн. евро през 2026 г., 55 350,8 млн. евро през 2027 г. и 57 687,0 млн. евро през 2028 г., като за ръста през 2026 г. причините са посочени по-горе, въпреки приложените краткосрочни мерки, но следва да се отбележат също и значителните разходи в последната година от изпълнението на мерките по ПВУ</w:t>
      </w:r>
      <w:r w:rsidRPr="00761800">
        <w:rPr>
          <w:rFonts w:ascii="Times New Roman" w:hAnsi="Times New Roman"/>
          <w:position w:val="2"/>
          <w:sz w:val="18"/>
          <w:szCs w:val="24"/>
          <w:vertAlign w:val="superscript"/>
          <w:lang w:bidi="bg-BG"/>
        </w:rPr>
        <w:footnoteReference w:id="6"/>
      </w:r>
      <w:r w:rsidRPr="00761800">
        <w:rPr>
          <w:rFonts w:ascii="Times New Roman" w:hAnsi="Times New Roman"/>
          <w:szCs w:val="24"/>
          <w:lang w:eastAsia="zh-CN" w:bidi="bg-BG"/>
        </w:rPr>
        <w:t xml:space="preserve">. </w:t>
      </w:r>
    </w:p>
    <w:p w14:paraId="3C239CFE" w14:textId="77777777" w:rsidR="00761800" w:rsidRPr="00761800" w:rsidRDefault="00761800" w:rsidP="00761800">
      <w:pPr>
        <w:spacing w:after="200"/>
        <w:jc w:val="both"/>
        <w:rPr>
          <w:rFonts w:ascii="Times New Roman" w:hAnsi="Times New Roman"/>
          <w:szCs w:val="24"/>
          <w:lang w:eastAsia="zh-CN" w:bidi="bg-BG"/>
        </w:rPr>
      </w:pPr>
      <w:r w:rsidRPr="00761800">
        <w:rPr>
          <w:rFonts w:ascii="Times New Roman" w:hAnsi="Times New Roman"/>
          <w:szCs w:val="24"/>
          <w:lang w:eastAsia="zh-CN" w:bidi="bg-BG"/>
        </w:rPr>
        <w:t>По националното правило по чл. 28, ал. 1 от Закона за публичните финанси разходите са в размер на 39,3% от БВП за 2026 г., 37,7% от БВП за 2027 г. и 37,1% от БВП за 2028 г. при 37,6% от БВП по предварителните отчетни данни за 2025 г.</w:t>
      </w:r>
    </w:p>
    <w:p w14:paraId="3D4A997C"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b/>
          <w:szCs w:val="24"/>
          <w:lang w:eastAsia="bg-BG"/>
        </w:rPr>
        <w:t>Дефицитът на сектор „Държавно управление“</w:t>
      </w:r>
      <w:r w:rsidRPr="00761800">
        <w:rPr>
          <w:rFonts w:ascii="Times New Roman" w:hAnsi="Times New Roman"/>
          <w:szCs w:val="24"/>
          <w:lang w:eastAsia="bg-BG"/>
        </w:rPr>
        <w:t xml:space="preserve"> се увеличава до 5,4% от БВП през 2026 г., след което се очаква постепенно консолидиране до 3,9% от БВП през 2027 г. и 3,3% от БВП през 2028 г. Нарастването на дефицита през 2026 г. отразява главно ефекта от структурното увеличение през предходните години на разходите за възнаграждения в публичния сектор и на социалните плащания като дял от общите бюджетни разходи. Планираният размер на бюджетното салдо на сектор „Държавно управление“ за периода 2026-2028 г. ще се реализира при дял на приходите 39,9% от БВП през 2026 г., и 37,0% от БВП през 2028 г. Разходите като дял от БВП достигат 45,3% през 2026 г., като след това намаляват до 40,3% от БВП за 2028 г. Според настоящите прогнози на МФ, нетните разходи, финансирани на национално ниво, се очаква да нараснат със 7,5% през 2026 г., 2,8% през 2027 г. и 4,4% през 2028 г.</w:t>
      </w:r>
    </w:p>
    <w:p w14:paraId="71EF0262" w14:textId="77777777" w:rsidR="00761800" w:rsidRPr="00761800" w:rsidRDefault="00761800" w:rsidP="00761800">
      <w:pPr>
        <w:spacing w:after="200"/>
        <w:jc w:val="both"/>
        <w:rPr>
          <w:rFonts w:ascii="Times New Roman" w:hAnsi="Times New Roman"/>
          <w:szCs w:val="24"/>
          <w:lang w:eastAsia="bg-BG" w:bidi="bg-BG"/>
        </w:rPr>
      </w:pPr>
      <w:r w:rsidRPr="00761800">
        <w:rPr>
          <w:rFonts w:ascii="Times New Roman" w:hAnsi="Times New Roman"/>
          <w:szCs w:val="24"/>
          <w:lang w:eastAsia="bg-BG" w:bidi="bg-BG"/>
        </w:rPr>
        <w:t>Въз основа на допусканията през периода 2026-2028 г. се предвижда държавният дълг да достигне съответно до 37,7 млрд. евро (30,1% от БВП) през 2026 г., 44,7 млрд. евро (33,2% от БВП) през 2027 г. и 50,5 млрд. евро (35,2% от БВП) през 2028 г.</w:t>
      </w:r>
    </w:p>
    <w:p w14:paraId="793B6FB8" w14:textId="77777777" w:rsidR="00761800" w:rsidRPr="00761800" w:rsidRDefault="00761800" w:rsidP="00761800">
      <w:pPr>
        <w:spacing w:after="200"/>
        <w:jc w:val="both"/>
        <w:rPr>
          <w:rFonts w:ascii="Times New Roman" w:hAnsi="Times New Roman"/>
          <w:szCs w:val="24"/>
          <w:lang w:eastAsia="bg-BG" w:bidi="bg-BG"/>
        </w:rPr>
      </w:pPr>
      <w:r w:rsidRPr="00761800">
        <w:rPr>
          <w:rFonts w:ascii="Times New Roman" w:hAnsi="Times New Roman"/>
          <w:szCs w:val="24"/>
          <w:lang w:eastAsia="bg-BG" w:bidi="bg-BG"/>
        </w:rPr>
        <w:t>Минималният размер на фискалния резерв към 31.12.2026 г. е заложен в размер на 2,6 млрд. евро.</w:t>
      </w:r>
    </w:p>
    <w:p w14:paraId="7839EB70" w14:textId="77777777" w:rsidR="00761800" w:rsidRPr="00761800" w:rsidRDefault="00761800" w:rsidP="00761800">
      <w:pPr>
        <w:spacing w:after="200"/>
        <w:jc w:val="both"/>
        <w:rPr>
          <w:rFonts w:ascii="Times New Roman" w:hAnsi="Times New Roman"/>
          <w:b/>
          <w:szCs w:val="24"/>
          <w:lang w:eastAsia="bg-BG"/>
        </w:rPr>
      </w:pPr>
    </w:p>
    <w:p w14:paraId="610A22CB" w14:textId="77777777" w:rsidR="00761800" w:rsidRPr="00761800" w:rsidRDefault="00761800" w:rsidP="00761800">
      <w:pPr>
        <w:spacing w:after="200"/>
        <w:jc w:val="both"/>
        <w:rPr>
          <w:rFonts w:ascii="Times New Roman" w:hAnsi="Times New Roman"/>
          <w:b/>
          <w:szCs w:val="24"/>
          <w:lang w:eastAsia="bg-BG"/>
        </w:rPr>
      </w:pPr>
      <w:r w:rsidRPr="00761800">
        <w:rPr>
          <w:rFonts w:ascii="Times New Roman" w:hAnsi="Times New Roman"/>
          <w:b/>
          <w:szCs w:val="24"/>
          <w:lang w:eastAsia="bg-BG"/>
        </w:rPr>
        <w:lastRenderedPageBreak/>
        <w:t>Политики и мерки</w:t>
      </w:r>
    </w:p>
    <w:p w14:paraId="5CE5B05E" w14:textId="77777777" w:rsidR="00761800" w:rsidRPr="00761800" w:rsidRDefault="00761800" w:rsidP="00761800">
      <w:pPr>
        <w:spacing w:after="200"/>
        <w:jc w:val="both"/>
        <w:rPr>
          <w:rFonts w:ascii="Times New Roman" w:hAnsi="Times New Roman"/>
          <w:szCs w:val="24"/>
          <w:lang w:eastAsia="bg-BG" w:bidi="bg-BG"/>
        </w:rPr>
      </w:pPr>
      <w:r w:rsidRPr="00761800">
        <w:rPr>
          <w:rFonts w:ascii="Times New Roman" w:hAnsi="Times New Roman"/>
          <w:szCs w:val="24"/>
          <w:lang w:eastAsia="bg-BG" w:bidi="bg-BG"/>
        </w:rPr>
        <w:t xml:space="preserve">Основните цели на данъчната политика за периода 2026-2028 г. са насочени към поддържане на икономическия растеж, подобряване на бизнес средата, борбата с данъчните злоупотреби и повишаване на фискалната устойчивост в дългосрочен план. </w:t>
      </w:r>
    </w:p>
    <w:p w14:paraId="72ABF231" w14:textId="77777777" w:rsidR="00761800" w:rsidRPr="00761800" w:rsidRDefault="00761800" w:rsidP="00761800">
      <w:pPr>
        <w:spacing w:after="200"/>
        <w:jc w:val="both"/>
        <w:rPr>
          <w:rFonts w:ascii="Times New Roman" w:hAnsi="Times New Roman"/>
          <w:bCs/>
          <w:szCs w:val="24"/>
          <w:lang w:eastAsia="bg-BG" w:bidi="bg-BG"/>
        </w:rPr>
      </w:pPr>
      <w:r w:rsidRPr="00761800">
        <w:rPr>
          <w:rFonts w:ascii="Times New Roman" w:hAnsi="Times New Roman"/>
          <w:bCs/>
          <w:szCs w:val="24"/>
          <w:lang w:eastAsia="bg-BG" w:bidi="bg-BG"/>
        </w:rPr>
        <w:t xml:space="preserve">При прогнозиране на постъпленията от данъци са взети предвид предложените  изменения в данъчното законодателство и това в областта на хазарта, някои от които са както следва: </w:t>
      </w:r>
    </w:p>
    <w:p w14:paraId="49773F28" w14:textId="77777777" w:rsidR="00761800" w:rsidRPr="00761800" w:rsidRDefault="00761800" w:rsidP="00F64909">
      <w:pPr>
        <w:numPr>
          <w:ilvl w:val="0"/>
          <w:numId w:val="32"/>
        </w:numPr>
        <w:spacing w:after="200"/>
        <w:jc w:val="both"/>
        <w:rPr>
          <w:rFonts w:ascii="Times New Roman" w:hAnsi="Times New Roman"/>
          <w:bCs/>
          <w:iCs/>
          <w:szCs w:val="24"/>
          <w:lang w:eastAsia="bg-BG" w:bidi="bg-BG"/>
        </w:rPr>
      </w:pPr>
      <w:r w:rsidRPr="00761800">
        <w:rPr>
          <w:rFonts w:ascii="Times New Roman" w:hAnsi="Times New Roman"/>
          <w:bCs/>
          <w:szCs w:val="24"/>
          <w:lang w:eastAsia="bg-BG" w:bidi="bg-BG"/>
        </w:rPr>
        <w:t>Ускорено реализиране на вече въведения акцизен календар за периода 2025-2029 г. в Закона за акцизите и данъчните складове за поетапно увеличаване на акцизните ставки върху тютюневите изделия.</w:t>
      </w:r>
      <w:r w:rsidRPr="00761800">
        <w:rPr>
          <w:rFonts w:ascii="Times New Roman" w:hAnsi="Times New Roman"/>
          <w:bCs/>
          <w:iCs/>
          <w:szCs w:val="24"/>
          <w:lang w:eastAsia="bg-BG"/>
        </w:rPr>
        <w:t xml:space="preserve"> </w:t>
      </w:r>
      <w:r w:rsidRPr="00761800">
        <w:rPr>
          <w:rFonts w:ascii="Times New Roman" w:hAnsi="Times New Roman"/>
          <w:bCs/>
          <w:iCs/>
          <w:szCs w:val="24"/>
          <w:lang w:eastAsia="bg-BG" w:bidi="bg-BG"/>
        </w:rPr>
        <w:t xml:space="preserve">В тази връзка е необходимо изменение на действащия акцизен календар като се намаляват периодите за достигане на нивата на акцизни ставки, с оглед постигане на пропорционалност при бъдещото прилагане на новата акцизна рамка. </w:t>
      </w:r>
      <w:r w:rsidRPr="00761800">
        <w:rPr>
          <w:rFonts w:ascii="Times New Roman" w:hAnsi="Times New Roman"/>
          <w:bCs/>
          <w:szCs w:val="24"/>
          <w:lang w:eastAsia="bg-BG" w:bidi="bg-BG"/>
        </w:rPr>
        <w:t>В съответствие с предложения календар акцизните ставки върху тютюна и тютюневите изделия се предвижда да бъдат променени и от 01.08.2026 г.;</w:t>
      </w:r>
    </w:p>
    <w:p w14:paraId="7EBEB705" w14:textId="77777777" w:rsidR="00761800" w:rsidRPr="00761800" w:rsidRDefault="00761800" w:rsidP="00F64909">
      <w:pPr>
        <w:numPr>
          <w:ilvl w:val="0"/>
          <w:numId w:val="32"/>
        </w:numPr>
        <w:spacing w:after="200"/>
        <w:jc w:val="both"/>
        <w:rPr>
          <w:rFonts w:ascii="Times New Roman" w:hAnsi="Times New Roman"/>
          <w:bCs/>
          <w:szCs w:val="24"/>
          <w:lang w:eastAsia="bg-BG" w:bidi="bg-BG"/>
        </w:rPr>
      </w:pPr>
      <w:r w:rsidRPr="00761800">
        <w:rPr>
          <w:rFonts w:ascii="Times New Roman" w:hAnsi="Times New Roman"/>
          <w:bCs/>
          <w:szCs w:val="24"/>
          <w:lang w:eastAsia="bg-BG" w:bidi="bg-BG"/>
        </w:rPr>
        <w:t>Разширяване на обхвата на лицата, прилагащи режима по глава 21а от Данъчно-осигурителния процесуален кодекс</w:t>
      </w:r>
      <w:r w:rsidRPr="00761800">
        <w:rPr>
          <w:rFonts w:ascii="Times New Roman" w:hAnsi="Times New Roman"/>
          <w:bCs/>
          <w:szCs w:val="24"/>
          <w:vertAlign w:val="superscript"/>
          <w:lang w:eastAsia="bg-BG" w:bidi="bg-BG"/>
        </w:rPr>
        <w:t xml:space="preserve"> </w:t>
      </w:r>
      <w:r w:rsidRPr="00761800">
        <w:rPr>
          <w:rFonts w:ascii="Times New Roman" w:hAnsi="Times New Roman"/>
          <w:bCs/>
          <w:szCs w:val="24"/>
          <w:lang w:eastAsia="bg-BG" w:bidi="bg-BG"/>
        </w:rPr>
        <w:t xml:space="preserve">чрез включване и на лицата, представляващи публичните предприятия по смисъла на Закона за публичните предприятия. С оглед постигане на равнопоставеност между лицата, разходващи публични средства, и в контекста на повишаване на приходите от просрочени публични задължения с мярката се предлага разширяване на обхвата на лицата, които ще прилагат режима по глава 21а, като се добавят и публичните предприятия по смисъла на чл. 2 от Закона за публичните предприятия; </w:t>
      </w:r>
    </w:p>
    <w:p w14:paraId="758044AE" w14:textId="77777777" w:rsidR="00761800" w:rsidRPr="00761800" w:rsidRDefault="00761800" w:rsidP="00F64909">
      <w:pPr>
        <w:numPr>
          <w:ilvl w:val="0"/>
          <w:numId w:val="32"/>
        </w:numPr>
        <w:spacing w:after="200"/>
        <w:jc w:val="both"/>
        <w:rPr>
          <w:rFonts w:ascii="Times New Roman" w:hAnsi="Times New Roman"/>
          <w:bCs/>
          <w:szCs w:val="24"/>
          <w:lang w:eastAsia="bg-BG" w:bidi="bg-BG"/>
        </w:rPr>
      </w:pPr>
      <w:r w:rsidRPr="00761800">
        <w:rPr>
          <w:rFonts w:ascii="Times New Roman" w:hAnsi="Times New Roman"/>
          <w:bCs/>
          <w:szCs w:val="24"/>
          <w:lang w:eastAsia="bg-BG" w:bidi="bg-BG"/>
        </w:rPr>
        <w:t>Погасяване на задължения за неплатени данъци и осигуровки чрез ефективно насочване на изпълнението спрямо касовите наличности в търговските обекти с цел по-ефективно събиране на публичните вземания и лихвите по тях;</w:t>
      </w:r>
    </w:p>
    <w:p w14:paraId="54D7CFCE" w14:textId="77777777" w:rsidR="00761800" w:rsidRPr="00761800" w:rsidRDefault="00761800" w:rsidP="00F64909">
      <w:pPr>
        <w:numPr>
          <w:ilvl w:val="0"/>
          <w:numId w:val="32"/>
        </w:numPr>
        <w:spacing w:after="200"/>
        <w:jc w:val="both"/>
        <w:rPr>
          <w:rFonts w:ascii="Times New Roman" w:hAnsi="Times New Roman"/>
          <w:bCs/>
          <w:szCs w:val="24"/>
          <w:lang w:eastAsia="bg-BG" w:bidi="bg-BG"/>
        </w:rPr>
      </w:pPr>
      <w:r w:rsidRPr="00761800">
        <w:rPr>
          <w:rFonts w:ascii="Times New Roman" w:hAnsi="Times New Roman"/>
          <w:bCs/>
          <w:szCs w:val="24"/>
          <w:lang w:eastAsia="bg-BG" w:bidi="bg-BG"/>
        </w:rPr>
        <w:t>Въвеждане на лицензионен режим в Закона за хазарта за афилиейт оператори, които популяризират хазартни игри на лицензирани оператори на територията на Република България;</w:t>
      </w:r>
    </w:p>
    <w:p w14:paraId="764BF0C4" w14:textId="77777777" w:rsidR="00761800" w:rsidRPr="00761800" w:rsidRDefault="00761800" w:rsidP="00F64909">
      <w:pPr>
        <w:numPr>
          <w:ilvl w:val="0"/>
          <w:numId w:val="32"/>
        </w:numPr>
        <w:spacing w:after="200"/>
        <w:jc w:val="both"/>
        <w:rPr>
          <w:rFonts w:ascii="Times New Roman" w:hAnsi="Times New Roman"/>
          <w:bCs/>
          <w:szCs w:val="24"/>
          <w:lang w:eastAsia="bg-BG" w:bidi="bg-BG"/>
        </w:rPr>
      </w:pPr>
      <w:r w:rsidRPr="00761800">
        <w:rPr>
          <w:rFonts w:ascii="Times New Roman" w:hAnsi="Times New Roman"/>
          <w:bCs/>
          <w:szCs w:val="24"/>
          <w:lang w:eastAsia="bg-BG" w:bidi="bg-BG"/>
        </w:rPr>
        <w:t>Въвеждане на двукомпонентна държавна такса върху комисионното възнаграждение на афилиейт операторите въз основа на предварително договорени показатели за ефективност. С цел повишаване на събираемостта на данъчните приходи и предотвратяване на възможностите за укриване и невнасяне на данъци се предлага въвеждане на двукомпонентна държавна такса, състояща се от годишна такса в размер на 6 000 евро, и променлива част в размер на 10 на сто върху стойността на комисионното възнаграждение, обвързано с резултати - брой привлечени регистрирани потребители, депозити, залози или друг измерим резултат, постигнат чрез дейността на афилиейт оператора по популяризиране на хазартните игри, организирани от хазартния оператор и др.</w:t>
      </w:r>
    </w:p>
    <w:p w14:paraId="5A6094B9" w14:textId="77777777" w:rsidR="00761800" w:rsidRPr="00761800" w:rsidRDefault="00761800" w:rsidP="00F64909">
      <w:pPr>
        <w:numPr>
          <w:ilvl w:val="0"/>
          <w:numId w:val="32"/>
        </w:numPr>
        <w:spacing w:after="200"/>
        <w:jc w:val="both"/>
        <w:rPr>
          <w:rFonts w:ascii="Times New Roman" w:hAnsi="Times New Roman"/>
          <w:bCs/>
          <w:szCs w:val="24"/>
          <w:lang w:eastAsia="bg-BG" w:bidi="bg-BG"/>
        </w:rPr>
      </w:pPr>
      <w:r w:rsidRPr="00761800">
        <w:rPr>
          <w:rFonts w:ascii="Times New Roman" w:hAnsi="Times New Roman"/>
          <w:bCs/>
          <w:szCs w:val="24"/>
          <w:lang w:eastAsia="bg-BG" w:bidi="bg-BG"/>
        </w:rPr>
        <w:t>Блокиране на плащания от и към нелицензирани хазартни оператори от банки и други платежни институции с цел намаляване на нелегалния хазарт и блокиране на игрални нелегални сайтове от мобилни оператори, интернет доставчици и други.</w:t>
      </w:r>
    </w:p>
    <w:p w14:paraId="4636716C" w14:textId="77777777" w:rsidR="00761800" w:rsidRPr="00761800" w:rsidRDefault="00761800" w:rsidP="00761800">
      <w:pPr>
        <w:spacing w:after="200"/>
        <w:jc w:val="both"/>
        <w:rPr>
          <w:rFonts w:ascii="Times New Roman" w:hAnsi="Times New Roman"/>
          <w:szCs w:val="24"/>
          <w:lang w:eastAsia="bg-BG" w:bidi="bg-BG"/>
        </w:rPr>
      </w:pPr>
      <w:r w:rsidRPr="00761800">
        <w:rPr>
          <w:rFonts w:ascii="Times New Roman" w:hAnsi="Times New Roman"/>
          <w:szCs w:val="24"/>
          <w:lang w:eastAsia="bg-BG" w:bidi="bg-BG"/>
        </w:rPr>
        <w:t>С приемането на Закона за държавния бюджет на Република България за 2026 г</w:t>
      </w:r>
      <w:r w:rsidRPr="00761800">
        <w:rPr>
          <w:rFonts w:ascii="Times New Roman" w:hAnsi="Times New Roman"/>
          <w:i/>
          <w:szCs w:val="24"/>
          <w:lang w:eastAsia="bg-BG" w:bidi="bg-BG"/>
        </w:rPr>
        <w:t>.</w:t>
      </w:r>
      <w:r w:rsidRPr="00761800">
        <w:rPr>
          <w:rFonts w:ascii="Times New Roman" w:hAnsi="Times New Roman"/>
          <w:szCs w:val="24"/>
          <w:lang w:eastAsia="bg-BG" w:bidi="bg-BG"/>
        </w:rPr>
        <w:t xml:space="preserve"> продължава действието на следните мерки:</w:t>
      </w:r>
    </w:p>
    <w:p w14:paraId="31AA0B82" w14:textId="77777777" w:rsidR="00761800" w:rsidRPr="00761800" w:rsidRDefault="00761800" w:rsidP="00F64909">
      <w:pPr>
        <w:numPr>
          <w:ilvl w:val="0"/>
          <w:numId w:val="33"/>
        </w:numPr>
        <w:spacing w:after="200"/>
        <w:jc w:val="both"/>
        <w:rPr>
          <w:rFonts w:ascii="Times New Roman" w:hAnsi="Times New Roman"/>
          <w:szCs w:val="24"/>
          <w:lang w:eastAsia="bg-BG" w:bidi="bg-BG"/>
        </w:rPr>
      </w:pPr>
      <w:r w:rsidRPr="00761800">
        <w:rPr>
          <w:rFonts w:ascii="Times New Roman" w:hAnsi="Times New Roman"/>
          <w:szCs w:val="24"/>
          <w:lang w:eastAsia="bg-BG" w:bidi="bg-BG"/>
        </w:rPr>
        <w:lastRenderedPageBreak/>
        <w:t>Размер на общата годишна квота за предоставяне на ваучери за храна от 818 067 009,91 евро и общия размер на сумата, подлежаща за възстановяване на земеделските стопани от акциза за газьола - 51 129 188,12 евро;</w:t>
      </w:r>
    </w:p>
    <w:p w14:paraId="63885ACF" w14:textId="77777777" w:rsidR="00761800" w:rsidRPr="00761800" w:rsidRDefault="00761800" w:rsidP="00F64909">
      <w:pPr>
        <w:numPr>
          <w:ilvl w:val="0"/>
          <w:numId w:val="33"/>
        </w:numPr>
        <w:spacing w:after="200"/>
        <w:jc w:val="both"/>
        <w:rPr>
          <w:rFonts w:ascii="Times New Roman" w:hAnsi="Times New Roman"/>
          <w:szCs w:val="24"/>
          <w:lang w:eastAsia="bg-BG" w:bidi="bg-BG"/>
        </w:rPr>
      </w:pPr>
      <w:r w:rsidRPr="00761800">
        <w:rPr>
          <w:rFonts w:ascii="Times New Roman" w:hAnsi="Times New Roman"/>
          <w:szCs w:val="24"/>
          <w:lang w:eastAsia="bg-BG" w:bidi="bg-BG"/>
        </w:rPr>
        <w:t>Увеличен размер на данъчните облекчения по чл. 22в и 22г от ЗДДФЛ (за деца и за деца с увреждания), както следва: 3 067,75 евро годишно за едно ненавършило пълнолетие дете, 6 135,50 евро - за две ненавършили пълнолетие деца, 9 203,25 евро - за три и повече ненавършили пълнолетие деца и съответно, за деца с увреждания в размер на 6 135,50 евро годишно, с възможност за авансово ползване през годината.</w:t>
      </w:r>
    </w:p>
    <w:p w14:paraId="01109636" w14:textId="77777777" w:rsidR="00761800" w:rsidRPr="00761800" w:rsidRDefault="00761800" w:rsidP="00761800">
      <w:pPr>
        <w:spacing w:after="200"/>
        <w:jc w:val="both"/>
        <w:rPr>
          <w:rFonts w:ascii="Times New Roman" w:hAnsi="Times New Roman"/>
          <w:bCs/>
          <w:iCs/>
          <w:szCs w:val="24"/>
          <w:lang w:eastAsia="bg-BG" w:bidi="bg-BG"/>
        </w:rPr>
      </w:pPr>
      <w:r w:rsidRPr="00761800">
        <w:rPr>
          <w:rFonts w:ascii="Times New Roman" w:hAnsi="Times New Roman"/>
          <w:bCs/>
          <w:iCs/>
          <w:szCs w:val="24"/>
          <w:lang w:eastAsia="bg-BG" w:bidi="bg-BG"/>
        </w:rPr>
        <w:t>При прогнозиране на постъпленията от данъци е взет предвид и пакет от мерки за намаляване дела на сивата икономика, както следва:</w:t>
      </w:r>
    </w:p>
    <w:p w14:paraId="745F5561" w14:textId="77777777" w:rsidR="00761800" w:rsidRPr="00761800" w:rsidRDefault="00761800" w:rsidP="00F64909">
      <w:pPr>
        <w:numPr>
          <w:ilvl w:val="0"/>
          <w:numId w:val="34"/>
        </w:numPr>
        <w:spacing w:after="200"/>
        <w:jc w:val="both"/>
        <w:rPr>
          <w:rFonts w:ascii="Times New Roman" w:hAnsi="Times New Roman"/>
          <w:bCs/>
          <w:szCs w:val="24"/>
          <w:lang w:eastAsia="bg-BG" w:bidi="bg-BG"/>
        </w:rPr>
      </w:pPr>
      <w:r w:rsidRPr="00761800">
        <w:rPr>
          <w:rFonts w:ascii="Times New Roman" w:hAnsi="Times New Roman"/>
          <w:bCs/>
          <w:szCs w:val="24"/>
          <w:lang w:eastAsia="bg-BG" w:bidi="bg-BG"/>
        </w:rPr>
        <w:t>Засилване на действащия фискален контрол върху стоките с висок фискален риск;</w:t>
      </w:r>
    </w:p>
    <w:p w14:paraId="085B5A30" w14:textId="77777777" w:rsidR="00761800" w:rsidRPr="00761800" w:rsidRDefault="00761800" w:rsidP="00F64909">
      <w:pPr>
        <w:numPr>
          <w:ilvl w:val="0"/>
          <w:numId w:val="34"/>
        </w:numPr>
        <w:spacing w:after="200"/>
        <w:jc w:val="both"/>
        <w:rPr>
          <w:rFonts w:ascii="Times New Roman" w:hAnsi="Times New Roman"/>
          <w:bCs/>
          <w:szCs w:val="24"/>
          <w:lang w:eastAsia="bg-BG" w:bidi="bg-BG"/>
        </w:rPr>
      </w:pPr>
      <w:r w:rsidRPr="00761800">
        <w:rPr>
          <w:rFonts w:ascii="Times New Roman" w:hAnsi="Times New Roman"/>
          <w:bCs/>
          <w:szCs w:val="24"/>
          <w:lang w:eastAsia="bg-BG" w:bidi="bg-BG"/>
        </w:rPr>
        <w:t>Дигитално проследяване в реално време на веригата за доставките на горива от производител/вносител до краен потребител;</w:t>
      </w:r>
    </w:p>
    <w:p w14:paraId="339F8A54" w14:textId="77777777" w:rsidR="00761800" w:rsidRPr="00761800" w:rsidRDefault="00761800" w:rsidP="00F64909">
      <w:pPr>
        <w:numPr>
          <w:ilvl w:val="0"/>
          <w:numId w:val="34"/>
        </w:numPr>
        <w:spacing w:after="200"/>
        <w:jc w:val="both"/>
        <w:rPr>
          <w:rFonts w:ascii="Times New Roman" w:hAnsi="Times New Roman"/>
          <w:bCs/>
          <w:szCs w:val="24"/>
          <w:lang w:eastAsia="bg-BG" w:bidi="bg-BG"/>
        </w:rPr>
      </w:pPr>
      <w:r w:rsidRPr="00761800">
        <w:rPr>
          <w:rFonts w:ascii="Times New Roman" w:hAnsi="Times New Roman"/>
          <w:bCs/>
          <w:szCs w:val="24"/>
          <w:lang w:eastAsia="bg-BG" w:bidi="bg-BG"/>
        </w:rPr>
        <w:t>Засилен контрол върху електронната търговия.</w:t>
      </w:r>
    </w:p>
    <w:p w14:paraId="0A8A7669" w14:textId="77777777" w:rsidR="00761800" w:rsidRPr="00761800" w:rsidRDefault="00761800" w:rsidP="00761800">
      <w:pPr>
        <w:spacing w:after="200"/>
        <w:jc w:val="both"/>
        <w:rPr>
          <w:rFonts w:ascii="Times New Roman" w:hAnsi="Times New Roman"/>
          <w:bCs/>
          <w:iCs/>
          <w:szCs w:val="24"/>
          <w:lang w:eastAsia="bg-BG" w:bidi="bg-BG"/>
        </w:rPr>
      </w:pPr>
      <w:r w:rsidRPr="00761800">
        <w:rPr>
          <w:rFonts w:ascii="Times New Roman" w:hAnsi="Times New Roman"/>
          <w:bCs/>
          <w:iCs/>
          <w:szCs w:val="24"/>
          <w:lang w:eastAsia="bg-BG" w:bidi="bg-BG"/>
        </w:rPr>
        <w:t>Пакетът от мерки е насочен към ограничаване на сивата икономика, повишаване на бюджетните приходи и създаване на по-справедлива конкурентна среда за коректните икономически оператори. Намаляването на неформалната икономическа дейност е сред ключовите предпоставки за подобряване на фискалната устойчивост и повишаване на ефективността на публичните политики.</w:t>
      </w:r>
    </w:p>
    <w:p w14:paraId="7CED4EF7" w14:textId="77777777" w:rsidR="00761800" w:rsidRPr="00761800" w:rsidRDefault="00761800" w:rsidP="00761800">
      <w:pPr>
        <w:spacing w:after="200"/>
        <w:jc w:val="both"/>
        <w:rPr>
          <w:rFonts w:ascii="Times New Roman" w:hAnsi="Times New Roman"/>
          <w:b/>
          <w:szCs w:val="24"/>
          <w:lang w:eastAsia="bg-BG"/>
        </w:rPr>
      </w:pPr>
      <w:r w:rsidRPr="00761800">
        <w:rPr>
          <w:rFonts w:ascii="Times New Roman" w:hAnsi="Times New Roman"/>
          <w:b/>
          <w:szCs w:val="24"/>
          <w:lang w:eastAsia="bg-BG"/>
        </w:rPr>
        <w:t>Краткосрочни приходни мерки за фискална консолидация през 2026 г.:</w:t>
      </w:r>
    </w:p>
    <w:p w14:paraId="36FB5C1B"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Повишаване на максималния осигурителен доход на 2 300 евро, считано от 01.08.2026 г. - очакваният положителен бюджетен ефект в приходите за 2026 г. е 90,8 млн. евро;</w:t>
      </w:r>
    </w:p>
    <w:p w14:paraId="640953BE"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Повишаване на минималните осигурителни прагове за определени икономически дейности и професии над МРЗ</w:t>
      </w:r>
      <w:r w:rsidRPr="00761800">
        <w:rPr>
          <w:rFonts w:ascii="Times New Roman" w:hAnsi="Times New Roman"/>
          <w:position w:val="2"/>
          <w:sz w:val="18"/>
          <w:szCs w:val="24"/>
          <w:vertAlign w:val="superscript"/>
        </w:rPr>
        <w:footnoteReference w:id="7"/>
      </w:r>
      <w:r w:rsidRPr="00761800">
        <w:rPr>
          <w:rFonts w:ascii="Times New Roman" w:hAnsi="Times New Roman"/>
          <w:szCs w:val="24"/>
          <w:lang w:eastAsia="bg-BG"/>
        </w:rPr>
        <w:t xml:space="preserve">, считано от 01.08.2026 г. - очакваният положителен  бюджетен ефект в приходите за 2026 г. е 50,9 млн. евро; </w:t>
      </w:r>
    </w:p>
    <w:p w14:paraId="54DE9B5B" w14:textId="77777777" w:rsidR="00761800" w:rsidRPr="00761800" w:rsidRDefault="00761800" w:rsidP="00F64909">
      <w:pPr>
        <w:numPr>
          <w:ilvl w:val="0"/>
          <w:numId w:val="35"/>
        </w:numPr>
        <w:spacing w:after="120"/>
        <w:jc w:val="both"/>
        <w:rPr>
          <w:rFonts w:ascii="Times New Roman" w:hAnsi="Times New Roman"/>
          <w:szCs w:val="24"/>
          <w:lang w:eastAsia="bg-BG"/>
        </w:rPr>
      </w:pPr>
      <w:r w:rsidRPr="00761800">
        <w:rPr>
          <w:rFonts w:ascii="Times New Roman" w:hAnsi="Times New Roman"/>
          <w:szCs w:val="24"/>
          <w:lang w:eastAsia="bg-BG"/>
        </w:rPr>
        <w:t>Повишаване на приходите от опериране на тол системата (поетапно увеличение на два пъти през 2025 г.) и увеличение на  винетните такси с 30% - считано от 01.08.2026 г., очакваният положителен бюджетен ефект в приходите за 2026 г. е 53,3 млн. евро;</w:t>
      </w:r>
    </w:p>
    <w:p w14:paraId="7AFACB25"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Подобрена събираемост на приходите от ДОО – 100,0 млн. евро;</w:t>
      </w:r>
    </w:p>
    <w:p w14:paraId="02504986"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Концесионно възнаграждение от Летище София – 50,0 млн. евро;</w:t>
      </w:r>
    </w:p>
    <w:p w14:paraId="5D214F8D"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Допълнителни  мерки за повишаване на събираемостта на данъчните приходи – 200,0 млн. евро;</w:t>
      </w:r>
    </w:p>
    <w:p w14:paraId="61F5C511"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Увеличение на приходи от хазарт със 100,0 млн. евро;</w:t>
      </w:r>
    </w:p>
    <w:p w14:paraId="2C95FCC9"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 xml:space="preserve">Увеличение на приходи от Модернизационния фонд във връзка с одобрени нови проекти от ЕИБ със 100,0 млн. евро. </w:t>
      </w:r>
    </w:p>
    <w:p w14:paraId="110F7C2C" w14:textId="77777777" w:rsidR="00761800" w:rsidRPr="00761800" w:rsidRDefault="00761800" w:rsidP="00761800">
      <w:pPr>
        <w:spacing w:after="200"/>
        <w:jc w:val="both"/>
        <w:rPr>
          <w:rFonts w:ascii="Times New Roman" w:hAnsi="Times New Roman"/>
          <w:b/>
          <w:szCs w:val="24"/>
          <w:lang w:eastAsia="bg-BG"/>
        </w:rPr>
      </w:pPr>
      <w:r w:rsidRPr="00761800">
        <w:rPr>
          <w:rFonts w:ascii="Times New Roman" w:hAnsi="Times New Roman"/>
          <w:b/>
          <w:szCs w:val="24"/>
          <w:lang w:eastAsia="bg-BG"/>
        </w:rPr>
        <w:lastRenderedPageBreak/>
        <w:t>Краткосрочни разходни мерки за фискална консолидация през 2026 г.:</w:t>
      </w:r>
    </w:p>
    <w:p w14:paraId="1A1B4C99"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За 2026 г. е приложена еднократна индексация за всички бюджетни организации от 5% увеличение на индивидуалните работни заплати, достигнати към 31.12.2025 г., в изпълнение на чл. 3, ал. 2, изречение трето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В тази връзка не се разчита увеличение на разходите за персонал (в т.ч. за т.нар. „изборни длъжности“ - длъжностите, които се заемат въз основа на избор), по механизми, политики и нормативни разпоредби, свързани с определяне, преизчисляване или индексация на възнагражденията на база ръста на средната брутна работна заплата/минимална работна заплата. Ангажиментите по колективните трудови договори се изпълняват, като се отчитат предвидените разходи по бюджетите на съответните първостепенни разпоредители с бюджет (ако се приложат механизмите, ефектът е допълнителни разходи в индикативен размер от 564,7 млн. евро за 2026 г.);</w:t>
      </w:r>
    </w:p>
    <w:p w14:paraId="24564E4B" w14:textId="77777777" w:rsidR="00761800" w:rsidRPr="00761800" w:rsidRDefault="00761800" w:rsidP="00F64909">
      <w:pPr>
        <w:numPr>
          <w:ilvl w:val="0"/>
          <w:numId w:val="35"/>
        </w:numPr>
        <w:spacing w:after="200"/>
        <w:jc w:val="both"/>
        <w:rPr>
          <w:rFonts w:ascii="Times New Roman" w:hAnsi="Times New Roman"/>
          <w:bCs/>
          <w:szCs w:val="24"/>
          <w:lang w:eastAsia="bg-BG" w:bidi="bg-BG"/>
        </w:rPr>
      </w:pPr>
      <w:r w:rsidRPr="00761800">
        <w:rPr>
          <w:rFonts w:ascii="Times New Roman" w:hAnsi="Times New Roman"/>
          <w:szCs w:val="24"/>
          <w:lang w:eastAsia="bg-BG"/>
        </w:rPr>
        <w:t>Намаляване с 10 на сто, считано от 1 септември 2026 г. (за 4 месеца за 2026 г. и целогодишно за периода 2027-2028 г.), на разходите за заплати и възнаграждения на персонала по трудови и служебни правоотношения и свързаните с тях задължителни осигурителни вноски от работодатели по бюджетите на ПРБ</w:t>
      </w:r>
      <w:r w:rsidRPr="00761800">
        <w:rPr>
          <w:rFonts w:ascii="Times New Roman" w:hAnsi="Times New Roman"/>
          <w:position w:val="2"/>
          <w:sz w:val="18"/>
          <w:szCs w:val="24"/>
          <w:vertAlign w:val="superscript"/>
        </w:rPr>
        <w:footnoteReference w:id="8"/>
      </w:r>
      <w:r w:rsidRPr="00761800">
        <w:rPr>
          <w:rFonts w:ascii="Times New Roman" w:hAnsi="Times New Roman"/>
          <w:szCs w:val="24"/>
          <w:lang w:eastAsia="bg-BG"/>
        </w:rPr>
        <w:t xml:space="preserve"> – индикативно 85,0 млн. евро, като се запазват достигнатите размери на индивидуалните основни възнаграждения/заплати, </w:t>
      </w:r>
      <w:r w:rsidRPr="00761800">
        <w:rPr>
          <w:rFonts w:ascii="Times New Roman" w:hAnsi="Times New Roman"/>
          <w:bCs/>
          <w:szCs w:val="24"/>
          <w:lang w:eastAsia="bg-BG" w:bidi="bg-BG"/>
        </w:rPr>
        <w:t xml:space="preserve">с изключение на: </w:t>
      </w:r>
    </w:p>
    <w:p w14:paraId="1E065C61" w14:textId="77777777" w:rsidR="00761800" w:rsidRPr="00761800" w:rsidRDefault="00761800" w:rsidP="00F64909">
      <w:pPr>
        <w:numPr>
          <w:ilvl w:val="0"/>
          <w:numId w:val="29"/>
        </w:numPr>
        <w:spacing w:after="200"/>
        <w:ind w:left="1276" w:hanging="283"/>
        <w:jc w:val="both"/>
        <w:rPr>
          <w:rFonts w:ascii="Times New Roman" w:hAnsi="Times New Roman"/>
          <w:szCs w:val="24"/>
          <w:lang w:eastAsia="bg-BG"/>
        </w:rPr>
      </w:pPr>
      <w:r w:rsidRPr="00761800">
        <w:rPr>
          <w:rFonts w:ascii="Times New Roman" w:hAnsi="Times New Roman"/>
          <w:szCs w:val="24"/>
          <w:lang w:eastAsia="bg-BG"/>
        </w:rPr>
        <w:t xml:space="preserve">общините; </w:t>
      </w:r>
    </w:p>
    <w:p w14:paraId="7512B380" w14:textId="77777777" w:rsidR="00761800" w:rsidRPr="00761800" w:rsidRDefault="00761800" w:rsidP="00F64909">
      <w:pPr>
        <w:numPr>
          <w:ilvl w:val="0"/>
          <w:numId w:val="29"/>
        </w:numPr>
        <w:spacing w:after="200"/>
        <w:ind w:left="1276" w:hanging="283"/>
        <w:jc w:val="both"/>
        <w:rPr>
          <w:rFonts w:ascii="Times New Roman" w:hAnsi="Times New Roman"/>
          <w:szCs w:val="24"/>
          <w:lang w:eastAsia="bg-BG"/>
        </w:rPr>
      </w:pPr>
      <w:r w:rsidRPr="00761800">
        <w:rPr>
          <w:rFonts w:ascii="Times New Roman" w:hAnsi="Times New Roman"/>
          <w:szCs w:val="24"/>
          <w:lang w:eastAsia="bg-BG"/>
        </w:rPr>
        <w:t>лицата по чл. 69 от КСО</w:t>
      </w:r>
      <w:r w:rsidRPr="00761800">
        <w:rPr>
          <w:rFonts w:ascii="Times New Roman" w:hAnsi="Times New Roman"/>
          <w:position w:val="2"/>
          <w:sz w:val="18"/>
          <w:szCs w:val="24"/>
          <w:vertAlign w:val="superscript"/>
        </w:rPr>
        <w:footnoteReference w:id="9"/>
      </w:r>
      <w:r w:rsidRPr="00761800">
        <w:rPr>
          <w:rFonts w:ascii="Times New Roman" w:hAnsi="Times New Roman"/>
          <w:szCs w:val="24"/>
          <w:lang w:eastAsia="bg-BG"/>
        </w:rPr>
        <w:t xml:space="preserve"> - военнослужещите по Закона за отбраната и въоръжените сили на Република България; по Закона за Министерството на вътрешните работи; по Закона за Държавна агенция „Национална сигурност“; по Закона за Националната служба за охрана; по Закона за Държавна агенция „Разузнаване“; по Закона за изпълнение на наказанията и задържането под стража и др.; </w:t>
      </w:r>
    </w:p>
    <w:p w14:paraId="697D3387" w14:textId="77777777" w:rsidR="00761800" w:rsidRPr="00761800" w:rsidRDefault="00761800" w:rsidP="00F64909">
      <w:pPr>
        <w:numPr>
          <w:ilvl w:val="0"/>
          <w:numId w:val="29"/>
        </w:numPr>
        <w:spacing w:after="200"/>
        <w:ind w:left="1276" w:hanging="283"/>
        <w:jc w:val="both"/>
        <w:rPr>
          <w:rFonts w:ascii="Times New Roman" w:hAnsi="Times New Roman"/>
          <w:szCs w:val="24"/>
          <w:lang w:eastAsia="bg-BG"/>
        </w:rPr>
      </w:pPr>
      <w:r w:rsidRPr="00761800">
        <w:rPr>
          <w:rFonts w:ascii="Times New Roman" w:hAnsi="Times New Roman"/>
          <w:szCs w:val="24"/>
          <w:lang w:eastAsia="bg-BG"/>
        </w:rPr>
        <w:t xml:space="preserve">разпоредители с бюджет, прилагащи делегиран бюджет; </w:t>
      </w:r>
    </w:p>
    <w:p w14:paraId="032EAFF8" w14:textId="77777777" w:rsidR="00761800" w:rsidRPr="00761800" w:rsidRDefault="00761800" w:rsidP="00F64909">
      <w:pPr>
        <w:numPr>
          <w:ilvl w:val="0"/>
          <w:numId w:val="29"/>
        </w:numPr>
        <w:spacing w:after="200"/>
        <w:ind w:left="1276" w:hanging="283"/>
        <w:jc w:val="both"/>
        <w:rPr>
          <w:rFonts w:ascii="Times New Roman" w:hAnsi="Times New Roman"/>
          <w:szCs w:val="24"/>
          <w:lang w:eastAsia="bg-BG"/>
        </w:rPr>
      </w:pPr>
      <w:r w:rsidRPr="00761800">
        <w:rPr>
          <w:rFonts w:ascii="Times New Roman" w:hAnsi="Times New Roman"/>
          <w:szCs w:val="24"/>
          <w:lang w:eastAsia="bg-BG"/>
        </w:rPr>
        <w:t xml:space="preserve">разпоредители с бюджет – лечебни заведения по чл. 5 от Закона за лечебните заведения. </w:t>
      </w:r>
    </w:p>
    <w:p w14:paraId="31215C1E"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Премахване на ковид добавката към пенсиите за новоотпуснатите пенсии след 01.07. 2026 г. – 2,9 млн. евро;</w:t>
      </w:r>
    </w:p>
    <w:p w14:paraId="67D7A604"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Намаляване на държавната субсидия за вероизповеданията от 10,2 евро на глас на не по-малко от 7,7 евро на глас, считано от 1.10.2026 г. – 5,0 млн. евро;</w:t>
      </w:r>
    </w:p>
    <w:p w14:paraId="5708E45C"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Намаляване на държавната субсидия за един получен действителен глас по чл. 26, ал. 1 от Закона за политическите партии, считано от 30.04.2026 г. от 4,09 на 3,0 евро – 2,1 млн. евро;</w:t>
      </w:r>
    </w:p>
    <w:p w14:paraId="0B2D6F66"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lastRenderedPageBreak/>
        <w:t>Подобряване на ефективността на механизмите за оценка и контрол при определяне правото на достъп до социални плащания - лична помощ, социална помощ, финансова подкрепа на хора с увреждания и други – 200,0 млн. евро;</w:t>
      </w:r>
    </w:p>
    <w:p w14:paraId="69174497"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Оптимизиране на контрола върху разходите за помощи и обезщетения за безработица от бюджета на ДОО – 20,0 млн. евро;</w:t>
      </w:r>
    </w:p>
    <w:p w14:paraId="3CAF38F6"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Оптимизиране на текущите и на капиталовите субсидии за БДЖ, НКЖИ, Български пощи и други, в т.ч. за индексации на договори за капиталови разходи – 285,3 млн. евро;</w:t>
      </w:r>
    </w:p>
    <w:p w14:paraId="2929029F"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Оптимизация на разходи по централен бюджет (отпадане на средства, предвидени за: обезпечаване на механизми за определяне на разходи за персонал, обвързани със СБРЗ</w:t>
      </w:r>
      <w:r w:rsidRPr="00761800">
        <w:rPr>
          <w:rFonts w:ascii="Times New Roman" w:hAnsi="Times New Roman"/>
          <w:position w:val="2"/>
          <w:sz w:val="18"/>
          <w:szCs w:val="24"/>
          <w:vertAlign w:val="superscript"/>
        </w:rPr>
        <w:footnoteReference w:id="10"/>
      </w:r>
      <w:r w:rsidRPr="00761800">
        <w:rPr>
          <w:rFonts w:ascii="Times New Roman" w:hAnsi="Times New Roman"/>
          <w:szCs w:val="24"/>
          <w:lang w:eastAsia="bg-BG"/>
        </w:rPr>
        <w:t xml:space="preserve"> поради мярка за отпадане на механизмите, за индексации на договори за текущ ремонт и поддръжка и за капиталови разходи за МРРБ</w:t>
      </w:r>
      <w:r w:rsidRPr="00761800">
        <w:rPr>
          <w:rFonts w:ascii="Times New Roman" w:hAnsi="Times New Roman"/>
          <w:position w:val="2"/>
          <w:sz w:val="18"/>
          <w:szCs w:val="24"/>
          <w:vertAlign w:val="superscript"/>
        </w:rPr>
        <w:footnoteReference w:id="11"/>
      </w:r>
      <w:r w:rsidRPr="00761800">
        <w:rPr>
          <w:rFonts w:ascii="Times New Roman" w:hAnsi="Times New Roman"/>
          <w:szCs w:val="24"/>
          <w:lang w:eastAsia="bg-BG"/>
        </w:rPr>
        <w:t xml:space="preserve"> и АПИ</w:t>
      </w:r>
      <w:r w:rsidRPr="00761800">
        <w:rPr>
          <w:rFonts w:ascii="Times New Roman" w:hAnsi="Times New Roman"/>
          <w:position w:val="2"/>
          <w:sz w:val="18"/>
          <w:szCs w:val="24"/>
          <w:vertAlign w:val="superscript"/>
        </w:rPr>
        <w:footnoteReference w:id="12"/>
      </w:r>
      <w:r w:rsidRPr="00761800">
        <w:rPr>
          <w:rFonts w:ascii="Times New Roman" w:hAnsi="Times New Roman"/>
          <w:szCs w:val="24"/>
          <w:lang w:eastAsia="bg-BG"/>
        </w:rPr>
        <w:t xml:space="preserve"> поради мярка за промяна на законовото основание в ЗОП</w:t>
      </w:r>
      <w:r w:rsidRPr="00761800">
        <w:rPr>
          <w:rFonts w:ascii="Times New Roman" w:hAnsi="Times New Roman"/>
          <w:position w:val="2"/>
          <w:sz w:val="18"/>
          <w:szCs w:val="24"/>
          <w:vertAlign w:val="superscript"/>
        </w:rPr>
        <w:footnoteReference w:id="13"/>
      </w:r>
      <w:r w:rsidRPr="00761800">
        <w:rPr>
          <w:rFonts w:ascii="Times New Roman" w:hAnsi="Times New Roman"/>
          <w:szCs w:val="24"/>
          <w:lang w:eastAsia="bg-BG"/>
        </w:rPr>
        <w:t xml:space="preserve"> за индексиране на договори,  отпадане на средства за увеличаване на потребителите на социалната услуга „Асистентска подкрепа“ във връзка с продължаване на финансирането със средства от оперативна програма и др.) – 545,5 млн. евро;</w:t>
      </w:r>
    </w:p>
    <w:p w14:paraId="25564BA8"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 xml:space="preserve">Преразглеждане на  механизма за определяне на минималната работна заплата, регламентиран в чл. 244 от Кодекса на труда. Новият механизъм следва да бъде въведен през 2027 година.  До приемането му се предвижда размерът на МРЗ да се запази на нивото на 2026 г.; </w:t>
      </w:r>
    </w:p>
    <w:p w14:paraId="7AA120DA" w14:textId="77777777" w:rsidR="00761800" w:rsidRPr="00761800" w:rsidRDefault="00761800" w:rsidP="00F64909">
      <w:pPr>
        <w:numPr>
          <w:ilvl w:val="0"/>
          <w:numId w:val="35"/>
        </w:numPr>
        <w:spacing w:after="200"/>
        <w:jc w:val="both"/>
        <w:rPr>
          <w:rFonts w:ascii="Times New Roman" w:hAnsi="Times New Roman"/>
          <w:szCs w:val="24"/>
          <w:lang w:eastAsia="bg-BG"/>
        </w:rPr>
      </w:pPr>
      <w:r w:rsidRPr="00761800">
        <w:rPr>
          <w:rFonts w:ascii="Times New Roman" w:hAnsi="Times New Roman"/>
          <w:szCs w:val="24"/>
          <w:lang w:eastAsia="bg-BG"/>
        </w:rPr>
        <w:t>Предприемане на действия за промяна на Закона за обществените поръчки и свързаната подзаконова нормативна уредба с цел отмяна на възможността за индексации на действащите договори; да се преустанови прилагането на индексация на договорите/споразуменията, в т.ч. и за текущ ремонт и поддръжка и капиталови разходи; да се въведе регламент за размера на авансовите плащания и въведе таван на авансовите плащания по договорите, след възлагане по ЗОП.</w:t>
      </w:r>
    </w:p>
    <w:p w14:paraId="12764D93" w14:textId="77777777" w:rsidR="00761800" w:rsidRPr="00761800" w:rsidRDefault="00761800" w:rsidP="00F64909">
      <w:pPr>
        <w:numPr>
          <w:ilvl w:val="0"/>
          <w:numId w:val="36"/>
        </w:numPr>
        <w:spacing w:after="200"/>
        <w:jc w:val="both"/>
        <w:rPr>
          <w:rFonts w:ascii="Times New Roman" w:hAnsi="Times New Roman"/>
          <w:szCs w:val="24"/>
          <w:lang w:eastAsia="bg-BG"/>
        </w:rPr>
      </w:pPr>
      <w:r w:rsidRPr="00761800">
        <w:rPr>
          <w:rFonts w:ascii="Times New Roman" w:hAnsi="Times New Roman"/>
          <w:b/>
          <w:szCs w:val="24"/>
          <w:lang w:eastAsia="bg-BG"/>
        </w:rPr>
        <w:t>Поетапно въвеждане на задължение държавните служители по Закона за държавния служител и заетите по Закона за съдебната власт да заплащат лични осигурителни вноски</w:t>
      </w:r>
      <w:r w:rsidRPr="00761800">
        <w:rPr>
          <w:rFonts w:ascii="Times New Roman" w:hAnsi="Times New Roman"/>
          <w:szCs w:val="24"/>
          <w:lang w:eastAsia="bg-BG"/>
        </w:rPr>
        <w:t>, както следва:</w:t>
      </w:r>
    </w:p>
    <w:p w14:paraId="5F8AB5F9" w14:textId="77777777" w:rsidR="00761800" w:rsidRPr="00761800" w:rsidRDefault="00761800" w:rsidP="00F64909">
      <w:pPr>
        <w:numPr>
          <w:ilvl w:val="0"/>
          <w:numId w:val="37"/>
        </w:numPr>
        <w:spacing w:after="200"/>
        <w:ind w:right="-2"/>
        <w:jc w:val="both"/>
        <w:rPr>
          <w:rFonts w:ascii="Times New Roman" w:hAnsi="Times New Roman"/>
          <w:szCs w:val="24"/>
        </w:rPr>
      </w:pPr>
      <w:r w:rsidRPr="00761800">
        <w:rPr>
          <w:rFonts w:ascii="Times New Roman" w:hAnsi="Times New Roman"/>
          <w:b/>
          <w:szCs w:val="24"/>
          <w:lang w:eastAsia="bg-BG"/>
        </w:rPr>
        <w:t xml:space="preserve">От 01.08.2026 г. се предвижда </w:t>
      </w:r>
      <w:r w:rsidRPr="00761800">
        <w:rPr>
          <w:rFonts w:ascii="Times New Roman" w:hAnsi="Times New Roman"/>
          <w:b/>
          <w:szCs w:val="24"/>
        </w:rPr>
        <w:t>съотношението между осигурителя и осигуреното лице да е 80:20</w:t>
      </w:r>
      <w:r w:rsidRPr="00761800">
        <w:rPr>
          <w:rFonts w:ascii="Times New Roman" w:hAnsi="Times New Roman"/>
          <w:szCs w:val="24"/>
        </w:rPr>
        <w:t xml:space="preserve"> разпределено по фондове, както следва:</w:t>
      </w:r>
    </w:p>
    <w:p w14:paraId="67740CC9" w14:textId="77777777" w:rsidR="00761800" w:rsidRPr="00761800" w:rsidRDefault="00761800" w:rsidP="00F64909">
      <w:pPr>
        <w:numPr>
          <w:ilvl w:val="0"/>
          <w:numId w:val="38"/>
        </w:numPr>
        <w:spacing w:after="200"/>
        <w:ind w:right="-335"/>
        <w:jc w:val="both"/>
        <w:rPr>
          <w:rFonts w:ascii="Times New Roman" w:hAnsi="Times New Roman"/>
          <w:szCs w:val="24"/>
        </w:rPr>
      </w:pPr>
      <w:r w:rsidRPr="00761800">
        <w:rPr>
          <w:rFonts w:ascii="Times New Roman" w:hAnsi="Times New Roman"/>
          <w:szCs w:val="24"/>
        </w:rPr>
        <w:t xml:space="preserve">Размер на осигурителните вноски за държавното обществено осигуряване: </w:t>
      </w:r>
    </w:p>
    <w:p w14:paraId="6A1B7A78" w14:textId="77777777" w:rsidR="00761800" w:rsidRPr="00761800" w:rsidRDefault="00761800" w:rsidP="00F64909">
      <w:pPr>
        <w:numPr>
          <w:ilvl w:val="0"/>
          <w:numId w:val="29"/>
        </w:numPr>
        <w:spacing w:after="200"/>
        <w:ind w:left="1560" w:hanging="284"/>
        <w:jc w:val="both"/>
        <w:rPr>
          <w:rFonts w:ascii="Times New Roman" w:hAnsi="Times New Roman"/>
          <w:szCs w:val="24"/>
          <w:lang w:eastAsia="bg-BG"/>
        </w:rPr>
      </w:pPr>
      <w:r w:rsidRPr="00761800">
        <w:rPr>
          <w:rFonts w:ascii="Times New Roman" w:hAnsi="Times New Roman"/>
          <w:szCs w:val="24"/>
          <w:lang w:eastAsia="bg-BG"/>
        </w:rPr>
        <w:t>за фонд „Пенсии” посочените размери за осигурителната вноска за лицата, родени преди 31 декември 1959 г. – 19,8% разпределени между работодател и работник – 15,8% и 4%;</w:t>
      </w:r>
    </w:p>
    <w:p w14:paraId="3B364CAC" w14:textId="77777777" w:rsidR="00761800" w:rsidRPr="00761800" w:rsidRDefault="00761800" w:rsidP="00F64909">
      <w:pPr>
        <w:numPr>
          <w:ilvl w:val="0"/>
          <w:numId w:val="29"/>
        </w:numPr>
        <w:spacing w:after="200"/>
        <w:ind w:left="1560" w:hanging="284"/>
        <w:jc w:val="both"/>
        <w:rPr>
          <w:rFonts w:ascii="Times New Roman" w:hAnsi="Times New Roman"/>
          <w:szCs w:val="24"/>
          <w:lang w:eastAsia="bg-BG"/>
        </w:rPr>
      </w:pPr>
      <w:r w:rsidRPr="00761800">
        <w:rPr>
          <w:rFonts w:ascii="Times New Roman" w:hAnsi="Times New Roman"/>
          <w:szCs w:val="24"/>
          <w:lang w:eastAsia="bg-BG"/>
        </w:rPr>
        <w:t xml:space="preserve">за фонд „Пенсии” посочените размери за осигурителната вноска за лицата, родени след 31 декември 1959 г. са за лицата, които се осигуряват и за допълнително задължително пенсионно осигуряване в универсален </w:t>
      </w:r>
      <w:r w:rsidRPr="00761800">
        <w:rPr>
          <w:rFonts w:ascii="Times New Roman" w:hAnsi="Times New Roman"/>
          <w:szCs w:val="24"/>
          <w:lang w:eastAsia="bg-BG"/>
        </w:rPr>
        <w:lastRenderedPageBreak/>
        <w:t>пенсионен фонд – 14,8% разпределени между работодател и работник – 11,8% и 3%;</w:t>
      </w:r>
    </w:p>
    <w:p w14:paraId="2D283EB9" w14:textId="77777777" w:rsidR="00761800" w:rsidRPr="00761800" w:rsidRDefault="00761800" w:rsidP="00F64909">
      <w:pPr>
        <w:numPr>
          <w:ilvl w:val="0"/>
          <w:numId w:val="29"/>
        </w:numPr>
        <w:spacing w:after="200"/>
        <w:ind w:left="1560" w:hanging="284"/>
        <w:jc w:val="both"/>
        <w:rPr>
          <w:rFonts w:ascii="Times New Roman" w:hAnsi="Times New Roman"/>
          <w:szCs w:val="24"/>
          <w:lang w:eastAsia="bg-BG"/>
        </w:rPr>
      </w:pPr>
      <w:r w:rsidRPr="00761800">
        <w:rPr>
          <w:rFonts w:ascii="Times New Roman" w:hAnsi="Times New Roman"/>
          <w:szCs w:val="24"/>
          <w:lang w:eastAsia="bg-BG"/>
        </w:rPr>
        <w:t>за фонд „Общо заболяване и майчинство” – 3,5% разпределени между работодател и работник – 2,8% и 0,7%;</w:t>
      </w:r>
    </w:p>
    <w:p w14:paraId="7BFB09AF" w14:textId="77777777" w:rsidR="00761800" w:rsidRPr="00761800" w:rsidRDefault="00761800" w:rsidP="00F64909">
      <w:pPr>
        <w:numPr>
          <w:ilvl w:val="0"/>
          <w:numId w:val="29"/>
        </w:numPr>
        <w:spacing w:after="200"/>
        <w:ind w:left="1560" w:hanging="284"/>
        <w:jc w:val="both"/>
        <w:rPr>
          <w:rFonts w:ascii="Times New Roman" w:hAnsi="Times New Roman"/>
          <w:szCs w:val="24"/>
          <w:lang w:eastAsia="bg-BG"/>
        </w:rPr>
      </w:pPr>
      <w:r w:rsidRPr="00761800">
        <w:rPr>
          <w:rFonts w:ascii="Times New Roman" w:hAnsi="Times New Roman"/>
          <w:szCs w:val="24"/>
          <w:lang w:eastAsia="bg-BG"/>
        </w:rPr>
        <w:t>за фонд „Безработица” – 1% разпределени между работодател и работник – 0,8% и 0,2%;</w:t>
      </w:r>
    </w:p>
    <w:p w14:paraId="68AF6D8A" w14:textId="77777777" w:rsidR="00761800" w:rsidRPr="00761800" w:rsidRDefault="00761800" w:rsidP="00F64909">
      <w:pPr>
        <w:numPr>
          <w:ilvl w:val="0"/>
          <w:numId w:val="29"/>
        </w:numPr>
        <w:spacing w:after="200"/>
        <w:ind w:left="1560" w:hanging="284"/>
        <w:jc w:val="both"/>
        <w:rPr>
          <w:rFonts w:ascii="Times New Roman" w:hAnsi="Times New Roman"/>
          <w:szCs w:val="24"/>
          <w:lang w:eastAsia="bg-BG"/>
        </w:rPr>
      </w:pPr>
      <w:r w:rsidRPr="00761800">
        <w:rPr>
          <w:rFonts w:ascii="Times New Roman" w:hAnsi="Times New Roman"/>
          <w:szCs w:val="24"/>
          <w:lang w:eastAsia="bg-BG"/>
        </w:rPr>
        <w:t>за фонд „Трудова злополука и професионална болест” – вноската е за сметка на работодател 0,7%.</w:t>
      </w:r>
    </w:p>
    <w:p w14:paraId="2D0A47C9" w14:textId="77777777" w:rsidR="00761800" w:rsidRPr="00761800" w:rsidRDefault="00761800" w:rsidP="00F64909">
      <w:pPr>
        <w:numPr>
          <w:ilvl w:val="0"/>
          <w:numId w:val="38"/>
        </w:numPr>
        <w:spacing w:after="200"/>
        <w:ind w:right="-2"/>
        <w:jc w:val="both"/>
        <w:rPr>
          <w:rFonts w:ascii="Times New Roman" w:hAnsi="Times New Roman"/>
          <w:szCs w:val="24"/>
        </w:rPr>
      </w:pPr>
      <w:r w:rsidRPr="00761800">
        <w:rPr>
          <w:rFonts w:ascii="Times New Roman" w:hAnsi="Times New Roman"/>
          <w:szCs w:val="24"/>
        </w:rPr>
        <w:t>Размер на осигурителната вноска за здравно осигуряване – 8% разпределени между работодател и работник – 6,4% и 1,6%;</w:t>
      </w:r>
    </w:p>
    <w:p w14:paraId="7E70BF22" w14:textId="77777777" w:rsidR="00761800" w:rsidRPr="00761800" w:rsidRDefault="00761800" w:rsidP="00F64909">
      <w:pPr>
        <w:numPr>
          <w:ilvl w:val="0"/>
          <w:numId w:val="38"/>
        </w:numPr>
        <w:spacing w:after="200"/>
        <w:ind w:right="-2"/>
        <w:jc w:val="both"/>
        <w:rPr>
          <w:rFonts w:ascii="Times New Roman" w:hAnsi="Times New Roman"/>
          <w:szCs w:val="24"/>
        </w:rPr>
      </w:pPr>
      <w:r w:rsidRPr="00761800">
        <w:rPr>
          <w:rFonts w:ascii="Times New Roman" w:hAnsi="Times New Roman"/>
          <w:szCs w:val="24"/>
        </w:rPr>
        <w:t>Размер на осигурителните вноски за допълнително задължително пенсионно осигуряване (универсални пенсионни фондове) – 5% разпределени между работодател и работник – 4% и 1%.</w:t>
      </w:r>
    </w:p>
    <w:p w14:paraId="466188BE" w14:textId="77777777" w:rsidR="00761800" w:rsidRPr="00761800" w:rsidRDefault="00761800" w:rsidP="00F64909">
      <w:pPr>
        <w:numPr>
          <w:ilvl w:val="0"/>
          <w:numId w:val="37"/>
        </w:numPr>
        <w:spacing w:after="200"/>
        <w:ind w:right="-2"/>
        <w:jc w:val="both"/>
        <w:rPr>
          <w:rFonts w:ascii="Times New Roman" w:hAnsi="Times New Roman"/>
          <w:szCs w:val="24"/>
        </w:rPr>
      </w:pPr>
      <w:r w:rsidRPr="00761800">
        <w:rPr>
          <w:rFonts w:ascii="Times New Roman" w:hAnsi="Times New Roman"/>
          <w:b/>
          <w:szCs w:val="24"/>
        </w:rPr>
        <w:t>От 01.01.2027 г. се предвижда съотношението между осигурителя и осигуреното лице да достигне размерите и съотношенията</w:t>
      </w:r>
      <w:r w:rsidRPr="00761800">
        <w:rPr>
          <w:rFonts w:ascii="Times New Roman" w:hAnsi="Times New Roman"/>
          <w:szCs w:val="24"/>
        </w:rPr>
        <w:t xml:space="preserve"> като за категорията лица, които и към момента заплащат личните си осигурителни вноски съобразно установеното в чл. 6, ал. 3, т. 7 от КСО за фонд </w:t>
      </w:r>
      <w:r w:rsidRPr="00761800">
        <w:rPr>
          <w:rFonts w:ascii="Times New Roman" w:hAnsi="Times New Roman"/>
          <w:szCs w:val="24"/>
          <w:lang w:eastAsia="bg-BG"/>
        </w:rPr>
        <w:t>„Общо заболяване и майчинство“</w:t>
      </w:r>
      <w:r w:rsidRPr="00761800">
        <w:rPr>
          <w:rFonts w:ascii="Times New Roman" w:hAnsi="Times New Roman"/>
          <w:szCs w:val="24"/>
        </w:rPr>
        <w:t xml:space="preserve"> и фонд „Безработица“ и в чл. 6, ал. 1, т. 4, б. „а“ и б. „б“ и ал. 3, т. 8, б. „а“ и т. 9, б. „б“ от КСО за фонд „Пенсии“;</w:t>
      </w:r>
    </w:p>
    <w:p w14:paraId="26C7B193" w14:textId="77777777" w:rsidR="00761800" w:rsidRPr="00761800" w:rsidRDefault="00761800" w:rsidP="00F64909">
      <w:pPr>
        <w:numPr>
          <w:ilvl w:val="0"/>
          <w:numId w:val="37"/>
        </w:numPr>
        <w:spacing w:after="200"/>
        <w:ind w:right="-2"/>
        <w:jc w:val="both"/>
        <w:rPr>
          <w:rFonts w:ascii="Times New Roman" w:hAnsi="Times New Roman"/>
          <w:szCs w:val="24"/>
        </w:rPr>
      </w:pPr>
      <w:r w:rsidRPr="00761800">
        <w:rPr>
          <w:rFonts w:ascii="Times New Roman" w:hAnsi="Times New Roman"/>
          <w:szCs w:val="24"/>
        </w:rPr>
        <w:t>Допълнително, от 2027 г. се предвижда разработването на подобен механизъм за поемане на личните осигурителни вноски в размерите за останалите категории лица и за заетите лица по реда на специалните закони, като например Закона за МВР</w:t>
      </w:r>
      <w:r w:rsidRPr="00761800">
        <w:rPr>
          <w:rFonts w:ascii="Times New Roman" w:hAnsi="Times New Roman"/>
          <w:position w:val="2"/>
          <w:sz w:val="18"/>
          <w:szCs w:val="24"/>
          <w:vertAlign w:val="superscript"/>
        </w:rPr>
        <w:footnoteReference w:id="14"/>
      </w:r>
      <w:r w:rsidRPr="00761800">
        <w:rPr>
          <w:rFonts w:ascii="Times New Roman" w:hAnsi="Times New Roman"/>
          <w:szCs w:val="24"/>
        </w:rPr>
        <w:t xml:space="preserve">, Закона за отбраната и въоръжените сили и др. </w:t>
      </w:r>
    </w:p>
    <w:p w14:paraId="55F411FE" w14:textId="77777777" w:rsidR="00761800" w:rsidRPr="00761800" w:rsidRDefault="00761800" w:rsidP="00761800">
      <w:pPr>
        <w:spacing w:after="200"/>
        <w:ind w:right="-2"/>
        <w:jc w:val="both"/>
        <w:rPr>
          <w:rFonts w:ascii="Times New Roman" w:hAnsi="Times New Roman"/>
          <w:i/>
          <w:szCs w:val="24"/>
        </w:rPr>
      </w:pPr>
      <w:r w:rsidRPr="00761800">
        <w:rPr>
          <w:rFonts w:ascii="Times New Roman" w:hAnsi="Times New Roman"/>
          <w:i/>
          <w:szCs w:val="24"/>
        </w:rPr>
        <w:t xml:space="preserve">При прилагането на тези промени на модела на осигуряване за 2026 г. и 2027 г. за тези категории лица се предвижда компенсиране на възнагражденията, с оглед запазване на достигнатия нетен доход. </w:t>
      </w:r>
    </w:p>
    <w:p w14:paraId="0F6322F4" w14:textId="77777777" w:rsidR="00761800" w:rsidRPr="00761800" w:rsidRDefault="00761800" w:rsidP="00761800">
      <w:pPr>
        <w:spacing w:after="200"/>
        <w:jc w:val="both"/>
        <w:rPr>
          <w:rFonts w:ascii="Times New Roman" w:eastAsia="Calibri" w:hAnsi="Times New Roman"/>
          <w:b/>
          <w:bCs/>
          <w:szCs w:val="24"/>
          <w:lang w:eastAsia="bg-BG"/>
        </w:rPr>
      </w:pPr>
      <w:r w:rsidRPr="00761800">
        <w:rPr>
          <w:rFonts w:ascii="Times New Roman" w:eastAsia="Calibri" w:hAnsi="Times New Roman"/>
          <w:b/>
          <w:bCs/>
          <w:szCs w:val="24"/>
          <w:lang w:eastAsia="bg-BG"/>
        </w:rPr>
        <w:t>Инвестиционна политика</w:t>
      </w:r>
    </w:p>
    <w:p w14:paraId="6940B0C5" w14:textId="77777777" w:rsidR="00761800" w:rsidRPr="00761800" w:rsidRDefault="00761800" w:rsidP="00761800">
      <w:pPr>
        <w:spacing w:after="200"/>
        <w:jc w:val="both"/>
        <w:rPr>
          <w:rFonts w:ascii="Times New Roman" w:hAnsi="Times New Roman"/>
          <w:szCs w:val="24"/>
          <w:shd w:val="clear" w:color="auto" w:fill="FFFFFF"/>
          <w:lang w:eastAsia="bg-BG"/>
        </w:rPr>
      </w:pPr>
      <w:r w:rsidRPr="00761800">
        <w:rPr>
          <w:rFonts w:ascii="Times New Roman" w:hAnsi="Times New Roman"/>
          <w:szCs w:val="24"/>
          <w:shd w:val="clear" w:color="auto" w:fill="FFFFFF"/>
          <w:lang w:eastAsia="bg-BG"/>
        </w:rPr>
        <w:t>Средствата за капиталови разходи през 2026 г. възлизат на 9 360,6 млн. евро, като в т.ч. са тези с национално финансиране от 4 028,9 млн. евро и с европейско финансиране от 5 331,7 млн. евро (в т.ч. НПВУ</w:t>
      </w:r>
      <w:r w:rsidRPr="00761800">
        <w:rPr>
          <w:rFonts w:ascii="Times New Roman" w:hAnsi="Times New Roman"/>
          <w:position w:val="2"/>
          <w:sz w:val="18"/>
          <w:szCs w:val="24"/>
          <w:shd w:val="clear" w:color="auto" w:fill="FFFFFF"/>
          <w:vertAlign w:val="superscript"/>
        </w:rPr>
        <w:footnoteReference w:id="15"/>
      </w:r>
      <w:r w:rsidRPr="00761800">
        <w:rPr>
          <w:rFonts w:ascii="Times New Roman" w:hAnsi="Times New Roman"/>
          <w:szCs w:val="24"/>
          <w:shd w:val="clear" w:color="auto" w:fill="FFFFFF"/>
          <w:lang w:eastAsia="bg-BG"/>
        </w:rPr>
        <w:t>). В съответствие с наличния бюджетен ресурс и извършената от ПРБ приоритизация са обособени основните стратегически инвестиционни проекти, които са включени в „Програма за приоритетни стратегически инвестиционни проекти с национално финансиране за периода 2026-2028 г.“ – приложение към проекта на Закон за държавния бюджет на Република България (ЗДБРБ) за 2026 г., като срокът на програмата е съобразен с Националния средносрочен фискално-структурен план на Република България за периода 2025-2028 г. Средствата за капиталови разходи през 2026 г. за финансово обезпечаване на приоритетните стратегически инвестиционни проекти с национално финансиране са в рамките на утвърдените капиталови разходи по бюджетите на първостепенните разпоредители с бюджет за 2026 г.</w:t>
      </w:r>
    </w:p>
    <w:p w14:paraId="71CA765E" w14:textId="77777777" w:rsidR="00761800" w:rsidRPr="00761800" w:rsidRDefault="00761800" w:rsidP="00761800">
      <w:pPr>
        <w:spacing w:after="200"/>
        <w:jc w:val="both"/>
        <w:rPr>
          <w:rFonts w:ascii="Times New Roman" w:hAnsi="Times New Roman"/>
          <w:szCs w:val="24"/>
          <w:shd w:val="clear" w:color="auto" w:fill="FFFFFF"/>
          <w:lang w:eastAsia="bg-BG"/>
        </w:rPr>
      </w:pPr>
      <w:r w:rsidRPr="00761800">
        <w:rPr>
          <w:rFonts w:ascii="Times New Roman" w:hAnsi="Times New Roman"/>
          <w:szCs w:val="24"/>
          <w:shd w:val="clear" w:color="auto" w:fill="FFFFFF"/>
          <w:lang w:eastAsia="bg-BG"/>
        </w:rPr>
        <w:lastRenderedPageBreak/>
        <w:t>С цел подобряване на инвестиционната среда и на условията за приличане на стратегически инвеститори, в Закона за държавния бюджет на Република България за 2026 г. са предвидени общо 70 168,8 хил. евро за финансиране на мерки по Закона за насърчаване на инвестициите. От тях по бюджета на Министерството на икономиката, инвестициите и индустрията за 2026 г. по Бюджетна програма „Насърчаване на инвестициите“ са планирани целеви средства в размер на 10</w:t>
      </w:r>
      <w:r w:rsidRPr="00761800">
        <w:rPr>
          <w:rFonts w:ascii="Times New Roman" w:hAnsi="Times New Roman"/>
          <w:szCs w:val="24"/>
          <w:shd w:val="clear" w:color="auto" w:fill="FFFFFF"/>
          <w:lang w:val="en-US" w:eastAsia="bg-BG"/>
        </w:rPr>
        <w:t> </w:t>
      </w:r>
      <w:r w:rsidRPr="00761800">
        <w:rPr>
          <w:rFonts w:ascii="Times New Roman" w:hAnsi="Times New Roman"/>
          <w:szCs w:val="24"/>
          <w:shd w:val="clear" w:color="auto" w:fill="FFFFFF"/>
          <w:lang w:eastAsia="bg-BG"/>
        </w:rPr>
        <w:t xml:space="preserve">168,8 хил. евро като субсидии и други текущи трансфери за нефинансови предприятия за финансиране на мерки по издадени сертификати за настоящата година, а още 60 000,0 хил. евро за наръчване на инвестициите са разчетени по централния бюджет за 2026 г. С тези средства ще бъдат подпомогнати водещи компании, с които са сключени договори и меморандуми за подпомагане на общо </w:t>
      </w:r>
      <w:r w:rsidRPr="00761800">
        <w:rPr>
          <w:rFonts w:ascii="Times New Roman" w:hAnsi="Times New Roman"/>
          <w:b/>
          <w:szCs w:val="24"/>
          <w:shd w:val="clear" w:color="auto" w:fill="FFFFFF"/>
          <w:lang w:eastAsia="bg-BG"/>
        </w:rPr>
        <w:t>18 дружества</w:t>
      </w:r>
      <w:r w:rsidRPr="00761800">
        <w:rPr>
          <w:rFonts w:ascii="Times New Roman" w:hAnsi="Times New Roman"/>
          <w:szCs w:val="24"/>
          <w:shd w:val="clear" w:color="auto" w:fill="FFFFFF"/>
          <w:lang w:eastAsia="bg-BG"/>
        </w:rPr>
        <w:t xml:space="preserve"> със сертифицирани инвестиционни проекти на обща стойност </w:t>
      </w:r>
      <w:r w:rsidRPr="00761800">
        <w:rPr>
          <w:rFonts w:ascii="Times New Roman" w:hAnsi="Times New Roman"/>
          <w:b/>
          <w:szCs w:val="24"/>
          <w:shd w:val="clear" w:color="auto" w:fill="FFFFFF"/>
          <w:lang w:eastAsia="bg-BG"/>
        </w:rPr>
        <w:t>583,31 млн. евро</w:t>
      </w:r>
      <w:r w:rsidRPr="00761800">
        <w:rPr>
          <w:rFonts w:ascii="Times New Roman" w:hAnsi="Times New Roman"/>
          <w:szCs w:val="24"/>
          <w:shd w:val="clear" w:color="auto" w:fill="FFFFFF"/>
          <w:lang w:eastAsia="bg-BG"/>
        </w:rPr>
        <w:t xml:space="preserve"> и заявили създаването на </w:t>
      </w:r>
      <w:r w:rsidRPr="00761800">
        <w:rPr>
          <w:rFonts w:ascii="Times New Roman" w:hAnsi="Times New Roman"/>
          <w:b/>
          <w:szCs w:val="24"/>
          <w:shd w:val="clear" w:color="auto" w:fill="FFFFFF"/>
          <w:lang w:eastAsia="bg-BG"/>
        </w:rPr>
        <w:t>3 095 нови работни места</w:t>
      </w:r>
      <w:r w:rsidRPr="00761800">
        <w:rPr>
          <w:rFonts w:ascii="Times New Roman" w:hAnsi="Times New Roman"/>
          <w:szCs w:val="24"/>
          <w:shd w:val="clear" w:color="auto" w:fill="FFFFFF"/>
          <w:lang w:eastAsia="bg-BG"/>
        </w:rPr>
        <w:t>.</w:t>
      </w:r>
    </w:p>
    <w:p w14:paraId="7F2BD733" w14:textId="77777777" w:rsidR="00761800" w:rsidRPr="00761800" w:rsidRDefault="00761800" w:rsidP="00761800">
      <w:pPr>
        <w:spacing w:after="200"/>
        <w:jc w:val="both"/>
        <w:rPr>
          <w:rFonts w:ascii="Times New Roman" w:hAnsi="Times New Roman"/>
          <w:szCs w:val="24"/>
        </w:rPr>
      </w:pPr>
      <w:r w:rsidRPr="00761800">
        <w:rPr>
          <w:rFonts w:ascii="Times New Roman" w:eastAsia="Calibri" w:hAnsi="Times New Roman"/>
          <w:b/>
          <w:bCs/>
          <w:szCs w:val="24"/>
          <w:lang w:eastAsia="bg-BG"/>
        </w:rPr>
        <w:t>Продължава разплащането на проекти по Инвестиционната програма за общински проекти (ИПОП)</w:t>
      </w:r>
      <w:r w:rsidRPr="00761800">
        <w:rPr>
          <w:rFonts w:ascii="Times New Roman" w:eastAsia="Calibri" w:hAnsi="Times New Roman"/>
          <w:bCs/>
          <w:szCs w:val="24"/>
          <w:lang w:eastAsia="bg-BG"/>
        </w:rPr>
        <w:t>, стартирала още през 2024 г., като за целта през 2026 г. е разчетен общ ресурс в размер на</w:t>
      </w:r>
      <w:r w:rsidRPr="00761800">
        <w:rPr>
          <w:rFonts w:ascii="Times New Roman" w:eastAsia="Calibri" w:hAnsi="Times New Roman"/>
          <w:b/>
          <w:bCs/>
          <w:szCs w:val="24"/>
          <w:lang w:eastAsia="bg-BG"/>
        </w:rPr>
        <w:t xml:space="preserve"> </w:t>
      </w:r>
      <w:r w:rsidRPr="00761800">
        <w:rPr>
          <w:rFonts w:ascii="Times New Roman" w:hAnsi="Times New Roman"/>
          <w:szCs w:val="24"/>
        </w:rPr>
        <w:t>1 108,0 млн. евро, от които:</w:t>
      </w:r>
      <w:r w:rsidRPr="00761800">
        <w:rPr>
          <w:rFonts w:ascii="Times New Roman" w:eastAsia="Calibri" w:hAnsi="Times New Roman"/>
          <w:b/>
          <w:bCs/>
          <w:szCs w:val="24"/>
          <w:lang w:eastAsia="bg-BG"/>
        </w:rPr>
        <w:t xml:space="preserve"> </w:t>
      </w:r>
    </w:p>
    <w:p w14:paraId="4FEBC4D3" w14:textId="77777777" w:rsidR="00761800" w:rsidRPr="00761800" w:rsidRDefault="00761800" w:rsidP="00F64909">
      <w:pPr>
        <w:numPr>
          <w:ilvl w:val="0"/>
          <w:numId w:val="36"/>
        </w:numPr>
        <w:spacing w:after="200"/>
        <w:jc w:val="both"/>
        <w:rPr>
          <w:rFonts w:ascii="Times New Roman" w:hAnsi="Times New Roman"/>
          <w:szCs w:val="24"/>
          <w:lang w:eastAsia="bg-BG"/>
        </w:rPr>
      </w:pPr>
      <w:r w:rsidRPr="00761800">
        <w:rPr>
          <w:rFonts w:ascii="Times New Roman" w:hAnsi="Times New Roman"/>
          <w:szCs w:val="24"/>
          <w:lang w:eastAsia="bg-BG"/>
        </w:rPr>
        <w:t>48,0 млн. евро, одобрени за разплащане чрез ББР</w:t>
      </w:r>
      <w:r w:rsidRPr="00761800">
        <w:rPr>
          <w:rFonts w:ascii="Times New Roman" w:hAnsi="Times New Roman"/>
          <w:position w:val="2"/>
          <w:sz w:val="18"/>
          <w:szCs w:val="24"/>
          <w:vertAlign w:val="superscript"/>
        </w:rPr>
        <w:footnoteReference w:id="16"/>
      </w:r>
      <w:r w:rsidRPr="00761800">
        <w:rPr>
          <w:rFonts w:ascii="Times New Roman" w:hAnsi="Times New Roman"/>
          <w:szCs w:val="24"/>
          <w:lang w:eastAsia="bg-BG"/>
        </w:rPr>
        <w:t xml:space="preserve"> през 2025 г.;</w:t>
      </w:r>
    </w:p>
    <w:p w14:paraId="22EAB1E3" w14:textId="77777777" w:rsidR="00761800" w:rsidRPr="00761800" w:rsidRDefault="00761800" w:rsidP="00F64909">
      <w:pPr>
        <w:numPr>
          <w:ilvl w:val="0"/>
          <w:numId w:val="36"/>
        </w:numPr>
        <w:spacing w:after="200"/>
        <w:jc w:val="both"/>
        <w:rPr>
          <w:rFonts w:ascii="Times New Roman" w:hAnsi="Times New Roman"/>
          <w:szCs w:val="24"/>
        </w:rPr>
      </w:pPr>
      <w:r w:rsidRPr="00761800">
        <w:rPr>
          <w:rFonts w:ascii="Times New Roman" w:hAnsi="Times New Roman"/>
          <w:szCs w:val="24"/>
          <w:lang w:eastAsia="bg-BG"/>
        </w:rPr>
        <w:t>460,2 млн. евро, одобрен ресурс за разплащане чрез ББР през 2026 г. с</w:t>
      </w:r>
      <w:r w:rsidRPr="00761800">
        <w:rPr>
          <w:rFonts w:ascii="Times New Roman" w:hAnsi="Times New Roman"/>
          <w:szCs w:val="24"/>
        </w:rPr>
        <w:t xml:space="preserve"> удължителния закон за бюджета;</w:t>
      </w:r>
    </w:p>
    <w:p w14:paraId="20B72623" w14:textId="77777777" w:rsidR="00761800" w:rsidRPr="00761800" w:rsidRDefault="00761800" w:rsidP="00F64909">
      <w:pPr>
        <w:numPr>
          <w:ilvl w:val="0"/>
          <w:numId w:val="36"/>
        </w:numPr>
        <w:spacing w:after="200"/>
        <w:jc w:val="both"/>
        <w:rPr>
          <w:rFonts w:ascii="Times New Roman" w:hAnsi="Times New Roman"/>
          <w:szCs w:val="24"/>
          <w:lang w:eastAsia="bg-BG"/>
        </w:rPr>
      </w:pPr>
      <w:r w:rsidRPr="00761800">
        <w:rPr>
          <w:rFonts w:ascii="Times New Roman" w:hAnsi="Times New Roman"/>
          <w:szCs w:val="24"/>
          <w:lang w:eastAsia="bg-BG"/>
        </w:rPr>
        <w:t>до 600,0 млн. евро - средства от централния бюджет по реда на чл. 109, ал. 3 от Закона за публичните финанси.</w:t>
      </w:r>
    </w:p>
    <w:p w14:paraId="2D3EC9EF" w14:textId="77777777" w:rsidR="00761800" w:rsidRPr="00761800" w:rsidRDefault="00761800" w:rsidP="00761800">
      <w:pPr>
        <w:spacing w:after="200"/>
        <w:jc w:val="both"/>
        <w:rPr>
          <w:rFonts w:ascii="Times New Roman" w:hAnsi="Times New Roman"/>
          <w:szCs w:val="24"/>
        </w:rPr>
      </w:pPr>
      <w:r w:rsidRPr="00761800">
        <w:rPr>
          <w:rFonts w:ascii="Times New Roman" w:hAnsi="Times New Roman"/>
          <w:szCs w:val="24"/>
        </w:rPr>
        <w:t xml:space="preserve">Със закона за бюджета за 2026 година се предвижда да отпадне Списъка с Приложение относно обхвата на Инвестиционните проекти на общините. </w:t>
      </w:r>
    </w:p>
    <w:p w14:paraId="5CD598A9" w14:textId="77777777" w:rsidR="00761800" w:rsidRPr="00761800" w:rsidRDefault="00761800" w:rsidP="00761800">
      <w:pPr>
        <w:spacing w:after="200"/>
        <w:jc w:val="both"/>
        <w:rPr>
          <w:rFonts w:ascii="Calibri" w:eastAsia="Calibri" w:hAnsi="Calibri"/>
          <w:sz w:val="22"/>
          <w:szCs w:val="21"/>
        </w:rPr>
      </w:pPr>
      <w:r w:rsidRPr="00761800">
        <w:rPr>
          <w:rFonts w:ascii="Times New Roman" w:hAnsi="Times New Roman"/>
          <w:szCs w:val="24"/>
        </w:rPr>
        <w:t>Предвижда се Министерският съвет по предложение на министъра на регионалното развитие и благоустройство да одобри списък с проекти от Инвестиционната програма за общински проекти, включени в колона „Прогнозна стойност на проекта за 2025 г.“ на Приложение № 3 към чл. 113 от Закона за държавния бюджет на Република България за 2025 г., за които има сключено споразумение, дейностите по проекта са стартирали и няма възможност за осигуряване на финансиране с европейски средства.</w:t>
      </w:r>
    </w:p>
    <w:p w14:paraId="094E6623" w14:textId="77777777" w:rsidR="00761800" w:rsidRPr="00761800" w:rsidRDefault="00761800" w:rsidP="00761800">
      <w:pPr>
        <w:spacing w:after="200"/>
        <w:jc w:val="both"/>
        <w:rPr>
          <w:rFonts w:ascii="Times New Roman" w:hAnsi="Times New Roman"/>
          <w:szCs w:val="24"/>
        </w:rPr>
      </w:pPr>
      <w:r w:rsidRPr="00761800">
        <w:rPr>
          <w:rFonts w:ascii="Times New Roman" w:hAnsi="Times New Roman"/>
          <w:szCs w:val="24"/>
        </w:rPr>
        <w:t>Финансирането на утвърдените проекти ще се извършва при условия и по ред, определени с акт на Министерския съвет по предложение на министъра на регионалното развитие и благоустройството, за проекти със стартирало изпълнение, както следва:</w:t>
      </w:r>
    </w:p>
    <w:p w14:paraId="1FB0FEEB" w14:textId="77777777" w:rsidR="00761800" w:rsidRPr="00761800" w:rsidRDefault="00761800" w:rsidP="00F64909">
      <w:pPr>
        <w:numPr>
          <w:ilvl w:val="0"/>
          <w:numId w:val="39"/>
        </w:numPr>
        <w:spacing w:after="200"/>
        <w:jc w:val="both"/>
        <w:rPr>
          <w:rFonts w:ascii="Times New Roman" w:hAnsi="Times New Roman"/>
          <w:szCs w:val="24"/>
        </w:rPr>
      </w:pPr>
      <w:r w:rsidRPr="00761800">
        <w:rPr>
          <w:rFonts w:ascii="Times New Roman" w:hAnsi="Times New Roman"/>
          <w:szCs w:val="24"/>
        </w:rPr>
        <w:t>Чрез разплащане от Българската банка за развитие до изчерпване на одобрения ресурс;</w:t>
      </w:r>
    </w:p>
    <w:p w14:paraId="64304BAB" w14:textId="77777777" w:rsidR="00761800" w:rsidRPr="00761800" w:rsidRDefault="00761800" w:rsidP="00F64909">
      <w:pPr>
        <w:numPr>
          <w:ilvl w:val="0"/>
          <w:numId w:val="39"/>
        </w:numPr>
        <w:spacing w:after="200"/>
        <w:jc w:val="both"/>
        <w:rPr>
          <w:rFonts w:ascii="Times New Roman" w:hAnsi="Times New Roman"/>
          <w:szCs w:val="24"/>
        </w:rPr>
      </w:pPr>
      <w:r w:rsidRPr="00761800">
        <w:rPr>
          <w:rFonts w:ascii="Times New Roman" w:hAnsi="Times New Roman"/>
          <w:szCs w:val="24"/>
        </w:rPr>
        <w:t xml:space="preserve">След изчерпване на средствата по т. 1, финансирането на проектите да продължи чрез бюджета на Министерството на регионалното развитие и благоустройството за сметка на предоставени средства от централния бюджет по реда на чл. 109, ал. 3 от Закона за публичните финанси - до 600,0 млн. евро. </w:t>
      </w:r>
    </w:p>
    <w:p w14:paraId="2BD3D835" w14:textId="77777777" w:rsidR="00761800" w:rsidRPr="00761800" w:rsidRDefault="00761800" w:rsidP="00761800">
      <w:pPr>
        <w:spacing w:after="200"/>
        <w:jc w:val="both"/>
        <w:rPr>
          <w:rFonts w:ascii="Times New Roman" w:hAnsi="Times New Roman"/>
          <w:szCs w:val="24"/>
        </w:rPr>
      </w:pPr>
      <w:r w:rsidRPr="00761800">
        <w:rPr>
          <w:rFonts w:ascii="Times New Roman" w:hAnsi="Times New Roman"/>
          <w:szCs w:val="24"/>
        </w:rPr>
        <w:t xml:space="preserve">В случай, че одобрен за финансиране проект по ИПОП, е одобрен за финансиране по програми и механизми на Европейския съюз, както и по други международни програми и договори, съответната община подава заявление за предоставяне на безвъзмездна финансова помощ и рефинансиране на извършените разходи по съответната програма, </w:t>
      </w:r>
      <w:r w:rsidRPr="00761800">
        <w:rPr>
          <w:rFonts w:ascii="Times New Roman" w:hAnsi="Times New Roman"/>
          <w:szCs w:val="24"/>
        </w:rPr>
        <w:lastRenderedPageBreak/>
        <w:t>механизъм или договор, а получените средства от държавния бюджет се възстановяват по бюджета на Министерството на регионалното развитие и благоустройството.</w:t>
      </w:r>
    </w:p>
    <w:p w14:paraId="791A311B" w14:textId="77777777" w:rsidR="00761800" w:rsidRPr="00761800" w:rsidRDefault="00761800" w:rsidP="00761800">
      <w:pPr>
        <w:spacing w:after="200"/>
        <w:jc w:val="both"/>
        <w:rPr>
          <w:rFonts w:ascii="Times New Roman" w:hAnsi="Times New Roman"/>
          <w:szCs w:val="24"/>
          <w:lang w:eastAsia="bg-BG"/>
        </w:rPr>
      </w:pPr>
    </w:p>
    <w:p w14:paraId="7CDAE06D" w14:textId="77777777" w:rsidR="00761800" w:rsidRPr="00761800" w:rsidRDefault="00761800" w:rsidP="00761800">
      <w:pPr>
        <w:spacing w:after="200"/>
        <w:jc w:val="both"/>
        <w:rPr>
          <w:rFonts w:ascii="Times New Roman" w:hAnsi="Times New Roman"/>
          <w:szCs w:val="24"/>
          <w:lang w:eastAsia="bg-BG"/>
        </w:rPr>
      </w:pPr>
    </w:p>
    <w:p w14:paraId="73E0AD1B" w14:textId="77777777" w:rsidR="00761800" w:rsidRPr="00761800" w:rsidRDefault="00761800" w:rsidP="00761800">
      <w:pPr>
        <w:spacing w:after="200"/>
        <w:jc w:val="both"/>
        <w:rPr>
          <w:rFonts w:ascii="Times New Roman" w:hAnsi="Times New Roman"/>
          <w:szCs w:val="24"/>
          <w:highlight w:val="yellow"/>
          <w:shd w:val="clear" w:color="auto" w:fill="FFFFFF"/>
          <w:lang w:eastAsia="bg-BG"/>
        </w:rPr>
      </w:pPr>
    </w:p>
    <w:p w14:paraId="0D5DDA3A" w14:textId="77777777" w:rsidR="00761800" w:rsidRPr="00761800" w:rsidRDefault="00761800" w:rsidP="00761800">
      <w:pPr>
        <w:spacing w:after="200"/>
        <w:jc w:val="both"/>
        <w:rPr>
          <w:rFonts w:ascii="Times New Roman" w:hAnsi="Times New Roman"/>
          <w:szCs w:val="24"/>
          <w:highlight w:val="yellow"/>
          <w:shd w:val="clear" w:color="auto" w:fill="FFFFFF"/>
          <w:lang w:eastAsia="bg-BG"/>
        </w:rPr>
        <w:sectPr w:rsidR="00761800" w:rsidRPr="00761800" w:rsidSect="00406B4D">
          <w:headerReference w:type="first" r:id="rId19"/>
          <w:pgSz w:w="11906" w:h="16838" w:code="9"/>
          <w:pgMar w:top="1418" w:right="1418" w:bottom="851" w:left="1418" w:header="708" w:footer="708" w:gutter="0"/>
          <w:cols w:space="708"/>
          <w:titlePg/>
          <w:docGrid w:linePitch="360"/>
        </w:sectPr>
      </w:pPr>
    </w:p>
    <w:bookmarkStart w:id="50" w:name="_Toc233717469"/>
    <w:p w14:paraId="64898875" w14:textId="77777777" w:rsidR="00761800" w:rsidRPr="00761800" w:rsidRDefault="00761800" w:rsidP="00761800">
      <w:pPr>
        <w:keepNext/>
        <w:keepLines/>
        <w:spacing w:before="120" w:after="1080"/>
        <w:outlineLvl w:val="0"/>
        <w:rPr>
          <w:rFonts w:ascii="Times New Roman" w:hAnsi="Times New Roman"/>
          <w:bCs/>
          <w:spacing w:val="10"/>
          <w:sz w:val="52"/>
          <w:szCs w:val="28"/>
          <w:lang w:eastAsia="bg-BG"/>
        </w:rPr>
      </w:pPr>
      <w:r w:rsidRPr="00761800">
        <w:rPr>
          <w:rFonts w:ascii="Times New Roman" w:hAnsi="Times New Roman"/>
          <w:bCs/>
          <w:noProof/>
          <w:color w:val="852010"/>
          <w:spacing w:val="10"/>
          <w:sz w:val="52"/>
          <w:szCs w:val="28"/>
          <w:lang w:eastAsia="bg-BG"/>
        </w:rPr>
        <w:lastRenderedPageBreak/>
        <mc:AlternateContent>
          <mc:Choice Requires="wps">
            <w:drawing>
              <wp:anchor distT="0" distB="0" distL="114300" distR="114300" simplePos="0" relativeHeight="251828736" behindDoc="0" locked="0" layoutInCell="1" allowOverlap="1" wp14:anchorId="38F84A02" wp14:editId="283C11DC">
                <wp:simplePos x="0" y="0"/>
                <wp:positionH relativeFrom="column">
                  <wp:posOffset>-900430</wp:posOffset>
                </wp:positionH>
                <wp:positionV relativeFrom="paragraph">
                  <wp:posOffset>1403350</wp:posOffset>
                </wp:positionV>
                <wp:extent cx="7560310" cy="0"/>
                <wp:effectExtent l="0" t="0" r="21590" b="19050"/>
                <wp:wrapNone/>
                <wp:docPr id="36" name="Straight Connector 36"/>
                <wp:cNvGraphicFramePr/>
                <a:graphic xmlns:a="http://schemas.openxmlformats.org/drawingml/2006/main">
                  <a:graphicData uri="http://schemas.microsoft.com/office/word/2010/wordprocessingShape">
                    <wps:wsp>
                      <wps:cNvCnPr/>
                      <wps:spPr>
                        <a:xfrm>
                          <a:off x="0" y="0"/>
                          <a:ext cx="7560310" cy="0"/>
                        </a:xfrm>
                        <a:prstGeom prst="line">
                          <a:avLst/>
                        </a:prstGeom>
                        <a:noFill/>
                        <a:ln w="9525" cap="flat" cmpd="sng" algn="ctr">
                          <a:solidFill>
                            <a:srgbClr val="B32C16"/>
                          </a:solidFill>
                          <a:prstDash val="solid"/>
                        </a:ln>
                        <a:effectLst/>
                      </wps:spPr>
                      <wps:bodyPr/>
                    </wps:wsp>
                  </a:graphicData>
                </a:graphic>
              </wp:anchor>
            </w:drawing>
          </mc:Choice>
          <mc:Fallback>
            <w:pict>
              <v:line w14:anchorId="594FBC4F" id="Straight Connector 36" o:spid="_x0000_s1026" style="position:absolute;z-index:251828736;visibility:visible;mso-wrap-style:square;mso-wrap-distance-left:9pt;mso-wrap-distance-top:0;mso-wrap-distance-right:9pt;mso-wrap-distance-bottom:0;mso-position-horizontal:absolute;mso-position-horizontal-relative:text;mso-position-vertical:absolute;mso-position-vertical-relative:text" from="-70.9pt,110.5pt" to="524.4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" strokecolor="#b32c16"/>
            </w:pict>
          </mc:Fallback>
        </mc:AlternateContent>
      </w:r>
      <w:r w:rsidRPr="00761800">
        <w:rPr>
          <w:rFonts w:ascii="Times New Roman" w:hAnsi="Times New Roman"/>
          <w:bCs/>
          <w:noProof/>
          <w:color w:val="852010"/>
          <w:spacing w:val="10"/>
          <w:sz w:val="52"/>
          <w:szCs w:val="28"/>
          <w:lang w:eastAsia="bg-BG"/>
        </w:rPr>
        <mc:AlternateContent>
          <mc:Choice Requires="wps">
            <w:drawing>
              <wp:anchor distT="0" distB="0" distL="114300" distR="114300" simplePos="0" relativeHeight="251827712" behindDoc="1" locked="0" layoutInCell="1" allowOverlap="1" wp14:anchorId="2385E450" wp14:editId="62949E29">
                <wp:simplePos x="0" y="0"/>
                <wp:positionH relativeFrom="column">
                  <wp:posOffset>-900430</wp:posOffset>
                </wp:positionH>
                <wp:positionV relativeFrom="paragraph">
                  <wp:posOffset>-900430</wp:posOffset>
                </wp:positionV>
                <wp:extent cx="7560860" cy="2304000"/>
                <wp:effectExtent l="0" t="0" r="2540" b="1270"/>
                <wp:wrapNone/>
                <wp:docPr id="37" name="Rectangle 37"/>
                <wp:cNvGraphicFramePr/>
                <a:graphic xmlns:a="http://schemas.openxmlformats.org/drawingml/2006/main">
                  <a:graphicData uri="http://schemas.microsoft.com/office/word/2010/wordprocessingShape">
                    <wps:wsp>
                      <wps:cNvSpPr/>
                      <wps:spPr>
                        <a:xfrm>
                          <a:off x="0" y="0"/>
                          <a:ext cx="7560860" cy="2304000"/>
                        </a:xfrm>
                        <a:prstGeom prst="rect">
                          <a:avLst/>
                        </a:prstGeom>
                        <a:solidFill>
                          <a:srgbClr val="B32C16">
                            <a:lumMod val="20000"/>
                            <a:lumOff val="80000"/>
                          </a:srgbClr>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04D5DB" id="Rectangle 37" o:spid="_x0000_s1026" style="position:absolute;margin-left:-70.9pt;margin-top:-70.9pt;width:595.35pt;height:181.4pt;z-index:-251488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" fillcolor="#f8cfc8" stroked="f" strokeweight="1pt"/>
            </w:pict>
          </mc:Fallback>
        </mc:AlternateContent>
      </w:r>
      <w:r w:rsidRPr="00761800">
        <w:rPr>
          <w:rFonts w:ascii="Times New Roman" w:hAnsi="Times New Roman"/>
          <w:bCs/>
          <w:color w:val="852010"/>
          <w:spacing w:val="10"/>
          <w:sz w:val="52"/>
          <w:szCs w:val="28"/>
          <w:lang w:eastAsia="bg-BG"/>
        </w:rPr>
        <w:br/>
      </w:r>
      <w:bookmarkStart w:id="51" w:name="_Toc465205488"/>
      <w:r w:rsidRPr="00761800">
        <w:rPr>
          <w:rFonts w:ascii="Times New Roman" w:hAnsi="Times New Roman"/>
          <w:bCs/>
          <w:spacing w:val="10"/>
          <w:sz w:val="52"/>
          <w:szCs w:val="28"/>
          <w:lang w:eastAsia="bg-BG"/>
        </w:rPr>
        <w:t>Икономически перспективи за  периода 2026-2028 г.</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0B44E2D9" w14:textId="77777777" w:rsidR="00761800" w:rsidRPr="00761800" w:rsidRDefault="00761800" w:rsidP="00F64909">
      <w:pPr>
        <w:keepNext/>
        <w:keepLines/>
        <w:numPr>
          <w:ilvl w:val="1"/>
          <w:numId w:val="6"/>
        </w:numPr>
        <w:tabs>
          <w:tab w:val="left" w:pos="450"/>
        </w:tabs>
        <w:spacing w:after="200"/>
        <w:ind w:hanging="270"/>
        <w:jc w:val="both"/>
        <w:outlineLvl w:val="1"/>
        <w:rPr>
          <w:rFonts w:ascii="Times New Roman" w:hAnsi="Times New Roman"/>
          <w:b/>
          <w:bCs/>
          <w:caps/>
          <w:color w:val="852010"/>
          <w:spacing w:val="10"/>
          <w:w w:val="90"/>
          <w:sz w:val="28"/>
          <w:szCs w:val="26"/>
          <w:lang w:eastAsia="bg-BG"/>
        </w:rPr>
      </w:pPr>
      <w:bookmarkStart w:id="52" w:name="_Toc233717470"/>
      <w:bookmarkStart w:id="53" w:name="_Toc464225409"/>
      <w:bookmarkStart w:id="54" w:name="_Toc464458955"/>
      <w:bookmarkStart w:id="55" w:name="_Toc464459701"/>
      <w:bookmarkStart w:id="56" w:name="_Toc464460656"/>
      <w:bookmarkStart w:id="57" w:name="_Toc464463055"/>
      <w:bookmarkStart w:id="58" w:name="_Toc464464882"/>
      <w:bookmarkStart w:id="59" w:name="_Toc464465388"/>
      <w:bookmarkStart w:id="60" w:name="_Toc464465576"/>
      <w:bookmarkStart w:id="61" w:name="_Toc464466401"/>
      <w:bookmarkStart w:id="62" w:name="_Toc464466645"/>
      <w:bookmarkStart w:id="63" w:name="_Toc464644947"/>
      <w:bookmarkStart w:id="64" w:name="_Toc465205489"/>
      <w:r w:rsidRPr="00761800">
        <w:rPr>
          <w:rFonts w:ascii="Times New Roman" w:hAnsi="Times New Roman"/>
          <w:b/>
          <w:bCs/>
          <w:caps/>
          <w:color w:val="852010"/>
          <w:spacing w:val="10"/>
          <w:w w:val="90"/>
          <w:sz w:val="28"/>
          <w:szCs w:val="26"/>
          <w:lang w:eastAsia="bg-BG"/>
        </w:rPr>
        <w:t>Преглед на развитието на световната и европейската икономика през 2025 г. и началото на 2026 г.</w:t>
      </w:r>
      <w:bookmarkEnd w:id="52"/>
    </w:p>
    <w:bookmarkEnd w:id="53"/>
    <w:bookmarkEnd w:id="54"/>
    <w:bookmarkEnd w:id="55"/>
    <w:bookmarkEnd w:id="56"/>
    <w:bookmarkEnd w:id="57"/>
    <w:bookmarkEnd w:id="58"/>
    <w:bookmarkEnd w:id="59"/>
    <w:bookmarkEnd w:id="60"/>
    <w:bookmarkEnd w:id="61"/>
    <w:bookmarkEnd w:id="62"/>
    <w:bookmarkEnd w:id="63"/>
    <w:bookmarkEnd w:id="64"/>
    <w:p w14:paraId="6CBF5959" w14:textId="77777777" w:rsidR="00761800" w:rsidRPr="00761800" w:rsidRDefault="00761800" w:rsidP="00761800">
      <w:pPr>
        <w:spacing w:after="200"/>
        <w:jc w:val="both"/>
        <w:rPr>
          <w:rFonts w:ascii="Times New Roman" w:hAnsi="Times New Roman"/>
          <w:szCs w:val="24"/>
        </w:rPr>
      </w:pPr>
      <w:r w:rsidRPr="00761800">
        <w:rPr>
          <w:rFonts w:ascii="Times New Roman" w:hAnsi="Times New Roman"/>
          <w:szCs w:val="24"/>
        </w:rPr>
        <w:t xml:space="preserve">Въпреки първоначалните очаквания за постепенно ускорение на световната и на европейската икономика през 2025 г., годината бе поредната, характеризираща се с геополитическо противопоставяне, нарастващи рискове, нестабилност на международните цени и проблеми във веригите на доставки. Несигурността, произтичаща от войната в Украйна и конфликта в ивицата Газа, допълнително се изостри с промяната в икономическата политика на САЩ след встъпването в длъжност на администрацията на президента Доналд Тръмп. След първоначалното обявяване на съществено покачване на митническите ставки за внос в САЩ последваха месеци на нестабилност. В рамките на последвалите преговори бяха сключени „тарифни примирия“, но пълно нормализиране на ситуацията не бе постигнато. Постоянните промени в регулаторната база увеличиха несигурността и повишиха търговската фрагментация. </w:t>
      </w:r>
    </w:p>
    <w:p w14:paraId="03D3A638" w14:textId="77777777" w:rsidR="00761800" w:rsidRPr="00761800" w:rsidRDefault="00761800" w:rsidP="00761800">
      <w:pPr>
        <w:spacing w:after="200"/>
        <w:jc w:val="both"/>
        <w:rPr>
          <w:rFonts w:ascii="Times New Roman" w:hAnsi="Times New Roman"/>
          <w:szCs w:val="24"/>
        </w:rPr>
      </w:pPr>
      <w:r w:rsidRPr="00761800">
        <w:rPr>
          <w:rFonts w:ascii="Times New Roman" w:hAnsi="Times New Roman"/>
          <w:szCs w:val="24"/>
        </w:rPr>
        <w:t xml:space="preserve">През 2025 г. растежът на БВП в ЕС леко се ускори. Основен принос имаха потреблението на домакинствата, водено от нарастване на разполагаемия доход и стабилния пазар на труда, и инвестициите. Растежът в най-голямата икономика, Германия, остана минимален (0,2%). В САЩ силното потребление на домакинствата, на фона на реалния растеж на доходите при понижаваща се инфлация, продължи да подкрепя растежа, въпреки отчетеното забавяне в темпа. </w:t>
      </w:r>
    </w:p>
    <w:p w14:paraId="699C619F" w14:textId="77777777" w:rsidR="00761800" w:rsidRPr="00761800" w:rsidRDefault="00761800" w:rsidP="00761800">
      <w:pPr>
        <w:spacing w:after="200"/>
        <w:jc w:val="both"/>
        <w:rPr>
          <w:rFonts w:ascii="Times New Roman" w:hAnsi="Times New Roman"/>
          <w:szCs w:val="24"/>
        </w:rPr>
      </w:pPr>
      <w:r w:rsidRPr="00761800">
        <w:rPr>
          <w:rFonts w:ascii="Times New Roman" w:hAnsi="Times New Roman"/>
          <w:szCs w:val="22"/>
          <w:lang w:eastAsia="bg-BG"/>
        </w:rPr>
        <w:t>Текущата година започна с леко повишени очаквания за реалния растеж в ЕС, на фона на отчетеното ускорение през втората половина на 2025 г. и подобрението в някои от краткосрочните показатели. Военните действия в Близкия изток обаче бързо започнаха да дават отражение върху икономическите процеси, като очакванията за икономическата активност през 2026 г. се влошиха спрямо периода преди началото на конфликта.</w:t>
      </w:r>
    </w:p>
    <w:p w14:paraId="2F5A0234" w14:textId="0A6764B0" w:rsidR="00761800" w:rsidRPr="00761800" w:rsidRDefault="00761800" w:rsidP="00761800">
      <w:pPr>
        <w:keepNext/>
        <w:spacing w:after="60"/>
        <w:ind w:left="1418" w:hanging="1418"/>
        <w:rPr>
          <w:rFonts w:ascii="Times New Roman" w:hAnsi="Times New Roman"/>
          <w:b/>
          <w:bCs/>
          <w:szCs w:val="18"/>
          <w:lang w:eastAsia="bg-BG"/>
        </w:rPr>
      </w:pPr>
      <w:r w:rsidRPr="00761800">
        <w:rPr>
          <w:rFonts w:ascii="Times New Roman" w:hAnsi="Times New Roman"/>
          <w:b/>
          <w:bCs/>
          <w:szCs w:val="18"/>
          <w:lang w:eastAsia="bg-BG"/>
        </w:rPr>
        <w:t xml:space="preserve">Граф.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Граф.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Реален БВП в ЕС, еврозоната и САЩ</w:t>
      </w:r>
    </w:p>
    <w:p w14:paraId="2B135EE2" w14:textId="77777777" w:rsidR="00761800" w:rsidRPr="00761800" w:rsidRDefault="00761800" w:rsidP="00761800">
      <w:pPr>
        <w:ind w:left="1418"/>
        <w:jc w:val="both"/>
        <w:rPr>
          <w:rFonts w:ascii="Times New Roman" w:hAnsi="Times New Roman"/>
          <w:b/>
          <w:sz w:val="20"/>
          <w:szCs w:val="22"/>
          <w:lang w:eastAsia="bg-BG"/>
        </w:rPr>
      </w:pPr>
      <w:r w:rsidRPr="00761800">
        <w:rPr>
          <w:rFonts w:ascii="Times New Roman" w:hAnsi="Times New Roman"/>
          <w:b/>
          <w:sz w:val="20"/>
          <w:szCs w:val="22"/>
          <w:lang w:eastAsia="bg-BG"/>
        </w:rPr>
        <w:t>(изменение спрямо същото тримесечие на предходната година, %)</w:t>
      </w:r>
    </w:p>
    <w:p w14:paraId="212BBD59" w14:textId="77777777" w:rsidR="00761800" w:rsidRPr="00761800" w:rsidRDefault="00761800" w:rsidP="00761800">
      <w:pPr>
        <w:spacing w:after="200"/>
        <w:jc w:val="both"/>
        <w:rPr>
          <w:rFonts w:ascii="Times New Roman" w:hAnsi="Times New Roman"/>
          <w:szCs w:val="24"/>
        </w:rPr>
      </w:pPr>
    </w:p>
    <w:p w14:paraId="260BD07B" w14:textId="77777777" w:rsidR="00761800" w:rsidRPr="00761800" w:rsidRDefault="00761800" w:rsidP="00761800">
      <w:pPr>
        <w:spacing w:after="200"/>
        <w:jc w:val="center"/>
        <w:rPr>
          <w:rFonts w:ascii="Times New Roman" w:hAnsi="Times New Roman"/>
          <w:szCs w:val="24"/>
          <w:highlight w:val="yellow"/>
        </w:rPr>
      </w:pPr>
      <w:r w:rsidRPr="00761800">
        <w:rPr>
          <w:rFonts w:ascii="Times New Roman" w:hAnsi="Times New Roman"/>
          <w:noProof/>
          <w:szCs w:val="24"/>
          <w:highlight w:val="yellow"/>
          <w:lang w:eastAsia="bg-BG"/>
        </w:rPr>
        <w:lastRenderedPageBreak/>
        <w:drawing>
          <wp:inline distT="0" distB="0" distL="0" distR="0" wp14:anchorId="7A848792" wp14:editId="4951F5D5">
            <wp:extent cx="5378823" cy="246041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83907" cy="2462743"/>
                    </a:xfrm>
                    <a:prstGeom prst="rect">
                      <a:avLst/>
                    </a:prstGeom>
                    <a:noFill/>
                  </pic:spPr>
                </pic:pic>
              </a:graphicData>
            </a:graphic>
          </wp:inline>
        </w:drawing>
      </w:r>
    </w:p>
    <w:p w14:paraId="2E49CDA9" w14:textId="77777777" w:rsidR="00761800" w:rsidRPr="00761800" w:rsidRDefault="00761800" w:rsidP="00761800">
      <w:pPr>
        <w:spacing w:after="200"/>
        <w:jc w:val="right"/>
        <w:rPr>
          <w:rFonts w:ascii="Times New Roman" w:hAnsi="Times New Roman"/>
          <w:sz w:val="18"/>
          <w:szCs w:val="18"/>
        </w:rPr>
      </w:pPr>
      <w:r w:rsidRPr="00761800">
        <w:rPr>
          <w:rFonts w:ascii="Times New Roman" w:hAnsi="Times New Roman"/>
          <w:sz w:val="18"/>
          <w:szCs w:val="18"/>
        </w:rPr>
        <w:t>Източник: Евростат, Бюро за икономически анализи на САЩ</w:t>
      </w:r>
    </w:p>
    <w:p w14:paraId="6063911A" w14:textId="77777777" w:rsidR="00761800" w:rsidRPr="00761800" w:rsidRDefault="00761800" w:rsidP="00761800">
      <w:pPr>
        <w:spacing w:after="200"/>
        <w:jc w:val="both"/>
        <w:rPr>
          <w:rFonts w:ascii="Times New Roman" w:hAnsi="Times New Roman"/>
          <w:szCs w:val="24"/>
          <w:highlight w:val="yellow"/>
        </w:rPr>
      </w:pPr>
    </w:p>
    <w:p w14:paraId="66C281F0" w14:textId="77777777" w:rsidR="00761800" w:rsidRPr="00761800" w:rsidRDefault="00761800" w:rsidP="00F64909">
      <w:pPr>
        <w:keepNext/>
        <w:keepLines/>
        <w:numPr>
          <w:ilvl w:val="1"/>
          <w:numId w:val="6"/>
        </w:numPr>
        <w:tabs>
          <w:tab w:val="left" w:pos="426"/>
        </w:tabs>
        <w:spacing w:after="200"/>
        <w:ind w:hanging="270"/>
        <w:jc w:val="both"/>
        <w:outlineLvl w:val="1"/>
        <w:rPr>
          <w:rFonts w:ascii="Times New Roman" w:hAnsi="Times New Roman"/>
          <w:b/>
          <w:bCs/>
          <w:caps/>
          <w:color w:val="852010"/>
          <w:spacing w:val="10"/>
          <w:w w:val="90"/>
          <w:sz w:val="28"/>
          <w:szCs w:val="26"/>
          <w:lang w:eastAsia="bg-BG"/>
        </w:rPr>
      </w:pPr>
      <w:bookmarkStart w:id="65" w:name="_Toc233717471"/>
      <w:bookmarkStart w:id="66" w:name="_Toc464225411"/>
      <w:bookmarkStart w:id="67" w:name="_Toc464458957"/>
      <w:bookmarkStart w:id="68" w:name="_Toc464459703"/>
      <w:bookmarkStart w:id="69" w:name="_Toc464460658"/>
      <w:bookmarkStart w:id="70" w:name="_Toc464463057"/>
      <w:bookmarkStart w:id="71" w:name="_Toc464464884"/>
      <w:bookmarkStart w:id="72" w:name="_Toc464465390"/>
      <w:bookmarkStart w:id="73" w:name="_Toc464465578"/>
      <w:bookmarkStart w:id="74" w:name="_Toc464466403"/>
      <w:bookmarkStart w:id="75" w:name="_Toc464466647"/>
      <w:bookmarkStart w:id="76" w:name="_Toc464644949"/>
      <w:bookmarkStart w:id="77" w:name="_Toc465205490"/>
      <w:r w:rsidRPr="00761800">
        <w:rPr>
          <w:rFonts w:ascii="Times New Roman" w:hAnsi="Times New Roman"/>
          <w:b/>
          <w:bCs/>
          <w:caps/>
          <w:color w:val="852010"/>
          <w:spacing w:val="10"/>
          <w:w w:val="90"/>
          <w:sz w:val="28"/>
          <w:szCs w:val="26"/>
          <w:lang w:eastAsia="bg-BG"/>
        </w:rPr>
        <w:t>Преглед на развитието на националната икономика</w:t>
      </w:r>
      <w:bookmarkEnd w:id="65"/>
    </w:p>
    <w:bookmarkEnd w:id="66"/>
    <w:bookmarkEnd w:id="67"/>
    <w:bookmarkEnd w:id="68"/>
    <w:bookmarkEnd w:id="69"/>
    <w:bookmarkEnd w:id="70"/>
    <w:bookmarkEnd w:id="71"/>
    <w:bookmarkEnd w:id="72"/>
    <w:bookmarkEnd w:id="73"/>
    <w:bookmarkEnd w:id="74"/>
    <w:bookmarkEnd w:id="75"/>
    <w:bookmarkEnd w:id="76"/>
    <w:bookmarkEnd w:id="77"/>
    <w:p w14:paraId="4EFFB8D1"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Брутен вътрешен продукт</w:t>
      </w:r>
    </w:p>
    <w:p w14:paraId="4362019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През 2025 г. реалният растеж на брутния вътрешен продукт на България се забави до 3,1% спрямо 3,4% през 2024 г. Основен фактор за това бе влошаването на външнотърговското салдо, както и отрицателният принос на изменението на запасите. В същото време вътрешното търсене отбеляза съществено нарастване.</w:t>
      </w:r>
    </w:p>
    <w:p w14:paraId="21E3EBA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Потреблението на домакинствата се увеличи със 7,8%, подкрепено от растеж на реалния разполагаем доход и на кредитите, отпуснати на домакинствата. При публичното потребление растежът достигна 7% като съществен принос имаше нарастването на компенсацията на наетите. Увеличението на инвестициите в основен капитал се ускори до 11,4% с принос както от публичните капиталови разходи, така и от частните инвестиции. Частните инвестиции нараснаха подкрепени от растеж на фирмените и жилищните кредити, както и на печалбите на фирмите (измерени чрез брутния опериращ излишък). При публичните инвестиции ефект оказаха разходите за отбрана и изпълнението на проекти по Плана за възстановяване и устойчивост. Износът на стоки и услуги спадна с 2,1% поради временни ограничения в производството и износа на водещи компании. В същото време силното нарастване на потреблението и доставката на военна техника увеличиха вноса на стоки и услуги с 5,9%. В резултат нетният износ имаше отрицателен принос към растежа на БВП през годината.</w:t>
      </w:r>
    </w:p>
    <w:p w14:paraId="3FD336F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За първото тримесечие на 2026 г. растежът на БВП достигна 2,9% и както през 2025 г. продължи да бъде движен от стабилно нарастване на вътрешното търсене. Потреблението на домакинствата се повиши с 10,5%. Инвестициите в основен капитал са увеличиха със 7,6%. Износът на стоки и услуги спадна с 8,8%. В същото време поради високото вътрешно търсене вносът отчете растеж от 8,5%.</w:t>
      </w:r>
    </w:p>
    <w:p w14:paraId="24EF588D" w14:textId="77777777" w:rsidR="00761800" w:rsidRPr="00761800" w:rsidRDefault="00761800" w:rsidP="00761800">
      <w:pPr>
        <w:spacing w:before="200"/>
        <w:jc w:val="both"/>
        <w:rPr>
          <w:rFonts w:ascii="Times New Roman" w:hAnsi="Times New Roman"/>
          <w:szCs w:val="24"/>
          <w:highlight w:val="yellow"/>
          <w:lang w:eastAsia="bg-BG"/>
        </w:rPr>
      </w:pPr>
    </w:p>
    <w:p w14:paraId="0D24D804"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bookmarkStart w:id="78" w:name="_Toc464225413"/>
      <w:bookmarkStart w:id="79" w:name="_Toc464458959"/>
      <w:bookmarkStart w:id="80" w:name="_Toc464459705"/>
      <w:bookmarkStart w:id="81" w:name="_Toc464460660"/>
      <w:bookmarkStart w:id="82" w:name="_Toc464463059"/>
      <w:bookmarkStart w:id="83" w:name="_Toc464464886"/>
      <w:bookmarkStart w:id="84" w:name="_Toc464465392"/>
      <w:bookmarkStart w:id="85" w:name="_Toc464465580"/>
      <w:bookmarkStart w:id="86" w:name="_Toc464466405"/>
      <w:bookmarkStart w:id="87" w:name="_Toc464466649"/>
      <w:bookmarkStart w:id="88" w:name="_Toc464644951"/>
      <w:bookmarkStart w:id="89" w:name="_Toc465070442"/>
      <w:bookmarkStart w:id="90" w:name="_Toc465205492"/>
      <w:r w:rsidRPr="00761800">
        <w:rPr>
          <w:rFonts w:ascii="Times New Roman" w:hAnsi="Times New Roman"/>
          <w:b/>
          <w:bCs/>
          <w:caps/>
          <w:color w:val="852010"/>
          <w:szCs w:val="22"/>
          <w:lang w:eastAsia="bg-BG"/>
        </w:rPr>
        <w:t>Пазар на труда и доходи</w:t>
      </w:r>
    </w:p>
    <w:p w14:paraId="597FCD2B" w14:textId="77777777" w:rsidR="00761800" w:rsidRPr="00761800" w:rsidRDefault="00761800" w:rsidP="00761800">
      <w:pPr>
        <w:spacing w:after="200"/>
        <w:jc w:val="both"/>
        <w:rPr>
          <w:rFonts w:ascii="Times New Roman" w:hAnsi="Times New Roman"/>
          <w:szCs w:val="22"/>
          <w:lang w:eastAsia="bg-BG"/>
        </w:rPr>
      </w:pPr>
      <w:bookmarkStart w:id="91" w:name="_Toc464225414"/>
      <w:bookmarkStart w:id="92" w:name="_Toc464458960"/>
      <w:bookmarkStart w:id="93" w:name="_Toc464459706"/>
      <w:bookmarkStart w:id="94" w:name="_Toc464460661"/>
      <w:bookmarkStart w:id="95" w:name="_Toc464463060"/>
      <w:bookmarkStart w:id="96" w:name="_Toc464464887"/>
      <w:bookmarkStart w:id="97" w:name="_Toc464465393"/>
      <w:bookmarkStart w:id="98" w:name="_Toc464465581"/>
      <w:bookmarkStart w:id="99" w:name="_Toc464466406"/>
      <w:bookmarkStart w:id="100" w:name="_Toc464466650"/>
      <w:bookmarkStart w:id="101" w:name="_Toc464644952"/>
      <w:bookmarkStart w:id="102" w:name="_Toc465070443"/>
      <w:bookmarkStart w:id="103" w:name="_Toc465205493"/>
      <w:bookmarkEnd w:id="78"/>
      <w:bookmarkEnd w:id="79"/>
      <w:bookmarkEnd w:id="80"/>
      <w:bookmarkEnd w:id="81"/>
      <w:bookmarkEnd w:id="82"/>
      <w:bookmarkEnd w:id="83"/>
      <w:bookmarkEnd w:id="84"/>
      <w:bookmarkEnd w:id="85"/>
      <w:bookmarkEnd w:id="86"/>
      <w:bookmarkEnd w:id="87"/>
      <w:bookmarkEnd w:id="88"/>
      <w:bookmarkEnd w:id="89"/>
      <w:bookmarkEnd w:id="90"/>
      <w:r w:rsidRPr="00761800">
        <w:rPr>
          <w:rFonts w:ascii="Times New Roman" w:hAnsi="Times New Roman"/>
          <w:szCs w:val="22"/>
          <w:lang w:eastAsia="bg-BG"/>
        </w:rPr>
        <w:t xml:space="preserve">През 2025 г. броят на заетите в българската икономика продължи да следва тенденцията на увеличение, наблюдавана от 2022 г. насам, като темпът на растеж на заетостта през последната година съществено се повиши до 2,2%. Секторите, които имаха основен </w:t>
      </w:r>
      <w:r w:rsidRPr="00761800">
        <w:rPr>
          <w:rFonts w:ascii="Times New Roman" w:hAnsi="Times New Roman"/>
          <w:szCs w:val="22"/>
          <w:lang w:eastAsia="bg-BG"/>
        </w:rPr>
        <w:lastRenderedPageBreak/>
        <w:t xml:space="preserve">принос за увеличаването на броя на работните места в икономиката, бяха </w:t>
      </w:r>
      <w:r w:rsidRPr="00761800">
        <w:rPr>
          <w:rFonts w:ascii="Times New Roman" w:hAnsi="Times New Roman"/>
          <w:i/>
          <w:szCs w:val="22"/>
          <w:lang w:eastAsia="bg-BG"/>
        </w:rPr>
        <w:t>строителство</w:t>
      </w:r>
      <w:r w:rsidRPr="00761800">
        <w:rPr>
          <w:rFonts w:ascii="Times New Roman" w:hAnsi="Times New Roman"/>
          <w:szCs w:val="22"/>
          <w:lang w:eastAsia="bg-BG"/>
        </w:rPr>
        <w:t xml:space="preserve"> и останалите икономически дейности от сектора на услугите, където заетостта се увеличи съответно с 5,5% и 3,9%.  В същото време продължи спада на броя на заетите в промишления и аграрния сектор.</w:t>
      </w:r>
    </w:p>
    <w:p w14:paraId="16EEE1E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Коефициентът на безработица бе 3,5% (намаление с 0,7 пр.п.</w:t>
      </w:r>
      <w:r w:rsidRPr="00761800">
        <w:rPr>
          <w:rFonts w:ascii="Times New Roman" w:hAnsi="Times New Roman"/>
          <w:position w:val="2"/>
          <w:sz w:val="18"/>
          <w:szCs w:val="22"/>
          <w:vertAlign w:val="superscript"/>
        </w:rPr>
        <w:footnoteReference w:id="17"/>
      </w:r>
      <w:r w:rsidRPr="00761800">
        <w:rPr>
          <w:rFonts w:ascii="Times New Roman" w:hAnsi="Times New Roman"/>
          <w:szCs w:val="22"/>
          <w:lang w:eastAsia="bg-BG"/>
        </w:rPr>
        <w:t>) и през 2025 г. регистрира най-ниските си стойности за цялата история на провеждане на Наблюдението на работната сила.</w:t>
      </w:r>
    </w:p>
    <w:p w14:paraId="655D61B6"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През първото тримесечие на 2026 г. броят на заетите в българската икономика продължава да се увеличава. Техният брой достига 3518 хил.д. и е нараснал с 1,2% на годишна база. Растежът на заетостта отново изцяло се дължи на строителството (с годишен ръст от 3,2%) и на услугите (3,1%), докато заетостта в аграрния сектор и в промишлеността отчете понижение. Въпреки че темпът на общия брой на заетите се запазва относително висок, трябва да се отбележи, че през първите три месеца на 2026 г. се наблюдава съществено забавяне в темпа на растеж на наетите работници и служители (0,4% на годишна база), което може да е първи сигнал за бъдещо пречупване на тренда на показателя.</w:t>
      </w:r>
    </w:p>
    <w:p w14:paraId="4A7A7A8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През първото тримесечие на 2026 г. се наблюдава и съществен спад в коефициента на безработица на годишна база. Стойността на показателя за първите три месеца на годината бе 3,2%, и е с 0,7 пр.п. по-нисък спрямо първото тримесечие на 2025 г. Според данните на Агенция по заетостта, обаче, броят на регистрираните безработни се движи около наблюдаваните през 2025 г. нива, което дава основание да се смята, че през настоящата година ще се преустанови бързия спад на този показател.</w:t>
      </w:r>
    </w:p>
    <w:p w14:paraId="57BC619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През 2025 г. растежът на компенсацията на един нает се забави до 10,4% при 14,1% през 2024 г. Показателят все още остава висок, движен основно от повишението на минималната работна заплата, според механизма за актуализирането ѝ в Кодекса на труда, както и поради по-високите разходи за заплати в бюджетния сектор. Общо за икономиката, средната работна заплата се повиши с 11,6% в номинално изражение, а реалният ръст на показателя се забави до 7,7% (дефлиран с ХИПЦ</w:t>
      </w:r>
      <w:r w:rsidRPr="00761800">
        <w:rPr>
          <w:rFonts w:ascii="Times New Roman" w:hAnsi="Times New Roman"/>
          <w:position w:val="2"/>
          <w:sz w:val="18"/>
          <w:szCs w:val="22"/>
          <w:vertAlign w:val="superscript"/>
        </w:rPr>
        <w:footnoteReference w:id="18"/>
      </w:r>
      <w:r w:rsidRPr="00761800">
        <w:rPr>
          <w:rFonts w:ascii="Times New Roman" w:hAnsi="Times New Roman"/>
          <w:szCs w:val="22"/>
          <w:lang w:eastAsia="bg-BG"/>
        </w:rPr>
        <w:t xml:space="preserve">). </w:t>
      </w:r>
    </w:p>
    <w:p w14:paraId="70F8CD0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През първото тримесечие на 2026 г. средната работна заплата се увеличи с 12,7% спрямо същото тримесечие на 2025 г. Растежът на заплатите в обществения</w:t>
      </w:r>
      <w:r w:rsidRPr="00761800">
        <w:rPr>
          <w:rFonts w:ascii="Times New Roman" w:hAnsi="Times New Roman"/>
          <w:position w:val="2"/>
          <w:sz w:val="18"/>
          <w:szCs w:val="22"/>
          <w:vertAlign w:val="superscript"/>
        </w:rPr>
        <w:footnoteReference w:id="19"/>
      </w:r>
      <w:r w:rsidRPr="00761800">
        <w:rPr>
          <w:rFonts w:ascii="Times New Roman" w:hAnsi="Times New Roman"/>
          <w:szCs w:val="22"/>
          <w:lang w:eastAsia="bg-BG"/>
        </w:rPr>
        <w:t xml:space="preserve"> сектор (с 15,3%) изпревари този в частния (11,8%). Растежът на реалната работна заплата достигна 10% (дефлатор ХИПЦ). Номиналните разходи за труд на единица продукция се повишиха с 9,4%.</w:t>
      </w:r>
    </w:p>
    <w:p w14:paraId="13DF347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Реалният растеж на производителността на труда достигна 1,6% през първото тримесечие на 2026 г. Текущото развитие отрази нарастване в селското стопанство (с 8,1%), строителство (1%) и услуги (1,3%), докато при индустрия (без строителство) се наблюдаваше намаление от 3,7%. Номиналните разходи за труд на единица продукция се увеличиха с 8,5%, което отчете забавяне спрямо четвъртото тримесечие на 2025 г.</w:t>
      </w:r>
    </w:p>
    <w:p w14:paraId="74ED148B" w14:textId="77777777" w:rsidR="00761800" w:rsidRPr="00761800" w:rsidRDefault="00761800" w:rsidP="00761800">
      <w:pPr>
        <w:spacing w:after="200"/>
        <w:jc w:val="both"/>
        <w:rPr>
          <w:rFonts w:ascii="Times New Roman" w:hAnsi="Times New Roman"/>
          <w:szCs w:val="22"/>
          <w:lang w:eastAsia="bg-BG"/>
        </w:rPr>
      </w:pPr>
    </w:p>
    <w:p w14:paraId="463A0BBC"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lastRenderedPageBreak/>
        <w:t>И</w:t>
      </w:r>
      <w:bookmarkEnd w:id="91"/>
      <w:bookmarkEnd w:id="92"/>
      <w:bookmarkEnd w:id="93"/>
      <w:bookmarkEnd w:id="94"/>
      <w:bookmarkEnd w:id="95"/>
      <w:bookmarkEnd w:id="96"/>
      <w:bookmarkEnd w:id="97"/>
      <w:bookmarkEnd w:id="98"/>
      <w:bookmarkEnd w:id="99"/>
      <w:bookmarkEnd w:id="100"/>
      <w:bookmarkEnd w:id="101"/>
      <w:bookmarkEnd w:id="102"/>
      <w:bookmarkEnd w:id="103"/>
      <w:r w:rsidRPr="00761800">
        <w:rPr>
          <w:rFonts w:ascii="Times New Roman" w:hAnsi="Times New Roman"/>
          <w:b/>
          <w:bCs/>
          <w:caps/>
          <w:color w:val="852010"/>
          <w:szCs w:val="22"/>
          <w:lang w:eastAsia="bg-BG"/>
        </w:rPr>
        <w:t>нфлация</w:t>
      </w:r>
    </w:p>
    <w:p w14:paraId="3BE11339" w14:textId="77777777" w:rsidR="00761800" w:rsidRPr="00761800" w:rsidRDefault="00761800" w:rsidP="00761800">
      <w:pPr>
        <w:spacing w:after="200"/>
        <w:jc w:val="both"/>
        <w:rPr>
          <w:rFonts w:ascii="Times New Roman" w:hAnsi="Times New Roman"/>
          <w:szCs w:val="22"/>
          <w:lang w:eastAsia="bg-BG"/>
        </w:rPr>
      </w:pPr>
      <w:bookmarkStart w:id="104" w:name="_Toc464225415"/>
      <w:bookmarkStart w:id="105" w:name="_Toc464458961"/>
      <w:bookmarkStart w:id="106" w:name="_Toc464459707"/>
      <w:bookmarkStart w:id="107" w:name="_Toc464460662"/>
      <w:bookmarkStart w:id="108" w:name="_Toc464463061"/>
      <w:bookmarkStart w:id="109" w:name="_Toc464464888"/>
      <w:bookmarkStart w:id="110" w:name="_Toc464465394"/>
      <w:bookmarkStart w:id="111" w:name="_Toc464465582"/>
      <w:bookmarkStart w:id="112" w:name="_Toc464466407"/>
      <w:bookmarkStart w:id="113" w:name="_Toc464466651"/>
      <w:bookmarkStart w:id="114" w:name="_Toc464644953"/>
      <w:bookmarkStart w:id="115" w:name="_Toc465070444"/>
      <w:bookmarkStart w:id="116" w:name="_Toc465205494"/>
      <w:r w:rsidRPr="00761800">
        <w:rPr>
          <w:rFonts w:ascii="Times New Roman" w:hAnsi="Times New Roman"/>
          <w:szCs w:val="22"/>
          <w:lang w:eastAsia="bg-BG"/>
        </w:rPr>
        <w:t>Средногодишната инфлация за 2025 г. беше 3,5% според ХИПЦ. Годишният темп на инфлация отчете известно ускорение през годината, но се забави също до 3,5% към декември. Всички основни компоненти на индекса имаха положителен принос, като водещ бе този на храните, следвани от услугите. Факторите за това бяха преобладаващо вътрешни, а сред тях могат да се посочат връщането на стандартната ставка на ДДС за хляба и ресторантьорските услуги от началото на годината, както и повишението на акциза за тютюневите изделия от януари и май. Базисната инфлация беше 2,5% на годишна база в края на 2025 г.</w:t>
      </w:r>
    </w:p>
    <w:p w14:paraId="44AB4913" w14:textId="77777777" w:rsidR="00761800" w:rsidRPr="00761800" w:rsidRDefault="00761800" w:rsidP="00761800">
      <w:pPr>
        <w:spacing w:after="200"/>
        <w:jc w:val="both"/>
        <w:rPr>
          <w:rFonts w:ascii="Times New Roman" w:hAnsi="Times New Roman"/>
          <w:bCs/>
          <w:szCs w:val="22"/>
          <w:lang w:eastAsia="bg-BG"/>
        </w:rPr>
      </w:pPr>
      <w:r w:rsidRPr="00761800">
        <w:rPr>
          <w:rFonts w:ascii="Times New Roman" w:hAnsi="Times New Roman"/>
          <w:szCs w:val="22"/>
          <w:lang w:eastAsia="bg-BG"/>
        </w:rPr>
        <w:t xml:space="preserve">Цените на храните се повишиха средно с 6,0% към декември 2025 г. и имаха водещ принос за инфлацията в края на годината, следвани от услугите, с поскъпване средно от 4,0% на годишна база. </w:t>
      </w:r>
      <w:r w:rsidRPr="00761800">
        <w:rPr>
          <w:rFonts w:ascii="Times New Roman" w:hAnsi="Times New Roman"/>
          <w:bCs/>
          <w:szCs w:val="22"/>
          <w:lang w:eastAsia="bg-BG"/>
        </w:rPr>
        <w:t>Енергийните стоки също имаха положителен принос поради повишението на административните цени на електрическа и топлинна енергия през юли, което не бе компенсирано от поевтиняването на транспортните горива във връзка с низходящата тенденция при цените на суровия петрол.</w:t>
      </w:r>
    </w:p>
    <w:p w14:paraId="7A1F2FCC" w14:textId="77777777" w:rsidR="00761800" w:rsidRPr="00761800" w:rsidRDefault="00761800" w:rsidP="00761800">
      <w:pPr>
        <w:spacing w:after="200"/>
        <w:jc w:val="both"/>
        <w:rPr>
          <w:rFonts w:ascii="Times New Roman" w:hAnsi="Times New Roman"/>
          <w:bCs/>
          <w:szCs w:val="22"/>
          <w:lang w:eastAsia="bg-BG"/>
        </w:rPr>
      </w:pPr>
      <w:r w:rsidRPr="00761800">
        <w:rPr>
          <w:rFonts w:ascii="Times New Roman" w:hAnsi="Times New Roman"/>
          <w:bCs/>
          <w:szCs w:val="22"/>
          <w:lang w:eastAsia="bg-BG"/>
        </w:rPr>
        <w:t xml:space="preserve">През първите четири месеца на 2026 г. инфлацията (ХИПЦ) по месеци на годишна база следваше тенденция на ускорение, като за април достигна 6,0%. </w:t>
      </w:r>
      <w:r w:rsidRPr="00761800">
        <w:rPr>
          <w:rFonts w:ascii="Times New Roman" w:hAnsi="Times New Roman"/>
          <w:szCs w:val="22"/>
          <w:lang w:eastAsia="bg-BG"/>
        </w:rPr>
        <w:t>Във връзка с конфликта в Близкия изток и блокираните доставки на суровини през Ормузкия проток, с голямо поскъпване бяха енергийните стоки</w:t>
      </w:r>
      <w:r w:rsidRPr="00761800">
        <w:rPr>
          <w:rFonts w:ascii="Times New Roman" w:hAnsi="Times New Roman"/>
          <w:bCs/>
          <w:szCs w:val="22"/>
          <w:lang w:eastAsia="bg-BG"/>
        </w:rPr>
        <w:t>, чиито цени през април се повишиха с 14,7% спрямо същия месец на 2025 г. Цените на храните се увеличиха с 5,1%, а  най-голям принос в годишната инфлация имаше групата на услугите, които поскъпнаха с 8,3%. Базисната инфлация, която изключва храни, енергийни стоки, алкохол и цигари, беше 4,6% на годишна база през април.</w:t>
      </w:r>
    </w:p>
    <w:p w14:paraId="19799368"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w:t>
      </w:r>
      <w:bookmarkEnd w:id="104"/>
      <w:bookmarkEnd w:id="105"/>
      <w:bookmarkEnd w:id="106"/>
      <w:bookmarkEnd w:id="107"/>
      <w:bookmarkEnd w:id="108"/>
      <w:bookmarkEnd w:id="109"/>
      <w:bookmarkEnd w:id="110"/>
      <w:bookmarkEnd w:id="111"/>
      <w:bookmarkEnd w:id="112"/>
      <w:bookmarkEnd w:id="113"/>
      <w:bookmarkEnd w:id="114"/>
      <w:bookmarkEnd w:id="115"/>
      <w:bookmarkEnd w:id="116"/>
      <w:r w:rsidRPr="00761800">
        <w:rPr>
          <w:rFonts w:ascii="Times New Roman" w:hAnsi="Times New Roman"/>
          <w:b/>
          <w:bCs/>
          <w:caps/>
          <w:color w:val="852010"/>
          <w:szCs w:val="22"/>
          <w:lang w:eastAsia="bg-BG"/>
        </w:rPr>
        <w:t>латежен баланс</w:t>
      </w:r>
    </w:p>
    <w:p w14:paraId="6818BEA4" w14:textId="77777777" w:rsidR="00761800" w:rsidRPr="00761800" w:rsidRDefault="00761800" w:rsidP="00761800">
      <w:pPr>
        <w:spacing w:after="200"/>
        <w:jc w:val="both"/>
        <w:rPr>
          <w:rFonts w:ascii="Times New Roman" w:hAnsi="Times New Roman"/>
          <w:szCs w:val="22"/>
          <w:lang w:eastAsia="bg-BG"/>
        </w:rPr>
      </w:pPr>
      <w:bookmarkStart w:id="117" w:name="_Toc464225416"/>
      <w:bookmarkStart w:id="118" w:name="_Toc464458962"/>
      <w:bookmarkStart w:id="119" w:name="_Toc464459708"/>
      <w:bookmarkStart w:id="120" w:name="_Toc464460663"/>
      <w:bookmarkStart w:id="121" w:name="_Toc464463062"/>
      <w:bookmarkStart w:id="122" w:name="_Toc464464889"/>
      <w:bookmarkStart w:id="123" w:name="_Toc464465395"/>
      <w:bookmarkStart w:id="124" w:name="_Toc464465583"/>
      <w:bookmarkStart w:id="125" w:name="_Toc464466408"/>
      <w:bookmarkStart w:id="126" w:name="_Toc464466652"/>
      <w:bookmarkStart w:id="127" w:name="_Toc464644954"/>
      <w:bookmarkStart w:id="128" w:name="_Toc465070445"/>
      <w:bookmarkStart w:id="129" w:name="_Toc465205495"/>
      <w:r w:rsidRPr="00761800">
        <w:rPr>
          <w:rFonts w:ascii="Times New Roman" w:hAnsi="Times New Roman"/>
          <w:szCs w:val="22"/>
          <w:lang w:eastAsia="bg-BG"/>
        </w:rPr>
        <w:t>През 2025 г. по текущата и капиталовата сметка бе отчетен дефицит в размер на 3,8 млрд. евро (3,3% от БВП) при излишък от 1,2 млрд. евро през 2024 година.</w:t>
      </w:r>
    </w:p>
    <w:p w14:paraId="18568CD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Дефицитът по текущата сметка нарасна с 5,2 пр.п. до 5,7% от БВП. Износът на стоки намаля с 3,0%, докато вносът нарасна с 6,0%. Това определи и увеличението на търговския дефицит спрямо предходната година до 8,0% от БВП. Понижението на износа в количествено отношение бе движено от по-слабото външно търсене основно в страните от ЕС, както и от временни ограничения в производството и износа на водещи компании. Номиналният растеж на вноса бе определен както от нарастване на количествата, така и от повишение на цените. </w:t>
      </w:r>
    </w:p>
    <w:p w14:paraId="4B6515B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Излишъкът при услугите достигна 7,0% от БВП през 2025 г., при излишък 7,8% от БВП предходната година. Нарастване бе отбелязано при износа на услуги, свързани с посещенията на чужденци в страната, информационни технологии и далекосъобщения и транспорт, което доведе до общо повишение на износа на услуги с 3,6%. Растежът на вноса на услуги изпревари този на износа и достигна 7,9%. Значително повишение бе отчетено при вноса на транспортни услуги, пътувания на български граждани в чужбина и технически услуги, услуги, свързани с търговията и други бизнес услуги. Дефицитът по първичния доход се увеличи до 5,9% от БВП през 2025 г., при 4,5% година по-рано, поради повишението на изплатения доход от преки инвестиции. Излишъкът по вторичния доход достигна 1,1% от БВП.</w:t>
      </w:r>
    </w:p>
    <w:p w14:paraId="7FFE63D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През първото тримесечие на 2026 г. дефицитът по текущата сметка достигна 2,3% от прогнозния БВП, при леко влошаване на баланса в търговията със стоки и услуги и нарастване на изплатения инвестиционен доход.</w:t>
      </w:r>
    </w:p>
    <w:p w14:paraId="5D48496D"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lastRenderedPageBreak/>
        <w:t>П</w:t>
      </w:r>
      <w:bookmarkEnd w:id="117"/>
      <w:bookmarkEnd w:id="118"/>
      <w:bookmarkEnd w:id="119"/>
      <w:bookmarkEnd w:id="120"/>
      <w:bookmarkEnd w:id="121"/>
      <w:bookmarkEnd w:id="122"/>
      <w:bookmarkEnd w:id="123"/>
      <w:bookmarkEnd w:id="124"/>
      <w:bookmarkEnd w:id="125"/>
      <w:bookmarkEnd w:id="126"/>
      <w:bookmarkEnd w:id="127"/>
      <w:bookmarkEnd w:id="128"/>
      <w:bookmarkEnd w:id="129"/>
      <w:r w:rsidRPr="00761800">
        <w:rPr>
          <w:rFonts w:ascii="Times New Roman" w:hAnsi="Times New Roman"/>
          <w:b/>
          <w:bCs/>
          <w:caps/>
          <w:color w:val="852010"/>
          <w:szCs w:val="22"/>
          <w:lang w:eastAsia="bg-BG"/>
        </w:rPr>
        <w:t>аричен сектор</w:t>
      </w:r>
    </w:p>
    <w:p w14:paraId="3935C838" w14:textId="77777777" w:rsidR="00761800" w:rsidRPr="00761800" w:rsidRDefault="00761800" w:rsidP="00761800">
      <w:pPr>
        <w:spacing w:after="200"/>
        <w:jc w:val="both"/>
        <w:rPr>
          <w:rFonts w:ascii="Times New Roman" w:hAnsi="Times New Roman"/>
          <w:szCs w:val="22"/>
          <w:lang w:eastAsia="bg-BG"/>
        </w:rPr>
      </w:pPr>
      <w:bookmarkStart w:id="130" w:name="_Toc464225417"/>
      <w:bookmarkStart w:id="131" w:name="_Toc464458963"/>
      <w:bookmarkStart w:id="132" w:name="_Toc464459709"/>
      <w:bookmarkStart w:id="133" w:name="_Toc464460664"/>
      <w:bookmarkStart w:id="134" w:name="_Toc464463063"/>
      <w:bookmarkStart w:id="135" w:name="_Toc464464890"/>
      <w:bookmarkStart w:id="136" w:name="_Toc464465396"/>
      <w:bookmarkStart w:id="137" w:name="_Toc464465584"/>
      <w:bookmarkStart w:id="138" w:name="_Toc464466409"/>
      <w:bookmarkStart w:id="139" w:name="_Toc464466653"/>
      <w:bookmarkStart w:id="140" w:name="_Toc464644955"/>
      <w:bookmarkStart w:id="141" w:name="_Toc465205496"/>
      <w:r w:rsidRPr="00761800">
        <w:rPr>
          <w:rFonts w:ascii="Times New Roman" w:hAnsi="Times New Roman"/>
          <w:szCs w:val="22"/>
          <w:lang w:eastAsia="bg-BG"/>
        </w:rPr>
        <w:t>През 2025 г. банковата система запази стабилност и продължи да функционира при високи нива на ликвидност и капиталова адекватност.</w:t>
      </w:r>
    </w:p>
    <w:p w14:paraId="5F4EDC3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Търсенето на кредит от частния сектор продължи да се засилва през 2025 г. и увеличението му възлезе на 15,4% на годишна база при 14,7% в края на 2024 г. Водеща роля за това имаха кредитите за домакинства, чийто темп на растеж достигна 21,1% спрямо 20,8% в края на декември 2024 г. Жилищните кредити, подкрепени от ниските лихвени проценти, ръста на доходите и не на последно място от стабилния двуцифрен ръст на цените на жилищата, нараснаха на годишна база с 28,2% и отчетоха леко забавяне спрямо 29,1% в края на 2024 г. </w:t>
      </w:r>
    </w:p>
    <w:p w14:paraId="6F631BF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края на 2025 г. кредитите за нефинансови предприятия запазиха темпа си на растеж от края на предходната година от 10,1%. При тях ръстът се дължеше изцяло на редовните кредити, които се ускориха в края на годината до 13,5% при 3,9% година по-рано. Корпоративният овърдрафт, който имаше водеща роля през 2024 г., се забави значително от 21,0% ръст в края на 2024 г. до 9,5% в края на 2025 г.</w:t>
      </w:r>
    </w:p>
    <w:p w14:paraId="4833F75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Търсенето на заемни ресурси от частния сектор се запази високо и през първото тримесечие на 2026 г. Темпът на нарастване на кредита за частния сектор възлезе на 15,8% в края на март. Кредитите за нефинансови предприятия (НФП) към края на март се увеличиха с 11,8%, ускорявайки се спрямо края на предходната година. Кредитите за домакинства нараснаха с 20,8% на годишна база. Кредитите за покупка на жилища се забавяха последователно през първите три месеца и ръстът им се понижи до 27,5%. Въпреки лекото забавяне, все още силното търсене на кредити за покупка на жилище продължи да бъде подкрепяно от рекордно ниските номинални лихвени проценти, растежа на доходите и продължаващия двуцифрен годишен ръст на цените на жилищата.</w:t>
      </w:r>
    </w:p>
    <w:p w14:paraId="0CA3C78E" w14:textId="77777777" w:rsidR="00761800" w:rsidRPr="00761800" w:rsidRDefault="00761800" w:rsidP="00761800">
      <w:pPr>
        <w:spacing w:after="200"/>
        <w:jc w:val="both"/>
        <w:rPr>
          <w:rFonts w:ascii="Times New Roman" w:hAnsi="Times New Roman"/>
          <w:szCs w:val="22"/>
          <w:lang w:eastAsia="bg-BG"/>
        </w:rPr>
      </w:pPr>
    </w:p>
    <w:p w14:paraId="022B3FFF" w14:textId="77777777" w:rsidR="00761800" w:rsidRPr="00761800" w:rsidRDefault="00761800" w:rsidP="00F64909">
      <w:pPr>
        <w:keepNext/>
        <w:keepLines/>
        <w:numPr>
          <w:ilvl w:val="1"/>
          <w:numId w:val="6"/>
        </w:numPr>
        <w:tabs>
          <w:tab w:val="left" w:pos="426"/>
        </w:tabs>
        <w:spacing w:after="200"/>
        <w:ind w:hanging="270"/>
        <w:jc w:val="both"/>
        <w:outlineLvl w:val="1"/>
        <w:rPr>
          <w:rFonts w:ascii="Times New Roman" w:hAnsi="Times New Roman"/>
          <w:b/>
          <w:bCs/>
          <w:caps/>
          <w:color w:val="852010"/>
          <w:spacing w:val="10"/>
          <w:w w:val="90"/>
          <w:sz w:val="28"/>
          <w:szCs w:val="26"/>
          <w:lang w:eastAsia="bg-BG"/>
        </w:rPr>
      </w:pPr>
      <w:bookmarkStart w:id="142" w:name="_Toc233717472"/>
      <w:r w:rsidRPr="00761800">
        <w:rPr>
          <w:rFonts w:ascii="Times New Roman" w:hAnsi="Times New Roman"/>
          <w:b/>
          <w:bCs/>
          <w:caps/>
          <w:color w:val="852010"/>
          <w:spacing w:val="10"/>
          <w:w w:val="90"/>
          <w:sz w:val="28"/>
          <w:szCs w:val="26"/>
          <w:lang w:eastAsia="bg-BG"/>
        </w:rPr>
        <w:t>Основни допускания, на които се основава прогнозата и макроикономическата рамка за периода 2026-2028 г.</w:t>
      </w:r>
      <w:bookmarkEnd w:id="142"/>
    </w:p>
    <w:p w14:paraId="5042CFF6"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Прогнозата е изготвена с основно допускане, че военният конфликтът в Близкия изток ще бъде относително краткосрочен, като ще продължи най-много до средата на 2026 г., след което се очаква постепенно възстановяване на икономическата активност и нормализиране на цените на петрола и природния газ.</w:t>
      </w:r>
    </w:p>
    <w:p w14:paraId="2E30DE4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Прогнозата е съставена при допускане, че реалният растеж на БВП на света и на ЕС ще се забави през 2026 г. спрямо предходната година, съответно до 3,1 и 1,2%. През 2027 г. се очаква известно ускорение, в съответствие с нормализирането на средата. В периода след това темповете на растеж ще останат по-умерени, съответно около 1,5% в ЕС и 3,2% средно за света.</w:t>
      </w:r>
    </w:p>
    <w:p w14:paraId="23CCD07E" w14:textId="6DBCE972" w:rsidR="00761800" w:rsidRPr="00761800" w:rsidRDefault="00761800" w:rsidP="00761800">
      <w:pPr>
        <w:keepNext/>
        <w:spacing w:after="120"/>
        <w:rPr>
          <w:rFonts w:ascii="Times New Roman" w:hAnsi="Times New Roman"/>
          <w:b/>
          <w:bCs/>
          <w:sz w:val="22"/>
          <w:szCs w:val="22"/>
        </w:rPr>
      </w:pPr>
      <w:bookmarkStart w:id="143" w:name="_Toc233185119"/>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r>
      <w:r w:rsidRPr="00761800">
        <w:rPr>
          <w:rFonts w:ascii="Times New Roman" w:hAnsi="Times New Roman"/>
          <w:b/>
          <w:bCs/>
          <w:sz w:val="22"/>
          <w:szCs w:val="22"/>
        </w:rPr>
        <w:t>Основни допускания за развитието на външната среда</w:t>
      </w:r>
      <w:bookmarkEnd w:id="143"/>
    </w:p>
    <w:tbl>
      <w:tblPr>
        <w:tblW w:w="4861" w:type="pct"/>
        <w:jc w:val="center"/>
        <w:tblBorders>
          <w:top w:val="single" w:sz="6" w:space="0" w:color="838383"/>
          <w:bottom w:val="single" w:sz="6" w:space="0" w:color="838383"/>
        </w:tblBorders>
        <w:tblLayout w:type="fixed"/>
        <w:tblLook w:val="00A0" w:firstRow="1" w:lastRow="0" w:firstColumn="1" w:lastColumn="0" w:noHBand="0" w:noVBand="0"/>
      </w:tblPr>
      <w:tblGrid>
        <w:gridCol w:w="4544"/>
        <w:gridCol w:w="801"/>
        <w:gridCol w:w="859"/>
        <w:gridCol w:w="815"/>
        <w:gridCol w:w="898"/>
        <w:gridCol w:w="901"/>
      </w:tblGrid>
      <w:tr w:rsidR="00761800" w:rsidRPr="00761800" w14:paraId="2D086C3B" w14:textId="77777777" w:rsidTr="00761800">
        <w:trPr>
          <w:trHeight w:val="20"/>
          <w:tblHeader/>
          <w:jc w:val="center"/>
        </w:trPr>
        <w:tc>
          <w:tcPr>
            <w:tcW w:w="2577" w:type="pct"/>
            <w:vMerge w:val="restart"/>
            <w:tcBorders>
              <w:top w:val="single" w:sz="4" w:space="0" w:color="auto"/>
              <w:bottom w:val="single" w:sz="4" w:space="0" w:color="auto"/>
            </w:tcBorders>
            <w:vAlign w:val="center"/>
          </w:tcPr>
          <w:p w14:paraId="0367452C" w14:textId="77777777" w:rsidR="00761800" w:rsidRPr="00761800" w:rsidRDefault="00761800" w:rsidP="00761800">
            <w:pPr>
              <w:spacing w:before="40" w:after="40" w:line="259" w:lineRule="auto"/>
              <w:jc w:val="center"/>
              <w:rPr>
                <w:rFonts w:ascii="Times New Roman" w:eastAsia="Calibri" w:hAnsi="Times New Roman"/>
                <w:b/>
                <w:bCs/>
                <w:sz w:val="20"/>
                <w:lang w:eastAsia="en-GB"/>
              </w:rPr>
            </w:pPr>
            <w:r w:rsidRPr="00761800">
              <w:rPr>
                <w:rFonts w:ascii="Times New Roman" w:eastAsia="Calibri" w:hAnsi="Times New Roman"/>
                <w:b/>
                <w:bCs/>
                <w:sz w:val="20"/>
                <w:lang w:eastAsia="en-GB"/>
              </w:rPr>
              <w:t>Международна среда</w:t>
            </w:r>
          </w:p>
        </w:tc>
        <w:tc>
          <w:tcPr>
            <w:tcW w:w="940" w:type="pct"/>
            <w:gridSpan w:val="2"/>
            <w:tcBorders>
              <w:top w:val="single" w:sz="4" w:space="0" w:color="auto"/>
              <w:bottom w:val="nil"/>
              <w:right w:val="nil"/>
            </w:tcBorders>
            <w:noWrap/>
            <w:vAlign w:val="center"/>
          </w:tcPr>
          <w:p w14:paraId="2BD562D5" w14:textId="77777777" w:rsidR="00761800" w:rsidRPr="00761800" w:rsidRDefault="00761800" w:rsidP="00761800">
            <w:pPr>
              <w:spacing w:before="40" w:after="40" w:line="259" w:lineRule="auto"/>
              <w:jc w:val="center"/>
              <w:rPr>
                <w:rFonts w:ascii="Times New Roman" w:eastAsia="Calibri" w:hAnsi="Times New Roman"/>
                <w:b/>
                <w:bCs/>
                <w:sz w:val="20"/>
                <w:lang w:eastAsia="en-GB"/>
              </w:rPr>
            </w:pPr>
            <w:r w:rsidRPr="00761800">
              <w:rPr>
                <w:rFonts w:ascii="Times New Roman" w:eastAsia="Calibri" w:hAnsi="Times New Roman"/>
                <w:b/>
                <w:bCs/>
                <w:sz w:val="20"/>
                <w:lang w:eastAsia="en-GB"/>
              </w:rPr>
              <w:t>Отчетни данни</w:t>
            </w:r>
          </w:p>
        </w:tc>
        <w:tc>
          <w:tcPr>
            <w:tcW w:w="1482" w:type="pct"/>
            <w:gridSpan w:val="3"/>
            <w:tcBorders>
              <w:top w:val="single" w:sz="4" w:space="0" w:color="auto"/>
              <w:left w:val="nil"/>
              <w:bottom w:val="single" w:sz="4" w:space="0" w:color="auto"/>
            </w:tcBorders>
            <w:shd w:val="clear" w:color="auto" w:fill="F2F2F2"/>
            <w:noWrap/>
            <w:vAlign w:val="center"/>
          </w:tcPr>
          <w:p w14:paraId="343D418C" w14:textId="77777777" w:rsidR="00761800" w:rsidRPr="00761800" w:rsidRDefault="00761800" w:rsidP="00761800">
            <w:pPr>
              <w:spacing w:before="40" w:after="40" w:line="259" w:lineRule="auto"/>
              <w:jc w:val="center"/>
              <w:rPr>
                <w:rFonts w:ascii="Times New Roman" w:eastAsia="Calibri" w:hAnsi="Times New Roman"/>
                <w:b/>
                <w:bCs/>
                <w:sz w:val="20"/>
                <w:lang w:eastAsia="en-GB"/>
              </w:rPr>
            </w:pPr>
            <w:r w:rsidRPr="00761800">
              <w:rPr>
                <w:rFonts w:ascii="Times New Roman" w:eastAsia="Calibri" w:hAnsi="Times New Roman"/>
                <w:b/>
                <w:bCs/>
                <w:sz w:val="20"/>
                <w:lang w:eastAsia="en-GB"/>
              </w:rPr>
              <w:t>Прогноза</w:t>
            </w:r>
          </w:p>
        </w:tc>
      </w:tr>
      <w:tr w:rsidR="00761800" w:rsidRPr="00761800" w14:paraId="204C427D" w14:textId="77777777" w:rsidTr="00761800">
        <w:trPr>
          <w:trHeight w:val="20"/>
          <w:tblHeader/>
          <w:jc w:val="center"/>
        </w:trPr>
        <w:tc>
          <w:tcPr>
            <w:tcW w:w="2577" w:type="pct"/>
            <w:vMerge/>
            <w:tcBorders>
              <w:top w:val="single" w:sz="4" w:space="0" w:color="auto"/>
              <w:bottom w:val="single" w:sz="4" w:space="0" w:color="auto"/>
            </w:tcBorders>
            <w:noWrap/>
          </w:tcPr>
          <w:p w14:paraId="372CDB24" w14:textId="77777777" w:rsidR="00761800" w:rsidRPr="00761800" w:rsidRDefault="00761800" w:rsidP="00761800">
            <w:pPr>
              <w:spacing w:before="40" w:after="40" w:line="259" w:lineRule="auto"/>
              <w:rPr>
                <w:rFonts w:ascii="Times New Roman" w:eastAsia="Calibri" w:hAnsi="Times New Roman"/>
                <w:b/>
                <w:bCs/>
                <w:sz w:val="20"/>
                <w:lang w:eastAsia="en-GB"/>
              </w:rPr>
            </w:pPr>
          </w:p>
        </w:tc>
        <w:tc>
          <w:tcPr>
            <w:tcW w:w="454" w:type="pct"/>
            <w:tcBorders>
              <w:top w:val="nil"/>
              <w:bottom w:val="single" w:sz="4" w:space="0" w:color="auto"/>
            </w:tcBorders>
            <w:noWrap/>
            <w:vAlign w:val="center"/>
          </w:tcPr>
          <w:p w14:paraId="4EDFC766" w14:textId="77777777" w:rsidR="00761800" w:rsidRPr="00761800" w:rsidRDefault="00761800" w:rsidP="00761800">
            <w:pPr>
              <w:spacing w:before="40" w:after="40" w:line="259" w:lineRule="auto"/>
              <w:jc w:val="right"/>
              <w:rPr>
                <w:rFonts w:ascii="Times New Roman" w:eastAsia="Calibri" w:hAnsi="Times New Roman"/>
                <w:b/>
                <w:bCs/>
                <w:sz w:val="20"/>
                <w:lang w:val="en-US" w:eastAsia="en-GB"/>
              </w:rPr>
            </w:pPr>
            <w:r w:rsidRPr="00761800">
              <w:rPr>
                <w:rFonts w:ascii="Times New Roman" w:eastAsia="Calibri" w:hAnsi="Times New Roman"/>
                <w:b/>
                <w:bCs/>
                <w:sz w:val="20"/>
                <w:lang w:eastAsia="en-GB"/>
              </w:rPr>
              <w:t>202</w:t>
            </w:r>
            <w:r w:rsidRPr="00761800">
              <w:rPr>
                <w:rFonts w:ascii="Times New Roman" w:eastAsia="Calibri" w:hAnsi="Times New Roman"/>
                <w:b/>
                <w:bCs/>
                <w:sz w:val="20"/>
                <w:lang w:val="en-US" w:eastAsia="en-GB"/>
              </w:rPr>
              <w:t>4</w:t>
            </w:r>
          </w:p>
        </w:tc>
        <w:tc>
          <w:tcPr>
            <w:tcW w:w="487" w:type="pct"/>
            <w:tcBorders>
              <w:top w:val="nil"/>
              <w:bottom w:val="single" w:sz="4" w:space="0" w:color="auto"/>
              <w:right w:val="nil"/>
            </w:tcBorders>
            <w:shd w:val="clear" w:color="auto" w:fill="auto"/>
            <w:noWrap/>
            <w:vAlign w:val="center"/>
          </w:tcPr>
          <w:p w14:paraId="79F16D4B" w14:textId="77777777" w:rsidR="00761800" w:rsidRPr="00761800" w:rsidRDefault="00761800" w:rsidP="00761800">
            <w:pPr>
              <w:spacing w:before="40" w:after="40" w:line="259" w:lineRule="auto"/>
              <w:jc w:val="right"/>
              <w:rPr>
                <w:rFonts w:ascii="Times New Roman" w:eastAsia="Calibri" w:hAnsi="Times New Roman"/>
                <w:b/>
                <w:bCs/>
                <w:sz w:val="20"/>
                <w:lang w:val="en-US" w:eastAsia="en-GB"/>
              </w:rPr>
            </w:pPr>
            <w:r w:rsidRPr="00761800">
              <w:rPr>
                <w:rFonts w:ascii="Times New Roman" w:eastAsia="Calibri" w:hAnsi="Times New Roman"/>
                <w:b/>
                <w:bCs/>
                <w:sz w:val="20"/>
                <w:lang w:eastAsia="en-GB"/>
              </w:rPr>
              <w:t>202</w:t>
            </w:r>
            <w:r w:rsidRPr="00761800">
              <w:rPr>
                <w:rFonts w:ascii="Times New Roman" w:eastAsia="Calibri" w:hAnsi="Times New Roman"/>
                <w:b/>
                <w:bCs/>
                <w:sz w:val="20"/>
                <w:lang w:val="en-US" w:eastAsia="en-GB"/>
              </w:rPr>
              <w:t>5</w:t>
            </w:r>
          </w:p>
        </w:tc>
        <w:tc>
          <w:tcPr>
            <w:tcW w:w="462" w:type="pct"/>
            <w:tcBorders>
              <w:top w:val="single" w:sz="4" w:space="0" w:color="auto"/>
              <w:left w:val="nil"/>
              <w:bottom w:val="single" w:sz="4" w:space="0" w:color="auto"/>
            </w:tcBorders>
            <w:shd w:val="clear" w:color="auto" w:fill="F2F2F2"/>
            <w:noWrap/>
            <w:vAlign w:val="center"/>
          </w:tcPr>
          <w:p w14:paraId="3DFABCE6" w14:textId="77777777" w:rsidR="00761800" w:rsidRPr="00761800" w:rsidRDefault="00761800" w:rsidP="00761800">
            <w:pPr>
              <w:spacing w:before="40" w:after="40" w:line="259" w:lineRule="auto"/>
              <w:ind w:right="-120"/>
              <w:jc w:val="center"/>
              <w:rPr>
                <w:rFonts w:ascii="Times New Roman" w:eastAsia="Calibri" w:hAnsi="Times New Roman"/>
                <w:b/>
                <w:bCs/>
                <w:sz w:val="20"/>
                <w:lang w:val="en-US" w:eastAsia="en-GB"/>
              </w:rPr>
            </w:pPr>
            <w:r w:rsidRPr="00761800">
              <w:rPr>
                <w:rFonts w:ascii="Times New Roman" w:eastAsia="Calibri" w:hAnsi="Times New Roman"/>
                <w:b/>
                <w:bCs/>
                <w:sz w:val="20"/>
                <w:lang w:eastAsia="en-GB"/>
              </w:rPr>
              <w:t>202</w:t>
            </w:r>
            <w:r w:rsidRPr="00761800">
              <w:rPr>
                <w:rFonts w:ascii="Times New Roman" w:eastAsia="Calibri" w:hAnsi="Times New Roman"/>
                <w:b/>
                <w:bCs/>
                <w:sz w:val="20"/>
                <w:lang w:val="en-US" w:eastAsia="en-GB"/>
              </w:rPr>
              <w:t>6</w:t>
            </w:r>
          </w:p>
        </w:tc>
        <w:tc>
          <w:tcPr>
            <w:tcW w:w="509" w:type="pct"/>
            <w:tcBorders>
              <w:top w:val="single" w:sz="4" w:space="0" w:color="auto"/>
              <w:bottom w:val="single" w:sz="4" w:space="0" w:color="auto"/>
            </w:tcBorders>
            <w:shd w:val="clear" w:color="auto" w:fill="F2F2F2"/>
            <w:noWrap/>
            <w:vAlign w:val="center"/>
          </w:tcPr>
          <w:p w14:paraId="572D97B3" w14:textId="77777777" w:rsidR="00761800" w:rsidRPr="00761800" w:rsidRDefault="00761800" w:rsidP="00761800">
            <w:pPr>
              <w:spacing w:before="40" w:after="40" w:line="259" w:lineRule="auto"/>
              <w:ind w:right="-105"/>
              <w:jc w:val="center"/>
              <w:rPr>
                <w:rFonts w:ascii="Times New Roman" w:eastAsia="Calibri" w:hAnsi="Times New Roman"/>
                <w:b/>
                <w:bCs/>
                <w:sz w:val="20"/>
                <w:lang w:val="en-US" w:eastAsia="en-GB"/>
              </w:rPr>
            </w:pPr>
            <w:r w:rsidRPr="00761800">
              <w:rPr>
                <w:rFonts w:ascii="Times New Roman" w:eastAsia="Calibri" w:hAnsi="Times New Roman"/>
                <w:b/>
                <w:bCs/>
                <w:sz w:val="20"/>
                <w:lang w:eastAsia="en-GB"/>
              </w:rPr>
              <w:t>202</w:t>
            </w:r>
            <w:r w:rsidRPr="00761800">
              <w:rPr>
                <w:rFonts w:ascii="Times New Roman" w:eastAsia="Calibri" w:hAnsi="Times New Roman"/>
                <w:b/>
                <w:bCs/>
                <w:sz w:val="20"/>
                <w:lang w:val="en-US" w:eastAsia="en-GB"/>
              </w:rPr>
              <w:t>7</w:t>
            </w:r>
          </w:p>
        </w:tc>
        <w:tc>
          <w:tcPr>
            <w:tcW w:w="512" w:type="pct"/>
            <w:tcBorders>
              <w:top w:val="single" w:sz="4" w:space="0" w:color="auto"/>
              <w:bottom w:val="single" w:sz="4" w:space="0" w:color="auto"/>
            </w:tcBorders>
            <w:shd w:val="clear" w:color="auto" w:fill="F2F2F2"/>
            <w:noWrap/>
            <w:vAlign w:val="center"/>
          </w:tcPr>
          <w:p w14:paraId="0B218732" w14:textId="77777777" w:rsidR="00761800" w:rsidRPr="00761800" w:rsidRDefault="00761800" w:rsidP="00761800">
            <w:pPr>
              <w:spacing w:before="40" w:after="40" w:line="259" w:lineRule="auto"/>
              <w:ind w:right="-285"/>
              <w:jc w:val="center"/>
              <w:rPr>
                <w:rFonts w:ascii="Times New Roman" w:eastAsia="Calibri" w:hAnsi="Times New Roman"/>
                <w:b/>
                <w:bCs/>
                <w:sz w:val="20"/>
                <w:lang w:val="en-US" w:eastAsia="en-GB"/>
              </w:rPr>
            </w:pPr>
            <w:r w:rsidRPr="00761800">
              <w:rPr>
                <w:rFonts w:ascii="Times New Roman" w:eastAsia="Calibri" w:hAnsi="Times New Roman"/>
                <w:b/>
                <w:bCs/>
                <w:sz w:val="20"/>
                <w:lang w:eastAsia="en-GB"/>
              </w:rPr>
              <w:t>202</w:t>
            </w:r>
            <w:r w:rsidRPr="00761800">
              <w:rPr>
                <w:rFonts w:ascii="Times New Roman" w:eastAsia="Calibri" w:hAnsi="Times New Roman"/>
                <w:b/>
                <w:bCs/>
                <w:sz w:val="20"/>
                <w:lang w:val="en-US" w:eastAsia="en-GB"/>
              </w:rPr>
              <w:t>8</w:t>
            </w:r>
          </w:p>
        </w:tc>
      </w:tr>
      <w:tr w:rsidR="00761800" w:rsidRPr="00761800" w14:paraId="7BAE72DC" w14:textId="77777777" w:rsidTr="00761800">
        <w:trPr>
          <w:trHeight w:val="345"/>
          <w:jc w:val="center"/>
        </w:trPr>
        <w:tc>
          <w:tcPr>
            <w:tcW w:w="2577" w:type="pct"/>
            <w:tcBorders>
              <w:top w:val="single" w:sz="4" w:space="0" w:color="auto"/>
              <w:bottom w:val="nil"/>
              <w:right w:val="nil"/>
            </w:tcBorders>
            <w:shd w:val="clear" w:color="auto" w:fill="FFFFFF"/>
            <w:noWrap/>
            <w:vAlign w:val="center"/>
          </w:tcPr>
          <w:p w14:paraId="289F672A" w14:textId="77777777" w:rsidR="00761800" w:rsidRPr="00761800" w:rsidRDefault="00761800" w:rsidP="00761800">
            <w:pPr>
              <w:spacing w:line="259" w:lineRule="auto"/>
              <w:ind w:firstLineChars="100" w:firstLine="200"/>
              <w:rPr>
                <w:rFonts w:ascii="Times New Roman" w:eastAsia="Calibri" w:hAnsi="Times New Roman"/>
                <w:b/>
                <w:sz w:val="20"/>
                <w:lang w:eastAsia="en-GB"/>
              </w:rPr>
            </w:pPr>
            <w:r w:rsidRPr="00761800">
              <w:rPr>
                <w:rFonts w:ascii="Times New Roman" w:eastAsia="Calibri" w:hAnsi="Times New Roman"/>
                <w:sz w:val="20"/>
                <w:lang w:eastAsia="en-GB"/>
              </w:rPr>
              <w:t>Световна икономика (реален растеж, %)</w:t>
            </w:r>
          </w:p>
        </w:tc>
        <w:tc>
          <w:tcPr>
            <w:tcW w:w="454" w:type="pct"/>
            <w:tcBorders>
              <w:top w:val="single" w:sz="4" w:space="0" w:color="auto"/>
              <w:left w:val="nil"/>
              <w:bottom w:val="nil"/>
              <w:right w:val="nil"/>
            </w:tcBorders>
            <w:shd w:val="clear" w:color="auto" w:fill="auto"/>
            <w:noWrap/>
            <w:vAlign w:val="center"/>
          </w:tcPr>
          <w:p w14:paraId="0645811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3,3</w:t>
            </w:r>
          </w:p>
        </w:tc>
        <w:tc>
          <w:tcPr>
            <w:tcW w:w="487" w:type="pct"/>
            <w:tcBorders>
              <w:top w:val="single" w:sz="4" w:space="0" w:color="auto"/>
              <w:left w:val="nil"/>
              <w:bottom w:val="nil"/>
              <w:right w:val="nil"/>
            </w:tcBorders>
            <w:shd w:val="clear" w:color="auto" w:fill="auto"/>
            <w:noWrap/>
            <w:vAlign w:val="center"/>
          </w:tcPr>
          <w:p w14:paraId="3376FA9F"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3,5</w:t>
            </w:r>
          </w:p>
        </w:tc>
        <w:tc>
          <w:tcPr>
            <w:tcW w:w="462" w:type="pct"/>
            <w:tcBorders>
              <w:top w:val="single" w:sz="4" w:space="0" w:color="auto"/>
              <w:left w:val="nil"/>
              <w:bottom w:val="nil"/>
              <w:right w:val="nil"/>
            </w:tcBorders>
            <w:shd w:val="clear" w:color="auto" w:fill="F2F2F2"/>
            <w:noWrap/>
            <w:vAlign w:val="center"/>
          </w:tcPr>
          <w:p w14:paraId="76796B5E"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3,1</w:t>
            </w:r>
          </w:p>
        </w:tc>
        <w:tc>
          <w:tcPr>
            <w:tcW w:w="509" w:type="pct"/>
            <w:tcBorders>
              <w:top w:val="single" w:sz="4" w:space="0" w:color="auto"/>
              <w:left w:val="nil"/>
              <w:bottom w:val="nil"/>
              <w:right w:val="nil"/>
            </w:tcBorders>
            <w:shd w:val="clear" w:color="auto" w:fill="F2F2F2"/>
            <w:noWrap/>
            <w:vAlign w:val="center"/>
          </w:tcPr>
          <w:p w14:paraId="2B18EB8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3,3</w:t>
            </w:r>
          </w:p>
        </w:tc>
        <w:tc>
          <w:tcPr>
            <w:tcW w:w="512" w:type="pct"/>
            <w:tcBorders>
              <w:top w:val="single" w:sz="4" w:space="0" w:color="auto"/>
              <w:left w:val="nil"/>
              <w:bottom w:val="nil"/>
              <w:right w:val="nil"/>
            </w:tcBorders>
            <w:shd w:val="clear" w:color="auto" w:fill="F2F2F2"/>
            <w:noWrap/>
            <w:vAlign w:val="center"/>
          </w:tcPr>
          <w:p w14:paraId="7610C04E"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3,2</w:t>
            </w:r>
          </w:p>
        </w:tc>
      </w:tr>
      <w:tr w:rsidR="00761800" w:rsidRPr="00761800" w14:paraId="0F1089EE" w14:textId="77777777" w:rsidTr="00761800">
        <w:trPr>
          <w:trHeight w:val="340"/>
          <w:jc w:val="center"/>
        </w:trPr>
        <w:tc>
          <w:tcPr>
            <w:tcW w:w="2577" w:type="pct"/>
            <w:tcBorders>
              <w:top w:val="nil"/>
              <w:bottom w:val="nil"/>
              <w:right w:val="nil"/>
            </w:tcBorders>
            <w:shd w:val="clear" w:color="auto" w:fill="FFFFFF"/>
            <w:vAlign w:val="center"/>
          </w:tcPr>
          <w:p w14:paraId="6E794BF1" w14:textId="77777777" w:rsidR="00761800" w:rsidRPr="00761800" w:rsidRDefault="00761800" w:rsidP="00761800">
            <w:pPr>
              <w:spacing w:line="259" w:lineRule="auto"/>
              <w:ind w:firstLineChars="100" w:firstLine="200"/>
              <w:rPr>
                <w:rFonts w:ascii="Times New Roman" w:eastAsia="Calibri" w:hAnsi="Times New Roman"/>
                <w:b/>
                <w:sz w:val="20"/>
                <w:lang w:eastAsia="en-GB"/>
              </w:rPr>
            </w:pPr>
            <w:r w:rsidRPr="00761800">
              <w:rPr>
                <w:rFonts w:ascii="Times New Roman" w:eastAsia="Calibri" w:hAnsi="Times New Roman"/>
                <w:sz w:val="20"/>
                <w:lang w:eastAsia="en-GB"/>
              </w:rPr>
              <w:t>Европейска икономика – ЕС (реален растеж, %)</w:t>
            </w:r>
          </w:p>
        </w:tc>
        <w:tc>
          <w:tcPr>
            <w:tcW w:w="454" w:type="pct"/>
            <w:tcBorders>
              <w:top w:val="nil"/>
              <w:left w:val="nil"/>
              <w:bottom w:val="nil"/>
              <w:right w:val="nil"/>
            </w:tcBorders>
            <w:shd w:val="clear" w:color="auto" w:fill="auto"/>
            <w:noWrap/>
            <w:vAlign w:val="center"/>
          </w:tcPr>
          <w:p w14:paraId="3E635DA7"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1,1</w:t>
            </w:r>
          </w:p>
        </w:tc>
        <w:tc>
          <w:tcPr>
            <w:tcW w:w="487" w:type="pct"/>
            <w:tcBorders>
              <w:top w:val="nil"/>
              <w:left w:val="nil"/>
              <w:bottom w:val="nil"/>
              <w:right w:val="nil"/>
            </w:tcBorders>
            <w:shd w:val="clear" w:color="auto" w:fill="auto"/>
            <w:noWrap/>
            <w:vAlign w:val="center"/>
          </w:tcPr>
          <w:p w14:paraId="050CA850"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1,5</w:t>
            </w:r>
          </w:p>
        </w:tc>
        <w:tc>
          <w:tcPr>
            <w:tcW w:w="462" w:type="pct"/>
            <w:tcBorders>
              <w:top w:val="nil"/>
              <w:left w:val="nil"/>
              <w:bottom w:val="nil"/>
              <w:right w:val="nil"/>
            </w:tcBorders>
            <w:shd w:val="clear" w:color="auto" w:fill="F2F2F2"/>
            <w:noWrap/>
            <w:vAlign w:val="center"/>
          </w:tcPr>
          <w:p w14:paraId="51A1B3F8"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1,2</w:t>
            </w:r>
          </w:p>
        </w:tc>
        <w:tc>
          <w:tcPr>
            <w:tcW w:w="509" w:type="pct"/>
            <w:tcBorders>
              <w:top w:val="nil"/>
              <w:left w:val="nil"/>
              <w:bottom w:val="nil"/>
              <w:right w:val="nil"/>
            </w:tcBorders>
            <w:shd w:val="clear" w:color="auto" w:fill="F2F2F2"/>
            <w:noWrap/>
            <w:vAlign w:val="center"/>
          </w:tcPr>
          <w:p w14:paraId="4381FFB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1,6</w:t>
            </w:r>
          </w:p>
        </w:tc>
        <w:tc>
          <w:tcPr>
            <w:tcW w:w="512" w:type="pct"/>
            <w:tcBorders>
              <w:top w:val="nil"/>
              <w:left w:val="nil"/>
              <w:bottom w:val="nil"/>
              <w:right w:val="nil"/>
            </w:tcBorders>
            <w:shd w:val="clear" w:color="auto" w:fill="F2F2F2"/>
            <w:noWrap/>
            <w:vAlign w:val="center"/>
          </w:tcPr>
          <w:p w14:paraId="6D3B17E4"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1,5</w:t>
            </w:r>
          </w:p>
        </w:tc>
      </w:tr>
      <w:tr w:rsidR="00761800" w:rsidRPr="00761800" w14:paraId="27811E2F" w14:textId="77777777" w:rsidTr="00761800">
        <w:trPr>
          <w:trHeight w:val="340"/>
          <w:jc w:val="center"/>
        </w:trPr>
        <w:tc>
          <w:tcPr>
            <w:tcW w:w="2577" w:type="pct"/>
            <w:tcBorders>
              <w:top w:val="nil"/>
              <w:bottom w:val="nil"/>
              <w:right w:val="nil"/>
            </w:tcBorders>
            <w:shd w:val="clear" w:color="auto" w:fill="FFFFFF"/>
            <w:noWrap/>
            <w:vAlign w:val="center"/>
          </w:tcPr>
          <w:p w14:paraId="08882BEF" w14:textId="77777777" w:rsidR="00761800" w:rsidRPr="00761800" w:rsidRDefault="00761800" w:rsidP="00761800">
            <w:pPr>
              <w:spacing w:line="259" w:lineRule="auto"/>
              <w:ind w:firstLineChars="100" w:firstLine="200"/>
              <w:rPr>
                <w:rFonts w:ascii="Times New Roman" w:eastAsia="Calibri" w:hAnsi="Times New Roman"/>
                <w:b/>
                <w:sz w:val="20"/>
                <w:lang w:eastAsia="en-GB"/>
              </w:rPr>
            </w:pPr>
            <w:r w:rsidRPr="00761800">
              <w:rPr>
                <w:rFonts w:ascii="Times New Roman" w:eastAsia="Calibri" w:hAnsi="Times New Roman"/>
                <w:sz w:val="20"/>
                <w:lang w:eastAsia="en-GB"/>
              </w:rPr>
              <w:lastRenderedPageBreak/>
              <w:t xml:space="preserve">Валутен курс щ.д./евро </w:t>
            </w:r>
          </w:p>
        </w:tc>
        <w:tc>
          <w:tcPr>
            <w:tcW w:w="454" w:type="pct"/>
            <w:tcBorders>
              <w:top w:val="nil"/>
              <w:left w:val="nil"/>
              <w:bottom w:val="nil"/>
              <w:right w:val="nil"/>
            </w:tcBorders>
            <w:shd w:val="clear" w:color="auto" w:fill="auto"/>
            <w:noWrap/>
            <w:vAlign w:val="center"/>
          </w:tcPr>
          <w:p w14:paraId="6B0A1357"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1,08</w:t>
            </w:r>
          </w:p>
        </w:tc>
        <w:tc>
          <w:tcPr>
            <w:tcW w:w="487" w:type="pct"/>
            <w:tcBorders>
              <w:top w:val="nil"/>
              <w:left w:val="nil"/>
              <w:bottom w:val="nil"/>
              <w:right w:val="nil"/>
            </w:tcBorders>
            <w:shd w:val="clear" w:color="auto" w:fill="auto"/>
            <w:noWrap/>
            <w:vAlign w:val="center"/>
          </w:tcPr>
          <w:p w14:paraId="7C94CE30"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1,13</w:t>
            </w:r>
          </w:p>
        </w:tc>
        <w:tc>
          <w:tcPr>
            <w:tcW w:w="462" w:type="pct"/>
            <w:tcBorders>
              <w:top w:val="nil"/>
              <w:left w:val="nil"/>
              <w:bottom w:val="nil"/>
              <w:right w:val="nil"/>
            </w:tcBorders>
            <w:shd w:val="clear" w:color="auto" w:fill="F2F2F2"/>
            <w:noWrap/>
            <w:vAlign w:val="center"/>
          </w:tcPr>
          <w:p w14:paraId="73B702B1"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1,16</w:t>
            </w:r>
          </w:p>
        </w:tc>
        <w:tc>
          <w:tcPr>
            <w:tcW w:w="509" w:type="pct"/>
            <w:tcBorders>
              <w:top w:val="nil"/>
              <w:left w:val="nil"/>
              <w:bottom w:val="nil"/>
              <w:right w:val="nil"/>
            </w:tcBorders>
            <w:shd w:val="clear" w:color="auto" w:fill="F2F2F2"/>
            <w:noWrap/>
            <w:vAlign w:val="center"/>
          </w:tcPr>
          <w:p w14:paraId="4EEF38DC"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1,15</w:t>
            </w:r>
          </w:p>
        </w:tc>
        <w:tc>
          <w:tcPr>
            <w:tcW w:w="512" w:type="pct"/>
            <w:tcBorders>
              <w:top w:val="nil"/>
              <w:left w:val="nil"/>
              <w:bottom w:val="nil"/>
              <w:right w:val="nil"/>
            </w:tcBorders>
            <w:shd w:val="clear" w:color="auto" w:fill="F2F2F2"/>
            <w:noWrap/>
            <w:vAlign w:val="center"/>
          </w:tcPr>
          <w:p w14:paraId="4A6533C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1,15</w:t>
            </w:r>
          </w:p>
        </w:tc>
      </w:tr>
      <w:tr w:rsidR="00761800" w:rsidRPr="00761800" w14:paraId="7551D8F8" w14:textId="77777777" w:rsidTr="00761800">
        <w:trPr>
          <w:trHeight w:val="340"/>
          <w:jc w:val="center"/>
        </w:trPr>
        <w:tc>
          <w:tcPr>
            <w:tcW w:w="2577" w:type="pct"/>
            <w:tcBorders>
              <w:top w:val="nil"/>
              <w:bottom w:val="nil"/>
              <w:right w:val="nil"/>
            </w:tcBorders>
            <w:shd w:val="clear" w:color="auto" w:fill="FFFFFF"/>
            <w:noWrap/>
            <w:vAlign w:val="center"/>
          </w:tcPr>
          <w:p w14:paraId="1F6FBB55" w14:textId="77777777" w:rsidR="00761800" w:rsidRPr="00761800" w:rsidRDefault="00761800" w:rsidP="00761800">
            <w:pPr>
              <w:spacing w:line="259" w:lineRule="auto"/>
              <w:ind w:firstLineChars="100" w:firstLine="200"/>
              <w:rPr>
                <w:rFonts w:ascii="Times New Roman" w:eastAsia="Calibri" w:hAnsi="Times New Roman"/>
                <w:b/>
                <w:sz w:val="20"/>
                <w:lang w:eastAsia="en-GB"/>
              </w:rPr>
            </w:pPr>
            <w:r w:rsidRPr="00761800">
              <w:rPr>
                <w:rFonts w:ascii="Times New Roman" w:eastAsia="Calibri" w:hAnsi="Times New Roman"/>
                <w:sz w:val="20"/>
                <w:lang w:eastAsia="en-GB"/>
              </w:rPr>
              <w:t>Цена на петрол „Брент“ (щ.д./барел)</w:t>
            </w:r>
          </w:p>
        </w:tc>
        <w:tc>
          <w:tcPr>
            <w:tcW w:w="454" w:type="pct"/>
            <w:tcBorders>
              <w:top w:val="nil"/>
              <w:left w:val="nil"/>
              <w:bottom w:val="nil"/>
              <w:right w:val="nil"/>
            </w:tcBorders>
            <w:shd w:val="clear" w:color="auto" w:fill="auto"/>
            <w:noWrap/>
            <w:vAlign w:val="center"/>
          </w:tcPr>
          <w:p w14:paraId="1C725F95"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80,7</w:t>
            </w:r>
          </w:p>
        </w:tc>
        <w:tc>
          <w:tcPr>
            <w:tcW w:w="487" w:type="pct"/>
            <w:tcBorders>
              <w:top w:val="nil"/>
              <w:left w:val="nil"/>
              <w:bottom w:val="nil"/>
              <w:right w:val="nil"/>
            </w:tcBorders>
            <w:shd w:val="clear" w:color="auto" w:fill="auto"/>
            <w:noWrap/>
            <w:vAlign w:val="center"/>
          </w:tcPr>
          <w:p w14:paraId="6AC99757"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69,0</w:t>
            </w:r>
          </w:p>
        </w:tc>
        <w:tc>
          <w:tcPr>
            <w:tcW w:w="462" w:type="pct"/>
            <w:tcBorders>
              <w:top w:val="nil"/>
              <w:left w:val="nil"/>
              <w:bottom w:val="nil"/>
              <w:right w:val="nil"/>
            </w:tcBorders>
            <w:shd w:val="clear" w:color="auto" w:fill="F2F2F2"/>
            <w:noWrap/>
            <w:vAlign w:val="center"/>
          </w:tcPr>
          <w:p w14:paraId="52BFD7FF"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83,9</w:t>
            </w:r>
          </w:p>
        </w:tc>
        <w:tc>
          <w:tcPr>
            <w:tcW w:w="509" w:type="pct"/>
            <w:tcBorders>
              <w:top w:val="nil"/>
              <w:left w:val="nil"/>
              <w:bottom w:val="nil"/>
              <w:right w:val="nil"/>
            </w:tcBorders>
            <w:shd w:val="clear" w:color="auto" w:fill="F2F2F2"/>
            <w:noWrap/>
            <w:vAlign w:val="center"/>
          </w:tcPr>
          <w:p w14:paraId="24CE20F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77,3</w:t>
            </w:r>
          </w:p>
        </w:tc>
        <w:tc>
          <w:tcPr>
            <w:tcW w:w="512" w:type="pct"/>
            <w:tcBorders>
              <w:top w:val="nil"/>
              <w:left w:val="nil"/>
              <w:bottom w:val="nil"/>
              <w:right w:val="nil"/>
            </w:tcBorders>
            <w:shd w:val="clear" w:color="auto" w:fill="F2F2F2"/>
            <w:noWrap/>
            <w:vAlign w:val="center"/>
          </w:tcPr>
          <w:p w14:paraId="12D44B1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73,7</w:t>
            </w:r>
          </w:p>
        </w:tc>
      </w:tr>
      <w:tr w:rsidR="00761800" w:rsidRPr="00761800" w14:paraId="18242CB1" w14:textId="77777777" w:rsidTr="00761800">
        <w:trPr>
          <w:trHeight w:val="340"/>
          <w:jc w:val="center"/>
        </w:trPr>
        <w:tc>
          <w:tcPr>
            <w:tcW w:w="2577" w:type="pct"/>
            <w:tcBorders>
              <w:top w:val="nil"/>
              <w:bottom w:val="nil"/>
              <w:right w:val="nil"/>
            </w:tcBorders>
            <w:shd w:val="clear" w:color="auto" w:fill="FFFFFF"/>
            <w:noWrap/>
            <w:vAlign w:val="center"/>
          </w:tcPr>
          <w:p w14:paraId="5FFD8898" w14:textId="77777777" w:rsidR="00761800" w:rsidRPr="00761800" w:rsidRDefault="00761800" w:rsidP="00761800">
            <w:pPr>
              <w:spacing w:line="259" w:lineRule="auto"/>
              <w:ind w:firstLineChars="100" w:firstLine="200"/>
              <w:rPr>
                <w:rFonts w:ascii="Times New Roman" w:eastAsia="Calibri" w:hAnsi="Times New Roman"/>
                <w:b/>
                <w:sz w:val="20"/>
                <w:lang w:eastAsia="en-GB"/>
              </w:rPr>
            </w:pPr>
            <w:r w:rsidRPr="00761800">
              <w:rPr>
                <w:rFonts w:ascii="Times New Roman" w:eastAsia="Calibri" w:hAnsi="Times New Roman"/>
                <w:sz w:val="20"/>
                <w:lang w:eastAsia="en-GB"/>
              </w:rPr>
              <w:t>Цена на неенергийни суровини (в щ.д., %)</w:t>
            </w:r>
          </w:p>
        </w:tc>
        <w:tc>
          <w:tcPr>
            <w:tcW w:w="454" w:type="pct"/>
            <w:tcBorders>
              <w:top w:val="nil"/>
              <w:left w:val="nil"/>
              <w:bottom w:val="nil"/>
              <w:right w:val="nil"/>
            </w:tcBorders>
            <w:shd w:val="clear" w:color="auto" w:fill="auto"/>
            <w:noWrap/>
            <w:vAlign w:val="center"/>
          </w:tcPr>
          <w:p w14:paraId="1C6E1BA4"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2,0</w:t>
            </w:r>
          </w:p>
        </w:tc>
        <w:tc>
          <w:tcPr>
            <w:tcW w:w="487" w:type="pct"/>
            <w:tcBorders>
              <w:top w:val="nil"/>
              <w:left w:val="nil"/>
              <w:bottom w:val="nil"/>
              <w:right w:val="nil"/>
            </w:tcBorders>
            <w:shd w:val="clear" w:color="auto" w:fill="auto"/>
            <w:noWrap/>
            <w:vAlign w:val="center"/>
          </w:tcPr>
          <w:p w14:paraId="4727360C"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2,6</w:t>
            </w:r>
          </w:p>
        </w:tc>
        <w:tc>
          <w:tcPr>
            <w:tcW w:w="462" w:type="pct"/>
            <w:tcBorders>
              <w:top w:val="nil"/>
              <w:left w:val="nil"/>
              <w:bottom w:val="nil"/>
              <w:right w:val="nil"/>
            </w:tcBorders>
            <w:shd w:val="clear" w:color="auto" w:fill="F2F2F2"/>
            <w:noWrap/>
            <w:vAlign w:val="center"/>
          </w:tcPr>
          <w:p w14:paraId="4651518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4,9</w:t>
            </w:r>
          </w:p>
        </w:tc>
        <w:tc>
          <w:tcPr>
            <w:tcW w:w="509" w:type="pct"/>
            <w:tcBorders>
              <w:top w:val="nil"/>
              <w:left w:val="nil"/>
              <w:bottom w:val="nil"/>
              <w:right w:val="nil"/>
            </w:tcBorders>
            <w:shd w:val="clear" w:color="auto" w:fill="F2F2F2"/>
            <w:noWrap/>
            <w:vAlign w:val="center"/>
          </w:tcPr>
          <w:p w14:paraId="38B1D32E"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1,0</w:t>
            </w:r>
          </w:p>
        </w:tc>
        <w:tc>
          <w:tcPr>
            <w:tcW w:w="512" w:type="pct"/>
            <w:tcBorders>
              <w:top w:val="nil"/>
              <w:left w:val="nil"/>
              <w:bottom w:val="nil"/>
              <w:right w:val="nil"/>
            </w:tcBorders>
            <w:shd w:val="clear" w:color="auto" w:fill="F2F2F2"/>
            <w:noWrap/>
            <w:vAlign w:val="center"/>
          </w:tcPr>
          <w:p w14:paraId="18FF6075"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-0,9</w:t>
            </w:r>
          </w:p>
        </w:tc>
      </w:tr>
      <w:tr w:rsidR="00761800" w:rsidRPr="00761800" w14:paraId="0CB08FDA" w14:textId="77777777" w:rsidTr="00761800">
        <w:trPr>
          <w:trHeight w:val="340"/>
          <w:jc w:val="center"/>
        </w:trPr>
        <w:tc>
          <w:tcPr>
            <w:tcW w:w="2577" w:type="pct"/>
            <w:tcBorders>
              <w:top w:val="nil"/>
              <w:bottom w:val="single" w:sz="4" w:space="0" w:color="auto"/>
              <w:right w:val="nil"/>
            </w:tcBorders>
            <w:shd w:val="clear" w:color="auto" w:fill="FFFFFF"/>
            <w:noWrap/>
            <w:vAlign w:val="center"/>
          </w:tcPr>
          <w:p w14:paraId="3ED34104" w14:textId="77777777" w:rsidR="00761800" w:rsidRPr="00761800" w:rsidRDefault="00761800" w:rsidP="00761800">
            <w:pPr>
              <w:spacing w:line="259" w:lineRule="auto"/>
              <w:ind w:firstLineChars="100" w:firstLine="200"/>
              <w:rPr>
                <w:rFonts w:ascii="Times New Roman" w:eastAsia="Calibri" w:hAnsi="Times New Roman"/>
                <w:b/>
                <w:sz w:val="20"/>
                <w:lang w:eastAsia="en-GB"/>
              </w:rPr>
            </w:pPr>
            <w:r w:rsidRPr="00761800">
              <w:rPr>
                <w:rFonts w:ascii="Times New Roman" w:eastAsia="Calibri" w:hAnsi="Times New Roman"/>
                <w:sz w:val="20"/>
                <w:lang w:eastAsia="en-GB"/>
              </w:rPr>
              <w:t>EURIBOR 3м. (%)</w:t>
            </w:r>
          </w:p>
        </w:tc>
        <w:tc>
          <w:tcPr>
            <w:tcW w:w="454" w:type="pct"/>
            <w:tcBorders>
              <w:top w:val="nil"/>
              <w:left w:val="nil"/>
              <w:bottom w:val="single" w:sz="4" w:space="0" w:color="auto"/>
              <w:right w:val="nil"/>
            </w:tcBorders>
            <w:shd w:val="clear" w:color="auto" w:fill="auto"/>
            <w:noWrap/>
            <w:vAlign w:val="center"/>
          </w:tcPr>
          <w:p w14:paraId="49721191"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3,3</w:t>
            </w:r>
          </w:p>
        </w:tc>
        <w:tc>
          <w:tcPr>
            <w:tcW w:w="487" w:type="pct"/>
            <w:tcBorders>
              <w:top w:val="nil"/>
              <w:left w:val="nil"/>
              <w:bottom w:val="single" w:sz="4" w:space="0" w:color="auto"/>
              <w:right w:val="nil"/>
            </w:tcBorders>
            <w:shd w:val="clear" w:color="auto" w:fill="auto"/>
            <w:noWrap/>
            <w:vAlign w:val="center"/>
          </w:tcPr>
          <w:p w14:paraId="3818BCB8"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2,0</w:t>
            </w:r>
          </w:p>
        </w:tc>
        <w:tc>
          <w:tcPr>
            <w:tcW w:w="462" w:type="pct"/>
            <w:tcBorders>
              <w:top w:val="nil"/>
              <w:left w:val="nil"/>
              <w:bottom w:val="single" w:sz="4" w:space="0" w:color="auto"/>
              <w:right w:val="nil"/>
            </w:tcBorders>
            <w:shd w:val="clear" w:color="auto" w:fill="F2F2F2"/>
            <w:noWrap/>
            <w:vAlign w:val="center"/>
          </w:tcPr>
          <w:p w14:paraId="280CBEE7"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2,0</w:t>
            </w:r>
          </w:p>
        </w:tc>
        <w:tc>
          <w:tcPr>
            <w:tcW w:w="509" w:type="pct"/>
            <w:tcBorders>
              <w:top w:val="nil"/>
              <w:left w:val="nil"/>
              <w:bottom w:val="single" w:sz="4" w:space="0" w:color="auto"/>
              <w:right w:val="nil"/>
            </w:tcBorders>
            <w:shd w:val="clear" w:color="auto" w:fill="F2F2F2"/>
            <w:noWrap/>
            <w:vAlign w:val="center"/>
          </w:tcPr>
          <w:p w14:paraId="0C047884"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2,0</w:t>
            </w:r>
          </w:p>
        </w:tc>
        <w:tc>
          <w:tcPr>
            <w:tcW w:w="512" w:type="pct"/>
            <w:tcBorders>
              <w:top w:val="nil"/>
              <w:left w:val="nil"/>
              <w:bottom w:val="single" w:sz="4" w:space="0" w:color="auto"/>
              <w:right w:val="nil"/>
            </w:tcBorders>
            <w:shd w:val="clear" w:color="auto" w:fill="F2F2F2"/>
            <w:noWrap/>
            <w:vAlign w:val="center"/>
          </w:tcPr>
          <w:p w14:paraId="22901634"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2,0</w:t>
            </w:r>
          </w:p>
        </w:tc>
      </w:tr>
    </w:tbl>
    <w:p w14:paraId="6C8B5231" w14:textId="77777777" w:rsidR="00761800" w:rsidRPr="00761800" w:rsidRDefault="00761800" w:rsidP="00761800">
      <w:pPr>
        <w:spacing w:before="60" w:after="200"/>
        <w:jc w:val="right"/>
        <w:rPr>
          <w:rFonts w:ascii="Times New Roman" w:hAnsi="Times New Roman"/>
          <w:sz w:val="18"/>
          <w:szCs w:val="18"/>
        </w:rPr>
      </w:pPr>
      <w:r w:rsidRPr="00761800">
        <w:rPr>
          <w:rFonts w:ascii="Times New Roman" w:hAnsi="Times New Roman"/>
          <w:sz w:val="18"/>
          <w:szCs w:val="18"/>
          <w:lang w:eastAsia="bg-BG"/>
        </w:rPr>
        <w:t>Източник:</w:t>
      </w:r>
      <w:r w:rsidRPr="00761800">
        <w:rPr>
          <w:rFonts w:ascii="Times New Roman" w:hAnsi="Times New Roman"/>
          <w:sz w:val="18"/>
          <w:szCs w:val="18"/>
        </w:rPr>
        <w:t xml:space="preserve"> </w:t>
      </w:r>
      <w:r w:rsidRPr="00761800">
        <w:rPr>
          <w:rFonts w:ascii="Times New Roman" w:hAnsi="Times New Roman"/>
          <w:sz w:val="18"/>
          <w:szCs w:val="18"/>
          <w:lang w:eastAsia="bg-BG"/>
        </w:rPr>
        <w:t>МВФ</w:t>
      </w:r>
      <w:r w:rsidRPr="00761800">
        <w:rPr>
          <w:rFonts w:ascii="Times New Roman" w:hAnsi="Times New Roman"/>
          <w:position w:val="2"/>
          <w:sz w:val="18"/>
          <w:szCs w:val="18"/>
          <w:vertAlign w:val="superscript"/>
        </w:rPr>
        <w:footnoteReference w:id="20"/>
      </w:r>
      <w:r w:rsidRPr="00761800">
        <w:rPr>
          <w:rFonts w:ascii="Times New Roman" w:hAnsi="Times New Roman"/>
          <w:sz w:val="18"/>
          <w:szCs w:val="18"/>
          <w:lang w:eastAsia="bg-BG"/>
        </w:rPr>
        <w:t>, СБ</w:t>
      </w:r>
      <w:r w:rsidRPr="00761800">
        <w:rPr>
          <w:rFonts w:ascii="Times New Roman" w:hAnsi="Times New Roman"/>
          <w:position w:val="2"/>
          <w:sz w:val="18"/>
          <w:szCs w:val="18"/>
          <w:vertAlign w:val="superscript"/>
        </w:rPr>
        <w:footnoteReference w:id="21"/>
      </w:r>
      <w:r w:rsidRPr="00761800">
        <w:rPr>
          <w:rFonts w:ascii="Times New Roman" w:hAnsi="Times New Roman"/>
          <w:sz w:val="18"/>
          <w:szCs w:val="18"/>
          <w:lang w:eastAsia="bg-BG"/>
        </w:rPr>
        <w:t>, ЕК</w:t>
      </w:r>
      <w:r w:rsidRPr="00761800">
        <w:rPr>
          <w:rFonts w:ascii="Times New Roman" w:hAnsi="Times New Roman"/>
          <w:position w:val="2"/>
          <w:sz w:val="18"/>
          <w:szCs w:val="18"/>
          <w:vertAlign w:val="superscript"/>
        </w:rPr>
        <w:footnoteReference w:id="22"/>
      </w:r>
      <w:r w:rsidRPr="00761800">
        <w:rPr>
          <w:rFonts w:ascii="Times New Roman" w:hAnsi="Times New Roman"/>
          <w:sz w:val="18"/>
          <w:szCs w:val="18"/>
          <w:lang w:eastAsia="bg-BG"/>
        </w:rPr>
        <w:t>, Евростат</w:t>
      </w:r>
      <w:r w:rsidRPr="00761800">
        <w:rPr>
          <w:rFonts w:ascii="Times New Roman" w:hAnsi="Times New Roman"/>
          <w:position w:val="2"/>
          <w:sz w:val="18"/>
          <w:szCs w:val="18"/>
          <w:vertAlign w:val="superscript"/>
        </w:rPr>
        <w:footnoteReference w:id="23"/>
      </w:r>
      <w:r w:rsidRPr="00761800">
        <w:rPr>
          <w:rFonts w:ascii="Times New Roman" w:hAnsi="Times New Roman"/>
          <w:sz w:val="18"/>
          <w:szCs w:val="18"/>
          <w:lang w:eastAsia="bg-BG"/>
        </w:rPr>
        <w:t>, ЕЦБ</w:t>
      </w:r>
      <w:r w:rsidRPr="00761800">
        <w:rPr>
          <w:rFonts w:ascii="Times New Roman" w:hAnsi="Times New Roman"/>
          <w:position w:val="2"/>
          <w:sz w:val="18"/>
          <w:szCs w:val="18"/>
          <w:vertAlign w:val="superscript"/>
        </w:rPr>
        <w:footnoteReference w:id="24"/>
      </w:r>
      <w:r w:rsidRPr="00761800">
        <w:rPr>
          <w:rFonts w:ascii="Times New Roman" w:hAnsi="Times New Roman"/>
          <w:sz w:val="18"/>
          <w:szCs w:val="18"/>
          <w:lang w:eastAsia="bg-BG"/>
        </w:rPr>
        <w:t>, МФ</w:t>
      </w:r>
      <w:r w:rsidRPr="00761800">
        <w:rPr>
          <w:rFonts w:ascii="Times New Roman" w:hAnsi="Times New Roman"/>
          <w:position w:val="2"/>
          <w:sz w:val="18"/>
          <w:szCs w:val="18"/>
          <w:vertAlign w:val="superscript"/>
        </w:rPr>
        <w:footnoteReference w:id="25"/>
      </w:r>
      <w:r w:rsidRPr="00761800">
        <w:rPr>
          <w:rFonts w:ascii="Times New Roman" w:hAnsi="Times New Roman"/>
        </w:rPr>
        <w:t xml:space="preserve"> </w:t>
      </w:r>
      <w:r w:rsidRPr="00761800">
        <w:rPr>
          <w:rFonts w:ascii="Times New Roman" w:hAnsi="Times New Roman"/>
          <w:i/>
          <w:sz w:val="22"/>
          <w:szCs w:val="22"/>
        </w:rPr>
        <w:t xml:space="preserve"> </w:t>
      </w:r>
    </w:p>
    <w:p w14:paraId="37DD244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Допусканията за международните цени на суровините в прогнозния период се основават на информация за фючърсите към 23 март 2026 г. Те отразяват повишената волатилност най-вече при енергийните суровини във връзка с избухналия на 28 февруари военен конфликт в Близкия изток, който доведе до прекъсване на доставките на нефт и втечнен природен газ през Ормузкия проток. Според тези данни цената на петрола сорт „Брент“ се очаква да достигне най-високата си стойност от малко над 91 щ.д./барел през второто тримесечие на 2026 г., след което постепенно ще се понижава и средно за годината ще бъде 83,9 щ.д./барел, което е повишение с 21,5% в сравнение с 2025 г. През 2027 г. цената на суровината ще отчете спад със 7,9%, след което ще продължи да се понижава до малко над 72 щ.д. през 2029 г. При природния газ се предвижда средно повишение на цената от 35,5% през 2026 г. до почти 48 евро/МВтч, последвано от поевтиняване в периода 2027-2028 г. до 26 евро в края на прогнозния хоризонт.</w:t>
      </w:r>
    </w:p>
    <w:p w14:paraId="39C48E3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При неенергийните суровини се очаква поскъпване от 4,9% и 1% в доларово изражение, съответно през 2026 и 2027 г., като цените на храните ще се повишат средно с 0,5% и 1,8% през двете години. При останалите основни подгрупи се очаква повишение на цените при селскостопанските суровини с 5,2%, метали – с 19,5%, от които мед – с 31,2%, торове – с 9,5%, докато напитките ще отчетат спад с 31,5% през 2026 г. През 2028 г. както при енергийните, така и при неенергийните суровини ще има поевтиняване. </w:t>
      </w:r>
    </w:p>
    <w:p w14:paraId="44914540" w14:textId="77777777" w:rsidR="00761800" w:rsidRPr="00761800" w:rsidRDefault="00761800" w:rsidP="00761800">
      <w:pPr>
        <w:spacing w:after="200"/>
        <w:jc w:val="both"/>
        <w:rPr>
          <w:rFonts w:ascii="Times New Roman" w:hAnsi="Times New Roman"/>
          <w:sz w:val="18"/>
          <w:szCs w:val="18"/>
        </w:rPr>
      </w:pPr>
      <w:r w:rsidRPr="00761800">
        <w:rPr>
          <w:rFonts w:ascii="Times New Roman" w:hAnsi="Times New Roman"/>
          <w:szCs w:val="22"/>
          <w:lang w:eastAsia="bg-BG"/>
        </w:rPr>
        <w:t>Техническото допускане</w:t>
      </w:r>
      <w:r w:rsidRPr="00761800">
        <w:rPr>
          <w:rFonts w:ascii="Times New Roman" w:hAnsi="Times New Roman"/>
          <w:position w:val="2"/>
          <w:sz w:val="18"/>
          <w:szCs w:val="22"/>
          <w:vertAlign w:val="superscript"/>
        </w:rPr>
        <w:footnoteReference w:id="26"/>
      </w:r>
      <w:r w:rsidRPr="00761800">
        <w:rPr>
          <w:rFonts w:ascii="Times New Roman" w:hAnsi="Times New Roman"/>
          <w:szCs w:val="22"/>
          <w:lang w:eastAsia="bg-BG"/>
        </w:rPr>
        <w:t xml:space="preserve"> за валутния курс щ.д./евро, с дневни данни към 23.03.2026 г., показва средногодишна стойност от 1,1570 долара за едно евро през 2026 г., което е номинално поскъпване на единната европейска валута с 2,4%. През 2027 г. ще бъде наблюдавана номинална обезценка от 0,3% до 1,1539 долара за едно евро, след което валутният курс ще остане на това ниво до края на прогнозния период.</w:t>
      </w:r>
    </w:p>
    <w:p w14:paraId="141A7D99"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852010"/>
          <w:spacing w:val="10"/>
          <w:w w:val="90"/>
          <w:sz w:val="28"/>
          <w:szCs w:val="26"/>
          <w:lang w:eastAsia="bg-BG"/>
        </w:rPr>
      </w:pPr>
      <w:bookmarkStart w:id="144" w:name="_Toc233717473"/>
      <w:r w:rsidRPr="00761800">
        <w:rPr>
          <w:rFonts w:ascii="Times New Roman" w:hAnsi="Times New Roman"/>
          <w:b/>
          <w:bCs/>
          <w:caps/>
          <w:color w:val="852010"/>
          <w:spacing w:val="10"/>
          <w:w w:val="90"/>
          <w:sz w:val="28"/>
          <w:szCs w:val="26"/>
          <w:lang w:eastAsia="bg-BG"/>
        </w:rPr>
        <w:t>Макроикономическа прогноза за периода 2026-2028 г.</w:t>
      </w:r>
      <w:bookmarkEnd w:id="144"/>
    </w:p>
    <w:p w14:paraId="575105C9" w14:textId="32067538" w:rsidR="00761800" w:rsidRPr="00761800" w:rsidRDefault="00761800" w:rsidP="00761800">
      <w:pPr>
        <w:spacing w:after="120"/>
        <w:ind w:left="1418" w:hanging="1418"/>
        <w:rPr>
          <w:rFonts w:ascii="Times New Roman" w:hAnsi="Times New Roman"/>
          <w:b/>
          <w:bCs/>
          <w:sz w:val="22"/>
          <w:szCs w:val="22"/>
        </w:rPr>
      </w:pPr>
      <w:bookmarkStart w:id="145" w:name="_Toc233185120"/>
      <w:bookmarkStart w:id="146" w:name="_Toc53751519"/>
      <w:bookmarkStart w:id="147" w:name="_Toc464737630"/>
      <w:bookmarkStart w:id="148" w:name="_Toc464646349"/>
      <w:bookmarkStart w:id="149" w:name="_Toc464644956"/>
      <w:bookmarkEnd w:id="130"/>
      <w:bookmarkEnd w:id="131"/>
      <w:bookmarkEnd w:id="132"/>
      <w:bookmarkEnd w:id="133"/>
      <w:bookmarkEnd w:id="134"/>
      <w:bookmarkEnd w:id="135"/>
      <w:bookmarkEnd w:id="136"/>
      <w:bookmarkEnd w:id="137"/>
      <w:bookmarkEnd w:id="138"/>
      <w:bookmarkEnd w:id="139"/>
      <w:bookmarkEnd w:id="140"/>
      <w:bookmarkEnd w:id="141"/>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2</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r>
      <w:r w:rsidRPr="00761800">
        <w:rPr>
          <w:rFonts w:ascii="Times New Roman" w:hAnsi="Times New Roman"/>
          <w:b/>
          <w:bCs/>
          <w:sz w:val="22"/>
          <w:szCs w:val="22"/>
        </w:rPr>
        <w:t>Основни макроикономически показатели</w:t>
      </w:r>
      <w:bookmarkEnd w:id="145"/>
    </w:p>
    <w:tbl>
      <w:tblPr>
        <w:tblW w:w="5335" w:type="pct"/>
        <w:jc w:val="center"/>
        <w:tblBorders>
          <w:top w:val="single" w:sz="6" w:space="0" w:color="838383"/>
          <w:bottom w:val="single" w:sz="6" w:space="0" w:color="838383"/>
        </w:tblBorders>
        <w:shd w:val="clear" w:color="auto" w:fill="FFFFFF"/>
        <w:tblLayout w:type="fixed"/>
        <w:tblLook w:val="00A0" w:firstRow="1" w:lastRow="0" w:firstColumn="1" w:lastColumn="0" w:noHBand="0" w:noVBand="0"/>
      </w:tblPr>
      <w:tblGrid>
        <w:gridCol w:w="4364"/>
        <w:gridCol w:w="1047"/>
        <w:gridCol w:w="1130"/>
        <w:gridCol w:w="1039"/>
        <w:gridCol w:w="1039"/>
        <w:gridCol w:w="1045"/>
        <w:gridCol w:w="14"/>
      </w:tblGrid>
      <w:tr w:rsidR="00761800" w:rsidRPr="00761800" w14:paraId="3D354318" w14:textId="77777777" w:rsidTr="00761800">
        <w:trPr>
          <w:gridAfter w:val="1"/>
          <w:wAfter w:w="7" w:type="pct"/>
          <w:trHeight w:val="22"/>
          <w:tblHeader/>
          <w:jc w:val="center"/>
        </w:trPr>
        <w:tc>
          <w:tcPr>
            <w:tcW w:w="2254" w:type="pct"/>
            <w:vMerge w:val="restart"/>
            <w:tcBorders>
              <w:top w:val="single" w:sz="4" w:space="0" w:color="auto"/>
              <w:bottom w:val="single" w:sz="4" w:space="0" w:color="auto"/>
            </w:tcBorders>
            <w:shd w:val="clear" w:color="auto" w:fill="FFFFFF"/>
            <w:vAlign w:val="center"/>
          </w:tcPr>
          <w:p w14:paraId="5A57DA7E" w14:textId="77777777" w:rsidR="00761800" w:rsidRPr="00761800" w:rsidRDefault="00761800" w:rsidP="00761800">
            <w:pPr>
              <w:spacing w:before="40" w:after="40" w:line="259" w:lineRule="auto"/>
              <w:jc w:val="center"/>
              <w:rPr>
                <w:rFonts w:ascii="Times New Roman" w:eastAsia="Calibri" w:hAnsi="Times New Roman"/>
                <w:b/>
                <w:bCs/>
                <w:sz w:val="20"/>
                <w:lang w:eastAsia="en-GB"/>
              </w:rPr>
            </w:pPr>
            <w:r w:rsidRPr="00761800">
              <w:rPr>
                <w:rFonts w:ascii="Times New Roman" w:eastAsia="Calibri" w:hAnsi="Times New Roman"/>
                <w:b/>
                <w:bCs/>
                <w:sz w:val="20"/>
                <w:lang w:eastAsia="en-GB"/>
              </w:rPr>
              <w:lastRenderedPageBreak/>
              <w:t xml:space="preserve">Основни макроикономически </w:t>
            </w:r>
          </w:p>
          <w:p w14:paraId="7765F1E1" w14:textId="77777777" w:rsidR="00761800" w:rsidRPr="00761800" w:rsidRDefault="00761800" w:rsidP="00761800">
            <w:pPr>
              <w:spacing w:before="40" w:after="40" w:line="259" w:lineRule="auto"/>
              <w:jc w:val="center"/>
              <w:rPr>
                <w:rFonts w:ascii="Times New Roman" w:eastAsia="Calibri" w:hAnsi="Times New Roman"/>
                <w:b/>
                <w:bCs/>
                <w:sz w:val="20"/>
                <w:lang w:eastAsia="en-GB"/>
              </w:rPr>
            </w:pPr>
            <w:r w:rsidRPr="00761800">
              <w:rPr>
                <w:rFonts w:ascii="Times New Roman" w:eastAsia="Calibri" w:hAnsi="Times New Roman"/>
                <w:b/>
                <w:bCs/>
                <w:sz w:val="20"/>
                <w:lang w:eastAsia="en-GB"/>
              </w:rPr>
              <w:t>показатели</w:t>
            </w:r>
          </w:p>
        </w:tc>
        <w:tc>
          <w:tcPr>
            <w:tcW w:w="1125" w:type="pct"/>
            <w:gridSpan w:val="2"/>
            <w:tcBorders>
              <w:top w:val="single" w:sz="4" w:space="0" w:color="auto"/>
              <w:bottom w:val="single" w:sz="4" w:space="0" w:color="auto"/>
            </w:tcBorders>
            <w:shd w:val="clear" w:color="auto" w:fill="FFFFFF"/>
            <w:noWrap/>
            <w:vAlign w:val="center"/>
          </w:tcPr>
          <w:p w14:paraId="1CFD4A57" w14:textId="77777777" w:rsidR="00761800" w:rsidRPr="00761800" w:rsidRDefault="00761800" w:rsidP="00761800">
            <w:pPr>
              <w:spacing w:before="40" w:after="40" w:line="259" w:lineRule="auto"/>
              <w:jc w:val="center"/>
              <w:rPr>
                <w:rFonts w:ascii="Times New Roman" w:eastAsia="Calibri" w:hAnsi="Times New Roman"/>
                <w:b/>
                <w:bCs/>
                <w:sz w:val="20"/>
                <w:lang w:eastAsia="en-GB"/>
              </w:rPr>
            </w:pPr>
            <w:r w:rsidRPr="00761800">
              <w:rPr>
                <w:rFonts w:ascii="Times New Roman" w:eastAsia="Calibri" w:hAnsi="Times New Roman"/>
                <w:b/>
                <w:bCs/>
                <w:sz w:val="20"/>
                <w:lang w:eastAsia="en-GB"/>
              </w:rPr>
              <w:t>Отчетни данни</w:t>
            </w:r>
          </w:p>
        </w:tc>
        <w:tc>
          <w:tcPr>
            <w:tcW w:w="1614" w:type="pct"/>
            <w:gridSpan w:val="3"/>
            <w:tcBorders>
              <w:top w:val="single" w:sz="4" w:space="0" w:color="auto"/>
              <w:bottom w:val="single" w:sz="4" w:space="0" w:color="auto"/>
            </w:tcBorders>
            <w:shd w:val="clear" w:color="auto" w:fill="F2F2F2"/>
            <w:noWrap/>
            <w:vAlign w:val="center"/>
          </w:tcPr>
          <w:p w14:paraId="3C1999FD" w14:textId="77777777" w:rsidR="00761800" w:rsidRPr="00761800" w:rsidRDefault="00761800" w:rsidP="00761800">
            <w:pPr>
              <w:spacing w:before="40" w:after="40" w:line="259" w:lineRule="auto"/>
              <w:jc w:val="center"/>
              <w:rPr>
                <w:rFonts w:ascii="Times New Roman" w:eastAsia="Calibri" w:hAnsi="Times New Roman"/>
                <w:b/>
                <w:bCs/>
                <w:sz w:val="20"/>
                <w:lang w:eastAsia="en-GB"/>
              </w:rPr>
            </w:pPr>
            <w:r w:rsidRPr="00761800">
              <w:rPr>
                <w:rFonts w:ascii="Times New Roman" w:eastAsia="Calibri" w:hAnsi="Times New Roman"/>
                <w:b/>
                <w:bCs/>
                <w:sz w:val="20"/>
                <w:lang w:eastAsia="en-GB"/>
              </w:rPr>
              <w:t>Прогноза</w:t>
            </w:r>
          </w:p>
        </w:tc>
      </w:tr>
      <w:tr w:rsidR="00761800" w:rsidRPr="00761800" w14:paraId="39017E61" w14:textId="77777777" w:rsidTr="00761800">
        <w:trPr>
          <w:gridAfter w:val="1"/>
          <w:wAfter w:w="7" w:type="pct"/>
          <w:trHeight w:val="22"/>
          <w:tblHeader/>
          <w:jc w:val="center"/>
        </w:trPr>
        <w:tc>
          <w:tcPr>
            <w:tcW w:w="2254" w:type="pct"/>
            <w:vMerge/>
            <w:tcBorders>
              <w:top w:val="single" w:sz="4" w:space="0" w:color="auto"/>
              <w:bottom w:val="single" w:sz="4" w:space="0" w:color="auto"/>
            </w:tcBorders>
            <w:shd w:val="clear" w:color="auto" w:fill="FFFFFF"/>
            <w:noWrap/>
          </w:tcPr>
          <w:p w14:paraId="3F5BD4CC" w14:textId="77777777" w:rsidR="00761800" w:rsidRPr="00761800" w:rsidRDefault="00761800" w:rsidP="00761800">
            <w:pPr>
              <w:spacing w:before="40" w:after="40" w:line="259" w:lineRule="auto"/>
              <w:rPr>
                <w:rFonts w:ascii="Times New Roman" w:eastAsia="Calibri" w:hAnsi="Times New Roman"/>
                <w:b/>
                <w:bCs/>
                <w:sz w:val="20"/>
                <w:lang w:eastAsia="en-GB"/>
              </w:rPr>
            </w:pPr>
          </w:p>
        </w:tc>
        <w:tc>
          <w:tcPr>
            <w:tcW w:w="541" w:type="pct"/>
            <w:tcBorders>
              <w:top w:val="single" w:sz="4" w:space="0" w:color="auto"/>
              <w:bottom w:val="single" w:sz="4" w:space="0" w:color="auto"/>
            </w:tcBorders>
            <w:shd w:val="clear" w:color="auto" w:fill="FFFFFF"/>
            <w:noWrap/>
            <w:vAlign w:val="center"/>
          </w:tcPr>
          <w:p w14:paraId="40FF7139" w14:textId="77777777" w:rsidR="00761800" w:rsidRPr="00761800" w:rsidRDefault="00761800" w:rsidP="00761800">
            <w:pPr>
              <w:spacing w:before="40" w:after="40" w:line="259" w:lineRule="auto"/>
              <w:jc w:val="center"/>
              <w:rPr>
                <w:rFonts w:ascii="Times New Roman" w:eastAsia="Calibri" w:hAnsi="Times New Roman"/>
                <w:b/>
                <w:bCs/>
                <w:sz w:val="20"/>
                <w:lang w:val="en-US" w:eastAsia="en-GB"/>
              </w:rPr>
            </w:pPr>
            <w:r w:rsidRPr="00761800">
              <w:rPr>
                <w:rFonts w:ascii="Times New Roman" w:eastAsia="Calibri" w:hAnsi="Times New Roman"/>
                <w:b/>
                <w:bCs/>
                <w:sz w:val="20"/>
                <w:lang w:eastAsia="en-GB"/>
              </w:rPr>
              <w:t>202</w:t>
            </w:r>
            <w:r w:rsidRPr="00761800">
              <w:rPr>
                <w:rFonts w:ascii="Times New Roman" w:eastAsia="Calibri" w:hAnsi="Times New Roman"/>
                <w:b/>
                <w:bCs/>
                <w:sz w:val="20"/>
                <w:lang w:val="en-US" w:eastAsia="en-GB"/>
              </w:rPr>
              <w:t>4</w:t>
            </w:r>
          </w:p>
        </w:tc>
        <w:tc>
          <w:tcPr>
            <w:tcW w:w="584" w:type="pct"/>
            <w:tcBorders>
              <w:top w:val="single" w:sz="4" w:space="0" w:color="auto"/>
              <w:bottom w:val="single" w:sz="4" w:space="0" w:color="auto"/>
            </w:tcBorders>
            <w:shd w:val="clear" w:color="auto" w:fill="FFFFFF"/>
            <w:noWrap/>
            <w:vAlign w:val="center"/>
          </w:tcPr>
          <w:p w14:paraId="22A76CC1" w14:textId="77777777" w:rsidR="00761800" w:rsidRPr="00761800" w:rsidRDefault="00761800" w:rsidP="00761800">
            <w:pPr>
              <w:spacing w:before="40" w:after="40" w:line="259" w:lineRule="auto"/>
              <w:jc w:val="center"/>
              <w:rPr>
                <w:rFonts w:ascii="Times New Roman" w:eastAsia="Calibri" w:hAnsi="Times New Roman"/>
                <w:b/>
                <w:bCs/>
                <w:sz w:val="20"/>
                <w:lang w:val="en-US" w:eastAsia="en-GB"/>
              </w:rPr>
            </w:pPr>
            <w:r w:rsidRPr="00761800">
              <w:rPr>
                <w:rFonts w:ascii="Times New Roman" w:eastAsia="Calibri" w:hAnsi="Times New Roman"/>
                <w:b/>
                <w:bCs/>
                <w:sz w:val="20"/>
                <w:lang w:eastAsia="en-GB"/>
              </w:rPr>
              <w:t>202</w:t>
            </w:r>
            <w:r w:rsidRPr="00761800">
              <w:rPr>
                <w:rFonts w:ascii="Times New Roman" w:eastAsia="Calibri" w:hAnsi="Times New Roman"/>
                <w:b/>
                <w:bCs/>
                <w:sz w:val="20"/>
                <w:lang w:val="en-US" w:eastAsia="en-GB"/>
              </w:rPr>
              <w:t>5</w:t>
            </w:r>
          </w:p>
        </w:tc>
        <w:tc>
          <w:tcPr>
            <w:tcW w:w="537" w:type="pct"/>
            <w:tcBorders>
              <w:top w:val="single" w:sz="4" w:space="0" w:color="auto"/>
              <w:bottom w:val="single" w:sz="4" w:space="0" w:color="auto"/>
            </w:tcBorders>
            <w:shd w:val="clear" w:color="auto" w:fill="F2F2F2"/>
            <w:noWrap/>
            <w:vAlign w:val="center"/>
          </w:tcPr>
          <w:p w14:paraId="0C03E1D0" w14:textId="77777777" w:rsidR="00761800" w:rsidRPr="00761800" w:rsidRDefault="00761800" w:rsidP="00761800">
            <w:pPr>
              <w:spacing w:before="40" w:after="40" w:line="259" w:lineRule="auto"/>
              <w:jc w:val="center"/>
              <w:rPr>
                <w:rFonts w:ascii="Times New Roman" w:eastAsia="Calibri" w:hAnsi="Times New Roman"/>
                <w:b/>
                <w:bCs/>
                <w:sz w:val="20"/>
                <w:lang w:val="en-US" w:eastAsia="en-GB"/>
              </w:rPr>
            </w:pPr>
            <w:r w:rsidRPr="00761800">
              <w:rPr>
                <w:rFonts w:ascii="Times New Roman" w:eastAsia="Calibri" w:hAnsi="Times New Roman"/>
                <w:b/>
                <w:bCs/>
                <w:sz w:val="20"/>
                <w:lang w:eastAsia="en-GB"/>
              </w:rPr>
              <w:t>202</w:t>
            </w:r>
            <w:r w:rsidRPr="00761800">
              <w:rPr>
                <w:rFonts w:ascii="Times New Roman" w:eastAsia="Calibri" w:hAnsi="Times New Roman"/>
                <w:b/>
                <w:bCs/>
                <w:sz w:val="20"/>
                <w:lang w:val="en-US" w:eastAsia="en-GB"/>
              </w:rPr>
              <w:t>6</w:t>
            </w:r>
          </w:p>
        </w:tc>
        <w:tc>
          <w:tcPr>
            <w:tcW w:w="537" w:type="pct"/>
            <w:tcBorders>
              <w:top w:val="single" w:sz="4" w:space="0" w:color="auto"/>
              <w:bottom w:val="single" w:sz="4" w:space="0" w:color="auto"/>
            </w:tcBorders>
            <w:shd w:val="clear" w:color="auto" w:fill="F2F2F2"/>
            <w:noWrap/>
            <w:vAlign w:val="center"/>
          </w:tcPr>
          <w:p w14:paraId="0BFA96CC" w14:textId="77777777" w:rsidR="00761800" w:rsidRPr="00761800" w:rsidRDefault="00761800" w:rsidP="00761800">
            <w:pPr>
              <w:spacing w:before="40" w:after="40" w:line="259" w:lineRule="auto"/>
              <w:jc w:val="center"/>
              <w:rPr>
                <w:rFonts w:ascii="Times New Roman" w:eastAsia="Calibri" w:hAnsi="Times New Roman"/>
                <w:b/>
                <w:bCs/>
                <w:sz w:val="20"/>
                <w:lang w:val="en-US" w:eastAsia="en-GB"/>
              </w:rPr>
            </w:pPr>
            <w:r w:rsidRPr="00761800">
              <w:rPr>
                <w:rFonts w:ascii="Times New Roman" w:eastAsia="Calibri" w:hAnsi="Times New Roman"/>
                <w:b/>
                <w:bCs/>
                <w:sz w:val="20"/>
                <w:lang w:eastAsia="en-GB"/>
              </w:rPr>
              <w:t>202</w:t>
            </w:r>
            <w:r w:rsidRPr="00761800">
              <w:rPr>
                <w:rFonts w:ascii="Times New Roman" w:eastAsia="Calibri" w:hAnsi="Times New Roman"/>
                <w:b/>
                <w:bCs/>
                <w:sz w:val="20"/>
                <w:lang w:val="en-US" w:eastAsia="en-GB"/>
              </w:rPr>
              <w:t>7</w:t>
            </w:r>
          </w:p>
        </w:tc>
        <w:tc>
          <w:tcPr>
            <w:tcW w:w="540" w:type="pct"/>
            <w:tcBorders>
              <w:top w:val="single" w:sz="4" w:space="0" w:color="auto"/>
              <w:bottom w:val="single" w:sz="4" w:space="0" w:color="auto"/>
            </w:tcBorders>
            <w:shd w:val="clear" w:color="auto" w:fill="F2F2F2"/>
            <w:noWrap/>
            <w:vAlign w:val="center"/>
          </w:tcPr>
          <w:p w14:paraId="2777C65C" w14:textId="77777777" w:rsidR="00761800" w:rsidRPr="00761800" w:rsidRDefault="00761800" w:rsidP="00761800">
            <w:pPr>
              <w:spacing w:before="40" w:after="40" w:line="259" w:lineRule="auto"/>
              <w:jc w:val="center"/>
              <w:rPr>
                <w:rFonts w:ascii="Times New Roman" w:eastAsia="Calibri" w:hAnsi="Times New Roman"/>
                <w:b/>
                <w:bCs/>
                <w:sz w:val="20"/>
                <w:lang w:val="en-US" w:eastAsia="en-GB"/>
              </w:rPr>
            </w:pPr>
            <w:r w:rsidRPr="00761800">
              <w:rPr>
                <w:rFonts w:ascii="Times New Roman" w:eastAsia="Calibri" w:hAnsi="Times New Roman"/>
                <w:b/>
                <w:bCs/>
                <w:sz w:val="20"/>
                <w:lang w:eastAsia="en-GB"/>
              </w:rPr>
              <w:t>202</w:t>
            </w:r>
            <w:r w:rsidRPr="00761800">
              <w:rPr>
                <w:rFonts w:ascii="Times New Roman" w:eastAsia="Calibri" w:hAnsi="Times New Roman"/>
                <w:b/>
                <w:bCs/>
                <w:sz w:val="20"/>
                <w:lang w:val="en-US" w:eastAsia="en-GB"/>
              </w:rPr>
              <w:t>8</w:t>
            </w:r>
          </w:p>
        </w:tc>
      </w:tr>
      <w:tr w:rsidR="00761800" w:rsidRPr="00761800" w14:paraId="62FAD508" w14:textId="77777777" w:rsidTr="00761800">
        <w:trPr>
          <w:trHeight w:val="22"/>
          <w:jc w:val="center"/>
        </w:trPr>
        <w:tc>
          <w:tcPr>
            <w:tcW w:w="5000" w:type="pct"/>
            <w:gridSpan w:val="7"/>
            <w:tcBorders>
              <w:top w:val="nil"/>
              <w:bottom w:val="nil"/>
            </w:tcBorders>
            <w:shd w:val="clear" w:color="auto" w:fill="F2F2F2"/>
            <w:vAlign w:val="center"/>
          </w:tcPr>
          <w:p w14:paraId="095A299B" w14:textId="77777777" w:rsidR="00761800" w:rsidRPr="00761800" w:rsidRDefault="00761800" w:rsidP="00761800">
            <w:pPr>
              <w:spacing w:line="259" w:lineRule="auto"/>
              <w:rPr>
                <w:rFonts w:ascii="Times New Roman" w:eastAsia="Calibri" w:hAnsi="Times New Roman"/>
                <w:b/>
                <w:bCs/>
                <w:sz w:val="20"/>
                <w:lang w:eastAsia="en-GB"/>
              </w:rPr>
            </w:pPr>
            <w:r w:rsidRPr="00761800">
              <w:rPr>
                <w:rFonts w:ascii="Times New Roman" w:eastAsia="Calibri" w:hAnsi="Times New Roman"/>
                <w:b/>
                <w:bCs/>
                <w:sz w:val="20"/>
                <w:lang w:eastAsia="en-GB"/>
              </w:rPr>
              <w:t>Брутен вътрешен продукт</w:t>
            </w:r>
          </w:p>
        </w:tc>
      </w:tr>
      <w:tr w:rsidR="00761800" w:rsidRPr="00761800" w14:paraId="40E5C2AA"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4BCB76D0" w14:textId="77777777" w:rsidR="00761800" w:rsidRPr="00761800" w:rsidRDefault="00761800" w:rsidP="00761800">
            <w:pPr>
              <w:spacing w:line="259" w:lineRule="auto"/>
              <w:rPr>
                <w:rFonts w:ascii="Times New Roman" w:eastAsia="Calibri" w:hAnsi="Times New Roman"/>
                <w:bCs/>
                <w:sz w:val="20"/>
                <w:lang w:eastAsia="en-GB"/>
              </w:rPr>
            </w:pPr>
            <w:r w:rsidRPr="00761800">
              <w:rPr>
                <w:rFonts w:ascii="Times New Roman" w:eastAsia="Calibri" w:hAnsi="Times New Roman"/>
                <w:bCs/>
                <w:sz w:val="20"/>
                <w:lang w:eastAsia="en-GB"/>
              </w:rPr>
              <w:t>БВП (млн. евро)</w:t>
            </w:r>
          </w:p>
        </w:tc>
        <w:tc>
          <w:tcPr>
            <w:tcW w:w="541" w:type="pct"/>
            <w:tcBorders>
              <w:top w:val="nil"/>
              <w:left w:val="nil"/>
              <w:bottom w:val="nil"/>
              <w:right w:val="nil"/>
            </w:tcBorders>
            <w:shd w:val="clear" w:color="auto" w:fill="auto"/>
            <w:noWrap/>
            <w:vAlign w:val="center"/>
          </w:tcPr>
          <w:p w14:paraId="5799DA6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104 767</w:t>
            </w:r>
          </w:p>
        </w:tc>
        <w:tc>
          <w:tcPr>
            <w:tcW w:w="584" w:type="pct"/>
            <w:tcBorders>
              <w:top w:val="nil"/>
              <w:left w:val="nil"/>
              <w:bottom w:val="nil"/>
              <w:right w:val="nil"/>
            </w:tcBorders>
            <w:shd w:val="clear" w:color="auto" w:fill="auto"/>
            <w:noWrap/>
            <w:vAlign w:val="center"/>
          </w:tcPr>
          <w:p w14:paraId="445CC79C"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116 018</w:t>
            </w:r>
          </w:p>
        </w:tc>
        <w:tc>
          <w:tcPr>
            <w:tcW w:w="537" w:type="pct"/>
            <w:tcBorders>
              <w:top w:val="nil"/>
              <w:left w:val="nil"/>
              <w:bottom w:val="nil"/>
              <w:right w:val="nil"/>
            </w:tcBorders>
            <w:shd w:val="clear" w:color="auto" w:fill="F2F2F2"/>
            <w:noWrap/>
            <w:vAlign w:val="center"/>
          </w:tcPr>
          <w:p w14:paraId="366280D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125 247</w:t>
            </w:r>
          </w:p>
        </w:tc>
        <w:tc>
          <w:tcPr>
            <w:tcW w:w="537" w:type="pct"/>
            <w:tcBorders>
              <w:top w:val="nil"/>
              <w:left w:val="nil"/>
              <w:bottom w:val="nil"/>
              <w:right w:val="nil"/>
            </w:tcBorders>
            <w:shd w:val="clear" w:color="auto" w:fill="F2F2F2"/>
            <w:noWrap/>
            <w:vAlign w:val="center"/>
          </w:tcPr>
          <w:p w14:paraId="7BF68C4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134 592</w:t>
            </w:r>
          </w:p>
        </w:tc>
        <w:tc>
          <w:tcPr>
            <w:tcW w:w="540" w:type="pct"/>
            <w:tcBorders>
              <w:top w:val="nil"/>
              <w:left w:val="nil"/>
              <w:bottom w:val="nil"/>
              <w:right w:val="nil"/>
            </w:tcBorders>
            <w:shd w:val="clear" w:color="auto" w:fill="F2F2F2"/>
            <w:noWrap/>
            <w:vAlign w:val="center"/>
          </w:tcPr>
          <w:p w14:paraId="3C70728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143 254</w:t>
            </w:r>
          </w:p>
        </w:tc>
      </w:tr>
      <w:tr w:rsidR="00761800" w:rsidRPr="00761800" w14:paraId="5575EF26"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4969BAA4" w14:textId="77777777" w:rsidR="00761800" w:rsidRPr="00761800" w:rsidRDefault="00761800" w:rsidP="00761800">
            <w:pPr>
              <w:spacing w:line="259" w:lineRule="auto"/>
              <w:rPr>
                <w:rFonts w:ascii="Times New Roman" w:eastAsia="Calibri" w:hAnsi="Times New Roman"/>
                <w:bCs/>
                <w:sz w:val="20"/>
                <w:lang w:eastAsia="en-GB"/>
              </w:rPr>
            </w:pPr>
            <w:r w:rsidRPr="00761800">
              <w:rPr>
                <w:rFonts w:ascii="Times New Roman" w:eastAsia="Calibri" w:hAnsi="Times New Roman"/>
                <w:bCs/>
                <w:sz w:val="20"/>
                <w:lang w:eastAsia="en-GB"/>
              </w:rPr>
              <w:t>БВП (реален растеж, %)</w:t>
            </w:r>
          </w:p>
        </w:tc>
        <w:tc>
          <w:tcPr>
            <w:tcW w:w="541" w:type="pct"/>
            <w:tcBorders>
              <w:top w:val="nil"/>
              <w:left w:val="nil"/>
              <w:bottom w:val="nil"/>
              <w:right w:val="nil"/>
            </w:tcBorders>
            <w:shd w:val="clear" w:color="auto" w:fill="auto"/>
            <w:noWrap/>
            <w:vAlign w:val="center"/>
          </w:tcPr>
          <w:p w14:paraId="7829F8F8"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3,4</w:t>
            </w:r>
          </w:p>
        </w:tc>
        <w:tc>
          <w:tcPr>
            <w:tcW w:w="584" w:type="pct"/>
            <w:tcBorders>
              <w:top w:val="nil"/>
              <w:left w:val="nil"/>
              <w:bottom w:val="nil"/>
              <w:right w:val="nil"/>
            </w:tcBorders>
            <w:shd w:val="clear" w:color="auto" w:fill="auto"/>
            <w:noWrap/>
            <w:vAlign w:val="center"/>
          </w:tcPr>
          <w:p w14:paraId="7D4148A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3,1</w:t>
            </w:r>
          </w:p>
        </w:tc>
        <w:tc>
          <w:tcPr>
            <w:tcW w:w="537" w:type="pct"/>
            <w:tcBorders>
              <w:top w:val="nil"/>
              <w:left w:val="nil"/>
              <w:bottom w:val="nil"/>
              <w:right w:val="nil"/>
            </w:tcBorders>
            <w:shd w:val="clear" w:color="auto" w:fill="F2F2F2"/>
            <w:noWrap/>
            <w:vAlign w:val="center"/>
          </w:tcPr>
          <w:p w14:paraId="4C8D844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2,6</w:t>
            </w:r>
          </w:p>
        </w:tc>
        <w:tc>
          <w:tcPr>
            <w:tcW w:w="537" w:type="pct"/>
            <w:tcBorders>
              <w:top w:val="nil"/>
              <w:left w:val="nil"/>
              <w:bottom w:val="nil"/>
              <w:right w:val="nil"/>
            </w:tcBorders>
            <w:shd w:val="clear" w:color="auto" w:fill="F2F2F2"/>
            <w:noWrap/>
            <w:vAlign w:val="center"/>
          </w:tcPr>
          <w:p w14:paraId="6C18DF53"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2,5</w:t>
            </w:r>
          </w:p>
        </w:tc>
        <w:tc>
          <w:tcPr>
            <w:tcW w:w="540" w:type="pct"/>
            <w:tcBorders>
              <w:top w:val="nil"/>
              <w:left w:val="nil"/>
              <w:bottom w:val="nil"/>
              <w:right w:val="nil"/>
            </w:tcBorders>
            <w:shd w:val="clear" w:color="auto" w:fill="F2F2F2"/>
            <w:noWrap/>
            <w:vAlign w:val="center"/>
          </w:tcPr>
          <w:p w14:paraId="113C683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2,5</w:t>
            </w:r>
          </w:p>
        </w:tc>
      </w:tr>
      <w:tr w:rsidR="00761800" w:rsidRPr="00761800" w14:paraId="4E14B2A0"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28646C5B"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Потребление</w:t>
            </w:r>
          </w:p>
        </w:tc>
        <w:tc>
          <w:tcPr>
            <w:tcW w:w="541" w:type="pct"/>
            <w:tcBorders>
              <w:top w:val="nil"/>
              <w:left w:val="nil"/>
              <w:bottom w:val="nil"/>
              <w:right w:val="nil"/>
            </w:tcBorders>
            <w:shd w:val="clear" w:color="auto" w:fill="auto"/>
            <w:noWrap/>
            <w:vAlign w:val="center"/>
          </w:tcPr>
          <w:p w14:paraId="2F9DB9F3"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4,6</w:t>
            </w:r>
          </w:p>
        </w:tc>
        <w:tc>
          <w:tcPr>
            <w:tcW w:w="584" w:type="pct"/>
            <w:tcBorders>
              <w:top w:val="nil"/>
              <w:left w:val="nil"/>
              <w:bottom w:val="nil"/>
              <w:right w:val="nil"/>
            </w:tcBorders>
            <w:shd w:val="clear" w:color="auto" w:fill="auto"/>
            <w:noWrap/>
            <w:vAlign w:val="center"/>
          </w:tcPr>
          <w:p w14:paraId="50F35F6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7,6</w:t>
            </w:r>
          </w:p>
        </w:tc>
        <w:tc>
          <w:tcPr>
            <w:tcW w:w="537" w:type="pct"/>
            <w:tcBorders>
              <w:top w:val="nil"/>
              <w:left w:val="nil"/>
              <w:bottom w:val="nil"/>
              <w:right w:val="nil"/>
            </w:tcBorders>
            <w:shd w:val="clear" w:color="auto" w:fill="F2F2F2"/>
            <w:noWrap/>
            <w:vAlign w:val="center"/>
          </w:tcPr>
          <w:p w14:paraId="23A051EE"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3,5</w:t>
            </w:r>
          </w:p>
        </w:tc>
        <w:tc>
          <w:tcPr>
            <w:tcW w:w="537" w:type="pct"/>
            <w:tcBorders>
              <w:top w:val="nil"/>
              <w:left w:val="nil"/>
              <w:bottom w:val="nil"/>
              <w:right w:val="nil"/>
            </w:tcBorders>
            <w:shd w:val="clear" w:color="auto" w:fill="F2F2F2"/>
            <w:noWrap/>
            <w:vAlign w:val="center"/>
          </w:tcPr>
          <w:p w14:paraId="5873EAEE"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3,3</w:t>
            </w:r>
          </w:p>
        </w:tc>
        <w:tc>
          <w:tcPr>
            <w:tcW w:w="540" w:type="pct"/>
            <w:tcBorders>
              <w:top w:val="nil"/>
              <w:left w:val="nil"/>
              <w:bottom w:val="nil"/>
              <w:right w:val="nil"/>
            </w:tcBorders>
            <w:shd w:val="clear" w:color="auto" w:fill="F2F2F2"/>
            <w:noWrap/>
            <w:vAlign w:val="center"/>
          </w:tcPr>
          <w:p w14:paraId="720893A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3,0</w:t>
            </w:r>
          </w:p>
        </w:tc>
      </w:tr>
      <w:tr w:rsidR="00761800" w:rsidRPr="00761800" w14:paraId="4B14FB03" w14:textId="77777777" w:rsidTr="00761800">
        <w:trPr>
          <w:gridAfter w:val="1"/>
          <w:wAfter w:w="7" w:type="pct"/>
          <w:trHeight w:val="22"/>
          <w:jc w:val="center"/>
        </w:trPr>
        <w:tc>
          <w:tcPr>
            <w:tcW w:w="2254" w:type="pct"/>
            <w:tcBorders>
              <w:top w:val="nil"/>
              <w:bottom w:val="nil"/>
              <w:right w:val="nil"/>
            </w:tcBorders>
            <w:shd w:val="clear" w:color="auto" w:fill="FFFFFF"/>
            <w:vAlign w:val="center"/>
          </w:tcPr>
          <w:p w14:paraId="0B1578DF"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Брутообразуване на основен капитал</w:t>
            </w:r>
          </w:p>
        </w:tc>
        <w:tc>
          <w:tcPr>
            <w:tcW w:w="541" w:type="pct"/>
            <w:tcBorders>
              <w:top w:val="nil"/>
              <w:left w:val="nil"/>
              <w:bottom w:val="nil"/>
              <w:right w:val="nil"/>
            </w:tcBorders>
            <w:shd w:val="clear" w:color="auto" w:fill="auto"/>
            <w:noWrap/>
            <w:vAlign w:val="center"/>
          </w:tcPr>
          <w:p w14:paraId="51CAC73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1,5</w:t>
            </w:r>
          </w:p>
        </w:tc>
        <w:tc>
          <w:tcPr>
            <w:tcW w:w="584" w:type="pct"/>
            <w:tcBorders>
              <w:top w:val="nil"/>
              <w:left w:val="nil"/>
              <w:bottom w:val="nil"/>
              <w:right w:val="nil"/>
            </w:tcBorders>
            <w:shd w:val="clear" w:color="auto" w:fill="auto"/>
            <w:noWrap/>
            <w:vAlign w:val="center"/>
          </w:tcPr>
          <w:p w14:paraId="6B48AE3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11,4</w:t>
            </w:r>
          </w:p>
        </w:tc>
        <w:tc>
          <w:tcPr>
            <w:tcW w:w="537" w:type="pct"/>
            <w:tcBorders>
              <w:top w:val="nil"/>
              <w:left w:val="nil"/>
              <w:bottom w:val="nil"/>
              <w:right w:val="nil"/>
            </w:tcBorders>
            <w:shd w:val="clear" w:color="auto" w:fill="F2F2F2"/>
            <w:noWrap/>
            <w:vAlign w:val="center"/>
          </w:tcPr>
          <w:p w14:paraId="5E515BA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3,3</w:t>
            </w:r>
          </w:p>
        </w:tc>
        <w:tc>
          <w:tcPr>
            <w:tcW w:w="537" w:type="pct"/>
            <w:tcBorders>
              <w:top w:val="nil"/>
              <w:left w:val="nil"/>
              <w:bottom w:val="nil"/>
              <w:right w:val="nil"/>
            </w:tcBorders>
            <w:shd w:val="clear" w:color="auto" w:fill="F2F2F2"/>
            <w:noWrap/>
            <w:vAlign w:val="center"/>
          </w:tcPr>
          <w:p w14:paraId="72355141"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1,0</w:t>
            </w:r>
          </w:p>
        </w:tc>
        <w:tc>
          <w:tcPr>
            <w:tcW w:w="540" w:type="pct"/>
            <w:tcBorders>
              <w:top w:val="nil"/>
              <w:left w:val="nil"/>
              <w:bottom w:val="nil"/>
              <w:right w:val="nil"/>
            </w:tcBorders>
            <w:shd w:val="clear" w:color="auto" w:fill="F2F2F2"/>
            <w:noWrap/>
            <w:vAlign w:val="center"/>
          </w:tcPr>
          <w:p w14:paraId="027B310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5,3</w:t>
            </w:r>
          </w:p>
        </w:tc>
      </w:tr>
      <w:tr w:rsidR="00761800" w:rsidRPr="00761800" w14:paraId="6A2A2135"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7EEE8CA3"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Износ на стоки и услуги</w:t>
            </w:r>
          </w:p>
        </w:tc>
        <w:tc>
          <w:tcPr>
            <w:tcW w:w="541" w:type="pct"/>
            <w:tcBorders>
              <w:top w:val="nil"/>
              <w:left w:val="nil"/>
              <w:bottom w:val="nil"/>
              <w:right w:val="nil"/>
            </w:tcBorders>
            <w:shd w:val="clear" w:color="auto" w:fill="auto"/>
            <w:noWrap/>
            <w:vAlign w:val="center"/>
          </w:tcPr>
          <w:p w14:paraId="2096454C"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1,8</w:t>
            </w:r>
          </w:p>
        </w:tc>
        <w:tc>
          <w:tcPr>
            <w:tcW w:w="584" w:type="pct"/>
            <w:tcBorders>
              <w:top w:val="nil"/>
              <w:left w:val="nil"/>
              <w:bottom w:val="nil"/>
              <w:right w:val="nil"/>
            </w:tcBorders>
            <w:shd w:val="clear" w:color="auto" w:fill="auto"/>
            <w:noWrap/>
            <w:vAlign w:val="center"/>
          </w:tcPr>
          <w:p w14:paraId="3FED46A8"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-2,1</w:t>
            </w:r>
          </w:p>
        </w:tc>
        <w:tc>
          <w:tcPr>
            <w:tcW w:w="537" w:type="pct"/>
            <w:tcBorders>
              <w:top w:val="nil"/>
              <w:left w:val="nil"/>
              <w:bottom w:val="nil"/>
              <w:right w:val="nil"/>
            </w:tcBorders>
            <w:shd w:val="clear" w:color="auto" w:fill="F2F2F2"/>
            <w:noWrap/>
            <w:vAlign w:val="center"/>
          </w:tcPr>
          <w:p w14:paraId="0CBC70E7"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2,9</w:t>
            </w:r>
          </w:p>
        </w:tc>
        <w:tc>
          <w:tcPr>
            <w:tcW w:w="537" w:type="pct"/>
            <w:tcBorders>
              <w:top w:val="nil"/>
              <w:left w:val="nil"/>
              <w:bottom w:val="nil"/>
              <w:right w:val="nil"/>
            </w:tcBorders>
            <w:shd w:val="clear" w:color="auto" w:fill="F2F2F2"/>
            <w:noWrap/>
            <w:vAlign w:val="center"/>
          </w:tcPr>
          <w:p w14:paraId="3444078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3,5</w:t>
            </w:r>
          </w:p>
        </w:tc>
        <w:tc>
          <w:tcPr>
            <w:tcW w:w="540" w:type="pct"/>
            <w:tcBorders>
              <w:top w:val="nil"/>
              <w:left w:val="nil"/>
              <w:bottom w:val="nil"/>
              <w:right w:val="nil"/>
            </w:tcBorders>
            <w:shd w:val="clear" w:color="auto" w:fill="F2F2F2"/>
            <w:noWrap/>
            <w:vAlign w:val="center"/>
          </w:tcPr>
          <w:p w14:paraId="30E206C3"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3,1</w:t>
            </w:r>
          </w:p>
        </w:tc>
      </w:tr>
      <w:tr w:rsidR="00761800" w:rsidRPr="00761800" w14:paraId="2F46517F"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6D48DB32"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Внос на стоки и услуги</w:t>
            </w:r>
          </w:p>
        </w:tc>
        <w:tc>
          <w:tcPr>
            <w:tcW w:w="541" w:type="pct"/>
            <w:tcBorders>
              <w:top w:val="nil"/>
              <w:left w:val="nil"/>
              <w:bottom w:val="nil"/>
              <w:right w:val="nil"/>
            </w:tcBorders>
            <w:shd w:val="clear" w:color="auto" w:fill="auto"/>
            <w:noWrap/>
            <w:vAlign w:val="center"/>
          </w:tcPr>
          <w:p w14:paraId="1F0E116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3,9</w:t>
            </w:r>
          </w:p>
        </w:tc>
        <w:tc>
          <w:tcPr>
            <w:tcW w:w="584" w:type="pct"/>
            <w:tcBorders>
              <w:top w:val="nil"/>
              <w:left w:val="nil"/>
              <w:bottom w:val="nil"/>
              <w:right w:val="nil"/>
            </w:tcBorders>
            <w:shd w:val="clear" w:color="auto" w:fill="auto"/>
            <w:noWrap/>
            <w:vAlign w:val="center"/>
          </w:tcPr>
          <w:p w14:paraId="79BED9E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5,9</w:t>
            </w:r>
          </w:p>
        </w:tc>
        <w:tc>
          <w:tcPr>
            <w:tcW w:w="537" w:type="pct"/>
            <w:tcBorders>
              <w:top w:val="nil"/>
              <w:left w:val="nil"/>
              <w:bottom w:val="nil"/>
              <w:right w:val="nil"/>
            </w:tcBorders>
            <w:shd w:val="clear" w:color="auto" w:fill="F2F2F2"/>
            <w:noWrap/>
            <w:vAlign w:val="center"/>
          </w:tcPr>
          <w:p w14:paraId="29BAA7A6"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4,5</w:t>
            </w:r>
          </w:p>
        </w:tc>
        <w:tc>
          <w:tcPr>
            <w:tcW w:w="537" w:type="pct"/>
            <w:tcBorders>
              <w:top w:val="nil"/>
              <w:left w:val="nil"/>
              <w:bottom w:val="nil"/>
              <w:right w:val="nil"/>
            </w:tcBorders>
            <w:shd w:val="clear" w:color="auto" w:fill="F2F2F2"/>
            <w:noWrap/>
            <w:vAlign w:val="center"/>
          </w:tcPr>
          <w:p w14:paraId="78BE4346"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4,1</w:t>
            </w:r>
          </w:p>
        </w:tc>
        <w:tc>
          <w:tcPr>
            <w:tcW w:w="540" w:type="pct"/>
            <w:tcBorders>
              <w:top w:val="nil"/>
              <w:left w:val="nil"/>
              <w:bottom w:val="nil"/>
              <w:right w:val="nil"/>
            </w:tcBorders>
            <w:shd w:val="clear" w:color="auto" w:fill="F2F2F2"/>
            <w:noWrap/>
            <w:vAlign w:val="center"/>
          </w:tcPr>
          <w:p w14:paraId="3627C89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4,9</w:t>
            </w:r>
          </w:p>
        </w:tc>
      </w:tr>
      <w:tr w:rsidR="00761800" w:rsidRPr="00761800" w14:paraId="262755E7" w14:textId="77777777" w:rsidTr="00761800">
        <w:trPr>
          <w:trHeight w:val="22"/>
          <w:jc w:val="center"/>
        </w:trPr>
        <w:tc>
          <w:tcPr>
            <w:tcW w:w="5000" w:type="pct"/>
            <w:gridSpan w:val="7"/>
            <w:tcBorders>
              <w:top w:val="nil"/>
              <w:bottom w:val="nil"/>
            </w:tcBorders>
            <w:shd w:val="clear" w:color="auto" w:fill="F2F2F2"/>
            <w:noWrap/>
            <w:vAlign w:val="center"/>
          </w:tcPr>
          <w:p w14:paraId="37B1416A" w14:textId="77777777" w:rsidR="00761800" w:rsidRPr="00761800" w:rsidRDefault="00761800" w:rsidP="00761800">
            <w:pPr>
              <w:spacing w:line="259" w:lineRule="auto"/>
              <w:rPr>
                <w:rFonts w:ascii="Times New Roman" w:eastAsia="Calibri" w:hAnsi="Times New Roman"/>
                <w:b/>
                <w:bCs/>
                <w:sz w:val="20"/>
                <w:lang w:eastAsia="en-GB"/>
              </w:rPr>
            </w:pPr>
            <w:r w:rsidRPr="00761800">
              <w:rPr>
                <w:rFonts w:ascii="Times New Roman" w:eastAsia="Calibri" w:hAnsi="Times New Roman"/>
                <w:b/>
                <w:bCs/>
                <w:sz w:val="20"/>
                <w:lang w:eastAsia="en-GB"/>
              </w:rPr>
              <w:t>Пазар на труда и цени</w:t>
            </w:r>
          </w:p>
        </w:tc>
      </w:tr>
      <w:tr w:rsidR="00761800" w:rsidRPr="00761800" w14:paraId="170486A7"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4E1742F4"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 xml:space="preserve">Заетост </w:t>
            </w:r>
            <w:r w:rsidRPr="00761800">
              <w:rPr>
                <w:rFonts w:ascii="Times New Roman" w:eastAsia="Calibri" w:hAnsi="Times New Roman"/>
                <w:bCs/>
                <w:sz w:val="20"/>
                <w:lang w:val="en-US" w:eastAsia="en-GB"/>
              </w:rPr>
              <w:t>(</w:t>
            </w:r>
            <w:r w:rsidRPr="00761800">
              <w:rPr>
                <w:rFonts w:ascii="Times New Roman" w:eastAsia="Calibri" w:hAnsi="Times New Roman"/>
                <w:bCs/>
                <w:sz w:val="20"/>
                <w:lang w:eastAsia="en-GB"/>
              </w:rPr>
              <w:t>СНС</w:t>
            </w:r>
            <w:r w:rsidRPr="00761800">
              <w:rPr>
                <w:rFonts w:ascii="Times New Roman" w:eastAsia="Calibri" w:hAnsi="Times New Roman"/>
                <w:bCs/>
                <w:position w:val="2"/>
                <w:sz w:val="18"/>
                <w:vertAlign w:val="superscript"/>
              </w:rPr>
              <w:footnoteReference w:id="27"/>
            </w:r>
            <w:r w:rsidRPr="00761800">
              <w:rPr>
                <w:rFonts w:ascii="Times New Roman" w:eastAsia="Calibri" w:hAnsi="Times New Roman"/>
                <w:bCs/>
                <w:sz w:val="20"/>
                <w:lang w:eastAsia="en-GB"/>
              </w:rPr>
              <w:t>) (%)</w:t>
            </w:r>
          </w:p>
        </w:tc>
        <w:tc>
          <w:tcPr>
            <w:tcW w:w="541" w:type="pct"/>
            <w:tcBorders>
              <w:top w:val="nil"/>
              <w:left w:val="nil"/>
              <w:bottom w:val="nil"/>
              <w:right w:val="nil"/>
            </w:tcBorders>
            <w:shd w:val="clear" w:color="auto" w:fill="auto"/>
            <w:noWrap/>
            <w:vAlign w:val="center"/>
          </w:tcPr>
          <w:p w14:paraId="6D7061C8"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1,1</w:t>
            </w:r>
          </w:p>
        </w:tc>
        <w:tc>
          <w:tcPr>
            <w:tcW w:w="584" w:type="pct"/>
            <w:tcBorders>
              <w:top w:val="nil"/>
              <w:left w:val="nil"/>
              <w:bottom w:val="nil"/>
              <w:right w:val="nil"/>
            </w:tcBorders>
            <w:shd w:val="clear" w:color="auto" w:fill="auto"/>
            <w:noWrap/>
            <w:vAlign w:val="center"/>
          </w:tcPr>
          <w:p w14:paraId="0B641904"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2,2</w:t>
            </w:r>
          </w:p>
        </w:tc>
        <w:tc>
          <w:tcPr>
            <w:tcW w:w="537" w:type="pct"/>
            <w:tcBorders>
              <w:top w:val="nil"/>
              <w:left w:val="nil"/>
              <w:bottom w:val="nil"/>
              <w:right w:val="nil"/>
            </w:tcBorders>
            <w:shd w:val="clear" w:color="auto" w:fill="F2F2F2"/>
            <w:noWrap/>
            <w:vAlign w:val="center"/>
          </w:tcPr>
          <w:p w14:paraId="1A205C8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0,6</w:t>
            </w:r>
          </w:p>
        </w:tc>
        <w:tc>
          <w:tcPr>
            <w:tcW w:w="537" w:type="pct"/>
            <w:tcBorders>
              <w:top w:val="nil"/>
              <w:left w:val="nil"/>
              <w:bottom w:val="nil"/>
              <w:right w:val="nil"/>
            </w:tcBorders>
            <w:shd w:val="clear" w:color="auto" w:fill="F2F2F2"/>
            <w:noWrap/>
            <w:vAlign w:val="center"/>
          </w:tcPr>
          <w:p w14:paraId="668AC271"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0,4</w:t>
            </w:r>
          </w:p>
        </w:tc>
        <w:tc>
          <w:tcPr>
            <w:tcW w:w="540" w:type="pct"/>
            <w:tcBorders>
              <w:top w:val="nil"/>
              <w:left w:val="nil"/>
              <w:bottom w:val="nil"/>
              <w:right w:val="nil"/>
            </w:tcBorders>
            <w:shd w:val="clear" w:color="auto" w:fill="F2F2F2"/>
            <w:noWrap/>
            <w:vAlign w:val="center"/>
          </w:tcPr>
          <w:p w14:paraId="74525E9C"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0,1</w:t>
            </w:r>
          </w:p>
        </w:tc>
      </w:tr>
      <w:tr w:rsidR="00761800" w:rsidRPr="00761800" w14:paraId="0354F0FB"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23AE7170"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Коефициент на безработица (НРС) (%)</w:t>
            </w:r>
          </w:p>
        </w:tc>
        <w:tc>
          <w:tcPr>
            <w:tcW w:w="541" w:type="pct"/>
            <w:tcBorders>
              <w:top w:val="nil"/>
              <w:left w:val="nil"/>
              <w:bottom w:val="nil"/>
              <w:right w:val="nil"/>
            </w:tcBorders>
            <w:shd w:val="clear" w:color="auto" w:fill="auto"/>
            <w:noWrap/>
            <w:vAlign w:val="center"/>
          </w:tcPr>
          <w:p w14:paraId="76429513"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4,2</w:t>
            </w:r>
          </w:p>
        </w:tc>
        <w:tc>
          <w:tcPr>
            <w:tcW w:w="584" w:type="pct"/>
            <w:tcBorders>
              <w:top w:val="nil"/>
              <w:left w:val="nil"/>
              <w:bottom w:val="nil"/>
              <w:right w:val="nil"/>
            </w:tcBorders>
            <w:shd w:val="clear" w:color="auto" w:fill="auto"/>
            <w:noWrap/>
            <w:vAlign w:val="center"/>
          </w:tcPr>
          <w:p w14:paraId="735DED5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3,5</w:t>
            </w:r>
          </w:p>
        </w:tc>
        <w:tc>
          <w:tcPr>
            <w:tcW w:w="537" w:type="pct"/>
            <w:tcBorders>
              <w:top w:val="nil"/>
              <w:left w:val="nil"/>
              <w:bottom w:val="nil"/>
              <w:right w:val="nil"/>
            </w:tcBorders>
            <w:shd w:val="clear" w:color="auto" w:fill="F2F2F2"/>
            <w:noWrap/>
            <w:vAlign w:val="center"/>
          </w:tcPr>
          <w:p w14:paraId="7568058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3,4</w:t>
            </w:r>
          </w:p>
        </w:tc>
        <w:tc>
          <w:tcPr>
            <w:tcW w:w="537" w:type="pct"/>
            <w:tcBorders>
              <w:top w:val="nil"/>
              <w:left w:val="nil"/>
              <w:bottom w:val="nil"/>
              <w:right w:val="nil"/>
            </w:tcBorders>
            <w:shd w:val="clear" w:color="auto" w:fill="F2F2F2"/>
            <w:noWrap/>
            <w:vAlign w:val="center"/>
          </w:tcPr>
          <w:p w14:paraId="32A9699B"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3,4</w:t>
            </w:r>
          </w:p>
        </w:tc>
        <w:tc>
          <w:tcPr>
            <w:tcW w:w="540" w:type="pct"/>
            <w:tcBorders>
              <w:top w:val="nil"/>
              <w:left w:val="nil"/>
              <w:bottom w:val="nil"/>
              <w:right w:val="nil"/>
            </w:tcBorders>
            <w:shd w:val="clear" w:color="auto" w:fill="F2F2F2"/>
            <w:noWrap/>
            <w:vAlign w:val="center"/>
          </w:tcPr>
          <w:p w14:paraId="28453D7F"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3,4</w:t>
            </w:r>
          </w:p>
        </w:tc>
      </w:tr>
      <w:tr w:rsidR="00761800" w:rsidRPr="00761800" w14:paraId="2090F340"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6CAD775E"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Компенсации на един нает (%)</w:t>
            </w:r>
          </w:p>
        </w:tc>
        <w:tc>
          <w:tcPr>
            <w:tcW w:w="541" w:type="pct"/>
            <w:tcBorders>
              <w:top w:val="nil"/>
              <w:left w:val="nil"/>
              <w:bottom w:val="nil"/>
              <w:right w:val="nil"/>
            </w:tcBorders>
            <w:shd w:val="clear" w:color="auto" w:fill="auto"/>
            <w:noWrap/>
            <w:vAlign w:val="center"/>
          </w:tcPr>
          <w:p w14:paraId="55C9351B"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14,1</w:t>
            </w:r>
          </w:p>
        </w:tc>
        <w:tc>
          <w:tcPr>
            <w:tcW w:w="584" w:type="pct"/>
            <w:tcBorders>
              <w:top w:val="nil"/>
              <w:left w:val="nil"/>
              <w:bottom w:val="nil"/>
              <w:right w:val="nil"/>
            </w:tcBorders>
            <w:shd w:val="clear" w:color="auto" w:fill="auto"/>
            <w:noWrap/>
            <w:vAlign w:val="center"/>
          </w:tcPr>
          <w:p w14:paraId="23072334"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10,4</w:t>
            </w:r>
          </w:p>
        </w:tc>
        <w:tc>
          <w:tcPr>
            <w:tcW w:w="537" w:type="pct"/>
            <w:tcBorders>
              <w:top w:val="nil"/>
              <w:left w:val="nil"/>
              <w:bottom w:val="nil"/>
              <w:right w:val="nil"/>
            </w:tcBorders>
            <w:shd w:val="clear" w:color="auto" w:fill="F2F2F2"/>
            <w:noWrap/>
            <w:vAlign w:val="center"/>
          </w:tcPr>
          <w:p w14:paraId="63DE45EC"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8,0</w:t>
            </w:r>
          </w:p>
        </w:tc>
        <w:tc>
          <w:tcPr>
            <w:tcW w:w="537" w:type="pct"/>
            <w:tcBorders>
              <w:top w:val="nil"/>
              <w:left w:val="nil"/>
              <w:bottom w:val="nil"/>
              <w:right w:val="nil"/>
            </w:tcBorders>
            <w:shd w:val="clear" w:color="auto" w:fill="F2F2F2"/>
            <w:noWrap/>
            <w:vAlign w:val="center"/>
          </w:tcPr>
          <w:p w14:paraId="612D6C3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6,4</w:t>
            </w:r>
          </w:p>
        </w:tc>
        <w:tc>
          <w:tcPr>
            <w:tcW w:w="540" w:type="pct"/>
            <w:tcBorders>
              <w:top w:val="nil"/>
              <w:left w:val="nil"/>
              <w:bottom w:val="nil"/>
              <w:right w:val="nil"/>
            </w:tcBorders>
            <w:shd w:val="clear" w:color="auto" w:fill="F2F2F2"/>
            <w:noWrap/>
            <w:vAlign w:val="center"/>
          </w:tcPr>
          <w:p w14:paraId="269E4384"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5,7</w:t>
            </w:r>
          </w:p>
        </w:tc>
      </w:tr>
      <w:tr w:rsidR="00761800" w:rsidRPr="00761800" w14:paraId="7F34161D"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73D09EFC"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Дефлатор на БВП (%)</w:t>
            </w:r>
          </w:p>
        </w:tc>
        <w:tc>
          <w:tcPr>
            <w:tcW w:w="541" w:type="pct"/>
            <w:tcBorders>
              <w:top w:val="nil"/>
              <w:left w:val="nil"/>
              <w:bottom w:val="nil"/>
              <w:right w:val="nil"/>
            </w:tcBorders>
            <w:shd w:val="clear" w:color="auto" w:fill="auto"/>
            <w:noWrap/>
            <w:vAlign w:val="center"/>
          </w:tcPr>
          <w:p w14:paraId="2570275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7,2</w:t>
            </w:r>
          </w:p>
        </w:tc>
        <w:tc>
          <w:tcPr>
            <w:tcW w:w="584" w:type="pct"/>
            <w:tcBorders>
              <w:top w:val="nil"/>
              <w:left w:val="nil"/>
              <w:bottom w:val="nil"/>
              <w:right w:val="nil"/>
            </w:tcBorders>
            <w:shd w:val="clear" w:color="auto" w:fill="auto"/>
            <w:noWrap/>
            <w:vAlign w:val="center"/>
          </w:tcPr>
          <w:p w14:paraId="5AA280A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7,4</w:t>
            </w:r>
          </w:p>
        </w:tc>
        <w:tc>
          <w:tcPr>
            <w:tcW w:w="537" w:type="pct"/>
            <w:tcBorders>
              <w:top w:val="nil"/>
              <w:left w:val="nil"/>
              <w:bottom w:val="nil"/>
              <w:right w:val="nil"/>
            </w:tcBorders>
            <w:shd w:val="clear" w:color="auto" w:fill="F2F2F2"/>
            <w:noWrap/>
            <w:vAlign w:val="center"/>
          </w:tcPr>
          <w:p w14:paraId="272DB7FF"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5,2</w:t>
            </w:r>
          </w:p>
        </w:tc>
        <w:tc>
          <w:tcPr>
            <w:tcW w:w="537" w:type="pct"/>
            <w:tcBorders>
              <w:top w:val="nil"/>
              <w:left w:val="nil"/>
              <w:bottom w:val="nil"/>
              <w:right w:val="nil"/>
            </w:tcBorders>
            <w:shd w:val="clear" w:color="auto" w:fill="F2F2F2"/>
            <w:noWrap/>
            <w:vAlign w:val="center"/>
          </w:tcPr>
          <w:p w14:paraId="1FF86FC1"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4,8</w:t>
            </w:r>
          </w:p>
        </w:tc>
        <w:tc>
          <w:tcPr>
            <w:tcW w:w="540" w:type="pct"/>
            <w:tcBorders>
              <w:top w:val="nil"/>
              <w:left w:val="nil"/>
              <w:bottom w:val="nil"/>
              <w:right w:val="nil"/>
            </w:tcBorders>
            <w:shd w:val="clear" w:color="auto" w:fill="F2F2F2"/>
            <w:noWrap/>
            <w:vAlign w:val="center"/>
          </w:tcPr>
          <w:p w14:paraId="18E408D8"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3,8</w:t>
            </w:r>
          </w:p>
        </w:tc>
      </w:tr>
      <w:tr w:rsidR="00761800" w:rsidRPr="00761800" w14:paraId="5E27DD3B" w14:textId="77777777" w:rsidTr="00761800">
        <w:trPr>
          <w:gridAfter w:val="1"/>
          <w:wAfter w:w="7" w:type="pct"/>
          <w:trHeight w:val="22"/>
          <w:jc w:val="center"/>
        </w:trPr>
        <w:tc>
          <w:tcPr>
            <w:tcW w:w="2254" w:type="pct"/>
            <w:tcBorders>
              <w:top w:val="nil"/>
              <w:bottom w:val="nil"/>
              <w:right w:val="nil"/>
            </w:tcBorders>
            <w:shd w:val="clear" w:color="auto" w:fill="FFFFFF"/>
            <w:vAlign w:val="center"/>
          </w:tcPr>
          <w:p w14:paraId="0C4159F6"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Средногодишна инфлация (ХИПЦ) (%)</w:t>
            </w:r>
          </w:p>
        </w:tc>
        <w:tc>
          <w:tcPr>
            <w:tcW w:w="541" w:type="pct"/>
            <w:tcBorders>
              <w:top w:val="nil"/>
              <w:left w:val="nil"/>
              <w:bottom w:val="nil"/>
              <w:right w:val="nil"/>
            </w:tcBorders>
            <w:shd w:val="clear" w:color="auto" w:fill="auto"/>
            <w:noWrap/>
            <w:vAlign w:val="center"/>
          </w:tcPr>
          <w:p w14:paraId="4224FCEC"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2,6</w:t>
            </w:r>
          </w:p>
        </w:tc>
        <w:tc>
          <w:tcPr>
            <w:tcW w:w="584" w:type="pct"/>
            <w:tcBorders>
              <w:top w:val="nil"/>
              <w:left w:val="nil"/>
              <w:bottom w:val="nil"/>
              <w:right w:val="nil"/>
            </w:tcBorders>
            <w:shd w:val="clear" w:color="auto" w:fill="auto"/>
            <w:noWrap/>
            <w:vAlign w:val="center"/>
          </w:tcPr>
          <w:p w14:paraId="2007B94F"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3,5</w:t>
            </w:r>
          </w:p>
        </w:tc>
        <w:tc>
          <w:tcPr>
            <w:tcW w:w="537" w:type="pct"/>
            <w:tcBorders>
              <w:top w:val="nil"/>
              <w:left w:val="nil"/>
              <w:bottom w:val="nil"/>
              <w:right w:val="nil"/>
            </w:tcBorders>
            <w:shd w:val="clear" w:color="auto" w:fill="F2F2F2"/>
            <w:noWrap/>
            <w:vAlign w:val="center"/>
          </w:tcPr>
          <w:p w14:paraId="635CE1C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4,3</w:t>
            </w:r>
          </w:p>
        </w:tc>
        <w:tc>
          <w:tcPr>
            <w:tcW w:w="537" w:type="pct"/>
            <w:tcBorders>
              <w:top w:val="nil"/>
              <w:left w:val="nil"/>
              <w:bottom w:val="nil"/>
              <w:right w:val="nil"/>
            </w:tcBorders>
            <w:shd w:val="clear" w:color="auto" w:fill="F2F2F2"/>
            <w:noWrap/>
            <w:vAlign w:val="center"/>
          </w:tcPr>
          <w:p w14:paraId="7D4EF744"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3,8</w:t>
            </w:r>
          </w:p>
        </w:tc>
        <w:tc>
          <w:tcPr>
            <w:tcW w:w="540" w:type="pct"/>
            <w:tcBorders>
              <w:top w:val="nil"/>
              <w:left w:val="nil"/>
              <w:bottom w:val="nil"/>
              <w:right w:val="nil"/>
            </w:tcBorders>
            <w:shd w:val="clear" w:color="auto" w:fill="F2F2F2"/>
            <w:noWrap/>
            <w:vAlign w:val="center"/>
          </w:tcPr>
          <w:p w14:paraId="5970F9B1"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2,5</w:t>
            </w:r>
          </w:p>
        </w:tc>
      </w:tr>
      <w:tr w:rsidR="00761800" w:rsidRPr="00761800" w14:paraId="6B072654" w14:textId="77777777" w:rsidTr="00761800">
        <w:trPr>
          <w:trHeight w:val="22"/>
          <w:jc w:val="center"/>
        </w:trPr>
        <w:tc>
          <w:tcPr>
            <w:tcW w:w="5000" w:type="pct"/>
            <w:gridSpan w:val="7"/>
            <w:tcBorders>
              <w:top w:val="nil"/>
              <w:bottom w:val="nil"/>
            </w:tcBorders>
            <w:shd w:val="clear" w:color="auto" w:fill="F2F2F2"/>
            <w:noWrap/>
            <w:vAlign w:val="center"/>
          </w:tcPr>
          <w:p w14:paraId="3A5F09C9" w14:textId="77777777" w:rsidR="00761800" w:rsidRPr="00761800" w:rsidRDefault="00761800" w:rsidP="00761800">
            <w:pPr>
              <w:spacing w:line="259" w:lineRule="auto"/>
              <w:rPr>
                <w:rFonts w:ascii="Times New Roman" w:eastAsia="Calibri" w:hAnsi="Times New Roman"/>
                <w:b/>
                <w:bCs/>
                <w:sz w:val="20"/>
                <w:lang w:eastAsia="en-GB"/>
              </w:rPr>
            </w:pPr>
            <w:r w:rsidRPr="00761800">
              <w:rPr>
                <w:rFonts w:ascii="Times New Roman" w:eastAsia="Calibri" w:hAnsi="Times New Roman"/>
                <w:b/>
                <w:bCs/>
                <w:sz w:val="20"/>
                <w:lang w:eastAsia="en-GB"/>
              </w:rPr>
              <w:t>Платежен баланс</w:t>
            </w:r>
          </w:p>
        </w:tc>
      </w:tr>
      <w:tr w:rsidR="00761800" w:rsidRPr="00761800" w14:paraId="76650A98"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0C565B35"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Текуща сметка (% от БВП)</w:t>
            </w:r>
          </w:p>
        </w:tc>
        <w:tc>
          <w:tcPr>
            <w:tcW w:w="541" w:type="pct"/>
            <w:tcBorders>
              <w:top w:val="nil"/>
              <w:left w:val="nil"/>
              <w:bottom w:val="nil"/>
              <w:right w:val="nil"/>
            </w:tcBorders>
            <w:shd w:val="clear" w:color="auto" w:fill="auto"/>
            <w:noWrap/>
            <w:vAlign w:val="center"/>
          </w:tcPr>
          <w:p w14:paraId="67F5A8F0"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-0,5</w:t>
            </w:r>
          </w:p>
        </w:tc>
        <w:tc>
          <w:tcPr>
            <w:tcW w:w="584" w:type="pct"/>
            <w:tcBorders>
              <w:top w:val="nil"/>
              <w:left w:val="nil"/>
              <w:bottom w:val="nil"/>
              <w:right w:val="nil"/>
            </w:tcBorders>
            <w:shd w:val="clear" w:color="auto" w:fill="auto"/>
            <w:noWrap/>
            <w:vAlign w:val="center"/>
          </w:tcPr>
          <w:p w14:paraId="565EF13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-5,7</w:t>
            </w:r>
          </w:p>
        </w:tc>
        <w:tc>
          <w:tcPr>
            <w:tcW w:w="537" w:type="pct"/>
            <w:tcBorders>
              <w:top w:val="nil"/>
              <w:left w:val="nil"/>
              <w:bottom w:val="nil"/>
              <w:right w:val="nil"/>
            </w:tcBorders>
            <w:shd w:val="clear" w:color="auto" w:fill="F2F2F2"/>
            <w:noWrap/>
            <w:vAlign w:val="center"/>
          </w:tcPr>
          <w:p w14:paraId="1359297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-6,2</w:t>
            </w:r>
          </w:p>
        </w:tc>
        <w:tc>
          <w:tcPr>
            <w:tcW w:w="537" w:type="pct"/>
            <w:tcBorders>
              <w:top w:val="nil"/>
              <w:left w:val="nil"/>
              <w:bottom w:val="nil"/>
              <w:right w:val="nil"/>
            </w:tcBorders>
            <w:shd w:val="clear" w:color="auto" w:fill="F2F2F2"/>
            <w:noWrap/>
            <w:vAlign w:val="center"/>
          </w:tcPr>
          <w:p w14:paraId="5E97B90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-5,3</w:t>
            </w:r>
          </w:p>
        </w:tc>
        <w:tc>
          <w:tcPr>
            <w:tcW w:w="540" w:type="pct"/>
            <w:tcBorders>
              <w:top w:val="nil"/>
              <w:left w:val="nil"/>
              <w:bottom w:val="nil"/>
              <w:right w:val="nil"/>
            </w:tcBorders>
            <w:shd w:val="clear" w:color="auto" w:fill="F2F2F2"/>
            <w:noWrap/>
            <w:vAlign w:val="center"/>
          </w:tcPr>
          <w:p w14:paraId="7DA3223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-5,0</w:t>
            </w:r>
          </w:p>
        </w:tc>
      </w:tr>
      <w:tr w:rsidR="00761800" w:rsidRPr="00761800" w14:paraId="32B7630E"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1D546F6B"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Търговски баланс (% от БВП)</w:t>
            </w:r>
          </w:p>
        </w:tc>
        <w:tc>
          <w:tcPr>
            <w:tcW w:w="541" w:type="pct"/>
            <w:tcBorders>
              <w:top w:val="nil"/>
              <w:left w:val="nil"/>
              <w:bottom w:val="nil"/>
              <w:right w:val="nil"/>
            </w:tcBorders>
            <w:shd w:val="clear" w:color="auto" w:fill="auto"/>
            <w:noWrap/>
            <w:vAlign w:val="center"/>
          </w:tcPr>
          <w:p w14:paraId="4B431BA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-4,8</w:t>
            </w:r>
          </w:p>
        </w:tc>
        <w:tc>
          <w:tcPr>
            <w:tcW w:w="584" w:type="pct"/>
            <w:tcBorders>
              <w:top w:val="nil"/>
              <w:left w:val="nil"/>
              <w:bottom w:val="nil"/>
              <w:right w:val="nil"/>
            </w:tcBorders>
            <w:shd w:val="clear" w:color="auto" w:fill="auto"/>
            <w:noWrap/>
            <w:vAlign w:val="center"/>
          </w:tcPr>
          <w:p w14:paraId="688805CB"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-8,0</w:t>
            </w:r>
          </w:p>
        </w:tc>
        <w:tc>
          <w:tcPr>
            <w:tcW w:w="537" w:type="pct"/>
            <w:tcBorders>
              <w:top w:val="nil"/>
              <w:left w:val="nil"/>
              <w:bottom w:val="nil"/>
              <w:right w:val="nil"/>
            </w:tcBorders>
            <w:shd w:val="clear" w:color="auto" w:fill="F2F2F2"/>
            <w:noWrap/>
            <w:vAlign w:val="center"/>
          </w:tcPr>
          <w:p w14:paraId="455324D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-8,8</w:t>
            </w:r>
          </w:p>
        </w:tc>
        <w:tc>
          <w:tcPr>
            <w:tcW w:w="537" w:type="pct"/>
            <w:tcBorders>
              <w:top w:val="nil"/>
              <w:left w:val="nil"/>
              <w:bottom w:val="nil"/>
              <w:right w:val="nil"/>
            </w:tcBorders>
            <w:shd w:val="clear" w:color="auto" w:fill="F2F2F2"/>
            <w:noWrap/>
            <w:vAlign w:val="center"/>
          </w:tcPr>
          <w:p w14:paraId="21B87198"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-8,5</w:t>
            </w:r>
          </w:p>
        </w:tc>
        <w:tc>
          <w:tcPr>
            <w:tcW w:w="540" w:type="pct"/>
            <w:tcBorders>
              <w:top w:val="nil"/>
              <w:left w:val="nil"/>
              <w:bottom w:val="nil"/>
              <w:right w:val="nil"/>
            </w:tcBorders>
            <w:shd w:val="clear" w:color="auto" w:fill="F2F2F2"/>
            <w:noWrap/>
            <w:vAlign w:val="center"/>
          </w:tcPr>
          <w:p w14:paraId="3BEA9DE0"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-8,8</w:t>
            </w:r>
          </w:p>
        </w:tc>
      </w:tr>
      <w:tr w:rsidR="00761800" w:rsidRPr="00761800" w14:paraId="6553FF86"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405FF145"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Преки чуждестранни инвестиции (% от БВП)</w:t>
            </w:r>
          </w:p>
        </w:tc>
        <w:tc>
          <w:tcPr>
            <w:tcW w:w="541" w:type="pct"/>
            <w:tcBorders>
              <w:top w:val="nil"/>
              <w:left w:val="nil"/>
              <w:bottom w:val="nil"/>
              <w:right w:val="nil"/>
            </w:tcBorders>
            <w:shd w:val="clear" w:color="auto" w:fill="auto"/>
            <w:noWrap/>
            <w:vAlign w:val="center"/>
          </w:tcPr>
          <w:p w14:paraId="3BB7AE1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2,7</w:t>
            </w:r>
          </w:p>
        </w:tc>
        <w:tc>
          <w:tcPr>
            <w:tcW w:w="584" w:type="pct"/>
            <w:tcBorders>
              <w:top w:val="nil"/>
              <w:left w:val="nil"/>
              <w:bottom w:val="nil"/>
              <w:right w:val="nil"/>
            </w:tcBorders>
            <w:shd w:val="clear" w:color="auto" w:fill="auto"/>
            <w:noWrap/>
            <w:vAlign w:val="center"/>
          </w:tcPr>
          <w:p w14:paraId="109EBA3E"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3,7</w:t>
            </w:r>
          </w:p>
        </w:tc>
        <w:tc>
          <w:tcPr>
            <w:tcW w:w="537" w:type="pct"/>
            <w:tcBorders>
              <w:top w:val="nil"/>
              <w:left w:val="nil"/>
              <w:bottom w:val="nil"/>
              <w:right w:val="nil"/>
            </w:tcBorders>
            <w:shd w:val="clear" w:color="auto" w:fill="F2F2F2"/>
            <w:noWrap/>
            <w:vAlign w:val="center"/>
          </w:tcPr>
          <w:p w14:paraId="345BA91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3,7</w:t>
            </w:r>
          </w:p>
        </w:tc>
        <w:tc>
          <w:tcPr>
            <w:tcW w:w="537" w:type="pct"/>
            <w:tcBorders>
              <w:top w:val="nil"/>
              <w:left w:val="nil"/>
              <w:bottom w:val="nil"/>
              <w:right w:val="nil"/>
            </w:tcBorders>
            <w:shd w:val="clear" w:color="auto" w:fill="F2F2F2"/>
            <w:noWrap/>
            <w:vAlign w:val="center"/>
          </w:tcPr>
          <w:p w14:paraId="3B73165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3,7</w:t>
            </w:r>
          </w:p>
        </w:tc>
        <w:tc>
          <w:tcPr>
            <w:tcW w:w="540" w:type="pct"/>
            <w:tcBorders>
              <w:top w:val="nil"/>
              <w:left w:val="nil"/>
              <w:bottom w:val="nil"/>
              <w:right w:val="nil"/>
            </w:tcBorders>
            <w:shd w:val="clear" w:color="auto" w:fill="F2F2F2"/>
            <w:noWrap/>
            <w:vAlign w:val="center"/>
          </w:tcPr>
          <w:p w14:paraId="492D2E3F"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3,8</w:t>
            </w:r>
          </w:p>
        </w:tc>
      </w:tr>
      <w:tr w:rsidR="00761800" w:rsidRPr="00761800" w14:paraId="31B1D2AA" w14:textId="77777777" w:rsidTr="00761800">
        <w:trPr>
          <w:trHeight w:val="22"/>
          <w:jc w:val="center"/>
        </w:trPr>
        <w:tc>
          <w:tcPr>
            <w:tcW w:w="5000" w:type="pct"/>
            <w:gridSpan w:val="7"/>
            <w:tcBorders>
              <w:top w:val="nil"/>
              <w:bottom w:val="nil"/>
            </w:tcBorders>
            <w:shd w:val="clear" w:color="auto" w:fill="F2F2F2"/>
            <w:noWrap/>
            <w:vAlign w:val="center"/>
          </w:tcPr>
          <w:p w14:paraId="627EB34F" w14:textId="77777777" w:rsidR="00761800" w:rsidRPr="00761800" w:rsidRDefault="00761800" w:rsidP="00761800">
            <w:pPr>
              <w:spacing w:line="259" w:lineRule="auto"/>
              <w:rPr>
                <w:rFonts w:ascii="Times New Roman" w:eastAsia="Calibri" w:hAnsi="Times New Roman"/>
                <w:b/>
                <w:bCs/>
                <w:sz w:val="20"/>
                <w:lang w:eastAsia="en-GB"/>
              </w:rPr>
            </w:pPr>
            <w:r w:rsidRPr="00761800">
              <w:rPr>
                <w:rFonts w:ascii="Times New Roman" w:eastAsia="Calibri" w:hAnsi="Times New Roman"/>
                <w:b/>
                <w:bCs/>
                <w:sz w:val="20"/>
                <w:lang w:eastAsia="en-GB"/>
              </w:rPr>
              <w:t>Паричен сектор</w:t>
            </w:r>
          </w:p>
        </w:tc>
      </w:tr>
      <w:tr w:rsidR="00761800" w:rsidRPr="00761800" w14:paraId="485257E4" w14:textId="77777777" w:rsidTr="00761800">
        <w:trPr>
          <w:gridAfter w:val="1"/>
          <w:wAfter w:w="7" w:type="pct"/>
          <w:trHeight w:val="22"/>
          <w:jc w:val="center"/>
        </w:trPr>
        <w:tc>
          <w:tcPr>
            <w:tcW w:w="2254" w:type="pct"/>
            <w:tcBorders>
              <w:top w:val="nil"/>
              <w:bottom w:val="nil"/>
              <w:right w:val="nil"/>
            </w:tcBorders>
            <w:shd w:val="clear" w:color="auto" w:fill="FFFFFF"/>
            <w:noWrap/>
            <w:vAlign w:val="center"/>
          </w:tcPr>
          <w:p w14:paraId="0DEB8BFE"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Вземания от фирми (%)</w:t>
            </w:r>
          </w:p>
        </w:tc>
        <w:tc>
          <w:tcPr>
            <w:tcW w:w="541" w:type="pct"/>
            <w:tcBorders>
              <w:top w:val="nil"/>
              <w:left w:val="nil"/>
              <w:bottom w:val="nil"/>
              <w:right w:val="nil"/>
            </w:tcBorders>
            <w:shd w:val="clear" w:color="auto" w:fill="auto"/>
            <w:noWrap/>
            <w:vAlign w:val="center"/>
          </w:tcPr>
          <w:p w14:paraId="206646A6"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10,1</w:t>
            </w:r>
          </w:p>
        </w:tc>
        <w:tc>
          <w:tcPr>
            <w:tcW w:w="584" w:type="pct"/>
            <w:tcBorders>
              <w:top w:val="nil"/>
              <w:left w:val="nil"/>
              <w:bottom w:val="nil"/>
              <w:right w:val="nil"/>
            </w:tcBorders>
            <w:shd w:val="clear" w:color="auto" w:fill="auto"/>
            <w:noWrap/>
            <w:vAlign w:val="center"/>
          </w:tcPr>
          <w:p w14:paraId="0EB10AB3"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10,9</w:t>
            </w:r>
          </w:p>
        </w:tc>
        <w:tc>
          <w:tcPr>
            <w:tcW w:w="537" w:type="pct"/>
            <w:tcBorders>
              <w:top w:val="nil"/>
              <w:left w:val="nil"/>
              <w:bottom w:val="nil"/>
              <w:right w:val="nil"/>
            </w:tcBorders>
            <w:shd w:val="clear" w:color="auto" w:fill="F2F2F2"/>
            <w:noWrap/>
            <w:vAlign w:val="center"/>
          </w:tcPr>
          <w:p w14:paraId="38F437F0"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10,7</w:t>
            </w:r>
          </w:p>
        </w:tc>
        <w:tc>
          <w:tcPr>
            <w:tcW w:w="537" w:type="pct"/>
            <w:tcBorders>
              <w:top w:val="nil"/>
              <w:left w:val="nil"/>
              <w:bottom w:val="nil"/>
              <w:right w:val="nil"/>
            </w:tcBorders>
            <w:shd w:val="clear" w:color="auto" w:fill="F2F2F2"/>
            <w:noWrap/>
            <w:vAlign w:val="center"/>
          </w:tcPr>
          <w:p w14:paraId="0C12D3E6"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8,7</w:t>
            </w:r>
          </w:p>
        </w:tc>
        <w:tc>
          <w:tcPr>
            <w:tcW w:w="540" w:type="pct"/>
            <w:tcBorders>
              <w:top w:val="nil"/>
              <w:left w:val="nil"/>
              <w:bottom w:val="nil"/>
              <w:right w:val="nil"/>
            </w:tcBorders>
            <w:shd w:val="clear" w:color="auto" w:fill="F2F2F2"/>
            <w:noWrap/>
            <w:vAlign w:val="center"/>
          </w:tcPr>
          <w:p w14:paraId="4957CCA3"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8,6</w:t>
            </w:r>
          </w:p>
        </w:tc>
      </w:tr>
      <w:tr w:rsidR="00761800" w:rsidRPr="00761800" w14:paraId="3BB6B41B" w14:textId="77777777" w:rsidTr="00761800">
        <w:trPr>
          <w:gridAfter w:val="1"/>
          <w:wAfter w:w="7" w:type="pct"/>
          <w:trHeight w:val="22"/>
          <w:jc w:val="center"/>
        </w:trPr>
        <w:tc>
          <w:tcPr>
            <w:tcW w:w="2254" w:type="pct"/>
            <w:tcBorders>
              <w:top w:val="nil"/>
              <w:bottom w:val="single" w:sz="4" w:space="0" w:color="auto"/>
              <w:right w:val="nil"/>
            </w:tcBorders>
            <w:shd w:val="clear" w:color="auto" w:fill="FFFFFF"/>
            <w:noWrap/>
            <w:vAlign w:val="center"/>
          </w:tcPr>
          <w:p w14:paraId="1A029508" w14:textId="77777777" w:rsidR="00761800" w:rsidRPr="00761800" w:rsidRDefault="00761800" w:rsidP="00761800">
            <w:pPr>
              <w:spacing w:line="259" w:lineRule="auto"/>
              <w:ind w:left="283"/>
              <w:rPr>
                <w:rFonts w:ascii="Times New Roman" w:eastAsia="Calibri" w:hAnsi="Times New Roman"/>
                <w:bCs/>
                <w:sz w:val="20"/>
                <w:lang w:eastAsia="en-GB"/>
              </w:rPr>
            </w:pPr>
            <w:r w:rsidRPr="00761800">
              <w:rPr>
                <w:rFonts w:ascii="Times New Roman" w:eastAsia="Calibri" w:hAnsi="Times New Roman"/>
                <w:bCs/>
                <w:sz w:val="20"/>
                <w:lang w:eastAsia="en-GB"/>
              </w:rPr>
              <w:t>Вземания от домакинства (%)</w:t>
            </w:r>
          </w:p>
        </w:tc>
        <w:tc>
          <w:tcPr>
            <w:tcW w:w="541" w:type="pct"/>
            <w:tcBorders>
              <w:top w:val="nil"/>
              <w:left w:val="nil"/>
              <w:bottom w:val="single" w:sz="4" w:space="0" w:color="auto"/>
              <w:right w:val="nil"/>
            </w:tcBorders>
            <w:shd w:val="clear" w:color="auto" w:fill="auto"/>
            <w:noWrap/>
            <w:vAlign w:val="center"/>
          </w:tcPr>
          <w:p w14:paraId="701C0728"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20,8</w:t>
            </w:r>
          </w:p>
        </w:tc>
        <w:tc>
          <w:tcPr>
            <w:tcW w:w="584" w:type="pct"/>
            <w:tcBorders>
              <w:top w:val="nil"/>
              <w:left w:val="nil"/>
              <w:bottom w:val="single" w:sz="4" w:space="0" w:color="auto"/>
              <w:right w:val="nil"/>
            </w:tcBorders>
            <w:shd w:val="clear" w:color="auto" w:fill="auto"/>
            <w:noWrap/>
            <w:vAlign w:val="center"/>
          </w:tcPr>
          <w:p w14:paraId="7E4B6CA8"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21,1</w:t>
            </w:r>
          </w:p>
        </w:tc>
        <w:tc>
          <w:tcPr>
            <w:tcW w:w="537" w:type="pct"/>
            <w:tcBorders>
              <w:top w:val="nil"/>
              <w:left w:val="nil"/>
              <w:bottom w:val="single" w:sz="4" w:space="0" w:color="auto"/>
              <w:right w:val="nil"/>
            </w:tcBorders>
            <w:shd w:val="clear" w:color="auto" w:fill="F2F2F2"/>
            <w:noWrap/>
            <w:vAlign w:val="center"/>
          </w:tcPr>
          <w:p w14:paraId="2E94753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14,5</w:t>
            </w:r>
          </w:p>
        </w:tc>
        <w:tc>
          <w:tcPr>
            <w:tcW w:w="537" w:type="pct"/>
            <w:tcBorders>
              <w:top w:val="nil"/>
              <w:left w:val="nil"/>
              <w:bottom w:val="single" w:sz="4" w:space="0" w:color="auto"/>
              <w:right w:val="nil"/>
            </w:tcBorders>
            <w:shd w:val="clear" w:color="auto" w:fill="F2F2F2"/>
            <w:noWrap/>
            <w:vAlign w:val="center"/>
          </w:tcPr>
          <w:p w14:paraId="1061DFDB"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11,8</w:t>
            </w:r>
          </w:p>
        </w:tc>
        <w:tc>
          <w:tcPr>
            <w:tcW w:w="540" w:type="pct"/>
            <w:tcBorders>
              <w:top w:val="nil"/>
              <w:left w:val="nil"/>
              <w:bottom w:val="single" w:sz="4" w:space="0" w:color="auto"/>
              <w:right w:val="nil"/>
            </w:tcBorders>
            <w:shd w:val="clear" w:color="auto" w:fill="F2F2F2"/>
            <w:noWrap/>
            <w:vAlign w:val="center"/>
          </w:tcPr>
          <w:p w14:paraId="15D5875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9,9</w:t>
            </w:r>
          </w:p>
        </w:tc>
      </w:tr>
    </w:tbl>
    <w:bookmarkEnd w:id="146"/>
    <w:bookmarkEnd w:id="147"/>
    <w:bookmarkEnd w:id="148"/>
    <w:bookmarkEnd w:id="149"/>
    <w:p w14:paraId="6B2847EC" w14:textId="77777777" w:rsidR="00761800" w:rsidRPr="00761800" w:rsidRDefault="00761800" w:rsidP="00761800">
      <w:pPr>
        <w:spacing w:before="120"/>
        <w:jc w:val="right"/>
        <w:rPr>
          <w:rFonts w:ascii="Times New Roman" w:hAnsi="Times New Roman"/>
          <w:b/>
          <w:bCs/>
          <w:sz w:val="18"/>
          <w:szCs w:val="18"/>
          <w:lang w:eastAsia="bg-BG"/>
        </w:rPr>
      </w:pPr>
      <w:r w:rsidRPr="00761800">
        <w:rPr>
          <w:rFonts w:ascii="Times New Roman" w:hAnsi="Times New Roman"/>
          <w:sz w:val="18"/>
          <w:szCs w:val="18"/>
          <w:lang w:eastAsia="bg-BG"/>
        </w:rPr>
        <w:t>Източник: МФ, НСИ</w:t>
      </w:r>
      <w:r w:rsidRPr="00761800">
        <w:rPr>
          <w:rFonts w:ascii="Times New Roman" w:hAnsi="Times New Roman"/>
          <w:position w:val="2"/>
          <w:sz w:val="18"/>
          <w:szCs w:val="18"/>
          <w:vertAlign w:val="superscript"/>
        </w:rPr>
        <w:footnoteReference w:id="28"/>
      </w:r>
      <w:r w:rsidRPr="00761800">
        <w:rPr>
          <w:rFonts w:ascii="Times New Roman" w:hAnsi="Times New Roman"/>
          <w:sz w:val="18"/>
          <w:szCs w:val="18"/>
          <w:lang w:eastAsia="bg-BG"/>
        </w:rPr>
        <w:t>, БНБ</w:t>
      </w:r>
      <w:r w:rsidRPr="00761800">
        <w:rPr>
          <w:rFonts w:ascii="Times New Roman" w:hAnsi="Times New Roman"/>
          <w:position w:val="2"/>
          <w:sz w:val="18"/>
          <w:szCs w:val="18"/>
          <w:vertAlign w:val="superscript"/>
        </w:rPr>
        <w:footnoteReference w:id="29"/>
      </w:r>
    </w:p>
    <w:p w14:paraId="035C19F4"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 xml:space="preserve">Брутен вътрешен продукт </w:t>
      </w:r>
    </w:p>
    <w:p w14:paraId="7F5C6AC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За 2026 г. се очаква растеж на БВП от 2,6%. Растежът на потреблението на домакинствата ще се забави в съответствие с по-слабото нарастване на реалния разполагаем доход. При инвестициите също се предвижда по-нисък темп на увеличение спрямо 2025 г. От една страна това се обуславя от динамиката на публичните инвестиции поради базов ефект по линия на разходите за отбрана (доставка на военна техника през 2025 г.). От друга срана се очаква забавяне на растежа на частните инвестиции поради повишената несигурност и очаквания за известно отслабване на строителна активност, във връзка с вече наблюдаваните признаци за охлаждане на търсенето на жилища. По отношение на износа на стоки се очаква възстановяване на растежа предвид изчерпването на отрицателните еднократни ефекти от временното ограничаване на производството в някои основни износители през 2025 г. Същевременно, все още слабата икономическа активност в ЕС и отрицателните ефекти върху международната търговията, в резултат от конфликта в Близкия Изток, ще ограничат темпа на растеж на износа на стоки до 3,1%. Приносът на нетния износ към БВП ще остане отрицателен, но леко ще се подобри спрямо 2025 г.</w:t>
      </w:r>
    </w:p>
    <w:p w14:paraId="177A070D" w14:textId="77777777" w:rsidR="00761800" w:rsidRPr="00761800" w:rsidRDefault="00761800" w:rsidP="00761800">
      <w:pPr>
        <w:spacing w:after="200"/>
        <w:jc w:val="both"/>
        <w:rPr>
          <w:rFonts w:ascii="Times New Roman" w:hAnsi="Times New Roman"/>
          <w:bCs/>
          <w:szCs w:val="24"/>
          <w:lang w:eastAsia="bg-BG"/>
        </w:rPr>
      </w:pPr>
      <w:r w:rsidRPr="00761800">
        <w:rPr>
          <w:rFonts w:ascii="Times New Roman" w:hAnsi="Times New Roman"/>
          <w:bCs/>
          <w:szCs w:val="24"/>
          <w:lang w:eastAsia="bg-BG"/>
        </w:rPr>
        <w:t>През 2027 г. се очаква растежът на БВП да достигне 2,5%. Износът ще се ускори с нормализирането на международната среда, а растежът на потреблението леко ще се забави. Очаква се и по-слабо нарастване на инвестициите. Подобрението на външната среда и повишението на износа ще окажат положително въздействие върху частните инвестиции, но тяхното нарастване няма напълно да компенсира забавянето на публичните инвестиции след приключване на изпълнението на Плана за възстановяване и устойчивост.</w:t>
      </w:r>
    </w:p>
    <w:p w14:paraId="3F6D49C6" w14:textId="77777777" w:rsidR="00761800" w:rsidRPr="00761800" w:rsidRDefault="00761800" w:rsidP="00761800">
      <w:pPr>
        <w:spacing w:after="200"/>
        <w:jc w:val="both"/>
        <w:rPr>
          <w:rFonts w:ascii="Times New Roman" w:hAnsi="Times New Roman"/>
          <w:bCs/>
          <w:szCs w:val="24"/>
          <w:lang w:eastAsia="bg-BG"/>
        </w:rPr>
      </w:pPr>
      <w:r w:rsidRPr="00761800">
        <w:rPr>
          <w:rFonts w:ascii="Times New Roman" w:hAnsi="Times New Roman"/>
          <w:bCs/>
          <w:szCs w:val="24"/>
          <w:lang w:eastAsia="bg-BG"/>
        </w:rPr>
        <w:lastRenderedPageBreak/>
        <w:t>През 2028 г. се очаква растежът да се запази на 2,5%. Очаква се стабилно нарастване на потреблението, подкрепено от растежа на реалния разполагаем доход. Понижаването на несигурността ще допринесе за по-благоприятна динамика на частните инвестиции. В същото време развитието на общите инвестиции ще се определя от очакваните  доставка на военна техника през 2028 г., както и повишение на инвестициите по линия на европейските фондове в рамките на програмния период 2021-2027 г. Темповете на растеж на износа леко ще се забавят, в отговор на по-умерените очаквания за икономическата активност в ЕС. Вносът ще остане с по-високи темпове на растеж в сравнение с износа, като ще бъде повлиян и от доставките на военно оборудване. Приносът на нетния износ за растежа на БВП ще остане отрицателен.</w:t>
      </w:r>
    </w:p>
    <w:p w14:paraId="5EB418C7"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Пазар на труда и доходи</w:t>
      </w:r>
    </w:p>
    <w:p w14:paraId="3E27810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Неблагоприятните демографски процеси допълнително ще ограничат предлагането на труд през следващите години. Това обуславя прогнозата за динамиката на заетостта през периода 2026-2028 г. През 2026 г. темпът на растеж на заетите в икономиката ще се забави до 0,6%, а през 2027-2028 г. се очаква растежът на заетостта да продължи да се забавя до 0,1%. </w:t>
      </w:r>
    </w:p>
    <w:p w14:paraId="0C8ECC1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Въпреки прогнозираното постоянно нарастване на заетостта в икономиката измененията в безработицата се очаква да бъдат минимални. Коефициентът на безработица се очаква да намалее до 3,4% през 2026 г., а през следващите две години се очаква да се колебае около това достигнато ниво. Все по-ограничени са възможностите за преход от безработица към заетост и основното допускане е, че през следващите години увеличаването на заетостта ще се случва преимуществено чрез привличане на част от неактивните лица обратно в работната сила или чрез привличането на работна сила от други държави.</w:t>
      </w:r>
    </w:p>
    <w:p w14:paraId="5D38EF5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През 2026 г. се очаква забавяне на растежа на доходите от труд, като в номинално изражение темпът на повишение е оценен на 8%. Според механизма в Кодекса на труда за актуализирането на минималната работна заплата тя се увеличи с 12,6% до 620,2 евро от началото на 2026 г. Това, заедно с приетото вече увеличение на заплатите в публичния сектор с 5%, ще допринесе за общото увеличение на доходите от труд през годината. Забавяне на растежа компенсацията на един нает се очаква и през 2027 г. като ще се задържи малко над 6%. През 2028 г. растежът допълнително ще се забави до 5,7%.</w:t>
      </w:r>
    </w:p>
    <w:p w14:paraId="6C43AE8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От 2026 г. със забавянето на растежа на БВП се очаква и по-чувствително забавяне на растежа на заетостта, което ще доведе до ускорение на растежа на производителността на труда. Забавянето на растежа на доходите от труд и увеличението на производителността на труда ще доведат до ограничаване на растежа на номиналните разходи за труд на единица продукция (НРТЕП), които ще достигнат 5,9% през 2026 г. През 2027 г. растежът на производителността ще остане близък до този от предходната година, а увеличението на НРТЕП ще продължи да се забавя. През 2028 г. се очаква ускорение на производителността на труда, движено основно от по-слабия ръст на заетите. Това, в съчетание с по-ниския растеж на разходите за труд ще се отрази в допълнително забавяне на растежа на НРТЕП.</w:t>
      </w:r>
    </w:p>
    <w:p w14:paraId="7B8B78E2"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Инфлация</w:t>
      </w:r>
    </w:p>
    <w:p w14:paraId="30A9827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Вследствие на военния конфликт в Близкия изток и блокирането на Ормузкия проток и свързаното с това рязко повишение на котировките на суров петрол и природен газ през март 2026 г., прогнозата е за съществено ускорение на темпа на инфлация в страната. Средногодишната инфлация през 2026 г. се очаква да се повиши до 4,3% според ХИПЦ, </w:t>
      </w:r>
      <w:r w:rsidRPr="00761800">
        <w:rPr>
          <w:rFonts w:ascii="Times New Roman" w:hAnsi="Times New Roman"/>
          <w:szCs w:val="22"/>
          <w:lang w:eastAsia="bg-BG"/>
        </w:rPr>
        <w:lastRenderedPageBreak/>
        <w:t>а нарастването на потребителските цени в края на годината да възлезе на 5,2%, при 3,5% към декември 2025 г. на годишна база.</w:t>
      </w:r>
    </w:p>
    <w:p w14:paraId="71FE0B2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Във връзка с актуалните допускания за динамиката на международните цени и валутния курс щ.д./евро, очакванията за цените на транспортните горива е те да се повишат с малко над 20% в края на 2026 г. Въпреки съществения принос на енергийните стоки, базисната инфлация и в частност услугите запазват водещия си принос за формиране на инфлацията, което произтича от действието на вътрешни фактори от страна на пазара на труда и процеса на реална конвергенция, като може да се очаква и принос по линия на вторични ефекти от повишените цени на енергийните стоки.</w:t>
      </w:r>
    </w:p>
    <w:p w14:paraId="39FDE846" w14:textId="77777777" w:rsidR="00761800" w:rsidRPr="00761800" w:rsidRDefault="00761800" w:rsidP="00761800">
      <w:pPr>
        <w:spacing w:after="200"/>
        <w:jc w:val="both"/>
        <w:rPr>
          <w:rFonts w:ascii="Times New Roman" w:hAnsi="Times New Roman"/>
          <w:bCs/>
          <w:color w:val="FFFFFF"/>
          <w:szCs w:val="22"/>
          <w:shd w:val="clear" w:color="auto" w:fill="FE8637"/>
          <w:lang w:eastAsia="bg-BG"/>
        </w:rPr>
      </w:pPr>
      <w:r w:rsidRPr="00761800">
        <w:rPr>
          <w:rFonts w:ascii="Times New Roman" w:hAnsi="Times New Roman"/>
          <w:szCs w:val="22"/>
          <w:lang w:eastAsia="bg-BG"/>
        </w:rPr>
        <w:t xml:space="preserve">Средногодишната инфлация за 2027 г. се очаква да бъде 3,8%, след което ще се забави до 2,5% през 2028 г. Компонентите на базисната инфлация, и по-конкретно услугите, ще запазят водещия си принос за формиране на инфлацията в страната, но той постепенно ще се свива. Този процес ще е по-изразен през 2027 г., когато действието на базовите ефекти от 2026 г. ще е по-голямо. Въпреки това той ще остане по-висок от историческа гледна точка най-вече във връзка с протичащия процес на реална конвергенция. Прогнозира се низходяща ценова динамика при транспортните горива в периода 2027-2028 г., като се очаква цените на петрола сорт „Брент“ да се върнат към нива от 75 щ.д./барел в края на 2027 г. и постепенно да се понижат до около 73 долара в края на 2028 г. </w:t>
      </w:r>
    </w:p>
    <w:p w14:paraId="5CC4A5DC"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Платежен баланс</w:t>
      </w:r>
    </w:p>
    <w:p w14:paraId="7F1BE05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През 2026 г. се очаква допълнително влошаване на баланса по текущата сметка до дефицит от 6,2% от БВП, отново движено от търговията със стоки. Нарастването на международните цени в следствие от военния конфликт в Близкия изток ще е по-ясно изразено при енергийните суровини, и съответно при дефлатора на вноса на стоки. В резултат се очаква формиране на отрицателни условия на търговия при стоките. Вътрешното търсене ще продължи да нараства, при умерено възстановяване на износа. Съответно, номиналният растеж на вноса на стоки се очаква да бъде 8,7% и да изпревари този на износа (около 6,5%). Излишъкът при вторичен доход ще нарасне до 1,4% от БВП, отразявайки постъпленията на средства от ЕС при финализиране на проектите от НПВУ. Не се очакват съществени промени в салдата по първичен доход и услуги като съотношение спрямо БВП в сравнение с 2025 г.</w:t>
      </w:r>
    </w:p>
    <w:p w14:paraId="6B7AF16D" w14:textId="77777777" w:rsidR="00761800" w:rsidRPr="00761800" w:rsidRDefault="00761800" w:rsidP="00761800">
      <w:pPr>
        <w:spacing w:after="200"/>
        <w:jc w:val="both"/>
        <w:rPr>
          <w:rFonts w:ascii="Times New Roman" w:hAnsi="Times New Roman"/>
          <w:szCs w:val="24"/>
          <w:highlight w:val="yellow"/>
          <w:lang w:eastAsia="bg-BG"/>
        </w:rPr>
      </w:pPr>
      <w:r w:rsidRPr="00761800">
        <w:rPr>
          <w:rFonts w:ascii="Times New Roman" w:hAnsi="Times New Roman"/>
          <w:szCs w:val="22"/>
          <w:lang w:eastAsia="bg-BG"/>
        </w:rPr>
        <w:t>През 2027 и 2028 г. се очаква постепенно свиване на дефицита по текущата сметка, съответно до 5,3% и 5% от БВП. Очакват се положителни условия на търговия, но номиналният растеж на вноса на стоки ще продължи да изпреварва растежа на износа. Дефицитът в търговията ще се запази на относително високи нива около 8,5-8,8% от БВП. Излишъкът при услугите ще бъде около 7,1% от БВП, при устойчиво развитие на износа на туристически и други услуги. Дефицитът по първичния доход постепенно ще се свие от 5,1% от БВП през 2027 г. до 4,7% от БВП през 2028 г. като по този начин ще е близък до средните съотношения през последното десетилетие. Приближаването на крайния срок за разплащания по проекти от многогодишната финансова рамка 2021-2027 г. и свързаното с това ускоряване на усвояване на средства ще се отрази в поддържане на излишък по вторичен доход около 1,3-1,4% от БВП. Входящите преки чуждестранни инвестиции ще възлизат на 3,7-3,8% от БВП.</w:t>
      </w:r>
    </w:p>
    <w:p w14:paraId="668CD1DD"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Паричен сектор</w:t>
      </w:r>
    </w:p>
    <w:p w14:paraId="435C017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Вземанията от частния сектор ще забавят нарастването си през 2026 г. до 12,6%. Принос за това ще имат почти изцяло вземанията от домакинства, които ще понижат значително темпа си на растеж до 14,5% успоредно с по-слабото нарастване на потреблението, </w:t>
      </w:r>
      <w:r w:rsidRPr="00761800">
        <w:rPr>
          <w:rFonts w:ascii="Times New Roman" w:hAnsi="Times New Roman"/>
          <w:szCs w:val="22"/>
          <w:lang w:eastAsia="bg-BG"/>
        </w:rPr>
        <w:lastRenderedPageBreak/>
        <w:t>заетостта и доходите. В по-голяма степен ще се забавят жилищните кредити, предвид очакваното охлаждане на пазара на недвижими имоти. От своя страна, вземанията от предприятия  ще нараснат през 2026 г. с 10,7%, като темпът им остава сходен с отчетения през 2025 г. (10,9%). При вземанията от НФП редовните кредити ще запазят двуцифрен темп на растеж, докато овърдрафтът ще се забави.</w:t>
      </w:r>
    </w:p>
    <w:p w14:paraId="3BB05D6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През 2027 г. вземанията от предприятия също ще започнат да забавят нарастването си в синхрон с очакваното забавяне на ръста на инвестициите, като темпът им на увеличение ще достигне 8,7% в края на годината. Вземанията от домакинства ще продължат да следват развитието на пазара на труда и доходите и ще понижат темпа си до 11,8%. Общо вземанията от частния сектор ще нараснат с 10,1% през 2027 г.</w:t>
      </w:r>
    </w:p>
    <w:p w14:paraId="77FC6DA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През 2028 г. кредитирането и респективно вземанията от частния сектор ще продължат плавно да се забавят. Вземанията от домакинствата ще имат по-голям принос за това, като в края на 2028 г. ръстът им ще достигне 9,9%. Очакваният по-висок растеж на инвестициите в края на програмния период за усвояване на фондовете на ЕС ще допринесе за запазване на сравнително стабилен ръст на вземанията от предприятия, който през 2028 г. ще бъде 8,6%.  </w:t>
      </w:r>
    </w:p>
    <w:p w14:paraId="2A0821DF"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Рискове пред прогнозата</w:t>
      </w:r>
    </w:p>
    <w:p w14:paraId="15083F7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Международната икономическа среда остава основен рисков фактор за реализирането на прогнозата. Възможно е блокирането на Ормузкия проток да продължи по-дълго от очакваното и/или възстановяването на производството и доставките на определени стоки след края на военния конфликт в Близкия изток да се осъществява по-бавно. Съществува риск растежът на световната икономика, както и на ЕС, да бъде по-нисък от предвидения в базовия сценарий, което би се отразило в по-слаб износ на България вследствие на ограничено външно търсене. В допълнение, в резултат на повишената инфлация, ЕЦБ може да предприеме по-агресивно повишаване на основния лихвен процент, което също би ограничило икономическата активност в еврозоната и съответно външното търсене на български стоки и услуги. По-продължителните военните действия биха могли да окажат допълнително отрицателно въздействие върху икономическия растеж чрез намаляване на доверието на бизнеса и повишена предпазливост на компаниите по отношение на инвестиционните разходи.</w:t>
      </w:r>
    </w:p>
    <w:p w14:paraId="78771E0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Рисковете по отношение на инфлацията от гледна точка на международната среда са преобладаващо във възходяща посока и се свързват най-вече с повишената несигурност и геополитическо напрежение, които биха могли да доведат до последващо поскъпване на основните суровини и транспортните разходи и съответно до по-висока от очакваната инфлация.</w:t>
      </w:r>
    </w:p>
    <w:p w14:paraId="0CC6F68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Риск пред прогнозата представлява и очакването за пълно изпълнение на проектите по НПВУ през 2026 г. Възможно неизпълнение ще доведе до по-слабо нарастване на инвестициите през годината.</w:t>
      </w:r>
    </w:p>
    <w:p w14:paraId="47ECCE7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Военните действия в Близкия изток е възможно да повишат доходността по ДЦК, което ще означава по-висока цена за дългово финансиране на държавния бюджет.</w:t>
      </w:r>
    </w:p>
    <w:p w14:paraId="62B8BBB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Съществува положителен риск за по-висок ръст на заетостта през периода 2026-2028 г., свързан с усилията на работодателите и на правителството за привличане на трудов ресурс извън България.</w:t>
      </w:r>
    </w:p>
    <w:p w14:paraId="640710B5" w14:textId="77777777" w:rsidR="00761800" w:rsidRPr="00761800" w:rsidRDefault="00761800" w:rsidP="00761800">
      <w:pPr>
        <w:spacing w:after="200"/>
        <w:jc w:val="both"/>
        <w:rPr>
          <w:rFonts w:ascii="Times New Roman" w:hAnsi="Times New Roman"/>
          <w:spacing w:val="-4"/>
          <w:szCs w:val="22"/>
          <w:lang w:eastAsia="bg-BG"/>
        </w:rPr>
      </w:pPr>
      <w:r w:rsidRPr="00761800">
        <w:rPr>
          <w:rFonts w:ascii="Times New Roman" w:hAnsi="Times New Roman"/>
          <w:szCs w:val="22"/>
          <w:lang w:eastAsia="bg-BG"/>
        </w:rPr>
        <w:lastRenderedPageBreak/>
        <w:t>В средносрочен период може да се наблюдава по-голяма от очакваното гъвкавост на икономиките при възстановяването от военния конфликт, което да се отрази в по-голям растеж на търговията и ускорена икономическа активност.</w:t>
      </w:r>
    </w:p>
    <w:p w14:paraId="7E18E1CB"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Потенциален растеж</w:t>
      </w:r>
    </w:p>
    <w:p w14:paraId="1B9B141F" w14:textId="77777777" w:rsidR="00761800" w:rsidRPr="00761800" w:rsidRDefault="00761800" w:rsidP="00761800">
      <w:pPr>
        <w:spacing w:after="200"/>
        <w:jc w:val="both"/>
        <w:rPr>
          <w:rFonts w:ascii="Times New Roman" w:hAnsi="Times New Roman"/>
          <w:bCs/>
          <w:szCs w:val="24"/>
          <w:lang w:eastAsia="bg-BG"/>
        </w:rPr>
      </w:pPr>
      <w:r w:rsidRPr="00761800">
        <w:rPr>
          <w:rFonts w:ascii="Times New Roman" w:hAnsi="Times New Roman"/>
          <w:bCs/>
          <w:szCs w:val="24"/>
          <w:lang w:eastAsia="bg-BG"/>
        </w:rPr>
        <w:t>Потенциалният растеж на БВП е изчислен по методологията на ЕК</w:t>
      </w:r>
      <w:r w:rsidRPr="00761800">
        <w:rPr>
          <w:rFonts w:ascii="Times New Roman" w:hAnsi="Times New Roman"/>
          <w:bCs/>
          <w:position w:val="2"/>
          <w:sz w:val="18"/>
          <w:szCs w:val="24"/>
          <w:vertAlign w:val="superscript"/>
        </w:rPr>
        <w:footnoteReference w:id="30"/>
      </w:r>
      <w:r w:rsidRPr="00761800">
        <w:rPr>
          <w:rFonts w:ascii="Times New Roman" w:hAnsi="Times New Roman"/>
          <w:bCs/>
          <w:szCs w:val="24"/>
          <w:lang w:eastAsia="bg-BG"/>
        </w:rPr>
        <w:t xml:space="preserve"> (EUCAM)</w:t>
      </w:r>
      <w:r w:rsidRPr="00761800">
        <w:rPr>
          <w:rFonts w:ascii="Times New Roman" w:hAnsi="Times New Roman"/>
          <w:bCs/>
          <w:position w:val="2"/>
          <w:sz w:val="18"/>
          <w:szCs w:val="24"/>
          <w:vertAlign w:val="superscript"/>
        </w:rPr>
        <w:footnoteReference w:id="31"/>
      </w:r>
      <w:r w:rsidRPr="00761800">
        <w:rPr>
          <w:rFonts w:ascii="Times New Roman" w:hAnsi="Times New Roman"/>
          <w:bCs/>
          <w:szCs w:val="24"/>
          <w:lang w:eastAsia="bg-BG"/>
        </w:rPr>
        <w:t xml:space="preserve"> и с прогнозата на МФ</w:t>
      </w:r>
      <w:r w:rsidRPr="00761800">
        <w:rPr>
          <w:rFonts w:ascii="Times New Roman" w:hAnsi="Times New Roman"/>
          <w:position w:val="2"/>
          <w:sz w:val="18"/>
          <w:szCs w:val="24"/>
          <w:vertAlign w:val="superscript"/>
        </w:rPr>
        <w:footnoteReference w:id="32"/>
      </w:r>
      <w:r w:rsidRPr="00761800">
        <w:rPr>
          <w:rFonts w:ascii="Times New Roman" w:hAnsi="Times New Roman"/>
          <w:bCs/>
          <w:szCs w:val="24"/>
          <w:lang w:eastAsia="bg-BG"/>
        </w:rPr>
        <w:t xml:space="preserve">. Потенциалният растеж за 2025 г. е оценен на 3,3%. Очаква се той да се забави до 2,9% през 2026 г. За 2027 г. и 2028 г. е оценен съответно на 2,8% и 2,7%. С основен принос за растежа ще бъде общата факторна производителност. Приносът на труда постепенно ще намалява, но ще остане положителен, тъй като увеличението на коефициента на икономическа активност ще компенсира намалението на населението в трудоспособна възраст. </w:t>
      </w:r>
    </w:p>
    <w:p w14:paraId="275FA7FB" w14:textId="77777777" w:rsidR="00761800" w:rsidRPr="00761800" w:rsidRDefault="00761800" w:rsidP="00761800">
      <w:pPr>
        <w:spacing w:after="200"/>
        <w:jc w:val="both"/>
        <w:rPr>
          <w:rFonts w:ascii="Times New Roman" w:hAnsi="Times New Roman"/>
          <w:bCs/>
          <w:szCs w:val="24"/>
          <w:lang w:eastAsia="bg-BG"/>
        </w:rPr>
      </w:pPr>
      <w:r w:rsidRPr="00761800">
        <w:rPr>
          <w:rFonts w:ascii="Times New Roman" w:hAnsi="Times New Roman"/>
          <w:bCs/>
          <w:szCs w:val="24"/>
          <w:lang w:eastAsia="bg-BG"/>
        </w:rPr>
        <w:t xml:space="preserve">За 2026 г. се очаква положително отклонение от потенциала от 0,2%, след което отклонението ще се затвори и ще премине на отрицателна територия. </w:t>
      </w:r>
    </w:p>
    <w:p w14:paraId="1BBBFCF0" w14:textId="3E46B2BC" w:rsidR="00761800" w:rsidRPr="00761800" w:rsidRDefault="00761800" w:rsidP="00761800">
      <w:pPr>
        <w:spacing w:after="120"/>
        <w:ind w:left="1418" w:hanging="1418"/>
        <w:rPr>
          <w:rFonts w:ascii="Times New Roman" w:hAnsi="Times New Roman"/>
          <w:b/>
          <w:bCs/>
          <w:sz w:val="22"/>
          <w:szCs w:val="22"/>
        </w:rPr>
      </w:pPr>
      <w:bookmarkStart w:id="150" w:name="_Toc233185121"/>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3</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r>
      <w:r w:rsidRPr="00761800">
        <w:rPr>
          <w:rFonts w:ascii="Times New Roman" w:hAnsi="Times New Roman"/>
          <w:b/>
          <w:bCs/>
          <w:sz w:val="22"/>
          <w:szCs w:val="22"/>
        </w:rPr>
        <w:t>Стойности на потенциалния растеж и на отклонението от потенциалния БВП</w:t>
      </w:r>
      <w:bookmarkEnd w:id="150"/>
    </w:p>
    <w:tbl>
      <w:tblPr>
        <w:tblW w:w="5000" w:type="pct"/>
        <w:tblCellMar>
          <w:left w:w="70" w:type="dxa"/>
          <w:right w:w="70" w:type="dxa"/>
        </w:tblCellMar>
        <w:tblLook w:val="04A0" w:firstRow="1" w:lastRow="0" w:firstColumn="1" w:lastColumn="0" w:noHBand="0" w:noVBand="1"/>
      </w:tblPr>
      <w:tblGrid>
        <w:gridCol w:w="3633"/>
        <w:gridCol w:w="1614"/>
        <w:gridCol w:w="1556"/>
        <w:gridCol w:w="994"/>
        <w:gridCol w:w="1273"/>
      </w:tblGrid>
      <w:tr w:rsidR="00761800" w:rsidRPr="00761800" w14:paraId="34D5AE74" w14:textId="77777777" w:rsidTr="00406B4D">
        <w:trPr>
          <w:trHeight w:val="255"/>
          <w:tblHeader/>
        </w:trPr>
        <w:tc>
          <w:tcPr>
            <w:tcW w:w="2002" w:type="pct"/>
            <w:tcBorders>
              <w:top w:val="single" w:sz="4" w:space="0" w:color="auto"/>
              <w:left w:val="nil"/>
              <w:bottom w:val="single" w:sz="4" w:space="0" w:color="auto"/>
              <w:right w:val="nil"/>
            </w:tcBorders>
            <w:shd w:val="clear" w:color="auto" w:fill="auto"/>
            <w:noWrap/>
            <w:vAlign w:val="center"/>
            <w:hideMark/>
          </w:tcPr>
          <w:p w14:paraId="15E331DF" w14:textId="77777777" w:rsidR="00761800" w:rsidRPr="00761800" w:rsidRDefault="00761800" w:rsidP="00761800">
            <w:pPr>
              <w:jc w:val="center"/>
              <w:rPr>
                <w:rFonts w:ascii="Times New Roman" w:hAnsi="Times New Roman"/>
                <w:b/>
                <w:bCs/>
                <w:sz w:val="20"/>
                <w:lang w:eastAsia="bg-BG"/>
              </w:rPr>
            </w:pPr>
          </w:p>
        </w:tc>
        <w:tc>
          <w:tcPr>
            <w:tcW w:w="889" w:type="pct"/>
            <w:tcBorders>
              <w:top w:val="single" w:sz="4" w:space="0" w:color="auto"/>
              <w:left w:val="nil"/>
              <w:bottom w:val="single" w:sz="4" w:space="0" w:color="auto"/>
              <w:right w:val="nil"/>
            </w:tcBorders>
            <w:shd w:val="clear" w:color="auto" w:fill="auto"/>
            <w:vAlign w:val="center"/>
          </w:tcPr>
          <w:p w14:paraId="47FCF1B5" w14:textId="77777777" w:rsidR="00761800" w:rsidRPr="00761800" w:rsidRDefault="00761800" w:rsidP="00761800">
            <w:pPr>
              <w:jc w:val="both"/>
              <w:rPr>
                <w:rFonts w:ascii="Times New Roman" w:hAnsi="Times New Roman"/>
                <w:b/>
                <w:bCs/>
                <w:sz w:val="20"/>
                <w:lang w:val="en-US" w:eastAsia="bg-BG"/>
              </w:rPr>
            </w:pPr>
            <w:r w:rsidRPr="00761800">
              <w:rPr>
                <w:rFonts w:ascii="Times New Roman" w:hAnsi="Times New Roman"/>
                <w:b/>
                <w:bCs/>
                <w:sz w:val="20"/>
                <w:lang w:eastAsia="bg-BG"/>
              </w:rPr>
              <w:t xml:space="preserve">                     202</w:t>
            </w:r>
            <w:r w:rsidRPr="00761800">
              <w:rPr>
                <w:rFonts w:ascii="Times New Roman" w:hAnsi="Times New Roman"/>
                <w:b/>
                <w:bCs/>
                <w:sz w:val="20"/>
                <w:lang w:val="en-US" w:eastAsia="bg-BG"/>
              </w:rPr>
              <w:t>5</w:t>
            </w:r>
          </w:p>
        </w:tc>
        <w:tc>
          <w:tcPr>
            <w:tcW w:w="858" w:type="pct"/>
            <w:tcBorders>
              <w:top w:val="single" w:sz="4" w:space="0" w:color="auto"/>
              <w:left w:val="nil"/>
              <w:bottom w:val="single" w:sz="4" w:space="0" w:color="auto"/>
              <w:right w:val="nil"/>
            </w:tcBorders>
          </w:tcPr>
          <w:p w14:paraId="4DD18159" w14:textId="77777777" w:rsidR="00761800" w:rsidRPr="00761800" w:rsidRDefault="00761800" w:rsidP="00761800">
            <w:pPr>
              <w:jc w:val="both"/>
              <w:rPr>
                <w:rFonts w:ascii="Times New Roman" w:hAnsi="Times New Roman"/>
                <w:b/>
                <w:bCs/>
                <w:sz w:val="20"/>
                <w:lang w:val="en-US" w:eastAsia="bg-BG"/>
              </w:rPr>
            </w:pPr>
            <w:r w:rsidRPr="00761800">
              <w:rPr>
                <w:rFonts w:ascii="Times New Roman" w:hAnsi="Times New Roman"/>
                <w:b/>
                <w:bCs/>
                <w:sz w:val="20"/>
                <w:lang w:val="en-US" w:eastAsia="bg-BG"/>
              </w:rPr>
              <w:t xml:space="preserve">            </w:t>
            </w:r>
            <w:r w:rsidRPr="00761800">
              <w:rPr>
                <w:rFonts w:ascii="Times New Roman" w:hAnsi="Times New Roman"/>
                <w:b/>
                <w:bCs/>
                <w:sz w:val="20"/>
                <w:lang w:eastAsia="bg-BG"/>
              </w:rPr>
              <w:t>202</w:t>
            </w:r>
            <w:r w:rsidRPr="00761800">
              <w:rPr>
                <w:rFonts w:ascii="Times New Roman" w:hAnsi="Times New Roman"/>
                <w:b/>
                <w:bCs/>
                <w:sz w:val="20"/>
                <w:lang w:val="en-US" w:eastAsia="bg-BG"/>
              </w:rPr>
              <w:t>6</w:t>
            </w:r>
          </w:p>
        </w:tc>
        <w:tc>
          <w:tcPr>
            <w:tcW w:w="548" w:type="pct"/>
            <w:tcBorders>
              <w:top w:val="single" w:sz="4" w:space="0" w:color="auto"/>
              <w:left w:val="nil"/>
              <w:bottom w:val="single" w:sz="4" w:space="0" w:color="auto"/>
              <w:right w:val="nil"/>
            </w:tcBorders>
          </w:tcPr>
          <w:p w14:paraId="795C0FF1" w14:textId="77777777" w:rsidR="00761800" w:rsidRPr="00761800" w:rsidRDefault="00761800" w:rsidP="00761800">
            <w:pPr>
              <w:jc w:val="both"/>
              <w:rPr>
                <w:rFonts w:ascii="Times New Roman" w:hAnsi="Times New Roman"/>
                <w:b/>
                <w:bCs/>
                <w:sz w:val="20"/>
                <w:lang w:val="en-US" w:eastAsia="bg-BG"/>
              </w:rPr>
            </w:pPr>
            <w:r w:rsidRPr="00761800">
              <w:rPr>
                <w:rFonts w:ascii="Times New Roman" w:hAnsi="Times New Roman"/>
                <w:b/>
                <w:bCs/>
                <w:sz w:val="20"/>
                <w:lang w:val="en-US" w:eastAsia="bg-BG"/>
              </w:rPr>
              <w:t xml:space="preserve">    </w:t>
            </w:r>
            <w:r w:rsidRPr="00761800">
              <w:rPr>
                <w:rFonts w:ascii="Times New Roman" w:hAnsi="Times New Roman"/>
                <w:b/>
                <w:bCs/>
                <w:sz w:val="20"/>
                <w:lang w:eastAsia="bg-BG"/>
              </w:rPr>
              <w:t>202</w:t>
            </w:r>
            <w:r w:rsidRPr="00761800">
              <w:rPr>
                <w:rFonts w:ascii="Times New Roman" w:hAnsi="Times New Roman"/>
                <w:b/>
                <w:bCs/>
                <w:sz w:val="20"/>
                <w:lang w:val="en-US" w:eastAsia="bg-BG"/>
              </w:rPr>
              <w:t>7</w:t>
            </w:r>
          </w:p>
        </w:tc>
        <w:tc>
          <w:tcPr>
            <w:tcW w:w="702" w:type="pct"/>
            <w:tcBorders>
              <w:top w:val="single" w:sz="4" w:space="0" w:color="auto"/>
              <w:left w:val="nil"/>
              <w:bottom w:val="single" w:sz="4" w:space="0" w:color="auto"/>
              <w:right w:val="nil"/>
            </w:tcBorders>
          </w:tcPr>
          <w:p w14:paraId="5BDC7DDF" w14:textId="77777777" w:rsidR="00761800" w:rsidRPr="00761800" w:rsidRDefault="00761800" w:rsidP="00761800">
            <w:pPr>
              <w:jc w:val="both"/>
              <w:rPr>
                <w:rFonts w:ascii="Times New Roman" w:hAnsi="Times New Roman"/>
                <w:b/>
                <w:bCs/>
                <w:sz w:val="20"/>
                <w:lang w:val="en-US" w:eastAsia="bg-BG"/>
              </w:rPr>
            </w:pPr>
            <w:r w:rsidRPr="00761800">
              <w:rPr>
                <w:rFonts w:ascii="Times New Roman" w:hAnsi="Times New Roman"/>
                <w:b/>
                <w:bCs/>
                <w:sz w:val="20"/>
                <w:lang w:val="en-US" w:eastAsia="bg-BG"/>
              </w:rPr>
              <w:t xml:space="preserve">     </w:t>
            </w:r>
            <w:r w:rsidRPr="00761800">
              <w:rPr>
                <w:rFonts w:ascii="Times New Roman" w:hAnsi="Times New Roman"/>
                <w:b/>
                <w:bCs/>
                <w:sz w:val="20"/>
                <w:lang w:eastAsia="bg-BG"/>
              </w:rPr>
              <w:t>202</w:t>
            </w:r>
            <w:r w:rsidRPr="00761800">
              <w:rPr>
                <w:rFonts w:ascii="Times New Roman" w:hAnsi="Times New Roman"/>
                <w:b/>
                <w:bCs/>
                <w:sz w:val="20"/>
                <w:lang w:val="en-US" w:eastAsia="bg-BG"/>
              </w:rPr>
              <w:t>8</w:t>
            </w:r>
          </w:p>
        </w:tc>
      </w:tr>
      <w:tr w:rsidR="00761800" w:rsidRPr="00761800" w14:paraId="54DD03A4" w14:textId="77777777" w:rsidTr="00406B4D">
        <w:trPr>
          <w:trHeight w:val="269"/>
        </w:trPr>
        <w:tc>
          <w:tcPr>
            <w:tcW w:w="2002" w:type="pct"/>
            <w:tcBorders>
              <w:top w:val="single" w:sz="4" w:space="0" w:color="auto"/>
              <w:left w:val="nil"/>
              <w:right w:val="nil"/>
            </w:tcBorders>
            <w:shd w:val="clear" w:color="auto" w:fill="auto"/>
            <w:noWrap/>
            <w:vAlign w:val="center"/>
          </w:tcPr>
          <w:p w14:paraId="049254D6" w14:textId="77777777" w:rsidR="00761800" w:rsidRPr="00761800" w:rsidRDefault="00761800" w:rsidP="00761800">
            <w:pPr>
              <w:spacing w:line="276" w:lineRule="auto"/>
              <w:jc w:val="both"/>
              <w:rPr>
                <w:rFonts w:ascii="Times New Roman" w:hAnsi="Times New Roman"/>
                <w:bCs/>
                <w:sz w:val="20"/>
                <w:lang w:eastAsia="bg-BG"/>
              </w:rPr>
            </w:pPr>
            <w:r w:rsidRPr="00761800">
              <w:rPr>
                <w:rFonts w:ascii="Times New Roman" w:hAnsi="Times New Roman"/>
                <w:bCs/>
                <w:sz w:val="20"/>
                <w:lang w:eastAsia="bg-BG"/>
              </w:rPr>
              <w:t>Потенциален растеж, %</w:t>
            </w:r>
          </w:p>
        </w:tc>
        <w:tc>
          <w:tcPr>
            <w:tcW w:w="889" w:type="pct"/>
            <w:tcBorders>
              <w:top w:val="single" w:sz="4" w:space="0" w:color="auto"/>
              <w:left w:val="nil"/>
              <w:bottom w:val="nil"/>
              <w:right w:val="nil"/>
            </w:tcBorders>
            <w:shd w:val="clear" w:color="auto" w:fill="auto"/>
            <w:noWrap/>
            <w:vAlign w:val="bottom"/>
          </w:tcPr>
          <w:p w14:paraId="7CCD4E29"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3,3</w:t>
            </w:r>
          </w:p>
        </w:tc>
        <w:tc>
          <w:tcPr>
            <w:tcW w:w="858" w:type="pct"/>
            <w:tcBorders>
              <w:top w:val="single" w:sz="4" w:space="0" w:color="auto"/>
              <w:left w:val="nil"/>
              <w:bottom w:val="nil"/>
              <w:right w:val="nil"/>
            </w:tcBorders>
            <w:shd w:val="clear" w:color="auto" w:fill="auto"/>
            <w:vAlign w:val="bottom"/>
          </w:tcPr>
          <w:p w14:paraId="6B3C727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val="en-US" w:eastAsia="bg-BG"/>
              </w:rPr>
              <w:t xml:space="preserve">   </w:t>
            </w:r>
            <w:r w:rsidRPr="00761800">
              <w:rPr>
                <w:rFonts w:ascii="Times New Roman" w:hAnsi="Times New Roman"/>
                <w:color w:val="000000"/>
                <w:sz w:val="20"/>
                <w:lang w:eastAsia="bg-BG"/>
              </w:rPr>
              <w:t>2,9</w:t>
            </w:r>
          </w:p>
        </w:tc>
        <w:tc>
          <w:tcPr>
            <w:tcW w:w="548" w:type="pct"/>
            <w:tcBorders>
              <w:top w:val="single" w:sz="4" w:space="0" w:color="auto"/>
              <w:left w:val="nil"/>
              <w:bottom w:val="nil"/>
              <w:right w:val="nil"/>
            </w:tcBorders>
            <w:shd w:val="clear" w:color="auto" w:fill="auto"/>
            <w:vAlign w:val="bottom"/>
          </w:tcPr>
          <w:p w14:paraId="0900AEA1"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2,8</w:t>
            </w:r>
          </w:p>
        </w:tc>
        <w:tc>
          <w:tcPr>
            <w:tcW w:w="702" w:type="pct"/>
            <w:tcBorders>
              <w:top w:val="single" w:sz="4" w:space="0" w:color="auto"/>
              <w:left w:val="nil"/>
              <w:bottom w:val="nil"/>
              <w:right w:val="nil"/>
            </w:tcBorders>
            <w:shd w:val="clear" w:color="auto" w:fill="auto"/>
            <w:vAlign w:val="bottom"/>
          </w:tcPr>
          <w:p w14:paraId="7A381726"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2,7</w:t>
            </w:r>
          </w:p>
        </w:tc>
      </w:tr>
      <w:tr w:rsidR="00761800" w:rsidRPr="00761800" w14:paraId="61AFA005" w14:textId="77777777" w:rsidTr="00406B4D">
        <w:trPr>
          <w:trHeight w:val="300"/>
        </w:trPr>
        <w:tc>
          <w:tcPr>
            <w:tcW w:w="2002" w:type="pct"/>
            <w:tcBorders>
              <w:top w:val="nil"/>
              <w:left w:val="nil"/>
              <w:bottom w:val="single" w:sz="4" w:space="0" w:color="auto"/>
              <w:right w:val="nil"/>
            </w:tcBorders>
            <w:shd w:val="clear" w:color="auto" w:fill="auto"/>
            <w:noWrap/>
            <w:vAlign w:val="center"/>
          </w:tcPr>
          <w:p w14:paraId="3DE187B7" w14:textId="77777777" w:rsidR="00761800" w:rsidRPr="00761800" w:rsidRDefault="00761800" w:rsidP="00761800">
            <w:pPr>
              <w:spacing w:line="276" w:lineRule="auto"/>
              <w:jc w:val="both"/>
              <w:rPr>
                <w:rFonts w:ascii="Times New Roman" w:hAnsi="Times New Roman"/>
                <w:bCs/>
                <w:sz w:val="20"/>
                <w:lang w:eastAsia="bg-BG"/>
              </w:rPr>
            </w:pPr>
            <w:r w:rsidRPr="00761800">
              <w:rPr>
                <w:rFonts w:ascii="Times New Roman" w:hAnsi="Times New Roman"/>
                <w:bCs/>
                <w:sz w:val="20"/>
                <w:lang w:eastAsia="bg-BG"/>
              </w:rPr>
              <w:t>Отклонение от потенциалния БВП, %</w:t>
            </w:r>
          </w:p>
        </w:tc>
        <w:tc>
          <w:tcPr>
            <w:tcW w:w="889" w:type="pct"/>
            <w:tcBorders>
              <w:top w:val="nil"/>
              <w:left w:val="nil"/>
              <w:bottom w:val="single" w:sz="4" w:space="0" w:color="auto"/>
              <w:right w:val="nil"/>
            </w:tcBorders>
            <w:shd w:val="clear" w:color="auto" w:fill="auto"/>
            <w:noWrap/>
            <w:vAlign w:val="bottom"/>
          </w:tcPr>
          <w:p w14:paraId="102048DB"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0,5</w:t>
            </w:r>
          </w:p>
        </w:tc>
        <w:tc>
          <w:tcPr>
            <w:tcW w:w="858" w:type="pct"/>
            <w:tcBorders>
              <w:top w:val="nil"/>
              <w:left w:val="nil"/>
              <w:bottom w:val="single" w:sz="4" w:space="0" w:color="auto"/>
              <w:right w:val="nil"/>
            </w:tcBorders>
            <w:shd w:val="clear" w:color="auto" w:fill="auto"/>
            <w:vAlign w:val="bottom"/>
          </w:tcPr>
          <w:p w14:paraId="4197B713"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val="en-US" w:eastAsia="bg-BG"/>
              </w:rPr>
              <w:t xml:space="preserve">   </w:t>
            </w:r>
            <w:r w:rsidRPr="00761800">
              <w:rPr>
                <w:rFonts w:ascii="Times New Roman" w:hAnsi="Times New Roman"/>
                <w:color w:val="000000"/>
                <w:sz w:val="20"/>
                <w:lang w:eastAsia="bg-BG"/>
              </w:rPr>
              <w:t>0,2</w:t>
            </w:r>
          </w:p>
        </w:tc>
        <w:tc>
          <w:tcPr>
            <w:tcW w:w="548" w:type="pct"/>
            <w:tcBorders>
              <w:top w:val="nil"/>
              <w:left w:val="nil"/>
              <w:bottom w:val="single" w:sz="4" w:space="0" w:color="auto"/>
              <w:right w:val="nil"/>
            </w:tcBorders>
            <w:shd w:val="clear" w:color="auto" w:fill="auto"/>
            <w:vAlign w:val="bottom"/>
          </w:tcPr>
          <w:p w14:paraId="7457329C"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-0,1</w:t>
            </w:r>
          </w:p>
        </w:tc>
        <w:tc>
          <w:tcPr>
            <w:tcW w:w="702" w:type="pct"/>
            <w:tcBorders>
              <w:top w:val="nil"/>
              <w:left w:val="nil"/>
              <w:bottom w:val="single" w:sz="4" w:space="0" w:color="auto"/>
              <w:right w:val="nil"/>
            </w:tcBorders>
            <w:shd w:val="clear" w:color="auto" w:fill="auto"/>
            <w:vAlign w:val="bottom"/>
          </w:tcPr>
          <w:p w14:paraId="503D7B4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-0,3</w:t>
            </w:r>
          </w:p>
        </w:tc>
      </w:tr>
    </w:tbl>
    <w:p w14:paraId="299ACD5D" w14:textId="77777777" w:rsidR="00761800" w:rsidRPr="00761800" w:rsidRDefault="00761800" w:rsidP="00761800">
      <w:pPr>
        <w:spacing w:before="120" w:after="200"/>
        <w:jc w:val="right"/>
        <w:rPr>
          <w:rFonts w:ascii="Times New Roman" w:eastAsia="Batang" w:hAnsi="Times New Roman"/>
          <w:sz w:val="18"/>
          <w:szCs w:val="18"/>
          <w:lang w:eastAsia="bg-BG"/>
        </w:rPr>
      </w:pPr>
      <w:bookmarkStart w:id="151" w:name="_Hlk92879592"/>
      <w:bookmarkStart w:id="152" w:name="_Toc22660372"/>
      <w:r w:rsidRPr="00761800">
        <w:rPr>
          <w:rFonts w:ascii="Times New Roman" w:eastAsia="Batang" w:hAnsi="Times New Roman"/>
          <w:sz w:val="18"/>
          <w:szCs w:val="18"/>
          <w:lang w:eastAsia="bg-BG"/>
        </w:rPr>
        <w:t>Източник: МФ</w:t>
      </w:r>
    </w:p>
    <w:bookmarkEnd w:id="151"/>
    <w:bookmarkEnd w:id="152"/>
    <w:p w14:paraId="32C531B1"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Съпоставка на макроикономическата прогноза с тази на ЕК</w:t>
      </w:r>
    </w:p>
    <w:p w14:paraId="52102306" w14:textId="77777777" w:rsidR="00761800" w:rsidRPr="00761800" w:rsidRDefault="00761800" w:rsidP="00761800">
      <w:pPr>
        <w:spacing w:after="120"/>
        <w:jc w:val="both"/>
        <w:rPr>
          <w:rFonts w:ascii="Times New Roman" w:hAnsi="Times New Roman"/>
          <w:szCs w:val="24"/>
          <w:lang w:eastAsia="bg-BG"/>
        </w:rPr>
      </w:pPr>
      <w:r w:rsidRPr="00761800">
        <w:rPr>
          <w:rFonts w:ascii="Times New Roman" w:hAnsi="Times New Roman"/>
          <w:szCs w:val="24"/>
          <w:lang w:eastAsia="bg-BG"/>
        </w:rPr>
        <w:t>Направено е сравнение на прогнозата на МФ с пролетната макроикономическа прогноза на ЕК, публикувана на 21 май 2026 г. Различният период на изготвяне на двете прогнози предопределя използването на различни редове от отчетни статистически данни и различни допускания.</w:t>
      </w:r>
    </w:p>
    <w:p w14:paraId="501C8135" w14:textId="77777777" w:rsidR="00761800" w:rsidRPr="00761800" w:rsidRDefault="00761800" w:rsidP="00761800">
      <w:pPr>
        <w:spacing w:after="120"/>
        <w:jc w:val="both"/>
        <w:rPr>
          <w:rFonts w:ascii="Times New Roman" w:hAnsi="Times New Roman"/>
          <w:szCs w:val="24"/>
          <w:lang w:eastAsia="bg-BG"/>
        </w:rPr>
      </w:pPr>
      <w:r w:rsidRPr="00761800">
        <w:rPr>
          <w:rFonts w:ascii="Times New Roman" w:hAnsi="Times New Roman"/>
          <w:szCs w:val="24"/>
          <w:lang w:eastAsia="bg-BG"/>
        </w:rPr>
        <w:t>Очакванията на МФ за растежа на БВП за 2026 г. са сходни с тези на ЕК, а за 2027 г. са по-високи. Различията между двете прогнози произтичат основно от по-консервативните очаквания на Комисията относно динамиката на потреблението на домакинствата, обусловени от прогнози за по-умерено нарастване на доходите и заетостта.</w:t>
      </w:r>
    </w:p>
    <w:p w14:paraId="7095BAE6" w14:textId="77777777" w:rsidR="00761800" w:rsidRPr="00761800" w:rsidRDefault="00761800" w:rsidP="00761800">
      <w:pPr>
        <w:spacing w:after="120"/>
        <w:jc w:val="both"/>
        <w:rPr>
          <w:rFonts w:ascii="Times New Roman" w:hAnsi="Times New Roman"/>
          <w:szCs w:val="24"/>
          <w:lang w:eastAsia="bg-BG"/>
        </w:rPr>
      </w:pPr>
    </w:p>
    <w:p w14:paraId="3B2FF1EE" w14:textId="7276B95D" w:rsidR="00761800" w:rsidRPr="00761800" w:rsidRDefault="00761800" w:rsidP="00761800">
      <w:pPr>
        <w:keepNext/>
        <w:spacing w:after="120"/>
        <w:ind w:left="1418" w:hanging="1418"/>
        <w:rPr>
          <w:rFonts w:ascii="Times New Roman" w:hAnsi="Times New Roman"/>
          <w:b/>
          <w:bCs/>
          <w:szCs w:val="18"/>
          <w:lang w:eastAsia="bg-BG"/>
        </w:rPr>
      </w:pPr>
      <w:bookmarkStart w:id="153" w:name="_Toc22660373"/>
      <w:bookmarkStart w:id="154" w:name="_Toc233185122"/>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4</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Сравнение на макроикономическата прогноза на МФ с прогнозата на ЕК</w:t>
      </w:r>
      <w:bookmarkEnd w:id="153"/>
      <w:bookmarkEnd w:id="154"/>
    </w:p>
    <w:tbl>
      <w:tblPr>
        <w:tblW w:w="5000" w:type="pct"/>
        <w:tblCellMar>
          <w:left w:w="70" w:type="dxa"/>
          <w:right w:w="70" w:type="dxa"/>
        </w:tblCellMar>
        <w:tblLook w:val="04A0" w:firstRow="1" w:lastRow="0" w:firstColumn="1" w:lastColumn="0" w:noHBand="0" w:noVBand="1"/>
      </w:tblPr>
      <w:tblGrid>
        <w:gridCol w:w="4424"/>
        <w:gridCol w:w="822"/>
        <w:gridCol w:w="954"/>
        <w:gridCol w:w="958"/>
        <w:gridCol w:w="956"/>
        <w:gridCol w:w="956"/>
      </w:tblGrid>
      <w:tr w:rsidR="00761800" w:rsidRPr="00761800" w14:paraId="6B7530E0" w14:textId="77777777" w:rsidTr="00406B4D">
        <w:trPr>
          <w:trHeight w:val="212"/>
          <w:tblHeader/>
        </w:trPr>
        <w:tc>
          <w:tcPr>
            <w:tcW w:w="2439" w:type="pct"/>
            <w:vMerge w:val="restart"/>
            <w:tcBorders>
              <w:top w:val="single" w:sz="4" w:space="0" w:color="auto"/>
              <w:left w:val="nil"/>
            </w:tcBorders>
            <w:shd w:val="clear" w:color="auto" w:fill="auto"/>
            <w:noWrap/>
            <w:vAlign w:val="center"/>
            <w:hideMark/>
          </w:tcPr>
          <w:p w14:paraId="3961125A" w14:textId="77777777" w:rsidR="00761800" w:rsidRPr="00761800" w:rsidRDefault="00761800" w:rsidP="00761800">
            <w:pPr>
              <w:jc w:val="center"/>
              <w:rPr>
                <w:rFonts w:ascii="Times New Roman" w:hAnsi="Times New Roman"/>
                <w:b/>
                <w:sz w:val="20"/>
                <w:lang w:eastAsia="bg-BG"/>
              </w:rPr>
            </w:pPr>
            <w:r w:rsidRPr="00761800">
              <w:rPr>
                <w:rFonts w:ascii="Times New Roman" w:hAnsi="Times New Roman"/>
                <w:b/>
                <w:sz w:val="20"/>
                <w:lang w:eastAsia="bg-BG"/>
              </w:rPr>
              <w:t>Основни макроикономически показатели</w:t>
            </w:r>
          </w:p>
        </w:tc>
        <w:tc>
          <w:tcPr>
            <w:tcW w:w="453" w:type="pct"/>
            <w:tcBorders>
              <w:top w:val="single" w:sz="4" w:space="0" w:color="auto"/>
              <w:left w:val="nil"/>
            </w:tcBorders>
          </w:tcPr>
          <w:p w14:paraId="5C09C6D5" w14:textId="77777777" w:rsidR="00761800" w:rsidRPr="00761800" w:rsidRDefault="00761800" w:rsidP="00761800">
            <w:pPr>
              <w:jc w:val="center"/>
              <w:rPr>
                <w:rFonts w:ascii="Times New Roman" w:hAnsi="Times New Roman"/>
                <w:b/>
                <w:sz w:val="20"/>
                <w:lang w:val="en-US" w:eastAsia="bg-BG"/>
              </w:rPr>
            </w:pPr>
            <w:r w:rsidRPr="00761800">
              <w:rPr>
                <w:rFonts w:ascii="Times New Roman" w:hAnsi="Times New Roman"/>
                <w:b/>
                <w:sz w:val="20"/>
                <w:lang w:eastAsia="bg-BG"/>
              </w:rPr>
              <w:t>202</w:t>
            </w:r>
            <w:r w:rsidRPr="00761800">
              <w:rPr>
                <w:rFonts w:ascii="Times New Roman" w:hAnsi="Times New Roman"/>
                <w:b/>
                <w:sz w:val="20"/>
                <w:lang w:val="en-US" w:eastAsia="bg-BG"/>
              </w:rPr>
              <w:t>5</w:t>
            </w:r>
          </w:p>
        </w:tc>
        <w:tc>
          <w:tcPr>
            <w:tcW w:w="1054" w:type="pct"/>
            <w:gridSpan w:val="2"/>
            <w:tcBorders>
              <w:top w:val="single" w:sz="4" w:space="0" w:color="auto"/>
              <w:left w:val="nil"/>
              <w:bottom w:val="single" w:sz="4" w:space="0" w:color="auto"/>
              <w:right w:val="nil"/>
            </w:tcBorders>
            <w:shd w:val="clear" w:color="auto" w:fill="auto"/>
            <w:noWrap/>
            <w:vAlign w:val="center"/>
            <w:hideMark/>
          </w:tcPr>
          <w:p w14:paraId="7E1DC5CC" w14:textId="77777777" w:rsidR="00761800" w:rsidRPr="00761800" w:rsidRDefault="00761800" w:rsidP="00761800">
            <w:pPr>
              <w:jc w:val="center"/>
              <w:rPr>
                <w:rFonts w:ascii="Times New Roman" w:hAnsi="Times New Roman"/>
                <w:b/>
                <w:sz w:val="20"/>
                <w:lang w:val="en-US" w:eastAsia="bg-BG"/>
              </w:rPr>
            </w:pPr>
            <w:r w:rsidRPr="00761800">
              <w:rPr>
                <w:rFonts w:ascii="Times New Roman" w:hAnsi="Times New Roman"/>
                <w:b/>
                <w:sz w:val="20"/>
                <w:lang w:eastAsia="bg-BG"/>
              </w:rPr>
              <w:t>202</w:t>
            </w:r>
            <w:r w:rsidRPr="00761800">
              <w:rPr>
                <w:rFonts w:ascii="Times New Roman" w:hAnsi="Times New Roman"/>
                <w:b/>
                <w:sz w:val="20"/>
                <w:lang w:val="en-US" w:eastAsia="bg-BG"/>
              </w:rPr>
              <w:t>6</w:t>
            </w:r>
          </w:p>
        </w:tc>
        <w:tc>
          <w:tcPr>
            <w:tcW w:w="1055" w:type="pct"/>
            <w:gridSpan w:val="2"/>
            <w:tcBorders>
              <w:top w:val="single" w:sz="4" w:space="0" w:color="auto"/>
              <w:left w:val="nil"/>
              <w:bottom w:val="single" w:sz="4" w:space="0" w:color="auto"/>
              <w:right w:val="nil"/>
            </w:tcBorders>
          </w:tcPr>
          <w:p w14:paraId="573A1CF1" w14:textId="77777777" w:rsidR="00761800" w:rsidRPr="00761800" w:rsidRDefault="00761800" w:rsidP="00761800">
            <w:pPr>
              <w:jc w:val="center"/>
              <w:rPr>
                <w:rFonts w:ascii="Times New Roman" w:hAnsi="Times New Roman"/>
                <w:b/>
                <w:sz w:val="20"/>
                <w:lang w:val="en-US" w:eastAsia="bg-BG"/>
              </w:rPr>
            </w:pPr>
            <w:r w:rsidRPr="00761800">
              <w:rPr>
                <w:rFonts w:ascii="Times New Roman" w:hAnsi="Times New Roman"/>
                <w:b/>
                <w:sz w:val="20"/>
                <w:lang w:eastAsia="bg-BG"/>
              </w:rPr>
              <w:t>202</w:t>
            </w:r>
            <w:r w:rsidRPr="00761800">
              <w:rPr>
                <w:rFonts w:ascii="Times New Roman" w:hAnsi="Times New Roman"/>
                <w:b/>
                <w:sz w:val="20"/>
                <w:lang w:val="en-US" w:eastAsia="bg-BG"/>
              </w:rPr>
              <w:t>7</w:t>
            </w:r>
          </w:p>
        </w:tc>
      </w:tr>
      <w:tr w:rsidR="00761800" w:rsidRPr="00761800" w14:paraId="01D1878F" w14:textId="77777777" w:rsidTr="00406B4D">
        <w:trPr>
          <w:trHeight w:val="386"/>
          <w:tblHeader/>
        </w:trPr>
        <w:tc>
          <w:tcPr>
            <w:tcW w:w="2439" w:type="pct"/>
            <w:vMerge/>
            <w:tcBorders>
              <w:left w:val="nil"/>
              <w:bottom w:val="single" w:sz="4" w:space="0" w:color="auto"/>
            </w:tcBorders>
            <w:shd w:val="clear" w:color="auto" w:fill="auto"/>
            <w:vAlign w:val="center"/>
            <w:hideMark/>
          </w:tcPr>
          <w:p w14:paraId="09E0EDBA" w14:textId="77777777" w:rsidR="00761800" w:rsidRPr="00761800" w:rsidRDefault="00761800" w:rsidP="00761800">
            <w:pPr>
              <w:jc w:val="both"/>
              <w:rPr>
                <w:rFonts w:ascii="Times New Roman" w:hAnsi="Times New Roman"/>
                <w:sz w:val="20"/>
                <w:lang w:eastAsia="bg-BG"/>
              </w:rPr>
            </w:pPr>
          </w:p>
        </w:tc>
        <w:tc>
          <w:tcPr>
            <w:tcW w:w="453" w:type="pct"/>
            <w:tcBorders>
              <w:left w:val="nil"/>
              <w:bottom w:val="single" w:sz="4" w:space="0" w:color="auto"/>
            </w:tcBorders>
          </w:tcPr>
          <w:p w14:paraId="150C9EDD" w14:textId="77777777" w:rsidR="00761800" w:rsidRPr="00761800" w:rsidRDefault="00761800" w:rsidP="00761800">
            <w:pPr>
              <w:jc w:val="center"/>
              <w:rPr>
                <w:rFonts w:ascii="Times New Roman" w:hAnsi="Times New Roman"/>
                <w:b/>
                <w:bCs/>
                <w:sz w:val="20"/>
                <w:lang w:eastAsia="bg-BG"/>
              </w:rPr>
            </w:pPr>
          </w:p>
        </w:tc>
        <w:tc>
          <w:tcPr>
            <w:tcW w:w="526" w:type="pct"/>
            <w:tcBorders>
              <w:top w:val="single" w:sz="4" w:space="0" w:color="auto"/>
              <w:left w:val="nil"/>
              <w:bottom w:val="single" w:sz="4" w:space="0" w:color="auto"/>
              <w:right w:val="nil"/>
            </w:tcBorders>
            <w:shd w:val="clear" w:color="auto" w:fill="auto"/>
            <w:noWrap/>
            <w:vAlign w:val="center"/>
            <w:hideMark/>
          </w:tcPr>
          <w:p w14:paraId="203730C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МФ</w:t>
            </w:r>
          </w:p>
        </w:tc>
        <w:tc>
          <w:tcPr>
            <w:tcW w:w="528" w:type="pct"/>
            <w:tcBorders>
              <w:top w:val="single" w:sz="4" w:space="0" w:color="auto"/>
              <w:left w:val="nil"/>
              <w:bottom w:val="single" w:sz="4" w:space="0" w:color="auto"/>
              <w:right w:val="nil"/>
            </w:tcBorders>
            <w:shd w:val="clear" w:color="auto" w:fill="auto"/>
            <w:noWrap/>
            <w:vAlign w:val="center"/>
            <w:hideMark/>
          </w:tcPr>
          <w:p w14:paraId="0057B18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ЕК</w:t>
            </w:r>
          </w:p>
        </w:tc>
        <w:tc>
          <w:tcPr>
            <w:tcW w:w="1055" w:type="pct"/>
            <w:gridSpan w:val="2"/>
            <w:tcBorders>
              <w:top w:val="single" w:sz="4" w:space="0" w:color="auto"/>
              <w:left w:val="nil"/>
              <w:bottom w:val="single" w:sz="4" w:space="0" w:color="auto"/>
              <w:right w:val="nil"/>
            </w:tcBorders>
            <w:vAlign w:val="center"/>
          </w:tcPr>
          <w:p w14:paraId="3F42D42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МФ</w:t>
            </w:r>
            <w:r w:rsidRPr="00761800">
              <w:rPr>
                <w:rFonts w:ascii="Times New Roman" w:hAnsi="Times New Roman"/>
                <w:b/>
                <w:bCs/>
                <w:sz w:val="20"/>
                <w:lang w:eastAsia="bg-BG"/>
              </w:rPr>
              <w:tab/>
              <w:t>ЕК</w:t>
            </w:r>
          </w:p>
        </w:tc>
      </w:tr>
      <w:tr w:rsidR="00761800" w:rsidRPr="00761800" w14:paraId="02CA5130" w14:textId="77777777" w:rsidTr="00406B4D">
        <w:trPr>
          <w:trHeight w:val="243"/>
        </w:trPr>
        <w:tc>
          <w:tcPr>
            <w:tcW w:w="2439" w:type="pct"/>
            <w:tcBorders>
              <w:top w:val="single" w:sz="4" w:space="0" w:color="auto"/>
              <w:left w:val="nil"/>
            </w:tcBorders>
            <w:shd w:val="clear" w:color="auto" w:fill="auto"/>
            <w:noWrap/>
            <w:vAlign w:val="center"/>
            <w:hideMark/>
          </w:tcPr>
          <w:p w14:paraId="5E4A1AF7" w14:textId="77777777" w:rsidR="00761800" w:rsidRPr="00761800" w:rsidRDefault="00761800" w:rsidP="00761800">
            <w:pPr>
              <w:ind w:firstLineChars="100" w:firstLine="200"/>
              <w:jc w:val="both"/>
              <w:rPr>
                <w:rFonts w:ascii="Times New Roman" w:hAnsi="Times New Roman"/>
                <w:sz w:val="20"/>
                <w:lang w:eastAsia="bg-BG"/>
              </w:rPr>
            </w:pPr>
            <w:r w:rsidRPr="00761800">
              <w:rPr>
                <w:rFonts w:ascii="Times New Roman" w:hAnsi="Times New Roman"/>
                <w:sz w:val="20"/>
                <w:lang w:eastAsia="bg-BG"/>
              </w:rPr>
              <w:t>БВП [реален растеж, %]</w:t>
            </w:r>
          </w:p>
        </w:tc>
        <w:tc>
          <w:tcPr>
            <w:tcW w:w="453" w:type="pct"/>
            <w:tcBorders>
              <w:top w:val="single" w:sz="4" w:space="0" w:color="auto"/>
              <w:left w:val="nil"/>
            </w:tcBorders>
          </w:tcPr>
          <w:p w14:paraId="5BF96167" w14:textId="77777777" w:rsidR="00761800" w:rsidRPr="00761800" w:rsidRDefault="00761800" w:rsidP="00761800">
            <w:pPr>
              <w:ind w:firstLineChars="100" w:firstLine="200"/>
              <w:jc w:val="center"/>
              <w:rPr>
                <w:rFonts w:ascii="Times New Roman" w:hAnsi="Times New Roman"/>
                <w:sz w:val="20"/>
                <w:lang w:val="en-US" w:eastAsia="bg-BG"/>
              </w:rPr>
            </w:pPr>
            <w:r w:rsidRPr="00761800">
              <w:rPr>
                <w:rFonts w:ascii="Times New Roman" w:hAnsi="Times New Roman"/>
                <w:sz w:val="20"/>
                <w:lang w:eastAsia="bg-BG"/>
              </w:rPr>
              <w:t>3,</w:t>
            </w:r>
            <w:r w:rsidRPr="00761800">
              <w:rPr>
                <w:rFonts w:ascii="Times New Roman" w:hAnsi="Times New Roman"/>
                <w:sz w:val="20"/>
                <w:lang w:val="en-US" w:eastAsia="bg-BG"/>
              </w:rPr>
              <w:t>1</w:t>
            </w:r>
          </w:p>
        </w:tc>
        <w:tc>
          <w:tcPr>
            <w:tcW w:w="526" w:type="pct"/>
            <w:tcBorders>
              <w:top w:val="single" w:sz="4" w:space="0" w:color="auto"/>
              <w:left w:val="nil"/>
              <w:right w:val="nil"/>
            </w:tcBorders>
            <w:shd w:val="clear" w:color="auto" w:fill="auto"/>
            <w:noWrap/>
            <w:vAlign w:val="center"/>
          </w:tcPr>
          <w:p w14:paraId="091A9DF0" w14:textId="77777777" w:rsidR="00761800" w:rsidRPr="00761800" w:rsidRDefault="00761800" w:rsidP="00761800">
            <w:pPr>
              <w:ind w:firstLineChars="100" w:firstLine="200"/>
              <w:jc w:val="center"/>
              <w:rPr>
                <w:rFonts w:ascii="Times New Roman" w:hAnsi="Times New Roman"/>
                <w:sz w:val="20"/>
                <w:lang w:eastAsia="bg-BG"/>
              </w:rPr>
            </w:pPr>
            <w:r w:rsidRPr="00761800">
              <w:rPr>
                <w:rFonts w:ascii="Times New Roman" w:hAnsi="Times New Roman"/>
                <w:sz w:val="20"/>
                <w:lang w:val="en-US" w:eastAsia="bg-BG"/>
              </w:rPr>
              <w:t>2</w:t>
            </w:r>
            <w:r w:rsidRPr="00761800">
              <w:rPr>
                <w:rFonts w:ascii="Times New Roman" w:hAnsi="Times New Roman"/>
                <w:sz w:val="20"/>
                <w:lang w:eastAsia="bg-BG"/>
              </w:rPr>
              <w:t>,6</w:t>
            </w:r>
          </w:p>
        </w:tc>
        <w:tc>
          <w:tcPr>
            <w:tcW w:w="528" w:type="pct"/>
            <w:tcBorders>
              <w:top w:val="single" w:sz="4" w:space="0" w:color="auto"/>
              <w:left w:val="nil"/>
              <w:right w:val="nil"/>
            </w:tcBorders>
            <w:shd w:val="clear" w:color="auto" w:fill="auto"/>
            <w:noWrap/>
            <w:vAlign w:val="center"/>
          </w:tcPr>
          <w:p w14:paraId="5D29BAC8" w14:textId="77777777" w:rsidR="00761800" w:rsidRPr="00761800" w:rsidRDefault="00761800" w:rsidP="00761800">
            <w:pPr>
              <w:ind w:firstLineChars="100" w:firstLine="200"/>
              <w:jc w:val="center"/>
              <w:rPr>
                <w:rFonts w:ascii="Times New Roman" w:hAnsi="Times New Roman"/>
                <w:sz w:val="20"/>
                <w:lang w:val="en-US" w:eastAsia="bg-BG"/>
              </w:rPr>
            </w:pPr>
            <w:r w:rsidRPr="00761800">
              <w:rPr>
                <w:rFonts w:ascii="Times New Roman" w:hAnsi="Times New Roman"/>
                <w:sz w:val="20"/>
                <w:lang w:eastAsia="bg-BG"/>
              </w:rPr>
              <w:t>2,</w:t>
            </w:r>
            <w:r w:rsidRPr="00761800">
              <w:rPr>
                <w:rFonts w:ascii="Times New Roman" w:hAnsi="Times New Roman"/>
                <w:sz w:val="20"/>
                <w:lang w:val="en-US" w:eastAsia="bg-BG"/>
              </w:rPr>
              <w:t>5</w:t>
            </w:r>
          </w:p>
        </w:tc>
        <w:tc>
          <w:tcPr>
            <w:tcW w:w="527" w:type="pct"/>
            <w:tcBorders>
              <w:top w:val="single" w:sz="4" w:space="0" w:color="auto"/>
              <w:left w:val="nil"/>
              <w:right w:val="nil"/>
            </w:tcBorders>
            <w:vAlign w:val="center"/>
          </w:tcPr>
          <w:p w14:paraId="24EF6625" w14:textId="77777777" w:rsidR="00761800" w:rsidRPr="00761800" w:rsidRDefault="00761800" w:rsidP="00761800">
            <w:pPr>
              <w:ind w:firstLineChars="100" w:firstLine="200"/>
              <w:jc w:val="center"/>
              <w:rPr>
                <w:rFonts w:ascii="Times New Roman" w:hAnsi="Times New Roman"/>
                <w:sz w:val="20"/>
                <w:lang w:eastAsia="bg-BG"/>
              </w:rPr>
            </w:pPr>
            <w:r w:rsidRPr="00761800">
              <w:rPr>
                <w:rFonts w:ascii="Times New Roman" w:hAnsi="Times New Roman"/>
                <w:sz w:val="20"/>
                <w:lang w:eastAsia="bg-BG"/>
              </w:rPr>
              <w:t>2,5</w:t>
            </w:r>
          </w:p>
        </w:tc>
        <w:tc>
          <w:tcPr>
            <w:tcW w:w="527" w:type="pct"/>
            <w:tcBorders>
              <w:top w:val="single" w:sz="4" w:space="0" w:color="auto"/>
              <w:left w:val="nil"/>
              <w:right w:val="nil"/>
            </w:tcBorders>
            <w:vAlign w:val="center"/>
          </w:tcPr>
          <w:p w14:paraId="0F2E6AF7" w14:textId="77777777" w:rsidR="00761800" w:rsidRPr="00761800" w:rsidRDefault="00761800" w:rsidP="00761800">
            <w:pPr>
              <w:ind w:firstLineChars="100" w:firstLine="200"/>
              <w:jc w:val="center"/>
              <w:rPr>
                <w:rFonts w:ascii="Times New Roman" w:hAnsi="Times New Roman"/>
                <w:sz w:val="20"/>
                <w:lang w:val="en-US" w:eastAsia="bg-BG"/>
              </w:rPr>
            </w:pPr>
            <w:r w:rsidRPr="00761800">
              <w:rPr>
                <w:rFonts w:ascii="Times New Roman" w:hAnsi="Times New Roman"/>
                <w:sz w:val="20"/>
                <w:lang w:eastAsia="bg-BG"/>
              </w:rPr>
              <w:t>2,</w:t>
            </w:r>
            <w:r w:rsidRPr="00761800">
              <w:rPr>
                <w:rFonts w:ascii="Times New Roman" w:hAnsi="Times New Roman"/>
                <w:sz w:val="20"/>
                <w:lang w:val="en-US" w:eastAsia="bg-BG"/>
              </w:rPr>
              <w:t>2</w:t>
            </w:r>
          </w:p>
        </w:tc>
      </w:tr>
      <w:tr w:rsidR="00761800" w:rsidRPr="00761800" w14:paraId="5A28A76D" w14:textId="77777777" w:rsidTr="00406B4D">
        <w:trPr>
          <w:trHeight w:val="243"/>
        </w:trPr>
        <w:tc>
          <w:tcPr>
            <w:tcW w:w="2439" w:type="pct"/>
            <w:tcBorders>
              <w:top w:val="nil"/>
              <w:left w:val="nil"/>
            </w:tcBorders>
            <w:shd w:val="clear" w:color="auto" w:fill="auto"/>
            <w:vAlign w:val="center"/>
          </w:tcPr>
          <w:p w14:paraId="26994E8B" w14:textId="77777777" w:rsidR="00761800" w:rsidRPr="00761800" w:rsidRDefault="00761800" w:rsidP="00761800">
            <w:pPr>
              <w:ind w:firstLineChars="100" w:firstLine="200"/>
              <w:jc w:val="both"/>
              <w:rPr>
                <w:rFonts w:ascii="Times New Roman" w:hAnsi="Times New Roman"/>
                <w:sz w:val="20"/>
                <w:lang w:eastAsia="bg-BG"/>
              </w:rPr>
            </w:pPr>
            <w:r w:rsidRPr="00761800">
              <w:rPr>
                <w:rFonts w:ascii="Times New Roman" w:hAnsi="Times New Roman"/>
                <w:sz w:val="20"/>
                <w:lang w:eastAsia="bg-BG"/>
              </w:rPr>
              <w:t xml:space="preserve">Заетост </w:t>
            </w:r>
            <w:r w:rsidRPr="00761800">
              <w:rPr>
                <w:rFonts w:ascii="Times New Roman" w:hAnsi="Times New Roman"/>
                <w:sz w:val="20"/>
                <w:lang w:val="en-US" w:eastAsia="bg-BG"/>
              </w:rPr>
              <w:t>(</w:t>
            </w:r>
            <w:r w:rsidRPr="00761800">
              <w:rPr>
                <w:rFonts w:ascii="Times New Roman" w:hAnsi="Times New Roman"/>
                <w:sz w:val="20"/>
                <w:lang w:eastAsia="bg-BG"/>
              </w:rPr>
              <w:t>СНС</w:t>
            </w:r>
            <w:r w:rsidRPr="00761800">
              <w:rPr>
                <w:rFonts w:ascii="Times New Roman" w:hAnsi="Times New Roman"/>
                <w:sz w:val="20"/>
                <w:lang w:val="en-US" w:eastAsia="bg-BG"/>
              </w:rPr>
              <w:t>)</w:t>
            </w:r>
            <w:r w:rsidRPr="00761800">
              <w:rPr>
                <w:rFonts w:ascii="Times New Roman" w:hAnsi="Times New Roman"/>
                <w:sz w:val="20"/>
                <w:lang w:eastAsia="bg-BG"/>
              </w:rPr>
              <w:t xml:space="preserve"> [%]</w:t>
            </w:r>
          </w:p>
        </w:tc>
        <w:tc>
          <w:tcPr>
            <w:tcW w:w="453" w:type="pct"/>
            <w:tcBorders>
              <w:top w:val="nil"/>
              <w:left w:val="nil"/>
            </w:tcBorders>
          </w:tcPr>
          <w:p w14:paraId="6266F580" w14:textId="77777777" w:rsidR="00761800" w:rsidRPr="00761800" w:rsidRDefault="00761800" w:rsidP="00761800">
            <w:pPr>
              <w:ind w:firstLineChars="100" w:firstLine="200"/>
              <w:jc w:val="center"/>
              <w:rPr>
                <w:rFonts w:ascii="Times New Roman" w:hAnsi="Times New Roman"/>
                <w:sz w:val="20"/>
                <w:lang w:eastAsia="bg-BG"/>
              </w:rPr>
            </w:pPr>
            <w:r w:rsidRPr="00761800">
              <w:rPr>
                <w:rFonts w:ascii="Times New Roman" w:hAnsi="Times New Roman"/>
                <w:sz w:val="20"/>
                <w:lang w:eastAsia="bg-BG"/>
              </w:rPr>
              <w:t>2,2</w:t>
            </w:r>
          </w:p>
        </w:tc>
        <w:tc>
          <w:tcPr>
            <w:tcW w:w="526" w:type="pct"/>
            <w:tcBorders>
              <w:top w:val="nil"/>
              <w:left w:val="nil"/>
              <w:right w:val="nil"/>
            </w:tcBorders>
            <w:shd w:val="clear" w:color="auto" w:fill="auto"/>
            <w:noWrap/>
            <w:vAlign w:val="center"/>
          </w:tcPr>
          <w:p w14:paraId="22E51987" w14:textId="77777777" w:rsidR="00761800" w:rsidRPr="00761800" w:rsidRDefault="00761800" w:rsidP="00761800">
            <w:pPr>
              <w:ind w:firstLineChars="100" w:firstLine="200"/>
              <w:jc w:val="center"/>
              <w:rPr>
                <w:rFonts w:ascii="Times New Roman" w:hAnsi="Times New Roman"/>
                <w:sz w:val="20"/>
                <w:lang w:eastAsia="bg-BG"/>
              </w:rPr>
            </w:pPr>
            <w:r w:rsidRPr="00761800">
              <w:rPr>
                <w:rFonts w:ascii="Times New Roman" w:hAnsi="Times New Roman"/>
                <w:sz w:val="20"/>
                <w:lang w:eastAsia="bg-BG"/>
              </w:rPr>
              <w:t>0,6</w:t>
            </w:r>
          </w:p>
        </w:tc>
        <w:tc>
          <w:tcPr>
            <w:tcW w:w="528" w:type="pct"/>
            <w:tcBorders>
              <w:top w:val="nil"/>
              <w:left w:val="nil"/>
              <w:right w:val="nil"/>
            </w:tcBorders>
            <w:shd w:val="clear" w:color="auto" w:fill="auto"/>
            <w:noWrap/>
            <w:vAlign w:val="center"/>
          </w:tcPr>
          <w:p w14:paraId="4A110458" w14:textId="77777777" w:rsidR="00761800" w:rsidRPr="00761800" w:rsidRDefault="00761800" w:rsidP="00761800">
            <w:pPr>
              <w:ind w:firstLineChars="100" w:firstLine="200"/>
              <w:jc w:val="center"/>
              <w:rPr>
                <w:rFonts w:ascii="Times New Roman" w:hAnsi="Times New Roman"/>
                <w:sz w:val="20"/>
                <w:lang w:val="en-US" w:eastAsia="bg-BG"/>
              </w:rPr>
            </w:pPr>
            <w:r w:rsidRPr="00761800">
              <w:rPr>
                <w:rFonts w:ascii="Times New Roman" w:hAnsi="Times New Roman"/>
                <w:sz w:val="20"/>
                <w:lang w:eastAsia="bg-BG"/>
              </w:rPr>
              <w:t>0,</w:t>
            </w:r>
            <w:r w:rsidRPr="00761800">
              <w:rPr>
                <w:rFonts w:ascii="Times New Roman" w:hAnsi="Times New Roman"/>
                <w:sz w:val="20"/>
                <w:lang w:val="en-US" w:eastAsia="bg-BG"/>
              </w:rPr>
              <w:t>3</w:t>
            </w:r>
          </w:p>
        </w:tc>
        <w:tc>
          <w:tcPr>
            <w:tcW w:w="527" w:type="pct"/>
            <w:tcBorders>
              <w:left w:val="nil"/>
              <w:right w:val="nil"/>
            </w:tcBorders>
            <w:vAlign w:val="center"/>
          </w:tcPr>
          <w:p w14:paraId="09E07592" w14:textId="77777777" w:rsidR="00761800" w:rsidRPr="00761800" w:rsidRDefault="00761800" w:rsidP="00761800">
            <w:pPr>
              <w:ind w:firstLineChars="100" w:firstLine="200"/>
              <w:jc w:val="center"/>
              <w:rPr>
                <w:rFonts w:ascii="Times New Roman" w:hAnsi="Times New Roman"/>
                <w:sz w:val="20"/>
                <w:lang w:eastAsia="bg-BG"/>
              </w:rPr>
            </w:pPr>
            <w:r w:rsidRPr="00761800">
              <w:rPr>
                <w:rFonts w:ascii="Times New Roman" w:hAnsi="Times New Roman"/>
                <w:sz w:val="20"/>
                <w:lang w:eastAsia="bg-BG"/>
              </w:rPr>
              <w:t>0,4</w:t>
            </w:r>
          </w:p>
        </w:tc>
        <w:tc>
          <w:tcPr>
            <w:tcW w:w="527" w:type="pct"/>
            <w:tcBorders>
              <w:left w:val="nil"/>
              <w:right w:val="nil"/>
            </w:tcBorders>
            <w:vAlign w:val="center"/>
          </w:tcPr>
          <w:p w14:paraId="030B0E1A" w14:textId="77777777" w:rsidR="00761800" w:rsidRPr="00761800" w:rsidRDefault="00761800" w:rsidP="00761800">
            <w:pPr>
              <w:ind w:firstLineChars="100" w:firstLine="200"/>
              <w:jc w:val="center"/>
              <w:rPr>
                <w:rFonts w:ascii="Times New Roman" w:hAnsi="Times New Roman"/>
                <w:sz w:val="20"/>
                <w:lang w:val="en-US" w:eastAsia="bg-BG"/>
              </w:rPr>
            </w:pPr>
            <w:r w:rsidRPr="00761800">
              <w:rPr>
                <w:rFonts w:ascii="Times New Roman" w:hAnsi="Times New Roman"/>
                <w:sz w:val="20"/>
                <w:lang w:eastAsia="bg-BG"/>
              </w:rPr>
              <w:t>0,</w:t>
            </w:r>
            <w:r w:rsidRPr="00761800">
              <w:rPr>
                <w:rFonts w:ascii="Times New Roman" w:hAnsi="Times New Roman"/>
                <w:sz w:val="20"/>
                <w:lang w:val="en-US" w:eastAsia="bg-BG"/>
              </w:rPr>
              <w:t>2</w:t>
            </w:r>
          </w:p>
        </w:tc>
      </w:tr>
      <w:tr w:rsidR="00761800" w:rsidRPr="00761800" w14:paraId="0FC40ABC" w14:textId="77777777" w:rsidTr="00406B4D">
        <w:trPr>
          <w:trHeight w:val="243"/>
        </w:trPr>
        <w:tc>
          <w:tcPr>
            <w:tcW w:w="2439" w:type="pct"/>
            <w:tcBorders>
              <w:left w:val="nil"/>
              <w:bottom w:val="single" w:sz="4" w:space="0" w:color="auto"/>
            </w:tcBorders>
            <w:shd w:val="clear" w:color="auto" w:fill="auto"/>
            <w:vAlign w:val="center"/>
            <w:hideMark/>
          </w:tcPr>
          <w:p w14:paraId="64ABF257" w14:textId="77777777" w:rsidR="00761800" w:rsidRPr="00761800" w:rsidRDefault="00761800" w:rsidP="00761800">
            <w:pPr>
              <w:ind w:firstLineChars="100" w:firstLine="200"/>
              <w:jc w:val="both"/>
              <w:rPr>
                <w:rFonts w:ascii="Times New Roman" w:hAnsi="Times New Roman"/>
                <w:sz w:val="20"/>
                <w:lang w:eastAsia="bg-BG"/>
              </w:rPr>
            </w:pPr>
            <w:r w:rsidRPr="00761800">
              <w:rPr>
                <w:rFonts w:ascii="Times New Roman" w:hAnsi="Times New Roman"/>
                <w:sz w:val="20"/>
                <w:lang w:eastAsia="bg-BG"/>
              </w:rPr>
              <w:t>Средногодишна инфлация (ХИПЦ) [%]</w:t>
            </w:r>
          </w:p>
        </w:tc>
        <w:tc>
          <w:tcPr>
            <w:tcW w:w="453" w:type="pct"/>
            <w:tcBorders>
              <w:left w:val="nil"/>
              <w:bottom w:val="single" w:sz="4" w:space="0" w:color="auto"/>
            </w:tcBorders>
          </w:tcPr>
          <w:p w14:paraId="337CDA1C" w14:textId="77777777" w:rsidR="00761800" w:rsidRPr="00761800" w:rsidRDefault="00761800" w:rsidP="00761800">
            <w:pPr>
              <w:ind w:firstLineChars="100" w:firstLine="200"/>
              <w:jc w:val="center"/>
              <w:rPr>
                <w:rFonts w:ascii="Times New Roman" w:hAnsi="Times New Roman"/>
                <w:sz w:val="20"/>
                <w:lang w:eastAsia="bg-BG"/>
              </w:rPr>
            </w:pPr>
            <w:r w:rsidRPr="00761800">
              <w:rPr>
                <w:rFonts w:ascii="Times New Roman" w:hAnsi="Times New Roman"/>
                <w:sz w:val="20"/>
                <w:lang w:eastAsia="bg-BG"/>
              </w:rPr>
              <w:t>3,5</w:t>
            </w:r>
          </w:p>
        </w:tc>
        <w:tc>
          <w:tcPr>
            <w:tcW w:w="526" w:type="pct"/>
            <w:tcBorders>
              <w:left w:val="nil"/>
              <w:bottom w:val="single" w:sz="4" w:space="0" w:color="auto"/>
              <w:right w:val="nil"/>
            </w:tcBorders>
            <w:shd w:val="clear" w:color="auto" w:fill="auto"/>
            <w:noWrap/>
            <w:vAlign w:val="center"/>
          </w:tcPr>
          <w:p w14:paraId="57C82A3B" w14:textId="77777777" w:rsidR="00761800" w:rsidRPr="00761800" w:rsidRDefault="00761800" w:rsidP="00761800">
            <w:pPr>
              <w:ind w:firstLineChars="100" w:firstLine="200"/>
              <w:jc w:val="center"/>
              <w:rPr>
                <w:rFonts w:ascii="Times New Roman" w:hAnsi="Times New Roman"/>
                <w:sz w:val="20"/>
                <w:lang w:eastAsia="bg-BG"/>
              </w:rPr>
            </w:pPr>
            <w:r w:rsidRPr="00761800">
              <w:rPr>
                <w:rFonts w:ascii="Times New Roman" w:hAnsi="Times New Roman"/>
                <w:sz w:val="20"/>
                <w:lang w:eastAsia="bg-BG"/>
              </w:rPr>
              <w:t>4,3</w:t>
            </w:r>
          </w:p>
        </w:tc>
        <w:tc>
          <w:tcPr>
            <w:tcW w:w="528" w:type="pct"/>
            <w:tcBorders>
              <w:left w:val="nil"/>
              <w:bottom w:val="single" w:sz="4" w:space="0" w:color="auto"/>
              <w:right w:val="nil"/>
            </w:tcBorders>
            <w:shd w:val="clear" w:color="auto" w:fill="auto"/>
            <w:noWrap/>
            <w:vAlign w:val="center"/>
          </w:tcPr>
          <w:p w14:paraId="3508ECE8" w14:textId="77777777" w:rsidR="00761800" w:rsidRPr="00761800" w:rsidRDefault="00761800" w:rsidP="00761800">
            <w:pPr>
              <w:ind w:firstLineChars="100" w:firstLine="200"/>
              <w:jc w:val="center"/>
              <w:rPr>
                <w:rFonts w:ascii="Times New Roman" w:hAnsi="Times New Roman"/>
                <w:sz w:val="20"/>
                <w:lang w:val="en-US" w:eastAsia="bg-BG"/>
              </w:rPr>
            </w:pPr>
            <w:r w:rsidRPr="00761800">
              <w:rPr>
                <w:rFonts w:ascii="Times New Roman" w:hAnsi="Times New Roman"/>
                <w:sz w:val="20"/>
                <w:lang w:val="en-US" w:eastAsia="bg-BG"/>
              </w:rPr>
              <w:t>4,2</w:t>
            </w:r>
          </w:p>
        </w:tc>
        <w:tc>
          <w:tcPr>
            <w:tcW w:w="527" w:type="pct"/>
            <w:tcBorders>
              <w:left w:val="nil"/>
              <w:bottom w:val="single" w:sz="4" w:space="0" w:color="auto"/>
              <w:right w:val="nil"/>
            </w:tcBorders>
            <w:vAlign w:val="center"/>
          </w:tcPr>
          <w:p w14:paraId="32754118" w14:textId="77777777" w:rsidR="00761800" w:rsidRPr="00761800" w:rsidRDefault="00761800" w:rsidP="00761800">
            <w:pPr>
              <w:ind w:firstLineChars="100" w:firstLine="200"/>
              <w:jc w:val="center"/>
              <w:rPr>
                <w:rFonts w:ascii="Times New Roman" w:hAnsi="Times New Roman"/>
                <w:sz w:val="20"/>
                <w:lang w:eastAsia="bg-BG"/>
              </w:rPr>
            </w:pPr>
            <w:r w:rsidRPr="00761800">
              <w:rPr>
                <w:rFonts w:ascii="Times New Roman" w:hAnsi="Times New Roman"/>
                <w:sz w:val="20"/>
                <w:lang w:eastAsia="bg-BG"/>
              </w:rPr>
              <w:t>3,8</w:t>
            </w:r>
          </w:p>
        </w:tc>
        <w:tc>
          <w:tcPr>
            <w:tcW w:w="527" w:type="pct"/>
            <w:tcBorders>
              <w:left w:val="nil"/>
              <w:bottom w:val="single" w:sz="4" w:space="0" w:color="auto"/>
              <w:right w:val="nil"/>
            </w:tcBorders>
            <w:vAlign w:val="center"/>
          </w:tcPr>
          <w:p w14:paraId="574F1421" w14:textId="77777777" w:rsidR="00761800" w:rsidRPr="00761800" w:rsidRDefault="00761800" w:rsidP="00761800">
            <w:pPr>
              <w:ind w:firstLineChars="100" w:firstLine="200"/>
              <w:jc w:val="center"/>
              <w:rPr>
                <w:rFonts w:ascii="Times New Roman" w:hAnsi="Times New Roman"/>
                <w:sz w:val="20"/>
                <w:lang w:val="en-US" w:eastAsia="bg-BG"/>
              </w:rPr>
            </w:pPr>
            <w:r w:rsidRPr="00761800">
              <w:rPr>
                <w:rFonts w:ascii="Times New Roman" w:hAnsi="Times New Roman"/>
                <w:sz w:val="20"/>
                <w:lang w:val="en-US" w:eastAsia="bg-BG"/>
              </w:rPr>
              <w:t>2,6</w:t>
            </w:r>
          </w:p>
        </w:tc>
      </w:tr>
    </w:tbl>
    <w:p w14:paraId="6EDC927B" w14:textId="77777777" w:rsidR="00761800" w:rsidRPr="00761800" w:rsidRDefault="00761800" w:rsidP="00761800">
      <w:pPr>
        <w:spacing w:before="120" w:after="200"/>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Източник: ЕК, МФ</w:t>
      </w:r>
    </w:p>
    <w:p w14:paraId="1EEC5DC4"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И двете институции очакват значително забавяне в темповете на растеж на заетостта през 2026 и 2027 г. в сравнение с 2025 г., но на ЕК са по-ниски от МФ. Може би това се дължи </w:t>
      </w:r>
      <w:r w:rsidRPr="00761800">
        <w:rPr>
          <w:rFonts w:ascii="Times New Roman" w:hAnsi="Times New Roman"/>
          <w:szCs w:val="24"/>
          <w:lang w:eastAsia="bg-BG"/>
        </w:rPr>
        <w:lastRenderedPageBreak/>
        <w:t>на факта, че ЕК прогнозира по-ниски темпове на реален растеж на БВП през прогнозния период от МФ.</w:t>
      </w:r>
    </w:p>
    <w:p w14:paraId="6CD5DD0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Прогнозите на МФ и на ЕК по отношение на инфлацията през 2026 г. са близки. През 2027 г. МФ очаква средногодишна инфлация от 3,8%, а ЕК – 2,6%. Разликите могат да се дължат на различни фактори, но в прогнозата на Комисията прави впечатление, че те очакват по-ниско нарастване на заплащането на труда през 2027 г., което се отразява в по-ниско платежоспособно търсене на домакинствата, както и в по-ниско нарастване на номиналните разходи за труд в икономиката в сравнение с прогнозата на МФ. </w:t>
      </w:r>
    </w:p>
    <w:p w14:paraId="638D318E" w14:textId="77777777" w:rsidR="00761800" w:rsidRPr="00761800" w:rsidRDefault="00761800" w:rsidP="00761800">
      <w:pPr>
        <w:spacing w:before="120" w:after="200"/>
        <w:jc w:val="both"/>
        <w:rPr>
          <w:rFonts w:ascii="Times New Roman" w:eastAsia="Batang" w:hAnsi="Times New Roman"/>
          <w:sz w:val="18"/>
          <w:szCs w:val="18"/>
          <w:lang w:eastAsia="bg-BG"/>
        </w:rPr>
      </w:pPr>
    </w:p>
    <w:p w14:paraId="3AB2F086" w14:textId="77777777" w:rsidR="00761800" w:rsidRPr="00761800" w:rsidRDefault="00761800" w:rsidP="00761800">
      <w:pPr>
        <w:spacing w:after="120"/>
        <w:jc w:val="both"/>
        <w:rPr>
          <w:rFonts w:ascii="Times New Roman" w:hAnsi="Times New Roman"/>
          <w:szCs w:val="24"/>
          <w:lang w:eastAsia="bg-BG"/>
        </w:rPr>
        <w:sectPr w:rsidR="00761800" w:rsidRPr="00761800" w:rsidSect="00406B4D">
          <w:headerReference w:type="first" r:id="rId21"/>
          <w:type w:val="oddPage"/>
          <w:pgSz w:w="11906" w:h="16838" w:code="9"/>
          <w:pgMar w:top="1418" w:right="1418" w:bottom="851" w:left="1418" w:header="708" w:footer="708" w:gutter="0"/>
          <w:cols w:space="708"/>
          <w:titlePg/>
          <w:docGrid w:linePitch="360"/>
        </w:sectPr>
      </w:pPr>
    </w:p>
    <w:bookmarkStart w:id="155" w:name="_Toc464458972"/>
    <w:bookmarkStart w:id="156" w:name="_Toc464459718"/>
    <w:bookmarkStart w:id="157" w:name="_Toc464460673"/>
    <w:bookmarkStart w:id="158" w:name="_Toc464463072"/>
    <w:bookmarkStart w:id="159" w:name="_Toc464464899"/>
    <w:bookmarkStart w:id="160" w:name="_Toc464465405"/>
    <w:bookmarkStart w:id="161" w:name="_Toc464465593"/>
    <w:bookmarkStart w:id="162" w:name="_Toc464466418"/>
    <w:bookmarkStart w:id="163" w:name="_Toc464466662"/>
    <w:bookmarkStart w:id="164" w:name="_Toc464466724"/>
    <w:bookmarkStart w:id="165" w:name="_Toc464470222"/>
    <w:bookmarkStart w:id="166" w:name="_Toc464644968"/>
    <w:bookmarkStart w:id="167" w:name="_Toc464646354"/>
    <w:bookmarkStart w:id="168" w:name="_Toc233717474"/>
    <w:bookmarkStart w:id="169" w:name="_Toc464224775"/>
    <w:bookmarkStart w:id="170" w:name="_Toc464225425"/>
    <w:p w14:paraId="7DC219A5" w14:textId="77777777" w:rsidR="00761800" w:rsidRPr="00761800" w:rsidRDefault="00761800" w:rsidP="00761800">
      <w:pPr>
        <w:keepNext/>
        <w:keepLines/>
        <w:spacing w:before="120" w:after="1080"/>
        <w:outlineLvl w:val="0"/>
        <w:rPr>
          <w:rFonts w:ascii="Times New Roman" w:hAnsi="Times New Roman"/>
          <w:bCs/>
          <w:spacing w:val="10"/>
          <w:sz w:val="52"/>
          <w:szCs w:val="28"/>
          <w:lang w:eastAsia="bg-BG"/>
        </w:rPr>
      </w:pPr>
      <w:r w:rsidRPr="00761800">
        <w:rPr>
          <w:rFonts w:ascii="Times New Roman" w:hAnsi="Times New Roman"/>
          <w:bCs/>
          <w:noProof/>
          <w:color w:val="852010"/>
          <w:spacing w:val="10"/>
          <w:sz w:val="52"/>
          <w:szCs w:val="28"/>
          <w:lang w:eastAsia="bg-BG"/>
        </w:rPr>
        <w:lastRenderedPageBreak/>
        <mc:AlternateContent>
          <mc:Choice Requires="wps">
            <w:drawing>
              <wp:anchor distT="0" distB="0" distL="114300" distR="114300" simplePos="0" relativeHeight="251831808" behindDoc="0" locked="0" layoutInCell="1" allowOverlap="1" wp14:anchorId="6850C7B7" wp14:editId="7E0AA16D">
                <wp:simplePos x="0" y="0"/>
                <wp:positionH relativeFrom="column">
                  <wp:posOffset>-911225</wp:posOffset>
                </wp:positionH>
                <wp:positionV relativeFrom="paragraph">
                  <wp:posOffset>1405255</wp:posOffset>
                </wp:positionV>
                <wp:extent cx="7560310" cy="0"/>
                <wp:effectExtent l="0" t="0" r="21590" b="19050"/>
                <wp:wrapNone/>
                <wp:docPr id="38" name="Straight Connector 38"/>
                <wp:cNvGraphicFramePr/>
                <a:graphic xmlns:a="http://schemas.openxmlformats.org/drawingml/2006/main">
                  <a:graphicData uri="http://schemas.microsoft.com/office/word/2010/wordprocessingShape">
                    <wps:wsp>
                      <wps:cNvCnPr/>
                      <wps:spPr>
                        <a:xfrm>
                          <a:off x="0" y="0"/>
                          <a:ext cx="7560310" cy="0"/>
                        </a:xfrm>
                        <a:prstGeom prst="line">
                          <a:avLst/>
                        </a:prstGeom>
                        <a:noFill/>
                        <a:ln w="9525" cap="flat" cmpd="sng" algn="ctr">
                          <a:solidFill>
                            <a:srgbClr val="B32C16"/>
                          </a:solidFill>
                          <a:prstDash val="solid"/>
                        </a:ln>
                        <a:effectLst/>
                      </wps:spPr>
                      <wps:bodyPr/>
                    </wps:wsp>
                  </a:graphicData>
                </a:graphic>
              </wp:anchor>
            </w:drawing>
          </mc:Choice>
          <mc:Fallback>
            <w:pict>
              <v:line w14:anchorId="7B539DA1" id="Straight Connector 38" o:spid="_x0000_s1026" style="position:absolute;z-index:251831808;visibility:visible;mso-wrap-style:square;mso-wrap-distance-left:9pt;mso-wrap-distance-top:0;mso-wrap-distance-right:9pt;mso-wrap-distance-bottom:0;mso-position-horizontal:absolute;mso-position-horizontal-relative:text;mso-position-vertical:absolute;mso-position-vertical-relative:text" from="-71.75pt,110.65pt" to="523.55pt,1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" strokecolor="#b32c16"/>
            </w:pict>
          </mc:Fallback>
        </mc:AlternateContent>
      </w:r>
      <w:r w:rsidRPr="00761800">
        <w:rPr>
          <w:rFonts w:ascii="Times New Roman" w:hAnsi="Times New Roman"/>
          <w:bCs/>
          <w:noProof/>
          <w:color w:val="852010"/>
          <w:spacing w:val="10"/>
          <w:sz w:val="52"/>
          <w:szCs w:val="28"/>
          <w:lang w:eastAsia="bg-BG"/>
        </w:rPr>
        <mc:AlternateContent>
          <mc:Choice Requires="wps">
            <w:drawing>
              <wp:anchor distT="0" distB="0" distL="114300" distR="114300" simplePos="0" relativeHeight="251829760" behindDoc="1" locked="0" layoutInCell="1" allowOverlap="1" wp14:anchorId="78DFCCA7" wp14:editId="3CBB1ED3">
                <wp:simplePos x="0" y="0"/>
                <wp:positionH relativeFrom="page">
                  <wp:posOffset>0</wp:posOffset>
                </wp:positionH>
                <wp:positionV relativeFrom="page">
                  <wp:posOffset>0</wp:posOffset>
                </wp:positionV>
                <wp:extent cx="7560000" cy="2304000"/>
                <wp:effectExtent l="0" t="0" r="3175" b="1270"/>
                <wp:wrapNone/>
                <wp:docPr id="39" name="Rectangle 39"/>
                <wp:cNvGraphicFramePr/>
                <a:graphic xmlns:a="http://schemas.openxmlformats.org/drawingml/2006/main">
                  <a:graphicData uri="http://schemas.microsoft.com/office/word/2010/wordprocessingShape">
                    <wps:wsp>
                      <wps:cNvSpPr/>
                      <wps:spPr>
                        <a:xfrm>
                          <a:off x="0" y="0"/>
                          <a:ext cx="7560000" cy="2304000"/>
                        </a:xfrm>
                        <a:prstGeom prst="rect">
                          <a:avLst/>
                        </a:prstGeom>
                        <a:solidFill>
                          <a:srgbClr val="B32C16">
                            <a:lumMod val="20000"/>
                            <a:lumOff val="80000"/>
                          </a:srgbClr>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7F642" id="Rectangle 39" o:spid="_x0000_s1026" style="position:absolute;margin-left:0;margin-top:0;width:595.3pt;height:181.4pt;z-index:-25148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" fillcolor="#f8cfc8" stroked="f" strokeweight="1pt">
                <w10:wrap anchorx="page" anchory="page"/>
              </v:rect>
            </w:pict>
          </mc:Fallback>
        </mc:AlternateContent>
      </w:r>
      <w:r w:rsidRPr="00761800">
        <w:rPr>
          <w:rFonts w:ascii="Times New Roman" w:hAnsi="Times New Roman"/>
          <w:bCs/>
          <w:color w:val="852010"/>
          <w:spacing w:val="10"/>
          <w:sz w:val="52"/>
          <w:szCs w:val="28"/>
          <w:lang w:eastAsia="bg-BG"/>
        </w:rPr>
        <w:br/>
      </w:r>
      <w:bookmarkStart w:id="171" w:name="_Toc465205504"/>
      <w:r w:rsidRPr="00761800">
        <w:rPr>
          <w:rFonts w:ascii="Times New Roman" w:hAnsi="Times New Roman"/>
          <w:bCs/>
          <w:spacing w:val="10"/>
          <w:sz w:val="52"/>
          <w:szCs w:val="28"/>
          <w:lang w:eastAsia="bg-BG"/>
        </w:rPr>
        <w:t>Фискална политика и основни параметри за периода 2026-2028 г.</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71"/>
    </w:p>
    <w:p w14:paraId="1A5ECE66"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852010"/>
          <w:spacing w:val="10"/>
          <w:w w:val="90"/>
          <w:sz w:val="28"/>
          <w:szCs w:val="26"/>
          <w:lang w:eastAsia="bg-BG"/>
        </w:rPr>
      </w:pPr>
      <w:bookmarkStart w:id="172" w:name="_Toc233717475"/>
      <w:bookmarkStart w:id="173" w:name="_Toc464224777"/>
      <w:bookmarkStart w:id="174" w:name="_Toc464225427"/>
      <w:bookmarkStart w:id="175" w:name="_Toc464458974"/>
      <w:bookmarkStart w:id="176" w:name="_Toc464459720"/>
      <w:bookmarkStart w:id="177" w:name="_Toc464460675"/>
      <w:bookmarkStart w:id="178" w:name="_Toc464463074"/>
      <w:bookmarkStart w:id="179" w:name="_Toc464464901"/>
      <w:bookmarkStart w:id="180" w:name="_Toc464465407"/>
      <w:bookmarkStart w:id="181" w:name="_Toc464465595"/>
      <w:bookmarkStart w:id="182" w:name="_Toc464466420"/>
      <w:bookmarkStart w:id="183" w:name="_Toc464466664"/>
      <w:bookmarkStart w:id="184" w:name="_Toc464644970"/>
      <w:bookmarkStart w:id="185" w:name="_Toc465205505"/>
      <w:bookmarkEnd w:id="169"/>
      <w:bookmarkEnd w:id="170"/>
      <w:r w:rsidRPr="00761800">
        <w:rPr>
          <w:rFonts w:ascii="Times New Roman" w:hAnsi="Times New Roman"/>
          <w:b/>
          <w:bCs/>
          <w:caps/>
          <w:color w:val="852010"/>
          <w:spacing w:val="10"/>
          <w:w w:val="90"/>
          <w:sz w:val="28"/>
          <w:szCs w:val="26"/>
          <w:lang w:eastAsia="bg-BG"/>
        </w:rPr>
        <w:t>Средносрочни цели на фискалната политика</w:t>
      </w:r>
      <w:bookmarkEnd w:id="172"/>
    </w:p>
    <w:bookmarkEnd w:id="173"/>
    <w:bookmarkEnd w:id="174"/>
    <w:bookmarkEnd w:id="175"/>
    <w:bookmarkEnd w:id="176"/>
    <w:bookmarkEnd w:id="177"/>
    <w:bookmarkEnd w:id="178"/>
    <w:bookmarkEnd w:id="179"/>
    <w:bookmarkEnd w:id="180"/>
    <w:bookmarkEnd w:id="181"/>
    <w:bookmarkEnd w:id="182"/>
    <w:bookmarkEnd w:id="183"/>
    <w:bookmarkEnd w:id="184"/>
    <w:bookmarkEnd w:id="185"/>
    <w:p w14:paraId="4220D17B" w14:textId="77777777" w:rsidR="00761800" w:rsidRPr="00761800" w:rsidRDefault="00761800" w:rsidP="00761800">
      <w:pPr>
        <w:spacing w:after="200"/>
        <w:jc w:val="both"/>
        <w:rPr>
          <w:rFonts w:ascii="Times New Roman" w:hAnsi="Times New Roman"/>
          <w:szCs w:val="22"/>
          <w:lang w:eastAsia="bg-BG" w:bidi="bg-BG"/>
        </w:rPr>
      </w:pPr>
      <w:r w:rsidRPr="00761800">
        <w:rPr>
          <w:rFonts w:ascii="Times New Roman" w:hAnsi="Times New Roman"/>
          <w:szCs w:val="22"/>
          <w:lang w:eastAsia="bg-BG" w:bidi="bg-BG"/>
        </w:rPr>
        <w:t xml:space="preserve">Целите на фискалната политика и параметрите на бюджетната рамка за периода 2026-2028 г. отразяват наследеното състояние на публичните финанси и натрупаните дисбаланси, като са съобразени с възможностите за реализиране на краткосрочни мерки в рамките на 2026 г. и с набелязаните цели и приоритети на политиките, включително и за запазване на фискалната устойчивост в средносрочен план. </w:t>
      </w:r>
    </w:p>
    <w:p w14:paraId="00113EE5" w14:textId="77777777" w:rsidR="00761800" w:rsidRPr="00761800" w:rsidRDefault="00761800" w:rsidP="00761800">
      <w:pPr>
        <w:spacing w:after="200"/>
        <w:jc w:val="both"/>
        <w:rPr>
          <w:rFonts w:ascii="Times New Roman" w:hAnsi="Times New Roman"/>
          <w:szCs w:val="22"/>
          <w:lang w:eastAsia="bg-BG" w:bidi="bg-BG"/>
        </w:rPr>
      </w:pPr>
      <w:r w:rsidRPr="00761800">
        <w:rPr>
          <w:rFonts w:ascii="Times New Roman" w:hAnsi="Times New Roman"/>
          <w:szCs w:val="22"/>
          <w:lang w:eastAsia="bg-BG" w:bidi="bg-BG"/>
        </w:rPr>
        <w:t xml:space="preserve">Параметрите на бюджетната рамка за периода 2026-2028 г., доколкото позволяват възможностите за корекции още от тази година, са съобразени с предложението на Европейската комисия за активиране на процедура по прекомерен  бюджетен дефицит и с необходимостта от стабилизирането на публичните финанси в средносрочен и дългосрочен план. </w:t>
      </w:r>
    </w:p>
    <w:p w14:paraId="30A67730" w14:textId="77777777" w:rsidR="00761800" w:rsidRPr="00761800" w:rsidRDefault="00761800" w:rsidP="00761800">
      <w:pPr>
        <w:spacing w:after="200"/>
        <w:jc w:val="both"/>
        <w:rPr>
          <w:rFonts w:ascii="Times New Roman" w:hAnsi="Times New Roman"/>
          <w:szCs w:val="22"/>
          <w:highlight w:val="yellow"/>
          <w:lang w:eastAsia="bg-BG" w:bidi="bg-BG"/>
        </w:rPr>
      </w:pPr>
      <w:r w:rsidRPr="00761800">
        <w:rPr>
          <w:rFonts w:ascii="Times New Roman" w:hAnsi="Times New Roman"/>
          <w:szCs w:val="22"/>
          <w:lang w:eastAsia="bg-BG" w:bidi="bg-BG"/>
        </w:rPr>
        <w:t>Разчетите за периода 2026-2028 г. отразяват тенденциите в пролетната макроикономическа прогноза за развитието на националната икономика, основните допускания и оценките за ефекта от приходните и разходните дискреционни мерки. Параметрите на разходите за прогнозния период са съобразени с възможностите на бюджета за финансиране на политиките, както и с перспективите за развитие на публичните сфери, фискалните цели и приоритети на правителството.</w:t>
      </w:r>
    </w:p>
    <w:p w14:paraId="7D37356A" w14:textId="77777777" w:rsidR="00761800" w:rsidRPr="00761800" w:rsidRDefault="00761800" w:rsidP="00761800">
      <w:pPr>
        <w:spacing w:after="200"/>
        <w:jc w:val="both"/>
        <w:rPr>
          <w:rFonts w:ascii="Times New Roman" w:hAnsi="Times New Roman"/>
          <w:szCs w:val="22"/>
          <w:lang w:eastAsia="bg-BG" w:bidi="bg-BG"/>
        </w:rPr>
      </w:pPr>
      <w:r w:rsidRPr="00761800">
        <w:rPr>
          <w:rFonts w:ascii="Times New Roman" w:hAnsi="Times New Roman"/>
          <w:szCs w:val="22"/>
          <w:lang w:eastAsia="bg-BG" w:bidi="bg-BG"/>
        </w:rPr>
        <w:t>Реалистичната оценка за параметрите на фискалната политика се базира на предварителните отчени данни за 2025 г., напредналия етап на изпълнението на бюджета за тази година и възможните ефекти от прилагане на краткосрочни мерки с консолидационен ефект за 2026 г. и в средносрочен план.</w:t>
      </w:r>
    </w:p>
    <w:p w14:paraId="4A092E33" w14:textId="47DFBDD4" w:rsidR="00761800" w:rsidRPr="00761800" w:rsidRDefault="00761800" w:rsidP="00761800">
      <w:pPr>
        <w:spacing w:after="120"/>
        <w:rPr>
          <w:rFonts w:ascii="Times New Roman" w:hAnsi="Times New Roman"/>
          <w:b/>
          <w:bCs/>
          <w:szCs w:val="18"/>
          <w:vertAlign w:val="superscript"/>
          <w:lang w:eastAsia="bg-BG"/>
        </w:rPr>
      </w:pPr>
      <w:bookmarkStart w:id="186" w:name="_Toc233185123"/>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5</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Основни показатели на КФП (касова основа)</w:t>
      </w:r>
      <w:r w:rsidRPr="00761800">
        <w:rPr>
          <w:rFonts w:ascii="Times New Roman" w:hAnsi="Times New Roman"/>
          <w:b/>
          <w:bCs/>
          <w:szCs w:val="18"/>
          <w:vertAlign w:val="superscript"/>
          <w:lang w:eastAsia="bg-BG"/>
        </w:rPr>
        <w:t xml:space="preserve"> </w:t>
      </w:r>
      <w:r w:rsidRPr="00761800">
        <w:rPr>
          <w:rFonts w:ascii="Times New Roman" w:hAnsi="Times New Roman"/>
          <w:b/>
          <w:bCs/>
          <w:position w:val="2"/>
          <w:sz w:val="18"/>
          <w:szCs w:val="18"/>
          <w:vertAlign w:val="superscript"/>
        </w:rPr>
        <w:footnoteReference w:id="33"/>
      </w:r>
      <w:bookmarkEnd w:id="186"/>
    </w:p>
    <w:tbl>
      <w:tblPr>
        <w:tblW w:w="9361" w:type="dxa"/>
        <w:tblCellMar>
          <w:left w:w="70" w:type="dxa"/>
          <w:right w:w="70" w:type="dxa"/>
        </w:tblCellMar>
        <w:tblLook w:val="04A0" w:firstRow="1" w:lastRow="0" w:firstColumn="1" w:lastColumn="0" w:noHBand="0" w:noVBand="1"/>
      </w:tblPr>
      <w:tblGrid>
        <w:gridCol w:w="2268"/>
        <w:gridCol w:w="708"/>
        <w:gridCol w:w="580"/>
        <w:gridCol w:w="838"/>
        <w:gridCol w:w="580"/>
        <w:gridCol w:w="837"/>
        <w:gridCol w:w="573"/>
        <w:gridCol w:w="7"/>
        <w:gridCol w:w="839"/>
        <w:gridCol w:w="580"/>
        <w:gridCol w:w="838"/>
        <w:gridCol w:w="713"/>
      </w:tblGrid>
      <w:tr w:rsidR="00761800" w:rsidRPr="00761800" w14:paraId="475C96B9" w14:textId="77777777" w:rsidTr="00406B4D">
        <w:trPr>
          <w:trHeight w:val="517"/>
        </w:trPr>
        <w:tc>
          <w:tcPr>
            <w:tcW w:w="2268" w:type="dxa"/>
            <w:vMerge w:val="restart"/>
            <w:tcBorders>
              <w:top w:val="single" w:sz="4" w:space="0" w:color="auto"/>
              <w:left w:val="nil"/>
              <w:bottom w:val="single" w:sz="4" w:space="0" w:color="000000"/>
              <w:right w:val="nil"/>
            </w:tcBorders>
            <w:shd w:val="clear" w:color="auto" w:fill="auto"/>
            <w:noWrap/>
            <w:vAlign w:val="center"/>
            <w:hideMark/>
          </w:tcPr>
          <w:p w14:paraId="5D3E3CC2"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Показатели</w:t>
            </w:r>
          </w:p>
        </w:tc>
        <w:tc>
          <w:tcPr>
            <w:tcW w:w="128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7ADBD56"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2024</w:t>
            </w:r>
            <w:r w:rsidRPr="00761800">
              <w:rPr>
                <w:rFonts w:ascii="Times New Roman" w:hAnsi="Times New Roman"/>
                <w:b/>
                <w:bCs/>
                <w:sz w:val="16"/>
                <w:szCs w:val="16"/>
                <w:lang w:eastAsia="bg-BG"/>
              </w:rPr>
              <w:br/>
              <w:t>Отчет</w:t>
            </w:r>
          </w:p>
        </w:tc>
        <w:tc>
          <w:tcPr>
            <w:tcW w:w="141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F45646F"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2025</w:t>
            </w:r>
            <w:r w:rsidRPr="00761800">
              <w:rPr>
                <w:rFonts w:ascii="Times New Roman" w:hAnsi="Times New Roman"/>
                <w:b/>
                <w:bCs/>
                <w:color w:val="000000"/>
                <w:sz w:val="16"/>
                <w:szCs w:val="16"/>
                <w:lang w:eastAsia="bg-BG"/>
              </w:rPr>
              <w:br/>
              <w:t>Предв. отчет</w:t>
            </w:r>
          </w:p>
        </w:tc>
        <w:tc>
          <w:tcPr>
            <w:tcW w:w="141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42AC825"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2026</w:t>
            </w:r>
            <w:r w:rsidRPr="00761800">
              <w:rPr>
                <w:rFonts w:ascii="Times New Roman" w:hAnsi="Times New Roman"/>
                <w:b/>
                <w:bCs/>
                <w:color w:val="000000"/>
                <w:sz w:val="16"/>
                <w:szCs w:val="16"/>
                <w:lang w:eastAsia="bg-BG"/>
              </w:rPr>
              <w:br/>
              <w:t>Проект</w:t>
            </w:r>
          </w:p>
        </w:tc>
        <w:tc>
          <w:tcPr>
            <w:tcW w:w="142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84D1AC5"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2027</w:t>
            </w:r>
            <w:r w:rsidRPr="00761800">
              <w:rPr>
                <w:rFonts w:ascii="Times New Roman" w:hAnsi="Times New Roman"/>
                <w:b/>
                <w:bCs/>
                <w:color w:val="000000"/>
                <w:sz w:val="16"/>
                <w:szCs w:val="16"/>
                <w:lang w:eastAsia="bg-BG"/>
              </w:rPr>
              <w:br/>
              <w:t>Прогноза</w:t>
            </w:r>
          </w:p>
        </w:tc>
        <w:tc>
          <w:tcPr>
            <w:tcW w:w="1551" w:type="dxa"/>
            <w:gridSpan w:val="2"/>
            <w:vMerge w:val="restart"/>
            <w:tcBorders>
              <w:top w:val="single" w:sz="4" w:space="0" w:color="auto"/>
              <w:left w:val="single" w:sz="4" w:space="0" w:color="auto"/>
              <w:bottom w:val="single" w:sz="4" w:space="0" w:color="000000"/>
              <w:right w:val="nil"/>
            </w:tcBorders>
            <w:shd w:val="clear" w:color="auto" w:fill="auto"/>
            <w:vAlign w:val="center"/>
            <w:hideMark/>
          </w:tcPr>
          <w:p w14:paraId="0108BD8E"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2028</w:t>
            </w:r>
            <w:r w:rsidRPr="00761800">
              <w:rPr>
                <w:rFonts w:ascii="Times New Roman" w:hAnsi="Times New Roman"/>
                <w:b/>
                <w:bCs/>
                <w:sz w:val="16"/>
                <w:szCs w:val="16"/>
                <w:lang w:eastAsia="bg-BG"/>
              </w:rPr>
              <w:br/>
              <w:t>Прогноза</w:t>
            </w:r>
          </w:p>
        </w:tc>
      </w:tr>
      <w:tr w:rsidR="00761800" w:rsidRPr="00761800" w14:paraId="776532F6" w14:textId="77777777" w:rsidTr="00406B4D">
        <w:trPr>
          <w:trHeight w:val="517"/>
        </w:trPr>
        <w:tc>
          <w:tcPr>
            <w:tcW w:w="2268" w:type="dxa"/>
            <w:vMerge/>
            <w:tcBorders>
              <w:top w:val="single" w:sz="4" w:space="0" w:color="auto"/>
              <w:left w:val="nil"/>
              <w:bottom w:val="single" w:sz="4" w:space="0" w:color="000000"/>
              <w:right w:val="nil"/>
            </w:tcBorders>
            <w:vAlign w:val="center"/>
            <w:hideMark/>
          </w:tcPr>
          <w:p w14:paraId="460F2281" w14:textId="77777777" w:rsidR="00761800" w:rsidRPr="00761800" w:rsidRDefault="00761800" w:rsidP="00761800">
            <w:pPr>
              <w:rPr>
                <w:rFonts w:ascii="Times New Roman" w:hAnsi="Times New Roman"/>
                <w:b/>
                <w:bCs/>
                <w:color w:val="000000"/>
                <w:sz w:val="16"/>
                <w:szCs w:val="16"/>
                <w:lang w:eastAsia="bg-BG"/>
              </w:rPr>
            </w:pPr>
          </w:p>
        </w:tc>
        <w:tc>
          <w:tcPr>
            <w:tcW w:w="1288" w:type="dxa"/>
            <w:gridSpan w:val="2"/>
            <w:vMerge/>
            <w:tcBorders>
              <w:top w:val="single" w:sz="4" w:space="0" w:color="auto"/>
              <w:left w:val="single" w:sz="4" w:space="0" w:color="auto"/>
              <w:bottom w:val="single" w:sz="4" w:space="0" w:color="000000"/>
              <w:right w:val="single" w:sz="4" w:space="0" w:color="000000"/>
            </w:tcBorders>
            <w:vAlign w:val="center"/>
            <w:hideMark/>
          </w:tcPr>
          <w:p w14:paraId="4DAB985D" w14:textId="77777777" w:rsidR="00761800" w:rsidRPr="00761800" w:rsidRDefault="00761800" w:rsidP="00761800">
            <w:pPr>
              <w:rPr>
                <w:rFonts w:ascii="Times New Roman" w:hAnsi="Times New Roman"/>
                <w:b/>
                <w:bCs/>
                <w:sz w:val="16"/>
                <w:szCs w:val="16"/>
                <w:lang w:eastAsia="bg-BG"/>
              </w:rPr>
            </w:pPr>
          </w:p>
        </w:tc>
        <w:tc>
          <w:tcPr>
            <w:tcW w:w="1418" w:type="dxa"/>
            <w:gridSpan w:val="2"/>
            <w:vMerge/>
            <w:tcBorders>
              <w:top w:val="single" w:sz="4" w:space="0" w:color="auto"/>
              <w:left w:val="single" w:sz="4" w:space="0" w:color="auto"/>
              <w:bottom w:val="single" w:sz="4" w:space="0" w:color="000000"/>
              <w:right w:val="single" w:sz="4" w:space="0" w:color="000000"/>
            </w:tcBorders>
            <w:vAlign w:val="center"/>
            <w:hideMark/>
          </w:tcPr>
          <w:p w14:paraId="4B00F808" w14:textId="77777777" w:rsidR="00761800" w:rsidRPr="00761800" w:rsidRDefault="00761800" w:rsidP="00761800">
            <w:pPr>
              <w:rPr>
                <w:rFonts w:ascii="Times New Roman" w:hAnsi="Times New Roman"/>
                <w:b/>
                <w:bCs/>
                <w:color w:val="000000"/>
                <w:sz w:val="16"/>
                <w:szCs w:val="16"/>
                <w:lang w:eastAsia="bg-BG"/>
              </w:rPr>
            </w:pPr>
          </w:p>
        </w:tc>
        <w:tc>
          <w:tcPr>
            <w:tcW w:w="1410" w:type="dxa"/>
            <w:gridSpan w:val="2"/>
            <w:vMerge/>
            <w:tcBorders>
              <w:top w:val="single" w:sz="4" w:space="0" w:color="auto"/>
              <w:left w:val="single" w:sz="4" w:space="0" w:color="auto"/>
              <w:bottom w:val="single" w:sz="4" w:space="0" w:color="000000"/>
              <w:right w:val="single" w:sz="4" w:space="0" w:color="000000"/>
            </w:tcBorders>
            <w:vAlign w:val="center"/>
            <w:hideMark/>
          </w:tcPr>
          <w:p w14:paraId="7F383959" w14:textId="77777777" w:rsidR="00761800" w:rsidRPr="00761800" w:rsidRDefault="00761800" w:rsidP="00761800">
            <w:pPr>
              <w:rPr>
                <w:rFonts w:ascii="Times New Roman" w:hAnsi="Times New Roman"/>
                <w:b/>
                <w:bCs/>
                <w:color w:val="000000"/>
                <w:sz w:val="16"/>
                <w:szCs w:val="16"/>
                <w:lang w:eastAsia="bg-BG"/>
              </w:rPr>
            </w:pPr>
          </w:p>
        </w:tc>
        <w:tc>
          <w:tcPr>
            <w:tcW w:w="1426" w:type="dxa"/>
            <w:gridSpan w:val="3"/>
            <w:vMerge/>
            <w:tcBorders>
              <w:top w:val="single" w:sz="4" w:space="0" w:color="auto"/>
              <w:left w:val="single" w:sz="4" w:space="0" w:color="auto"/>
              <w:bottom w:val="single" w:sz="4" w:space="0" w:color="000000"/>
              <w:right w:val="single" w:sz="4" w:space="0" w:color="000000"/>
            </w:tcBorders>
            <w:vAlign w:val="center"/>
            <w:hideMark/>
          </w:tcPr>
          <w:p w14:paraId="2AFD017F" w14:textId="77777777" w:rsidR="00761800" w:rsidRPr="00761800" w:rsidRDefault="00761800" w:rsidP="00761800">
            <w:pPr>
              <w:rPr>
                <w:rFonts w:ascii="Times New Roman" w:hAnsi="Times New Roman"/>
                <w:b/>
                <w:bCs/>
                <w:color w:val="000000"/>
                <w:sz w:val="16"/>
                <w:szCs w:val="16"/>
                <w:lang w:eastAsia="bg-BG"/>
              </w:rPr>
            </w:pPr>
          </w:p>
        </w:tc>
        <w:tc>
          <w:tcPr>
            <w:tcW w:w="1551" w:type="dxa"/>
            <w:gridSpan w:val="2"/>
            <w:vMerge/>
            <w:tcBorders>
              <w:top w:val="single" w:sz="4" w:space="0" w:color="auto"/>
              <w:left w:val="single" w:sz="4" w:space="0" w:color="auto"/>
              <w:bottom w:val="single" w:sz="4" w:space="0" w:color="000000"/>
              <w:right w:val="nil"/>
            </w:tcBorders>
            <w:vAlign w:val="center"/>
            <w:hideMark/>
          </w:tcPr>
          <w:p w14:paraId="472F29D9" w14:textId="77777777" w:rsidR="00761800" w:rsidRPr="00761800" w:rsidRDefault="00761800" w:rsidP="00761800">
            <w:pPr>
              <w:rPr>
                <w:rFonts w:ascii="Times New Roman" w:hAnsi="Times New Roman"/>
                <w:b/>
                <w:bCs/>
                <w:sz w:val="16"/>
                <w:szCs w:val="16"/>
                <w:lang w:eastAsia="bg-BG"/>
              </w:rPr>
            </w:pPr>
          </w:p>
        </w:tc>
      </w:tr>
      <w:tr w:rsidR="00761800" w:rsidRPr="00761800" w14:paraId="261B9681" w14:textId="77777777" w:rsidTr="00406B4D">
        <w:trPr>
          <w:trHeight w:val="517"/>
        </w:trPr>
        <w:tc>
          <w:tcPr>
            <w:tcW w:w="2268" w:type="dxa"/>
            <w:vMerge/>
            <w:tcBorders>
              <w:top w:val="single" w:sz="4" w:space="0" w:color="auto"/>
              <w:left w:val="nil"/>
              <w:bottom w:val="single" w:sz="4" w:space="0" w:color="000000"/>
              <w:right w:val="nil"/>
            </w:tcBorders>
            <w:vAlign w:val="center"/>
            <w:hideMark/>
          </w:tcPr>
          <w:p w14:paraId="0060EC00" w14:textId="77777777" w:rsidR="00761800" w:rsidRPr="00761800" w:rsidRDefault="00761800" w:rsidP="00761800">
            <w:pPr>
              <w:rPr>
                <w:rFonts w:ascii="Times New Roman" w:hAnsi="Times New Roman"/>
                <w:b/>
                <w:bCs/>
                <w:color w:val="000000"/>
                <w:sz w:val="16"/>
                <w:szCs w:val="16"/>
                <w:lang w:eastAsia="bg-BG"/>
              </w:rPr>
            </w:pPr>
          </w:p>
        </w:tc>
        <w:tc>
          <w:tcPr>
            <w:tcW w:w="1288" w:type="dxa"/>
            <w:gridSpan w:val="2"/>
            <w:vMerge/>
            <w:tcBorders>
              <w:top w:val="single" w:sz="4" w:space="0" w:color="auto"/>
              <w:left w:val="single" w:sz="4" w:space="0" w:color="auto"/>
              <w:bottom w:val="single" w:sz="4" w:space="0" w:color="000000"/>
              <w:right w:val="single" w:sz="4" w:space="0" w:color="000000"/>
            </w:tcBorders>
            <w:vAlign w:val="center"/>
            <w:hideMark/>
          </w:tcPr>
          <w:p w14:paraId="214A6D61" w14:textId="77777777" w:rsidR="00761800" w:rsidRPr="00761800" w:rsidRDefault="00761800" w:rsidP="00761800">
            <w:pPr>
              <w:rPr>
                <w:rFonts w:ascii="Times New Roman" w:hAnsi="Times New Roman"/>
                <w:b/>
                <w:bCs/>
                <w:sz w:val="16"/>
                <w:szCs w:val="16"/>
                <w:lang w:eastAsia="bg-BG"/>
              </w:rPr>
            </w:pPr>
          </w:p>
        </w:tc>
        <w:tc>
          <w:tcPr>
            <w:tcW w:w="1418" w:type="dxa"/>
            <w:gridSpan w:val="2"/>
            <w:vMerge/>
            <w:tcBorders>
              <w:top w:val="single" w:sz="4" w:space="0" w:color="auto"/>
              <w:left w:val="single" w:sz="4" w:space="0" w:color="auto"/>
              <w:bottom w:val="single" w:sz="4" w:space="0" w:color="000000"/>
              <w:right w:val="single" w:sz="4" w:space="0" w:color="000000"/>
            </w:tcBorders>
            <w:vAlign w:val="center"/>
            <w:hideMark/>
          </w:tcPr>
          <w:p w14:paraId="3F52F09D" w14:textId="77777777" w:rsidR="00761800" w:rsidRPr="00761800" w:rsidRDefault="00761800" w:rsidP="00761800">
            <w:pPr>
              <w:rPr>
                <w:rFonts w:ascii="Times New Roman" w:hAnsi="Times New Roman"/>
                <w:b/>
                <w:bCs/>
                <w:color w:val="000000"/>
                <w:sz w:val="16"/>
                <w:szCs w:val="16"/>
                <w:lang w:eastAsia="bg-BG"/>
              </w:rPr>
            </w:pPr>
          </w:p>
        </w:tc>
        <w:tc>
          <w:tcPr>
            <w:tcW w:w="1410" w:type="dxa"/>
            <w:gridSpan w:val="2"/>
            <w:vMerge/>
            <w:tcBorders>
              <w:top w:val="single" w:sz="4" w:space="0" w:color="auto"/>
              <w:left w:val="single" w:sz="4" w:space="0" w:color="auto"/>
              <w:bottom w:val="single" w:sz="4" w:space="0" w:color="000000"/>
              <w:right w:val="single" w:sz="4" w:space="0" w:color="000000"/>
            </w:tcBorders>
            <w:vAlign w:val="center"/>
            <w:hideMark/>
          </w:tcPr>
          <w:p w14:paraId="6BE59F1C" w14:textId="77777777" w:rsidR="00761800" w:rsidRPr="00761800" w:rsidRDefault="00761800" w:rsidP="00761800">
            <w:pPr>
              <w:rPr>
                <w:rFonts w:ascii="Times New Roman" w:hAnsi="Times New Roman"/>
                <w:b/>
                <w:bCs/>
                <w:color w:val="000000"/>
                <w:sz w:val="16"/>
                <w:szCs w:val="16"/>
                <w:lang w:eastAsia="bg-BG"/>
              </w:rPr>
            </w:pPr>
          </w:p>
        </w:tc>
        <w:tc>
          <w:tcPr>
            <w:tcW w:w="1426" w:type="dxa"/>
            <w:gridSpan w:val="3"/>
            <w:vMerge/>
            <w:tcBorders>
              <w:top w:val="single" w:sz="4" w:space="0" w:color="auto"/>
              <w:left w:val="single" w:sz="4" w:space="0" w:color="auto"/>
              <w:bottom w:val="single" w:sz="4" w:space="0" w:color="000000"/>
              <w:right w:val="single" w:sz="4" w:space="0" w:color="000000"/>
            </w:tcBorders>
            <w:vAlign w:val="center"/>
            <w:hideMark/>
          </w:tcPr>
          <w:p w14:paraId="6315DA79" w14:textId="77777777" w:rsidR="00761800" w:rsidRPr="00761800" w:rsidRDefault="00761800" w:rsidP="00761800">
            <w:pPr>
              <w:rPr>
                <w:rFonts w:ascii="Times New Roman" w:hAnsi="Times New Roman"/>
                <w:b/>
                <w:bCs/>
                <w:color w:val="000000"/>
                <w:sz w:val="16"/>
                <w:szCs w:val="16"/>
                <w:lang w:eastAsia="bg-BG"/>
              </w:rPr>
            </w:pPr>
          </w:p>
        </w:tc>
        <w:tc>
          <w:tcPr>
            <w:tcW w:w="1551" w:type="dxa"/>
            <w:gridSpan w:val="2"/>
            <w:vMerge/>
            <w:tcBorders>
              <w:top w:val="single" w:sz="4" w:space="0" w:color="auto"/>
              <w:left w:val="single" w:sz="4" w:space="0" w:color="auto"/>
              <w:bottom w:val="single" w:sz="4" w:space="0" w:color="000000"/>
              <w:right w:val="nil"/>
            </w:tcBorders>
            <w:vAlign w:val="center"/>
            <w:hideMark/>
          </w:tcPr>
          <w:p w14:paraId="586B43F9" w14:textId="77777777" w:rsidR="00761800" w:rsidRPr="00761800" w:rsidRDefault="00761800" w:rsidP="00761800">
            <w:pPr>
              <w:rPr>
                <w:rFonts w:ascii="Times New Roman" w:hAnsi="Times New Roman"/>
                <w:b/>
                <w:bCs/>
                <w:sz w:val="16"/>
                <w:szCs w:val="16"/>
                <w:lang w:eastAsia="bg-BG"/>
              </w:rPr>
            </w:pPr>
          </w:p>
        </w:tc>
      </w:tr>
      <w:tr w:rsidR="00761800" w:rsidRPr="00761800" w14:paraId="19FDA9B0" w14:textId="77777777" w:rsidTr="00406B4D">
        <w:trPr>
          <w:trHeight w:val="155"/>
        </w:trPr>
        <w:tc>
          <w:tcPr>
            <w:tcW w:w="2268" w:type="dxa"/>
            <w:vMerge/>
            <w:tcBorders>
              <w:top w:val="single" w:sz="4" w:space="0" w:color="auto"/>
              <w:left w:val="nil"/>
              <w:bottom w:val="single" w:sz="4" w:space="0" w:color="000000"/>
              <w:right w:val="single" w:sz="4" w:space="0" w:color="auto"/>
            </w:tcBorders>
            <w:vAlign w:val="center"/>
            <w:hideMark/>
          </w:tcPr>
          <w:p w14:paraId="0B698DAF" w14:textId="77777777" w:rsidR="00761800" w:rsidRPr="00761800" w:rsidRDefault="00761800" w:rsidP="00761800">
            <w:pPr>
              <w:rPr>
                <w:rFonts w:ascii="Times New Roman" w:hAnsi="Times New Roman"/>
                <w:b/>
                <w:bCs/>
                <w:color w:val="000000"/>
                <w:sz w:val="16"/>
                <w:szCs w:val="16"/>
                <w:lang w:eastAsia="bg-BG"/>
              </w:rPr>
            </w:pPr>
          </w:p>
        </w:tc>
        <w:tc>
          <w:tcPr>
            <w:tcW w:w="708" w:type="dxa"/>
            <w:tcBorders>
              <w:top w:val="nil"/>
              <w:left w:val="single" w:sz="4" w:space="0" w:color="auto"/>
              <w:bottom w:val="single" w:sz="4" w:space="0" w:color="auto"/>
              <w:right w:val="nil"/>
            </w:tcBorders>
            <w:shd w:val="clear" w:color="auto" w:fill="auto"/>
            <w:vAlign w:val="center"/>
            <w:hideMark/>
          </w:tcPr>
          <w:p w14:paraId="6B6D3C9A"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млн. евро</w:t>
            </w:r>
          </w:p>
        </w:tc>
        <w:tc>
          <w:tcPr>
            <w:tcW w:w="580" w:type="dxa"/>
            <w:tcBorders>
              <w:top w:val="nil"/>
              <w:left w:val="nil"/>
              <w:bottom w:val="single" w:sz="4" w:space="0" w:color="auto"/>
              <w:right w:val="nil"/>
            </w:tcBorders>
            <w:shd w:val="clear" w:color="auto" w:fill="auto"/>
            <w:vAlign w:val="center"/>
            <w:hideMark/>
          </w:tcPr>
          <w:p w14:paraId="58BACB77"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 от БВП</w:t>
            </w:r>
          </w:p>
        </w:tc>
        <w:tc>
          <w:tcPr>
            <w:tcW w:w="838" w:type="dxa"/>
            <w:tcBorders>
              <w:top w:val="nil"/>
              <w:left w:val="nil"/>
              <w:bottom w:val="single" w:sz="4" w:space="0" w:color="auto"/>
              <w:right w:val="nil"/>
            </w:tcBorders>
            <w:shd w:val="clear" w:color="auto" w:fill="auto"/>
            <w:vAlign w:val="center"/>
            <w:hideMark/>
          </w:tcPr>
          <w:p w14:paraId="111C8740"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млн. евро</w:t>
            </w:r>
          </w:p>
        </w:tc>
        <w:tc>
          <w:tcPr>
            <w:tcW w:w="580" w:type="dxa"/>
            <w:tcBorders>
              <w:top w:val="nil"/>
              <w:left w:val="nil"/>
              <w:bottom w:val="single" w:sz="4" w:space="0" w:color="auto"/>
              <w:right w:val="nil"/>
            </w:tcBorders>
            <w:shd w:val="clear" w:color="auto" w:fill="auto"/>
            <w:vAlign w:val="center"/>
            <w:hideMark/>
          </w:tcPr>
          <w:p w14:paraId="0E7D4EC3"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 от БВП</w:t>
            </w:r>
          </w:p>
        </w:tc>
        <w:tc>
          <w:tcPr>
            <w:tcW w:w="837" w:type="dxa"/>
            <w:tcBorders>
              <w:top w:val="nil"/>
              <w:left w:val="nil"/>
              <w:bottom w:val="single" w:sz="4" w:space="0" w:color="auto"/>
              <w:right w:val="nil"/>
            </w:tcBorders>
            <w:shd w:val="clear" w:color="auto" w:fill="auto"/>
            <w:vAlign w:val="center"/>
            <w:hideMark/>
          </w:tcPr>
          <w:p w14:paraId="78433E44"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млн. евро</w:t>
            </w:r>
          </w:p>
        </w:tc>
        <w:tc>
          <w:tcPr>
            <w:tcW w:w="580" w:type="dxa"/>
            <w:gridSpan w:val="2"/>
            <w:tcBorders>
              <w:top w:val="nil"/>
              <w:left w:val="nil"/>
              <w:bottom w:val="single" w:sz="4" w:space="0" w:color="auto"/>
              <w:right w:val="nil"/>
            </w:tcBorders>
            <w:shd w:val="clear" w:color="auto" w:fill="auto"/>
            <w:vAlign w:val="center"/>
            <w:hideMark/>
          </w:tcPr>
          <w:p w14:paraId="46B8B615"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 от БВП</w:t>
            </w:r>
          </w:p>
        </w:tc>
        <w:tc>
          <w:tcPr>
            <w:tcW w:w="839" w:type="dxa"/>
            <w:tcBorders>
              <w:top w:val="nil"/>
              <w:left w:val="nil"/>
              <w:bottom w:val="single" w:sz="4" w:space="0" w:color="auto"/>
              <w:right w:val="nil"/>
            </w:tcBorders>
            <w:shd w:val="clear" w:color="auto" w:fill="auto"/>
            <w:vAlign w:val="center"/>
            <w:hideMark/>
          </w:tcPr>
          <w:p w14:paraId="372E1560"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млн. евро</w:t>
            </w:r>
          </w:p>
        </w:tc>
        <w:tc>
          <w:tcPr>
            <w:tcW w:w="580" w:type="dxa"/>
            <w:tcBorders>
              <w:top w:val="nil"/>
              <w:left w:val="nil"/>
              <w:bottom w:val="single" w:sz="4" w:space="0" w:color="auto"/>
              <w:right w:val="nil"/>
            </w:tcBorders>
            <w:shd w:val="clear" w:color="auto" w:fill="auto"/>
            <w:vAlign w:val="center"/>
            <w:hideMark/>
          </w:tcPr>
          <w:p w14:paraId="7DF6E43B"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 от БВП</w:t>
            </w:r>
          </w:p>
        </w:tc>
        <w:tc>
          <w:tcPr>
            <w:tcW w:w="838" w:type="dxa"/>
            <w:tcBorders>
              <w:top w:val="nil"/>
              <w:left w:val="nil"/>
              <w:bottom w:val="single" w:sz="4" w:space="0" w:color="auto"/>
              <w:right w:val="nil"/>
            </w:tcBorders>
            <w:shd w:val="clear" w:color="auto" w:fill="auto"/>
            <w:vAlign w:val="center"/>
            <w:hideMark/>
          </w:tcPr>
          <w:p w14:paraId="039E9BE8"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млн. евро</w:t>
            </w:r>
          </w:p>
        </w:tc>
        <w:tc>
          <w:tcPr>
            <w:tcW w:w="713" w:type="dxa"/>
            <w:tcBorders>
              <w:top w:val="nil"/>
              <w:left w:val="nil"/>
              <w:bottom w:val="single" w:sz="4" w:space="0" w:color="auto"/>
              <w:right w:val="nil"/>
            </w:tcBorders>
            <w:shd w:val="clear" w:color="auto" w:fill="auto"/>
            <w:vAlign w:val="center"/>
            <w:hideMark/>
          </w:tcPr>
          <w:p w14:paraId="76CFB91E"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 от БВП</w:t>
            </w:r>
          </w:p>
        </w:tc>
      </w:tr>
      <w:tr w:rsidR="00761800" w:rsidRPr="00761800" w14:paraId="3CA5B58D" w14:textId="77777777" w:rsidTr="00406B4D">
        <w:trPr>
          <w:trHeight w:val="255"/>
        </w:trPr>
        <w:tc>
          <w:tcPr>
            <w:tcW w:w="2268" w:type="dxa"/>
            <w:tcBorders>
              <w:top w:val="nil"/>
              <w:left w:val="nil"/>
              <w:bottom w:val="nil"/>
              <w:right w:val="nil"/>
            </w:tcBorders>
            <w:shd w:val="clear" w:color="auto" w:fill="auto"/>
            <w:noWrap/>
            <w:hideMark/>
          </w:tcPr>
          <w:p w14:paraId="33638D18"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Приходи, помощи и дарения</w:t>
            </w:r>
          </w:p>
        </w:tc>
        <w:tc>
          <w:tcPr>
            <w:tcW w:w="708" w:type="dxa"/>
            <w:tcBorders>
              <w:top w:val="nil"/>
              <w:left w:val="nil"/>
              <w:bottom w:val="nil"/>
              <w:right w:val="nil"/>
            </w:tcBorders>
            <w:shd w:val="clear" w:color="auto" w:fill="auto"/>
            <w:noWrap/>
            <w:hideMark/>
          </w:tcPr>
          <w:p w14:paraId="0D28A87D"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36 820,8</w:t>
            </w:r>
          </w:p>
        </w:tc>
        <w:tc>
          <w:tcPr>
            <w:tcW w:w="580" w:type="dxa"/>
            <w:tcBorders>
              <w:top w:val="nil"/>
              <w:left w:val="nil"/>
              <w:bottom w:val="nil"/>
              <w:right w:val="nil"/>
            </w:tcBorders>
            <w:shd w:val="clear" w:color="auto" w:fill="auto"/>
            <w:noWrap/>
            <w:hideMark/>
          </w:tcPr>
          <w:p w14:paraId="6BD483EC"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35,1%</w:t>
            </w:r>
          </w:p>
        </w:tc>
        <w:tc>
          <w:tcPr>
            <w:tcW w:w="838" w:type="dxa"/>
            <w:tcBorders>
              <w:top w:val="nil"/>
              <w:left w:val="nil"/>
              <w:bottom w:val="nil"/>
              <w:right w:val="nil"/>
            </w:tcBorders>
            <w:shd w:val="clear" w:color="auto" w:fill="auto"/>
            <w:noWrap/>
            <w:hideMark/>
          </w:tcPr>
          <w:p w14:paraId="52D5DDA2"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44 014,7</w:t>
            </w:r>
          </w:p>
        </w:tc>
        <w:tc>
          <w:tcPr>
            <w:tcW w:w="580" w:type="dxa"/>
            <w:tcBorders>
              <w:top w:val="nil"/>
              <w:left w:val="nil"/>
              <w:bottom w:val="nil"/>
              <w:right w:val="nil"/>
            </w:tcBorders>
            <w:shd w:val="clear" w:color="auto" w:fill="auto"/>
            <w:noWrap/>
            <w:hideMark/>
          </w:tcPr>
          <w:p w14:paraId="71A47514"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37,9%</w:t>
            </w:r>
          </w:p>
        </w:tc>
        <w:tc>
          <w:tcPr>
            <w:tcW w:w="837" w:type="dxa"/>
            <w:tcBorders>
              <w:top w:val="nil"/>
              <w:left w:val="nil"/>
              <w:bottom w:val="nil"/>
              <w:right w:val="nil"/>
            </w:tcBorders>
            <w:shd w:val="clear" w:color="auto" w:fill="auto"/>
            <w:noWrap/>
            <w:hideMark/>
          </w:tcPr>
          <w:p w14:paraId="4D2C6951"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49 615,3</w:t>
            </w:r>
          </w:p>
        </w:tc>
        <w:tc>
          <w:tcPr>
            <w:tcW w:w="580" w:type="dxa"/>
            <w:gridSpan w:val="2"/>
            <w:tcBorders>
              <w:top w:val="nil"/>
              <w:left w:val="nil"/>
              <w:bottom w:val="nil"/>
              <w:right w:val="nil"/>
            </w:tcBorders>
            <w:shd w:val="clear" w:color="auto" w:fill="auto"/>
            <w:noWrap/>
            <w:hideMark/>
          </w:tcPr>
          <w:p w14:paraId="3BD11561"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39,6%</w:t>
            </w:r>
          </w:p>
        </w:tc>
        <w:tc>
          <w:tcPr>
            <w:tcW w:w="839" w:type="dxa"/>
            <w:tcBorders>
              <w:top w:val="nil"/>
              <w:left w:val="nil"/>
              <w:bottom w:val="nil"/>
              <w:right w:val="nil"/>
            </w:tcBorders>
            <w:shd w:val="clear" w:color="auto" w:fill="auto"/>
            <w:noWrap/>
            <w:hideMark/>
          </w:tcPr>
          <w:p w14:paraId="5F2DF29E"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50 272,0</w:t>
            </w:r>
          </w:p>
        </w:tc>
        <w:tc>
          <w:tcPr>
            <w:tcW w:w="580" w:type="dxa"/>
            <w:tcBorders>
              <w:top w:val="nil"/>
              <w:left w:val="nil"/>
              <w:bottom w:val="nil"/>
              <w:right w:val="nil"/>
            </w:tcBorders>
            <w:shd w:val="clear" w:color="auto" w:fill="auto"/>
            <w:noWrap/>
            <w:hideMark/>
          </w:tcPr>
          <w:p w14:paraId="00C18313"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37,4%</w:t>
            </w:r>
          </w:p>
        </w:tc>
        <w:tc>
          <w:tcPr>
            <w:tcW w:w="838" w:type="dxa"/>
            <w:tcBorders>
              <w:top w:val="nil"/>
              <w:left w:val="nil"/>
              <w:bottom w:val="nil"/>
              <w:right w:val="nil"/>
            </w:tcBorders>
            <w:shd w:val="clear" w:color="auto" w:fill="auto"/>
            <w:noWrap/>
            <w:hideMark/>
          </w:tcPr>
          <w:p w14:paraId="1ACE240E"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53 394,9</w:t>
            </w:r>
          </w:p>
        </w:tc>
        <w:tc>
          <w:tcPr>
            <w:tcW w:w="713" w:type="dxa"/>
            <w:tcBorders>
              <w:top w:val="nil"/>
              <w:left w:val="nil"/>
              <w:bottom w:val="nil"/>
              <w:right w:val="nil"/>
            </w:tcBorders>
            <w:shd w:val="clear" w:color="auto" w:fill="auto"/>
            <w:noWrap/>
            <w:hideMark/>
          </w:tcPr>
          <w:p w14:paraId="7149F0BF"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37,3%</w:t>
            </w:r>
          </w:p>
        </w:tc>
      </w:tr>
      <w:tr w:rsidR="00761800" w:rsidRPr="00761800" w14:paraId="77019E9E" w14:textId="77777777" w:rsidTr="00406B4D">
        <w:trPr>
          <w:trHeight w:val="255"/>
        </w:trPr>
        <w:tc>
          <w:tcPr>
            <w:tcW w:w="2268" w:type="dxa"/>
            <w:tcBorders>
              <w:top w:val="nil"/>
              <w:left w:val="nil"/>
              <w:bottom w:val="nil"/>
              <w:right w:val="nil"/>
            </w:tcBorders>
            <w:shd w:val="clear" w:color="auto" w:fill="auto"/>
            <w:noWrap/>
            <w:hideMark/>
          </w:tcPr>
          <w:p w14:paraId="3C32C282"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Общо разходи и Вноска в общия бюджет на ЕС</w:t>
            </w:r>
          </w:p>
        </w:tc>
        <w:tc>
          <w:tcPr>
            <w:tcW w:w="708" w:type="dxa"/>
            <w:tcBorders>
              <w:top w:val="nil"/>
              <w:left w:val="nil"/>
              <w:bottom w:val="nil"/>
              <w:right w:val="nil"/>
            </w:tcBorders>
            <w:shd w:val="clear" w:color="auto" w:fill="auto"/>
            <w:noWrap/>
            <w:hideMark/>
          </w:tcPr>
          <w:p w14:paraId="025CB85E"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39 972,2</w:t>
            </w:r>
          </w:p>
        </w:tc>
        <w:tc>
          <w:tcPr>
            <w:tcW w:w="580" w:type="dxa"/>
            <w:tcBorders>
              <w:top w:val="nil"/>
              <w:left w:val="nil"/>
              <w:bottom w:val="nil"/>
              <w:right w:val="nil"/>
            </w:tcBorders>
            <w:shd w:val="clear" w:color="auto" w:fill="auto"/>
            <w:noWrap/>
            <w:hideMark/>
          </w:tcPr>
          <w:p w14:paraId="3A199809"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38,2%</w:t>
            </w:r>
          </w:p>
        </w:tc>
        <w:tc>
          <w:tcPr>
            <w:tcW w:w="838" w:type="dxa"/>
            <w:tcBorders>
              <w:top w:val="nil"/>
              <w:left w:val="nil"/>
              <w:bottom w:val="nil"/>
              <w:right w:val="nil"/>
            </w:tcBorders>
            <w:shd w:val="clear" w:color="auto" w:fill="auto"/>
            <w:noWrap/>
            <w:hideMark/>
          </w:tcPr>
          <w:p w14:paraId="02EA595B"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47 507,2</w:t>
            </w:r>
          </w:p>
        </w:tc>
        <w:tc>
          <w:tcPr>
            <w:tcW w:w="580" w:type="dxa"/>
            <w:tcBorders>
              <w:top w:val="nil"/>
              <w:left w:val="nil"/>
              <w:bottom w:val="nil"/>
              <w:right w:val="nil"/>
            </w:tcBorders>
            <w:shd w:val="clear" w:color="auto" w:fill="auto"/>
            <w:noWrap/>
            <w:hideMark/>
          </w:tcPr>
          <w:p w14:paraId="7372B87E"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40,9%</w:t>
            </w:r>
          </w:p>
        </w:tc>
        <w:tc>
          <w:tcPr>
            <w:tcW w:w="837" w:type="dxa"/>
            <w:tcBorders>
              <w:top w:val="nil"/>
              <w:left w:val="nil"/>
              <w:bottom w:val="nil"/>
              <w:right w:val="nil"/>
            </w:tcBorders>
            <w:shd w:val="clear" w:color="auto" w:fill="auto"/>
            <w:noWrap/>
            <w:hideMark/>
          </w:tcPr>
          <w:p w14:paraId="131CC213"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56 807,2</w:t>
            </w:r>
          </w:p>
        </w:tc>
        <w:tc>
          <w:tcPr>
            <w:tcW w:w="580" w:type="dxa"/>
            <w:gridSpan w:val="2"/>
            <w:tcBorders>
              <w:top w:val="nil"/>
              <w:left w:val="nil"/>
              <w:bottom w:val="nil"/>
              <w:right w:val="nil"/>
            </w:tcBorders>
            <w:shd w:val="clear" w:color="auto" w:fill="auto"/>
            <w:noWrap/>
            <w:hideMark/>
          </w:tcPr>
          <w:p w14:paraId="514E0687"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45,4%</w:t>
            </w:r>
          </w:p>
        </w:tc>
        <w:tc>
          <w:tcPr>
            <w:tcW w:w="839" w:type="dxa"/>
            <w:tcBorders>
              <w:top w:val="nil"/>
              <w:left w:val="nil"/>
              <w:bottom w:val="nil"/>
              <w:right w:val="nil"/>
            </w:tcBorders>
            <w:shd w:val="clear" w:color="auto" w:fill="auto"/>
            <w:noWrap/>
            <w:hideMark/>
          </w:tcPr>
          <w:p w14:paraId="395D48A7"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55 350,8</w:t>
            </w:r>
          </w:p>
        </w:tc>
        <w:tc>
          <w:tcPr>
            <w:tcW w:w="580" w:type="dxa"/>
            <w:tcBorders>
              <w:top w:val="nil"/>
              <w:left w:val="nil"/>
              <w:bottom w:val="nil"/>
              <w:right w:val="nil"/>
            </w:tcBorders>
            <w:shd w:val="clear" w:color="auto" w:fill="auto"/>
            <w:noWrap/>
            <w:hideMark/>
          </w:tcPr>
          <w:p w14:paraId="4AB8FFD1"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41,1%</w:t>
            </w:r>
          </w:p>
        </w:tc>
        <w:tc>
          <w:tcPr>
            <w:tcW w:w="838" w:type="dxa"/>
            <w:tcBorders>
              <w:top w:val="nil"/>
              <w:left w:val="nil"/>
              <w:bottom w:val="nil"/>
              <w:right w:val="nil"/>
            </w:tcBorders>
            <w:shd w:val="clear" w:color="auto" w:fill="auto"/>
            <w:noWrap/>
            <w:hideMark/>
          </w:tcPr>
          <w:p w14:paraId="363AC3E7"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57 687,0</w:t>
            </w:r>
          </w:p>
        </w:tc>
        <w:tc>
          <w:tcPr>
            <w:tcW w:w="713" w:type="dxa"/>
            <w:tcBorders>
              <w:top w:val="nil"/>
              <w:left w:val="nil"/>
              <w:bottom w:val="nil"/>
              <w:right w:val="nil"/>
            </w:tcBorders>
            <w:shd w:val="clear" w:color="auto" w:fill="auto"/>
            <w:noWrap/>
            <w:hideMark/>
          </w:tcPr>
          <w:p w14:paraId="077A39A2"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40,3%</w:t>
            </w:r>
          </w:p>
        </w:tc>
      </w:tr>
      <w:tr w:rsidR="00761800" w:rsidRPr="00761800" w14:paraId="2A8B9999" w14:textId="77777777" w:rsidTr="00406B4D">
        <w:trPr>
          <w:trHeight w:val="270"/>
        </w:trPr>
        <w:tc>
          <w:tcPr>
            <w:tcW w:w="2268" w:type="dxa"/>
            <w:tcBorders>
              <w:top w:val="nil"/>
              <w:left w:val="nil"/>
              <w:bottom w:val="nil"/>
              <w:right w:val="nil"/>
            </w:tcBorders>
            <w:shd w:val="clear" w:color="auto" w:fill="auto"/>
            <w:hideMark/>
          </w:tcPr>
          <w:p w14:paraId="142EF808" w14:textId="77777777" w:rsidR="00761800" w:rsidRPr="00761800" w:rsidRDefault="00761800" w:rsidP="00761800">
            <w:pPr>
              <w:ind w:firstLineChars="100" w:firstLine="161"/>
              <w:rPr>
                <w:rFonts w:ascii="Times New Roman" w:hAnsi="Times New Roman"/>
                <w:b/>
                <w:bCs/>
                <w:color w:val="000099"/>
                <w:sz w:val="16"/>
                <w:szCs w:val="16"/>
                <w:lang w:eastAsia="bg-BG"/>
              </w:rPr>
            </w:pPr>
            <w:r w:rsidRPr="00761800">
              <w:rPr>
                <w:rFonts w:ascii="Times New Roman" w:hAnsi="Times New Roman"/>
                <w:b/>
                <w:bCs/>
                <w:color w:val="000099"/>
                <w:sz w:val="16"/>
                <w:szCs w:val="16"/>
                <w:lang w:eastAsia="bg-BG"/>
              </w:rPr>
              <w:t>в т.ч. Разходи чл. 28, ал. 1 от ЗПФ</w:t>
            </w:r>
          </w:p>
        </w:tc>
        <w:tc>
          <w:tcPr>
            <w:tcW w:w="708" w:type="dxa"/>
            <w:tcBorders>
              <w:top w:val="nil"/>
              <w:left w:val="nil"/>
              <w:bottom w:val="nil"/>
              <w:right w:val="nil"/>
            </w:tcBorders>
            <w:shd w:val="clear" w:color="auto" w:fill="auto"/>
            <w:noWrap/>
            <w:hideMark/>
          </w:tcPr>
          <w:p w14:paraId="68EDFC48" w14:textId="77777777" w:rsidR="00761800" w:rsidRPr="00761800" w:rsidRDefault="00761800" w:rsidP="00761800">
            <w:pPr>
              <w:jc w:val="right"/>
              <w:rPr>
                <w:rFonts w:ascii="Times New Roman" w:hAnsi="Times New Roman"/>
                <w:b/>
                <w:bCs/>
                <w:color w:val="000099"/>
                <w:sz w:val="16"/>
                <w:szCs w:val="16"/>
                <w:lang w:eastAsia="bg-BG"/>
              </w:rPr>
            </w:pPr>
            <w:r w:rsidRPr="00761800">
              <w:rPr>
                <w:rFonts w:ascii="Times New Roman" w:hAnsi="Times New Roman"/>
                <w:b/>
                <w:bCs/>
                <w:color w:val="000099"/>
                <w:sz w:val="16"/>
                <w:szCs w:val="16"/>
                <w:lang w:eastAsia="bg-BG"/>
              </w:rPr>
              <w:t>37 959,7</w:t>
            </w:r>
          </w:p>
        </w:tc>
        <w:tc>
          <w:tcPr>
            <w:tcW w:w="580" w:type="dxa"/>
            <w:tcBorders>
              <w:top w:val="nil"/>
              <w:left w:val="nil"/>
              <w:bottom w:val="nil"/>
              <w:right w:val="nil"/>
            </w:tcBorders>
            <w:shd w:val="clear" w:color="auto" w:fill="auto"/>
            <w:noWrap/>
            <w:hideMark/>
          </w:tcPr>
          <w:p w14:paraId="0CF44AE6" w14:textId="77777777" w:rsidR="00761800" w:rsidRPr="00761800" w:rsidRDefault="00761800" w:rsidP="00761800">
            <w:pPr>
              <w:jc w:val="right"/>
              <w:rPr>
                <w:rFonts w:ascii="Times New Roman" w:hAnsi="Times New Roman"/>
                <w:b/>
                <w:bCs/>
                <w:color w:val="000099"/>
                <w:sz w:val="16"/>
                <w:szCs w:val="16"/>
                <w:lang w:eastAsia="bg-BG"/>
              </w:rPr>
            </w:pPr>
            <w:r w:rsidRPr="00761800">
              <w:rPr>
                <w:rFonts w:ascii="Times New Roman" w:hAnsi="Times New Roman"/>
                <w:b/>
                <w:bCs/>
                <w:color w:val="000099"/>
                <w:sz w:val="16"/>
                <w:szCs w:val="16"/>
                <w:lang w:eastAsia="bg-BG"/>
              </w:rPr>
              <w:t>36,2%</w:t>
            </w:r>
          </w:p>
        </w:tc>
        <w:tc>
          <w:tcPr>
            <w:tcW w:w="838" w:type="dxa"/>
            <w:tcBorders>
              <w:top w:val="nil"/>
              <w:left w:val="nil"/>
              <w:bottom w:val="nil"/>
              <w:right w:val="nil"/>
            </w:tcBorders>
            <w:shd w:val="clear" w:color="auto" w:fill="auto"/>
            <w:noWrap/>
            <w:hideMark/>
          </w:tcPr>
          <w:p w14:paraId="12EA0CE2" w14:textId="77777777" w:rsidR="00761800" w:rsidRPr="00761800" w:rsidRDefault="00761800" w:rsidP="00761800">
            <w:pPr>
              <w:jc w:val="right"/>
              <w:rPr>
                <w:rFonts w:ascii="Times New Roman" w:hAnsi="Times New Roman"/>
                <w:b/>
                <w:bCs/>
                <w:color w:val="000099"/>
                <w:sz w:val="16"/>
                <w:szCs w:val="16"/>
                <w:lang w:eastAsia="bg-BG"/>
              </w:rPr>
            </w:pPr>
            <w:r w:rsidRPr="00761800">
              <w:rPr>
                <w:rFonts w:ascii="Times New Roman" w:hAnsi="Times New Roman"/>
                <w:b/>
                <w:bCs/>
                <w:color w:val="000099"/>
                <w:sz w:val="16"/>
                <w:szCs w:val="16"/>
                <w:lang w:eastAsia="bg-BG"/>
              </w:rPr>
              <w:t>43 619,5</w:t>
            </w:r>
          </w:p>
        </w:tc>
        <w:tc>
          <w:tcPr>
            <w:tcW w:w="580" w:type="dxa"/>
            <w:tcBorders>
              <w:top w:val="nil"/>
              <w:left w:val="nil"/>
              <w:bottom w:val="nil"/>
              <w:right w:val="nil"/>
            </w:tcBorders>
            <w:shd w:val="clear" w:color="auto" w:fill="auto"/>
            <w:noWrap/>
            <w:hideMark/>
          </w:tcPr>
          <w:p w14:paraId="37FCFDD6" w14:textId="77777777" w:rsidR="00761800" w:rsidRPr="00761800" w:rsidRDefault="00761800" w:rsidP="00761800">
            <w:pPr>
              <w:jc w:val="right"/>
              <w:rPr>
                <w:rFonts w:ascii="Times New Roman" w:hAnsi="Times New Roman"/>
                <w:b/>
                <w:bCs/>
                <w:color w:val="000099"/>
                <w:sz w:val="16"/>
                <w:szCs w:val="16"/>
                <w:lang w:eastAsia="bg-BG"/>
              </w:rPr>
            </w:pPr>
            <w:r w:rsidRPr="00761800">
              <w:rPr>
                <w:rFonts w:ascii="Times New Roman" w:hAnsi="Times New Roman"/>
                <w:b/>
                <w:bCs/>
                <w:color w:val="000099"/>
                <w:sz w:val="16"/>
                <w:szCs w:val="16"/>
                <w:lang w:eastAsia="bg-BG"/>
              </w:rPr>
              <w:t>37,6%</w:t>
            </w:r>
          </w:p>
        </w:tc>
        <w:tc>
          <w:tcPr>
            <w:tcW w:w="837" w:type="dxa"/>
            <w:tcBorders>
              <w:top w:val="nil"/>
              <w:left w:val="nil"/>
              <w:bottom w:val="nil"/>
              <w:right w:val="nil"/>
            </w:tcBorders>
            <w:shd w:val="clear" w:color="auto" w:fill="auto"/>
            <w:noWrap/>
            <w:hideMark/>
          </w:tcPr>
          <w:p w14:paraId="7FA2DC5F" w14:textId="77777777" w:rsidR="00761800" w:rsidRPr="00761800" w:rsidRDefault="00761800" w:rsidP="00761800">
            <w:pPr>
              <w:jc w:val="right"/>
              <w:rPr>
                <w:rFonts w:ascii="Times New Roman" w:hAnsi="Times New Roman"/>
                <w:b/>
                <w:bCs/>
                <w:color w:val="000099"/>
                <w:sz w:val="16"/>
                <w:szCs w:val="16"/>
                <w:lang w:eastAsia="bg-BG"/>
              </w:rPr>
            </w:pPr>
            <w:r w:rsidRPr="00761800">
              <w:rPr>
                <w:rFonts w:ascii="Times New Roman" w:hAnsi="Times New Roman"/>
                <w:b/>
                <w:bCs/>
                <w:color w:val="000099"/>
                <w:sz w:val="16"/>
                <w:szCs w:val="16"/>
                <w:lang w:eastAsia="bg-BG"/>
              </w:rPr>
              <w:t>49 194,5</w:t>
            </w:r>
          </w:p>
        </w:tc>
        <w:tc>
          <w:tcPr>
            <w:tcW w:w="580" w:type="dxa"/>
            <w:gridSpan w:val="2"/>
            <w:tcBorders>
              <w:top w:val="nil"/>
              <w:left w:val="nil"/>
              <w:bottom w:val="nil"/>
              <w:right w:val="nil"/>
            </w:tcBorders>
            <w:shd w:val="clear" w:color="auto" w:fill="auto"/>
            <w:noWrap/>
            <w:hideMark/>
          </w:tcPr>
          <w:p w14:paraId="25ED1C5A" w14:textId="77777777" w:rsidR="00761800" w:rsidRPr="00761800" w:rsidRDefault="00761800" w:rsidP="00761800">
            <w:pPr>
              <w:jc w:val="right"/>
              <w:rPr>
                <w:rFonts w:ascii="Times New Roman" w:hAnsi="Times New Roman"/>
                <w:b/>
                <w:bCs/>
                <w:color w:val="000099"/>
                <w:sz w:val="16"/>
                <w:szCs w:val="16"/>
                <w:lang w:eastAsia="bg-BG"/>
              </w:rPr>
            </w:pPr>
            <w:r w:rsidRPr="00761800">
              <w:rPr>
                <w:rFonts w:ascii="Times New Roman" w:hAnsi="Times New Roman"/>
                <w:b/>
                <w:bCs/>
                <w:color w:val="000099"/>
                <w:sz w:val="16"/>
                <w:szCs w:val="16"/>
                <w:lang w:eastAsia="bg-BG"/>
              </w:rPr>
              <w:t>39,3%</w:t>
            </w:r>
          </w:p>
        </w:tc>
        <w:tc>
          <w:tcPr>
            <w:tcW w:w="839" w:type="dxa"/>
            <w:tcBorders>
              <w:top w:val="nil"/>
              <w:left w:val="nil"/>
              <w:bottom w:val="nil"/>
              <w:right w:val="nil"/>
            </w:tcBorders>
            <w:shd w:val="clear" w:color="auto" w:fill="auto"/>
            <w:noWrap/>
            <w:hideMark/>
          </w:tcPr>
          <w:p w14:paraId="14657BA5" w14:textId="77777777" w:rsidR="00761800" w:rsidRPr="00761800" w:rsidRDefault="00761800" w:rsidP="00761800">
            <w:pPr>
              <w:jc w:val="right"/>
              <w:rPr>
                <w:rFonts w:ascii="Times New Roman" w:hAnsi="Times New Roman"/>
                <w:b/>
                <w:bCs/>
                <w:color w:val="000099"/>
                <w:sz w:val="16"/>
                <w:szCs w:val="16"/>
                <w:lang w:eastAsia="bg-BG"/>
              </w:rPr>
            </w:pPr>
            <w:r w:rsidRPr="00761800">
              <w:rPr>
                <w:rFonts w:ascii="Times New Roman" w:hAnsi="Times New Roman"/>
                <w:b/>
                <w:bCs/>
                <w:color w:val="000099"/>
                <w:sz w:val="16"/>
                <w:szCs w:val="16"/>
                <w:lang w:eastAsia="bg-BG"/>
              </w:rPr>
              <w:t>50 798,8</w:t>
            </w:r>
          </w:p>
        </w:tc>
        <w:tc>
          <w:tcPr>
            <w:tcW w:w="580" w:type="dxa"/>
            <w:tcBorders>
              <w:top w:val="nil"/>
              <w:left w:val="nil"/>
              <w:bottom w:val="nil"/>
              <w:right w:val="nil"/>
            </w:tcBorders>
            <w:shd w:val="clear" w:color="auto" w:fill="auto"/>
            <w:noWrap/>
            <w:hideMark/>
          </w:tcPr>
          <w:p w14:paraId="14451F58" w14:textId="77777777" w:rsidR="00761800" w:rsidRPr="00761800" w:rsidRDefault="00761800" w:rsidP="00761800">
            <w:pPr>
              <w:jc w:val="right"/>
              <w:rPr>
                <w:rFonts w:ascii="Times New Roman" w:hAnsi="Times New Roman"/>
                <w:b/>
                <w:bCs/>
                <w:color w:val="000099"/>
                <w:sz w:val="16"/>
                <w:szCs w:val="16"/>
                <w:lang w:eastAsia="bg-BG"/>
              </w:rPr>
            </w:pPr>
            <w:r w:rsidRPr="00761800">
              <w:rPr>
                <w:rFonts w:ascii="Times New Roman" w:hAnsi="Times New Roman"/>
                <w:b/>
                <w:bCs/>
                <w:color w:val="000099"/>
                <w:sz w:val="16"/>
                <w:szCs w:val="16"/>
                <w:lang w:eastAsia="bg-BG"/>
              </w:rPr>
              <w:t>37,7%</w:t>
            </w:r>
          </w:p>
        </w:tc>
        <w:tc>
          <w:tcPr>
            <w:tcW w:w="838" w:type="dxa"/>
            <w:tcBorders>
              <w:top w:val="nil"/>
              <w:left w:val="nil"/>
              <w:bottom w:val="nil"/>
              <w:right w:val="nil"/>
            </w:tcBorders>
            <w:shd w:val="clear" w:color="auto" w:fill="auto"/>
            <w:noWrap/>
            <w:hideMark/>
          </w:tcPr>
          <w:p w14:paraId="3AD02180" w14:textId="77777777" w:rsidR="00761800" w:rsidRPr="00761800" w:rsidRDefault="00761800" w:rsidP="00761800">
            <w:pPr>
              <w:jc w:val="right"/>
              <w:rPr>
                <w:rFonts w:ascii="Times New Roman" w:hAnsi="Times New Roman"/>
                <w:b/>
                <w:bCs/>
                <w:color w:val="000099"/>
                <w:sz w:val="16"/>
                <w:szCs w:val="16"/>
                <w:lang w:eastAsia="bg-BG"/>
              </w:rPr>
            </w:pPr>
            <w:r w:rsidRPr="00761800">
              <w:rPr>
                <w:rFonts w:ascii="Times New Roman" w:hAnsi="Times New Roman"/>
                <w:b/>
                <w:bCs/>
                <w:color w:val="000099"/>
                <w:sz w:val="16"/>
                <w:szCs w:val="16"/>
                <w:lang w:eastAsia="bg-BG"/>
              </w:rPr>
              <w:t>53 075,7</w:t>
            </w:r>
          </w:p>
        </w:tc>
        <w:tc>
          <w:tcPr>
            <w:tcW w:w="713" w:type="dxa"/>
            <w:tcBorders>
              <w:top w:val="nil"/>
              <w:left w:val="nil"/>
              <w:bottom w:val="nil"/>
              <w:right w:val="nil"/>
            </w:tcBorders>
            <w:shd w:val="clear" w:color="auto" w:fill="auto"/>
            <w:noWrap/>
            <w:hideMark/>
          </w:tcPr>
          <w:p w14:paraId="5DA1FD9F" w14:textId="77777777" w:rsidR="00761800" w:rsidRPr="00761800" w:rsidRDefault="00761800" w:rsidP="00761800">
            <w:pPr>
              <w:jc w:val="right"/>
              <w:rPr>
                <w:rFonts w:ascii="Times New Roman" w:hAnsi="Times New Roman"/>
                <w:b/>
                <w:bCs/>
                <w:color w:val="000099"/>
                <w:sz w:val="16"/>
                <w:szCs w:val="16"/>
                <w:lang w:eastAsia="bg-BG"/>
              </w:rPr>
            </w:pPr>
            <w:r w:rsidRPr="00761800">
              <w:rPr>
                <w:rFonts w:ascii="Times New Roman" w:hAnsi="Times New Roman"/>
                <w:b/>
                <w:bCs/>
                <w:color w:val="000099"/>
                <w:sz w:val="16"/>
                <w:szCs w:val="16"/>
                <w:lang w:eastAsia="bg-BG"/>
              </w:rPr>
              <w:t>37,1%</w:t>
            </w:r>
          </w:p>
        </w:tc>
      </w:tr>
      <w:tr w:rsidR="00761800" w:rsidRPr="00761800" w14:paraId="43E3C687" w14:textId="77777777" w:rsidTr="00406B4D">
        <w:trPr>
          <w:trHeight w:val="80"/>
        </w:trPr>
        <w:tc>
          <w:tcPr>
            <w:tcW w:w="2268" w:type="dxa"/>
            <w:tcBorders>
              <w:top w:val="nil"/>
              <w:left w:val="nil"/>
              <w:bottom w:val="single" w:sz="4" w:space="0" w:color="auto"/>
              <w:right w:val="nil"/>
            </w:tcBorders>
            <w:shd w:val="clear" w:color="auto" w:fill="auto"/>
            <w:noWrap/>
            <w:hideMark/>
          </w:tcPr>
          <w:p w14:paraId="48905E72"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Бюджетно салдо (+/-)</w:t>
            </w:r>
          </w:p>
        </w:tc>
        <w:tc>
          <w:tcPr>
            <w:tcW w:w="708" w:type="dxa"/>
            <w:tcBorders>
              <w:top w:val="nil"/>
              <w:left w:val="nil"/>
              <w:bottom w:val="single" w:sz="4" w:space="0" w:color="auto"/>
              <w:right w:val="nil"/>
            </w:tcBorders>
            <w:shd w:val="clear" w:color="auto" w:fill="auto"/>
            <w:noWrap/>
            <w:hideMark/>
          </w:tcPr>
          <w:p w14:paraId="6584096A"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-3 151,4</w:t>
            </w:r>
          </w:p>
        </w:tc>
        <w:tc>
          <w:tcPr>
            <w:tcW w:w="580" w:type="dxa"/>
            <w:tcBorders>
              <w:top w:val="nil"/>
              <w:left w:val="nil"/>
              <w:bottom w:val="single" w:sz="4" w:space="0" w:color="auto"/>
              <w:right w:val="nil"/>
            </w:tcBorders>
            <w:shd w:val="clear" w:color="auto" w:fill="auto"/>
            <w:noWrap/>
            <w:hideMark/>
          </w:tcPr>
          <w:p w14:paraId="156A04B9"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-3,0%</w:t>
            </w:r>
          </w:p>
        </w:tc>
        <w:tc>
          <w:tcPr>
            <w:tcW w:w="838" w:type="dxa"/>
            <w:tcBorders>
              <w:top w:val="nil"/>
              <w:left w:val="nil"/>
              <w:bottom w:val="single" w:sz="4" w:space="0" w:color="auto"/>
              <w:right w:val="nil"/>
            </w:tcBorders>
            <w:shd w:val="clear" w:color="auto" w:fill="auto"/>
            <w:noWrap/>
            <w:hideMark/>
          </w:tcPr>
          <w:p w14:paraId="1F43DF30"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-3 492,5</w:t>
            </w:r>
          </w:p>
        </w:tc>
        <w:tc>
          <w:tcPr>
            <w:tcW w:w="580" w:type="dxa"/>
            <w:tcBorders>
              <w:top w:val="nil"/>
              <w:left w:val="nil"/>
              <w:bottom w:val="single" w:sz="4" w:space="0" w:color="auto"/>
              <w:right w:val="nil"/>
            </w:tcBorders>
            <w:shd w:val="clear" w:color="auto" w:fill="auto"/>
            <w:noWrap/>
            <w:hideMark/>
          </w:tcPr>
          <w:p w14:paraId="09D5EDD6"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-3,0%</w:t>
            </w:r>
          </w:p>
        </w:tc>
        <w:tc>
          <w:tcPr>
            <w:tcW w:w="837" w:type="dxa"/>
            <w:tcBorders>
              <w:top w:val="nil"/>
              <w:left w:val="nil"/>
              <w:bottom w:val="single" w:sz="4" w:space="0" w:color="auto"/>
              <w:right w:val="nil"/>
            </w:tcBorders>
            <w:shd w:val="clear" w:color="auto" w:fill="auto"/>
            <w:noWrap/>
            <w:hideMark/>
          </w:tcPr>
          <w:p w14:paraId="6F11E376"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-7 191,9</w:t>
            </w:r>
          </w:p>
        </w:tc>
        <w:tc>
          <w:tcPr>
            <w:tcW w:w="580" w:type="dxa"/>
            <w:gridSpan w:val="2"/>
            <w:tcBorders>
              <w:top w:val="nil"/>
              <w:left w:val="nil"/>
              <w:bottom w:val="single" w:sz="4" w:space="0" w:color="auto"/>
              <w:right w:val="nil"/>
            </w:tcBorders>
            <w:shd w:val="clear" w:color="auto" w:fill="auto"/>
            <w:noWrap/>
            <w:hideMark/>
          </w:tcPr>
          <w:p w14:paraId="1C5012F7"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-5,7%</w:t>
            </w:r>
          </w:p>
        </w:tc>
        <w:tc>
          <w:tcPr>
            <w:tcW w:w="839" w:type="dxa"/>
            <w:tcBorders>
              <w:top w:val="nil"/>
              <w:left w:val="nil"/>
              <w:bottom w:val="single" w:sz="4" w:space="0" w:color="auto"/>
              <w:right w:val="nil"/>
            </w:tcBorders>
            <w:shd w:val="clear" w:color="auto" w:fill="auto"/>
            <w:noWrap/>
            <w:hideMark/>
          </w:tcPr>
          <w:p w14:paraId="46F45330"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-5 078,8</w:t>
            </w:r>
          </w:p>
        </w:tc>
        <w:tc>
          <w:tcPr>
            <w:tcW w:w="580" w:type="dxa"/>
            <w:tcBorders>
              <w:top w:val="nil"/>
              <w:left w:val="nil"/>
              <w:bottom w:val="single" w:sz="4" w:space="0" w:color="auto"/>
              <w:right w:val="nil"/>
            </w:tcBorders>
            <w:shd w:val="clear" w:color="auto" w:fill="auto"/>
            <w:noWrap/>
            <w:hideMark/>
          </w:tcPr>
          <w:p w14:paraId="262840E4"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-3,8%</w:t>
            </w:r>
          </w:p>
        </w:tc>
        <w:tc>
          <w:tcPr>
            <w:tcW w:w="838" w:type="dxa"/>
            <w:tcBorders>
              <w:top w:val="nil"/>
              <w:left w:val="nil"/>
              <w:bottom w:val="single" w:sz="4" w:space="0" w:color="auto"/>
              <w:right w:val="nil"/>
            </w:tcBorders>
            <w:shd w:val="clear" w:color="auto" w:fill="auto"/>
            <w:noWrap/>
            <w:hideMark/>
          </w:tcPr>
          <w:p w14:paraId="714E263E"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-4 292,1</w:t>
            </w:r>
          </w:p>
        </w:tc>
        <w:tc>
          <w:tcPr>
            <w:tcW w:w="713" w:type="dxa"/>
            <w:tcBorders>
              <w:top w:val="nil"/>
              <w:left w:val="nil"/>
              <w:bottom w:val="single" w:sz="4" w:space="0" w:color="auto"/>
              <w:right w:val="nil"/>
            </w:tcBorders>
            <w:shd w:val="clear" w:color="auto" w:fill="auto"/>
            <w:noWrap/>
            <w:hideMark/>
          </w:tcPr>
          <w:p w14:paraId="5E1E1A4C"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-3,0%</w:t>
            </w:r>
          </w:p>
        </w:tc>
      </w:tr>
    </w:tbl>
    <w:p w14:paraId="1443F89F" w14:textId="77777777" w:rsidR="00761800" w:rsidRPr="00761800" w:rsidRDefault="00761800" w:rsidP="00761800">
      <w:pPr>
        <w:spacing w:after="200"/>
        <w:jc w:val="right"/>
        <w:rPr>
          <w:rFonts w:ascii="Times New Roman" w:eastAsia="Batang" w:hAnsi="Times New Roman"/>
          <w:sz w:val="16"/>
          <w:szCs w:val="16"/>
          <w:lang w:eastAsia="bg-BG"/>
        </w:rPr>
      </w:pPr>
      <w:r w:rsidRPr="00761800">
        <w:rPr>
          <w:rFonts w:ascii="Times New Roman" w:eastAsia="Batang" w:hAnsi="Times New Roman"/>
          <w:sz w:val="16"/>
          <w:szCs w:val="16"/>
          <w:lang w:eastAsia="bg-BG"/>
        </w:rPr>
        <w:t>Източник: МФ</w:t>
      </w:r>
    </w:p>
    <w:p w14:paraId="0EA59B7F"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За 2024 г. отчетните данни показват дефицит по КФП в размер на 3,2 млрд. евро или 3,0% от БВП. </w:t>
      </w:r>
    </w:p>
    <w:p w14:paraId="024AFF4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Предварителните отчетни данни на КФП за 2025 г. показват приходи от 37,9% от БВП и разходи на ниво от 40,9% от БВП, при което се формира дефицит от 3,0% от БВП. </w:t>
      </w:r>
    </w:p>
    <w:p w14:paraId="1230EE3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Повече информация за изпълнението на КФП за 2024 и 2025 г. се съдържа в прегледа по приложение № 1.</w:t>
      </w:r>
    </w:p>
    <w:p w14:paraId="7A3055A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бюджетната рамка за 2026 г. при отразени фискални ефекти от наследеното състояние на публичните финанси и натрупаните дисбаланси, както и предложените нови приходни и разходни мерки, бюджетното салдо по КФП е планирано да е дефицит от 5,7% от БВП при ниво на разходите от 45,4% от БВП и съответно ниво на приходите от 39,6% от БВП. Бюджетното салдо по КФП е 3,8% от БВП за 2027 г. и 3,0% от БВП за 2028 г., като постепенната му консолидация гарантира осигуряването на разходните политики, обезпечени с приходни мерки.</w:t>
      </w:r>
    </w:p>
    <w:p w14:paraId="2B52E10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 средносрочен план се очаква устойчив номинален ръст на приходите, вкл. на данъчно-осигурителните, като помощите от чужбина след ръст през 2026 г. намаляват през 2027 г. и отново нарастват през 2028 г., което се дължи на етапите на реализация на програмите, съфинансирани от ЕС, вкл. НПВУ. </w:t>
      </w:r>
    </w:p>
    <w:p w14:paraId="2590937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При това ниво на дефицита размерът на приходите, помощите и даренията по КФП е съответно - 49 615,3 млн. евро през 2026 г., 50 272,0 млн. евро през 2027 г., и 53 394,9 млн. евро през 2028 г., като ръстът през 2026 г. спрямо предварителния отчет от 44 014,7 млн. евро през 2025 г. се дължи основно на заложените нови приходни мерки. </w:t>
      </w:r>
    </w:p>
    <w:p w14:paraId="367599E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Размерът на общите разходи по КФП по годините от периода е съответно 56 807,2 млн. евро през 2026 г., 55 350,8 млн. евро през 2027 г. и 57 687,0 млн. евро през 2028 г. </w:t>
      </w:r>
    </w:p>
    <w:p w14:paraId="589E788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По националното правило по чл. 28, ал. 1 от Закона за публичните финанси разходите са в размер на 39,3% от БВП за 2026 г., 37,7% от БВП за 2027 г. и 37,1% от БВП за 2028 г. </w:t>
      </w:r>
    </w:p>
    <w:p w14:paraId="5281C62D" w14:textId="77777777" w:rsidR="00761800" w:rsidRPr="00761800" w:rsidRDefault="00761800" w:rsidP="00761800">
      <w:pPr>
        <w:spacing w:after="200"/>
        <w:jc w:val="both"/>
        <w:rPr>
          <w:rFonts w:ascii="Times New Roman" w:hAnsi="Times New Roman"/>
          <w:szCs w:val="22"/>
          <w:lang w:eastAsia="bg-BG"/>
        </w:rPr>
      </w:pPr>
    </w:p>
    <w:p w14:paraId="579C99F7"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852010"/>
          <w:spacing w:val="10"/>
          <w:w w:val="90"/>
          <w:sz w:val="28"/>
          <w:szCs w:val="26"/>
          <w:lang w:eastAsia="bg-BG"/>
        </w:rPr>
      </w:pPr>
      <w:bookmarkStart w:id="187" w:name="_Toc233717476"/>
      <w:bookmarkStart w:id="188" w:name="_Toc464224779"/>
      <w:bookmarkStart w:id="189" w:name="_Toc464225429"/>
      <w:bookmarkStart w:id="190" w:name="_Toc464458976"/>
      <w:bookmarkStart w:id="191" w:name="_Toc464459722"/>
      <w:bookmarkStart w:id="192" w:name="_Toc464460677"/>
      <w:bookmarkStart w:id="193" w:name="_Toc464463076"/>
      <w:bookmarkStart w:id="194" w:name="_Toc464464903"/>
      <w:bookmarkStart w:id="195" w:name="_Toc464465409"/>
      <w:bookmarkStart w:id="196" w:name="_Toc464465597"/>
      <w:bookmarkStart w:id="197" w:name="_Toc464466422"/>
      <w:bookmarkStart w:id="198" w:name="_Toc464466666"/>
      <w:bookmarkStart w:id="199" w:name="_Toc464644975"/>
      <w:bookmarkStart w:id="200" w:name="_Toc465205507"/>
      <w:r w:rsidRPr="00761800">
        <w:rPr>
          <w:rFonts w:ascii="Times New Roman" w:hAnsi="Times New Roman"/>
          <w:b/>
          <w:bCs/>
          <w:caps/>
          <w:color w:val="852010"/>
          <w:spacing w:val="10"/>
          <w:w w:val="90"/>
          <w:sz w:val="28"/>
          <w:szCs w:val="26"/>
          <w:lang w:eastAsia="bg-BG"/>
        </w:rPr>
        <w:t>Основни фискални параметри за периода 2026-2028 г.</w:t>
      </w:r>
      <w:bookmarkEnd w:id="187"/>
    </w:p>
    <w:p w14:paraId="2DCB8EF8" w14:textId="77777777" w:rsidR="00761800" w:rsidRPr="00761800" w:rsidRDefault="00761800" w:rsidP="00761800">
      <w:pPr>
        <w:spacing w:after="200"/>
        <w:jc w:val="both"/>
        <w:rPr>
          <w:rFonts w:ascii="Times New Roman" w:hAnsi="Times New Roman"/>
          <w:szCs w:val="22"/>
          <w:lang w:eastAsia="bg-BG"/>
        </w:rPr>
      </w:pPr>
      <w:bookmarkStart w:id="201" w:name="_Toc464644976"/>
      <w:bookmarkStart w:id="202" w:name="_Toc464646359"/>
      <w:bookmarkStart w:id="203" w:name="_Toc464737637"/>
      <w:bookmarkEnd w:id="188"/>
      <w:bookmarkEnd w:id="189"/>
      <w:bookmarkEnd w:id="190"/>
      <w:bookmarkEnd w:id="191"/>
      <w:bookmarkEnd w:id="192"/>
      <w:bookmarkEnd w:id="193"/>
      <w:bookmarkEnd w:id="194"/>
      <w:bookmarkEnd w:id="195"/>
      <w:bookmarkEnd w:id="196"/>
      <w:bookmarkEnd w:id="197"/>
      <w:bookmarkEnd w:id="198"/>
      <w:bookmarkEnd w:id="199"/>
      <w:bookmarkEnd w:id="200"/>
      <w:r w:rsidRPr="00761800">
        <w:rPr>
          <w:rFonts w:ascii="Times New Roman" w:hAnsi="Times New Roman"/>
          <w:szCs w:val="22"/>
          <w:lang w:eastAsia="bg-BG"/>
        </w:rPr>
        <w:t>Параметрите на националната бюджетна рамка за периода 2026-2028 г. отчитат ефектите от макроикономическата прогноза за развитието на националната икономика и оценките за ефекта върху основните показатели на КФП.</w:t>
      </w:r>
    </w:p>
    <w:p w14:paraId="75388BB2"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 xml:space="preserve">Включените в АСБП за периода 2026-2028 г. разчети за приходите, помощите и даренията по КФП са в диапазона </w:t>
      </w:r>
      <w:r w:rsidRPr="00761800">
        <w:rPr>
          <w:rFonts w:ascii="Times New Roman" w:hAnsi="Times New Roman"/>
          <w:szCs w:val="22"/>
          <w:lang w:eastAsia="bg-BG"/>
        </w:rPr>
        <w:t>39,6-37,3</w:t>
      </w:r>
      <w:r w:rsidRPr="00761800">
        <w:rPr>
          <w:rFonts w:ascii="Times New Roman" w:eastAsia="Batang" w:hAnsi="Times New Roman"/>
          <w:szCs w:val="22"/>
          <w:lang w:eastAsia="bg-BG"/>
        </w:rPr>
        <w:t xml:space="preserve">% от БВП. Съобразено с необходимостта от финансовото обезпечаване на провежданите политики и мерки на правителството, свързани с приоритетните разходни политики, финансирането на публичните разходи ще </w:t>
      </w:r>
      <w:r w:rsidRPr="00761800">
        <w:rPr>
          <w:rFonts w:ascii="Times New Roman" w:eastAsia="Batang" w:hAnsi="Times New Roman"/>
          <w:szCs w:val="22"/>
          <w:lang w:eastAsia="bg-BG"/>
        </w:rPr>
        <w:lastRenderedPageBreak/>
        <w:t xml:space="preserve">е в диапазона </w:t>
      </w:r>
      <w:r w:rsidRPr="00761800">
        <w:rPr>
          <w:rFonts w:ascii="Times New Roman" w:hAnsi="Times New Roman"/>
          <w:szCs w:val="22"/>
          <w:lang w:eastAsia="bg-BG"/>
        </w:rPr>
        <w:t>45,4-40,3</w:t>
      </w:r>
      <w:r w:rsidRPr="00761800">
        <w:rPr>
          <w:rFonts w:ascii="Times New Roman" w:eastAsia="Batang" w:hAnsi="Times New Roman"/>
          <w:szCs w:val="22"/>
          <w:lang w:eastAsia="bg-BG"/>
        </w:rPr>
        <w:t>% от БВП. В средносрочен план се предвижда дефицитът по КФП да се вмести в рамките на ограничението от 3% от БВП по ЗПФ през 2028 г.</w:t>
      </w:r>
    </w:p>
    <w:p w14:paraId="15541012" w14:textId="77777777" w:rsidR="00761800" w:rsidRPr="00761800" w:rsidRDefault="00761800" w:rsidP="00761800">
      <w:pPr>
        <w:spacing w:after="200"/>
        <w:jc w:val="both"/>
        <w:rPr>
          <w:rFonts w:ascii="Times New Roman" w:hAnsi="Times New Roman"/>
          <w:szCs w:val="22"/>
          <w:lang w:eastAsia="bg-BG"/>
        </w:rPr>
      </w:pPr>
    </w:p>
    <w:p w14:paraId="54F9454D" w14:textId="4346F27B" w:rsidR="00761800" w:rsidRPr="00761800" w:rsidRDefault="00761800" w:rsidP="00761800">
      <w:pPr>
        <w:spacing w:before="240" w:after="120"/>
        <w:rPr>
          <w:rFonts w:ascii="Times New Roman" w:hAnsi="Times New Roman"/>
          <w:b/>
          <w:bCs/>
          <w:color w:val="000000"/>
          <w:szCs w:val="18"/>
          <w:lang w:eastAsia="bg-BG"/>
        </w:rPr>
      </w:pPr>
      <w:bookmarkStart w:id="204" w:name="_Toc233185124"/>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6</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r>
      <w:r w:rsidRPr="00761800">
        <w:rPr>
          <w:rFonts w:ascii="Times New Roman" w:hAnsi="Times New Roman"/>
          <w:b/>
          <w:bCs/>
          <w:color w:val="000000"/>
          <w:szCs w:val="18"/>
          <w:lang w:eastAsia="bg-BG"/>
        </w:rPr>
        <w:t>Основни показатели по КФП (2026-2028 г.)</w:t>
      </w:r>
      <w:bookmarkEnd w:id="204"/>
    </w:p>
    <w:p w14:paraId="79E46EBD" w14:textId="77777777" w:rsidR="00761800" w:rsidRPr="00761800" w:rsidRDefault="00761800" w:rsidP="00761800">
      <w:pPr>
        <w:spacing w:after="200"/>
        <w:jc w:val="both"/>
        <w:rPr>
          <w:rFonts w:ascii="Times New Roman" w:hAnsi="Times New Roman"/>
          <w:szCs w:val="22"/>
          <w:lang w:eastAsia="bg-BG"/>
        </w:rPr>
      </w:pPr>
    </w:p>
    <w:tbl>
      <w:tblPr>
        <w:tblW w:w="9454" w:type="dxa"/>
        <w:tblCellMar>
          <w:left w:w="70" w:type="dxa"/>
          <w:right w:w="70" w:type="dxa"/>
        </w:tblCellMar>
        <w:tblLook w:val="04A0" w:firstRow="1" w:lastRow="0" w:firstColumn="1" w:lastColumn="0" w:noHBand="0" w:noVBand="1"/>
      </w:tblPr>
      <w:tblGrid>
        <w:gridCol w:w="4420"/>
        <w:gridCol w:w="1020"/>
        <w:gridCol w:w="1020"/>
        <w:gridCol w:w="1000"/>
        <w:gridCol w:w="994"/>
        <w:gridCol w:w="1000"/>
      </w:tblGrid>
      <w:tr w:rsidR="00761800" w:rsidRPr="00761800" w14:paraId="1A2A7E9B" w14:textId="77777777" w:rsidTr="00406B4D">
        <w:trPr>
          <w:trHeight w:val="517"/>
        </w:trPr>
        <w:tc>
          <w:tcPr>
            <w:tcW w:w="4420" w:type="dxa"/>
            <w:vMerge w:val="restart"/>
            <w:tcBorders>
              <w:top w:val="single" w:sz="4" w:space="0" w:color="595959"/>
              <w:left w:val="nil"/>
              <w:bottom w:val="single" w:sz="4" w:space="0" w:color="000000"/>
              <w:right w:val="nil"/>
            </w:tcBorders>
            <w:shd w:val="clear" w:color="auto" w:fill="auto"/>
            <w:vAlign w:val="center"/>
            <w:hideMark/>
          </w:tcPr>
          <w:p w14:paraId="4B794BB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КФП</w:t>
            </w:r>
            <w:r w:rsidRPr="00761800">
              <w:rPr>
                <w:rFonts w:ascii="Times New Roman" w:hAnsi="Times New Roman"/>
                <w:b/>
                <w:bCs/>
                <w:sz w:val="20"/>
                <w:lang w:eastAsia="bg-BG"/>
              </w:rPr>
              <w:br/>
              <w:t>млн. евро</w:t>
            </w:r>
          </w:p>
        </w:tc>
        <w:tc>
          <w:tcPr>
            <w:tcW w:w="1020" w:type="dxa"/>
            <w:vMerge w:val="restart"/>
            <w:tcBorders>
              <w:top w:val="single" w:sz="4" w:space="0" w:color="595959"/>
              <w:left w:val="nil"/>
              <w:bottom w:val="single" w:sz="4" w:space="0" w:color="000000"/>
              <w:right w:val="nil"/>
            </w:tcBorders>
            <w:shd w:val="clear" w:color="auto" w:fill="auto"/>
            <w:hideMark/>
          </w:tcPr>
          <w:p w14:paraId="075A531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2024</w:t>
            </w:r>
            <w:r w:rsidRPr="00761800">
              <w:rPr>
                <w:rFonts w:ascii="Times New Roman" w:hAnsi="Times New Roman"/>
                <w:b/>
                <w:bCs/>
                <w:sz w:val="20"/>
                <w:lang w:eastAsia="bg-BG"/>
              </w:rPr>
              <w:br/>
              <w:t>Отчет</w:t>
            </w:r>
          </w:p>
        </w:tc>
        <w:tc>
          <w:tcPr>
            <w:tcW w:w="1020" w:type="dxa"/>
            <w:vMerge w:val="restart"/>
            <w:tcBorders>
              <w:top w:val="single" w:sz="4" w:space="0" w:color="595959"/>
              <w:left w:val="nil"/>
              <w:bottom w:val="single" w:sz="4" w:space="0" w:color="000000"/>
              <w:right w:val="nil"/>
            </w:tcBorders>
            <w:shd w:val="clear" w:color="auto" w:fill="auto"/>
            <w:hideMark/>
          </w:tcPr>
          <w:p w14:paraId="2F33831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2025</w:t>
            </w:r>
            <w:r w:rsidRPr="00761800">
              <w:rPr>
                <w:rFonts w:ascii="Times New Roman" w:hAnsi="Times New Roman"/>
                <w:b/>
                <w:bCs/>
                <w:sz w:val="20"/>
                <w:lang w:eastAsia="bg-BG"/>
              </w:rPr>
              <w:br/>
              <w:t>Предв. отчет</w:t>
            </w:r>
          </w:p>
        </w:tc>
        <w:tc>
          <w:tcPr>
            <w:tcW w:w="1000" w:type="dxa"/>
            <w:vMerge w:val="restart"/>
            <w:tcBorders>
              <w:top w:val="single" w:sz="4" w:space="0" w:color="595959"/>
              <w:left w:val="nil"/>
              <w:bottom w:val="single" w:sz="4" w:space="0" w:color="000000"/>
              <w:right w:val="nil"/>
            </w:tcBorders>
            <w:shd w:val="clear" w:color="auto" w:fill="auto"/>
            <w:hideMark/>
          </w:tcPr>
          <w:p w14:paraId="6639A18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2026</w:t>
            </w:r>
            <w:r w:rsidRPr="00761800">
              <w:rPr>
                <w:rFonts w:ascii="Times New Roman" w:hAnsi="Times New Roman"/>
                <w:b/>
                <w:bCs/>
                <w:sz w:val="20"/>
                <w:lang w:eastAsia="bg-BG"/>
              </w:rPr>
              <w:br/>
              <w:t>Проект</w:t>
            </w:r>
          </w:p>
        </w:tc>
        <w:tc>
          <w:tcPr>
            <w:tcW w:w="994" w:type="dxa"/>
            <w:vMerge w:val="restart"/>
            <w:tcBorders>
              <w:top w:val="single" w:sz="4" w:space="0" w:color="595959"/>
              <w:left w:val="nil"/>
              <w:bottom w:val="single" w:sz="4" w:space="0" w:color="000000"/>
              <w:right w:val="nil"/>
            </w:tcBorders>
            <w:shd w:val="clear" w:color="auto" w:fill="auto"/>
            <w:hideMark/>
          </w:tcPr>
          <w:p w14:paraId="4BF5FE5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2027</w:t>
            </w:r>
            <w:r w:rsidRPr="00761800">
              <w:rPr>
                <w:rFonts w:ascii="Times New Roman" w:hAnsi="Times New Roman"/>
                <w:b/>
                <w:bCs/>
                <w:sz w:val="20"/>
                <w:lang w:eastAsia="bg-BG"/>
              </w:rPr>
              <w:br/>
              <w:t>Прогноза</w:t>
            </w:r>
          </w:p>
        </w:tc>
        <w:tc>
          <w:tcPr>
            <w:tcW w:w="1000" w:type="dxa"/>
            <w:vMerge w:val="restart"/>
            <w:tcBorders>
              <w:top w:val="single" w:sz="4" w:space="0" w:color="595959"/>
              <w:left w:val="nil"/>
              <w:bottom w:val="single" w:sz="4" w:space="0" w:color="000000"/>
              <w:right w:val="nil"/>
            </w:tcBorders>
            <w:shd w:val="clear" w:color="auto" w:fill="auto"/>
            <w:hideMark/>
          </w:tcPr>
          <w:p w14:paraId="372B7B6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2028</w:t>
            </w:r>
            <w:r w:rsidRPr="00761800">
              <w:rPr>
                <w:rFonts w:ascii="Times New Roman" w:hAnsi="Times New Roman"/>
                <w:b/>
                <w:bCs/>
                <w:sz w:val="20"/>
                <w:lang w:eastAsia="bg-BG"/>
              </w:rPr>
              <w:br/>
              <w:t>Прогноза</w:t>
            </w:r>
          </w:p>
        </w:tc>
      </w:tr>
      <w:tr w:rsidR="00761800" w:rsidRPr="00761800" w14:paraId="48968E77" w14:textId="77777777" w:rsidTr="00406B4D">
        <w:trPr>
          <w:trHeight w:val="517"/>
        </w:trPr>
        <w:tc>
          <w:tcPr>
            <w:tcW w:w="4420" w:type="dxa"/>
            <w:vMerge/>
            <w:tcBorders>
              <w:top w:val="single" w:sz="4" w:space="0" w:color="595959"/>
              <w:left w:val="nil"/>
              <w:bottom w:val="single" w:sz="4" w:space="0" w:color="000000"/>
              <w:right w:val="nil"/>
            </w:tcBorders>
            <w:vAlign w:val="center"/>
            <w:hideMark/>
          </w:tcPr>
          <w:p w14:paraId="6B47C5C4"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3B7AD8A7"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72D66099"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2544B6EF" w14:textId="77777777" w:rsidR="00761800" w:rsidRPr="00761800" w:rsidRDefault="00761800" w:rsidP="00761800">
            <w:pPr>
              <w:rPr>
                <w:rFonts w:ascii="Times New Roman" w:hAnsi="Times New Roman"/>
                <w:b/>
                <w:bCs/>
                <w:sz w:val="20"/>
                <w:lang w:eastAsia="bg-BG"/>
              </w:rPr>
            </w:pPr>
          </w:p>
        </w:tc>
        <w:tc>
          <w:tcPr>
            <w:tcW w:w="994" w:type="dxa"/>
            <w:vMerge/>
            <w:tcBorders>
              <w:top w:val="single" w:sz="4" w:space="0" w:color="595959"/>
              <w:left w:val="nil"/>
              <w:bottom w:val="single" w:sz="4" w:space="0" w:color="000000"/>
              <w:right w:val="nil"/>
            </w:tcBorders>
            <w:vAlign w:val="center"/>
            <w:hideMark/>
          </w:tcPr>
          <w:p w14:paraId="582AB149"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78E01BC7" w14:textId="77777777" w:rsidR="00761800" w:rsidRPr="00761800" w:rsidRDefault="00761800" w:rsidP="00761800">
            <w:pPr>
              <w:rPr>
                <w:rFonts w:ascii="Times New Roman" w:hAnsi="Times New Roman"/>
                <w:b/>
                <w:bCs/>
                <w:sz w:val="20"/>
                <w:lang w:eastAsia="bg-BG"/>
              </w:rPr>
            </w:pPr>
          </w:p>
        </w:tc>
      </w:tr>
      <w:tr w:rsidR="00761800" w:rsidRPr="00761800" w14:paraId="6228CB82" w14:textId="77777777" w:rsidTr="00406B4D">
        <w:trPr>
          <w:trHeight w:val="517"/>
        </w:trPr>
        <w:tc>
          <w:tcPr>
            <w:tcW w:w="4420" w:type="dxa"/>
            <w:vMerge/>
            <w:tcBorders>
              <w:top w:val="single" w:sz="4" w:space="0" w:color="595959"/>
              <w:left w:val="nil"/>
              <w:bottom w:val="single" w:sz="4" w:space="0" w:color="000000"/>
              <w:right w:val="nil"/>
            </w:tcBorders>
            <w:vAlign w:val="center"/>
            <w:hideMark/>
          </w:tcPr>
          <w:p w14:paraId="52E437BB"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183AEC3C"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27857178"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455EE0DC" w14:textId="77777777" w:rsidR="00761800" w:rsidRPr="00761800" w:rsidRDefault="00761800" w:rsidP="00761800">
            <w:pPr>
              <w:rPr>
                <w:rFonts w:ascii="Times New Roman" w:hAnsi="Times New Roman"/>
                <w:b/>
                <w:bCs/>
                <w:sz w:val="20"/>
                <w:lang w:eastAsia="bg-BG"/>
              </w:rPr>
            </w:pPr>
          </w:p>
        </w:tc>
        <w:tc>
          <w:tcPr>
            <w:tcW w:w="994" w:type="dxa"/>
            <w:vMerge/>
            <w:tcBorders>
              <w:top w:val="single" w:sz="4" w:space="0" w:color="595959"/>
              <w:left w:val="nil"/>
              <w:bottom w:val="single" w:sz="4" w:space="0" w:color="000000"/>
              <w:right w:val="nil"/>
            </w:tcBorders>
            <w:vAlign w:val="center"/>
            <w:hideMark/>
          </w:tcPr>
          <w:p w14:paraId="63E530B6"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6A8A9952" w14:textId="77777777" w:rsidR="00761800" w:rsidRPr="00761800" w:rsidRDefault="00761800" w:rsidP="00761800">
            <w:pPr>
              <w:rPr>
                <w:rFonts w:ascii="Times New Roman" w:hAnsi="Times New Roman"/>
                <w:b/>
                <w:bCs/>
                <w:sz w:val="20"/>
                <w:lang w:eastAsia="bg-BG"/>
              </w:rPr>
            </w:pPr>
          </w:p>
        </w:tc>
      </w:tr>
      <w:tr w:rsidR="00761800" w:rsidRPr="00761800" w14:paraId="752F3A3B" w14:textId="77777777" w:rsidTr="00406B4D">
        <w:trPr>
          <w:trHeight w:val="240"/>
        </w:trPr>
        <w:tc>
          <w:tcPr>
            <w:tcW w:w="4420" w:type="dxa"/>
            <w:tcBorders>
              <w:top w:val="nil"/>
              <w:left w:val="nil"/>
              <w:bottom w:val="nil"/>
              <w:right w:val="nil"/>
            </w:tcBorders>
            <w:shd w:val="clear" w:color="auto" w:fill="auto"/>
            <w:vAlign w:val="center"/>
            <w:hideMark/>
          </w:tcPr>
          <w:p w14:paraId="52142992"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ПРИХОДИ, ПОМОЩИ И ДАРЕНИЯ</w:t>
            </w:r>
          </w:p>
        </w:tc>
        <w:tc>
          <w:tcPr>
            <w:tcW w:w="1020" w:type="dxa"/>
            <w:tcBorders>
              <w:top w:val="nil"/>
              <w:left w:val="nil"/>
              <w:bottom w:val="nil"/>
              <w:right w:val="nil"/>
            </w:tcBorders>
            <w:shd w:val="clear" w:color="auto" w:fill="auto"/>
            <w:noWrap/>
            <w:vAlign w:val="center"/>
            <w:hideMark/>
          </w:tcPr>
          <w:p w14:paraId="6A8B9CBB"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36 820,8</w:t>
            </w:r>
          </w:p>
        </w:tc>
        <w:tc>
          <w:tcPr>
            <w:tcW w:w="1020" w:type="dxa"/>
            <w:tcBorders>
              <w:top w:val="nil"/>
              <w:left w:val="nil"/>
              <w:bottom w:val="nil"/>
              <w:right w:val="nil"/>
            </w:tcBorders>
            <w:shd w:val="clear" w:color="auto" w:fill="auto"/>
            <w:noWrap/>
            <w:vAlign w:val="center"/>
            <w:hideMark/>
          </w:tcPr>
          <w:p w14:paraId="090891D8"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44 014,7</w:t>
            </w:r>
          </w:p>
        </w:tc>
        <w:tc>
          <w:tcPr>
            <w:tcW w:w="1000" w:type="dxa"/>
            <w:tcBorders>
              <w:top w:val="nil"/>
              <w:left w:val="nil"/>
              <w:bottom w:val="nil"/>
              <w:right w:val="nil"/>
            </w:tcBorders>
            <w:shd w:val="clear" w:color="auto" w:fill="auto"/>
            <w:noWrap/>
            <w:vAlign w:val="center"/>
            <w:hideMark/>
          </w:tcPr>
          <w:p w14:paraId="28CFD221"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49 615,3</w:t>
            </w:r>
          </w:p>
        </w:tc>
        <w:tc>
          <w:tcPr>
            <w:tcW w:w="994" w:type="dxa"/>
            <w:tcBorders>
              <w:top w:val="nil"/>
              <w:left w:val="nil"/>
              <w:bottom w:val="nil"/>
              <w:right w:val="nil"/>
            </w:tcBorders>
            <w:shd w:val="clear" w:color="auto" w:fill="auto"/>
            <w:noWrap/>
            <w:vAlign w:val="center"/>
            <w:hideMark/>
          </w:tcPr>
          <w:p w14:paraId="47BCFA7A"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50 272,0</w:t>
            </w:r>
          </w:p>
        </w:tc>
        <w:tc>
          <w:tcPr>
            <w:tcW w:w="1000" w:type="dxa"/>
            <w:tcBorders>
              <w:top w:val="nil"/>
              <w:left w:val="nil"/>
              <w:bottom w:val="nil"/>
              <w:right w:val="nil"/>
            </w:tcBorders>
            <w:shd w:val="clear" w:color="auto" w:fill="auto"/>
            <w:noWrap/>
            <w:vAlign w:val="center"/>
            <w:hideMark/>
          </w:tcPr>
          <w:p w14:paraId="37E206E4"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53 394,9</w:t>
            </w:r>
          </w:p>
        </w:tc>
      </w:tr>
      <w:tr w:rsidR="00761800" w:rsidRPr="00761800" w14:paraId="258796A6" w14:textId="77777777" w:rsidTr="00406B4D">
        <w:trPr>
          <w:trHeight w:val="240"/>
        </w:trPr>
        <w:tc>
          <w:tcPr>
            <w:tcW w:w="4420" w:type="dxa"/>
            <w:tcBorders>
              <w:top w:val="nil"/>
              <w:left w:val="nil"/>
              <w:bottom w:val="nil"/>
              <w:right w:val="nil"/>
            </w:tcBorders>
            <w:shd w:val="clear" w:color="auto" w:fill="auto"/>
            <w:vAlign w:val="center"/>
            <w:hideMark/>
          </w:tcPr>
          <w:p w14:paraId="2FD9EEBB"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nil"/>
              <w:right w:val="nil"/>
            </w:tcBorders>
            <w:shd w:val="clear" w:color="auto" w:fill="auto"/>
            <w:noWrap/>
            <w:vAlign w:val="center"/>
            <w:hideMark/>
          </w:tcPr>
          <w:p w14:paraId="56A85B2B"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39,0%</w:t>
            </w:r>
          </w:p>
        </w:tc>
        <w:tc>
          <w:tcPr>
            <w:tcW w:w="1020" w:type="dxa"/>
            <w:tcBorders>
              <w:top w:val="nil"/>
              <w:left w:val="nil"/>
              <w:bottom w:val="nil"/>
              <w:right w:val="nil"/>
            </w:tcBorders>
            <w:shd w:val="clear" w:color="auto" w:fill="auto"/>
            <w:noWrap/>
            <w:vAlign w:val="center"/>
            <w:hideMark/>
          </w:tcPr>
          <w:p w14:paraId="13BE554B"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37,9%</w:t>
            </w:r>
          </w:p>
        </w:tc>
        <w:tc>
          <w:tcPr>
            <w:tcW w:w="1000" w:type="dxa"/>
            <w:tcBorders>
              <w:top w:val="nil"/>
              <w:left w:val="nil"/>
              <w:bottom w:val="nil"/>
              <w:right w:val="nil"/>
            </w:tcBorders>
            <w:shd w:val="clear" w:color="auto" w:fill="auto"/>
            <w:noWrap/>
            <w:vAlign w:val="center"/>
            <w:hideMark/>
          </w:tcPr>
          <w:p w14:paraId="07DADB77"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39,6%</w:t>
            </w:r>
          </w:p>
        </w:tc>
        <w:tc>
          <w:tcPr>
            <w:tcW w:w="994" w:type="dxa"/>
            <w:tcBorders>
              <w:top w:val="nil"/>
              <w:left w:val="nil"/>
              <w:bottom w:val="nil"/>
              <w:right w:val="nil"/>
            </w:tcBorders>
            <w:shd w:val="clear" w:color="auto" w:fill="auto"/>
            <w:noWrap/>
            <w:vAlign w:val="center"/>
            <w:hideMark/>
          </w:tcPr>
          <w:p w14:paraId="72222710"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37,4%</w:t>
            </w:r>
          </w:p>
        </w:tc>
        <w:tc>
          <w:tcPr>
            <w:tcW w:w="1000" w:type="dxa"/>
            <w:tcBorders>
              <w:top w:val="nil"/>
              <w:left w:val="nil"/>
              <w:bottom w:val="nil"/>
              <w:right w:val="nil"/>
            </w:tcBorders>
            <w:shd w:val="clear" w:color="auto" w:fill="auto"/>
            <w:noWrap/>
            <w:vAlign w:val="center"/>
            <w:hideMark/>
          </w:tcPr>
          <w:p w14:paraId="234191EB"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37,3%</w:t>
            </w:r>
          </w:p>
        </w:tc>
      </w:tr>
      <w:tr w:rsidR="00761800" w:rsidRPr="00761800" w14:paraId="4270CA83" w14:textId="77777777" w:rsidTr="00406B4D">
        <w:trPr>
          <w:trHeight w:val="240"/>
        </w:trPr>
        <w:tc>
          <w:tcPr>
            <w:tcW w:w="4420" w:type="dxa"/>
            <w:tcBorders>
              <w:top w:val="nil"/>
              <w:left w:val="nil"/>
              <w:bottom w:val="nil"/>
              <w:right w:val="nil"/>
            </w:tcBorders>
            <w:shd w:val="clear" w:color="auto" w:fill="auto"/>
            <w:vAlign w:val="center"/>
            <w:hideMark/>
          </w:tcPr>
          <w:p w14:paraId="5DAB3392" w14:textId="77777777" w:rsidR="00761800" w:rsidRPr="00761800" w:rsidRDefault="00761800" w:rsidP="00761800">
            <w:pPr>
              <w:ind w:firstLineChars="100" w:firstLine="180"/>
              <w:rPr>
                <w:rFonts w:ascii="Times New Roman" w:hAnsi="Times New Roman"/>
                <w:color w:val="000000"/>
                <w:sz w:val="18"/>
                <w:szCs w:val="18"/>
                <w:lang w:eastAsia="bg-BG"/>
              </w:rPr>
            </w:pPr>
            <w:r w:rsidRPr="00761800">
              <w:rPr>
                <w:rFonts w:ascii="Times New Roman" w:hAnsi="Times New Roman"/>
                <w:color w:val="000000"/>
                <w:sz w:val="18"/>
                <w:szCs w:val="18"/>
                <w:lang w:eastAsia="bg-BG"/>
              </w:rPr>
              <w:t>Данъчно-осигурителни приходи</w:t>
            </w:r>
          </w:p>
        </w:tc>
        <w:tc>
          <w:tcPr>
            <w:tcW w:w="1020" w:type="dxa"/>
            <w:tcBorders>
              <w:top w:val="nil"/>
              <w:left w:val="nil"/>
              <w:bottom w:val="nil"/>
              <w:right w:val="nil"/>
            </w:tcBorders>
            <w:shd w:val="clear" w:color="auto" w:fill="auto"/>
            <w:noWrap/>
            <w:vAlign w:val="center"/>
            <w:hideMark/>
          </w:tcPr>
          <w:p w14:paraId="0BE65D01"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30 010,3</w:t>
            </w:r>
          </w:p>
        </w:tc>
        <w:tc>
          <w:tcPr>
            <w:tcW w:w="1020" w:type="dxa"/>
            <w:tcBorders>
              <w:top w:val="nil"/>
              <w:left w:val="nil"/>
              <w:bottom w:val="nil"/>
              <w:right w:val="nil"/>
            </w:tcBorders>
            <w:shd w:val="clear" w:color="auto" w:fill="auto"/>
            <w:noWrap/>
            <w:vAlign w:val="center"/>
            <w:hideMark/>
          </w:tcPr>
          <w:p w14:paraId="1F8AB799"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34 603,1</w:t>
            </w:r>
          </w:p>
        </w:tc>
        <w:tc>
          <w:tcPr>
            <w:tcW w:w="1000" w:type="dxa"/>
            <w:tcBorders>
              <w:top w:val="nil"/>
              <w:left w:val="nil"/>
              <w:bottom w:val="nil"/>
              <w:right w:val="nil"/>
            </w:tcBorders>
            <w:shd w:val="clear" w:color="auto" w:fill="auto"/>
            <w:noWrap/>
            <w:vAlign w:val="center"/>
            <w:hideMark/>
          </w:tcPr>
          <w:p w14:paraId="27B21FF5"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38 440,1</w:t>
            </w:r>
          </w:p>
        </w:tc>
        <w:tc>
          <w:tcPr>
            <w:tcW w:w="994" w:type="dxa"/>
            <w:tcBorders>
              <w:top w:val="nil"/>
              <w:left w:val="nil"/>
              <w:bottom w:val="nil"/>
              <w:right w:val="nil"/>
            </w:tcBorders>
            <w:shd w:val="clear" w:color="auto" w:fill="auto"/>
            <w:noWrap/>
            <w:vAlign w:val="center"/>
            <w:hideMark/>
          </w:tcPr>
          <w:p w14:paraId="7780B665"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41 431,8</w:t>
            </w:r>
          </w:p>
        </w:tc>
        <w:tc>
          <w:tcPr>
            <w:tcW w:w="1000" w:type="dxa"/>
            <w:tcBorders>
              <w:top w:val="nil"/>
              <w:left w:val="nil"/>
              <w:bottom w:val="nil"/>
              <w:right w:val="nil"/>
            </w:tcBorders>
            <w:shd w:val="clear" w:color="auto" w:fill="auto"/>
            <w:noWrap/>
            <w:vAlign w:val="center"/>
            <w:hideMark/>
          </w:tcPr>
          <w:p w14:paraId="1FE229F8"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44 343,7</w:t>
            </w:r>
          </w:p>
        </w:tc>
      </w:tr>
      <w:tr w:rsidR="00761800" w:rsidRPr="00761800" w14:paraId="62A5F2CD" w14:textId="77777777" w:rsidTr="00406B4D">
        <w:trPr>
          <w:trHeight w:val="240"/>
        </w:trPr>
        <w:tc>
          <w:tcPr>
            <w:tcW w:w="4420" w:type="dxa"/>
            <w:tcBorders>
              <w:top w:val="nil"/>
              <w:left w:val="nil"/>
              <w:bottom w:val="nil"/>
              <w:right w:val="nil"/>
            </w:tcBorders>
            <w:shd w:val="clear" w:color="auto" w:fill="auto"/>
            <w:vAlign w:val="center"/>
            <w:hideMark/>
          </w:tcPr>
          <w:p w14:paraId="7C15DF00" w14:textId="77777777" w:rsidR="00761800" w:rsidRPr="00761800" w:rsidRDefault="00761800" w:rsidP="00761800">
            <w:pPr>
              <w:ind w:firstLineChars="100" w:firstLine="180"/>
              <w:rPr>
                <w:rFonts w:ascii="Times New Roman" w:hAnsi="Times New Roman"/>
                <w:color w:val="000000"/>
                <w:sz w:val="18"/>
                <w:szCs w:val="18"/>
                <w:lang w:eastAsia="bg-BG"/>
              </w:rPr>
            </w:pPr>
            <w:r w:rsidRPr="00761800">
              <w:rPr>
                <w:rFonts w:ascii="Times New Roman" w:hAnsi="Times New Roman"/>
                <w:color w:val="000000"/>
                <w:sz w:val="18"/>
                <w:szCs w:val="18"/>
                <w:lang w:eastAsia="bg-BG"/>
              </w:rPr>
              <w:t>Неданъчни приходи</w:t>
            </w:r>
          </w:p>
        </w:tc>
        <w:tc>
          <w:tcPr>
            <w:tcW w:w="1020" w:type="dxa"/>
            <w:tcBorders>
              <w:top w:val="nil"/>
              <w:left w:val="nil"/>
              <w:bottom w:val="nil"/>
              <w:right w:val="nil"/>
            </w:tcBorders>
            <w:shd w:val="clear" w:color="auto" w:fill="auto"/>
            <w:noWrap/>
            <w:vAlign w:val="center"/>
            <w:hideMark/>
          </w:tcPr>
          <w:p w14:paraId="6E18F3EA"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4 953,3</w:t>
            </w:r>
          </w:p>
        </w:tc>
        <w:tc>
          <w:tcPr>
            <w:tcW w:w="1020" w:type="dxa"/>
            <w:tcBorders>
              <w:top w:val="nil"/>
              <w:left w:val="nil"/>
              <w:bottom w:val="nil"/>
              <w:right w:val="nil"/>
            </w:tcBorders>
            <w:shd w:val="clear" w:color="auto" w:fill="auto"/>
            <w:noWrap/>
            <w:vAlign w:val="center"/>
            <w:hideMark/>
          </w:tcPr>
          <w:p w14:paraId="4E524E05"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6 063,4</w:t>
            </w:r>
          </w:p>
        </w:tc>
        <w:tc>
          <w:tcPr>
            <w:tcW w:w="1000" w:type="dxa"/>
            <w:tcBorders>
              <w:top w:val="nil"/>
              <w:left w:val="nil"/>
              <w:bottom w:val="nil"/>
              <w:right w:val="nil"/>
            </w:tcBorders>
            <w:shd w:val="clear" w:color="auto" w:fill="auto"/>
            <w:noWrap/>
            <w:vAlign w:val="center"/>
            <w:hideMark/>
          </w:tcPr>
          <w:p w14:paraId="4687F2F4"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5 784,1</w:t>
            </w:r>
          </w:p>
        </w:tc>
        <w:tc>
          <w:tcPr>
            <w:tcW w:w="994" w:type="dxa"/>
            <w:tcBorders>
              <w:top w:val="nil"/>
              <w:left w:val="nil"/>
              <w:bottom w:val="nil"/>
              <w:right w:val="nil"/>
            </w:tcBorders>
            <w:shd w:val="clear" w:color="auto" w:fill="auto"/>
            <w:noWrap/>
            <w:vAlign w:val="center"/>
            <w:hideMark/>
          </w:tcPr>
          <w:p w14:paraId="68804C03"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6 126,0</w:t>
            </w:r>
          </w:p>
        </w:tc>
        <w:tc>
          <w:tcPr>
            <w:tcW w:w="1000" w:type="dxa"/>
            <w:tcBorders>
              <w:top w:val="nil"/>
              <w:left w:val="nil"/>
              <w:bottom w:val="nil"/>
              <w:right w:val="nil"/>
            </w:tcBorders>
            <w:shd w:val="clear" w:color="auto" w:fill="auto"/>
            <w:noWrap/>
            <w:vAlign w:val="center"/>
            <w:hideMark/>
          </w:tcPr>
          <w:p w14:paraId="1CF0F2F9"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6 219,9</w:t>
            </w:r>
          </w:p>
        </w:tc>
      </w:tr>
      <w:tr w:rsidR="00761800" w:rsidRPr="00761800" w14:paraId="76C0AB36" w14:textId="77777777" w:rsidTr="00406B4D">
        <w:trPr>
          <w:trHeight w:val="240"/>
        </w:trPr>
        <w:tc>
          <w:tcPr>
            <w:tcW w:w="4420" w:type="dxa"/>
            <w:tcBorders>
              <w:top w:val="nil"/>
              <w:left w:val="nil"/>
              <w:bottom w:val="nil"/>
              <w:right w:val="nil"/>
            </w:tcBorders>
            <w:shd w:val="clear" w:color="auto" w:fill="auto"/>
            <w:vAlign w:val="center"/>
            <w:hideMark/>
          </w:tcPr>
          <w:p w14:paraId="13609318" w14:textId="77777777" w:rsidR="00761800" w:rsidRPr="00761800" w:rsidRDefault="00761800" w:rsidP="00761800">
            <w:pPr>
              <w:ind w:firstLineChars="100" w:firstLine="180"/>
              <w:rPr>
                <w:rFonts w:ascii="Times New Roman" w:hAnsi="Times New Roman"/>
                <w:color w:val="000000"/>
                <w:sz w:val="18"/>
                <w:szCs w:val="18"/>
                <w:lang w:eastAsia="bg-BG"/>
              </w:rPr>
            </w:pPr>
            <w:r w:rsidRPr="00761800">
              <w:rPr>
                <w:rFonts w:ascii="Times New Roman" w:hAnsi="Times New Roman"/>
                <w:color w:val="000000"/>
                <w:sz w:val="18"/>
                <w:szCs w:val="18"/>
                <w:lang w:eastAsia="bg-BG"/>
              </w:rPr>
              <w:t>Помощи и дарения</w:t>
            </w:r>
          </w:p>
        </w:tc>
        <w:tc>
          <w:tcPr>
            <w:tcW w:w="1020" w:type="dxa"/>
            <w:tcBorders>
              <w:top w:val="nil"/>
              <w:left w:val="nil"/>
              <w:bottom w:val="nil"/>
              <w:right w:val="nil"/>
            </w:tcBorders>
            <w:shd w:val="clear" w:color="auto" w:fill="auto"/>
            <w:noWrap/>
            <w:vAlign w:val="center"/>
            <w:hideMark/>
          </w:tcPr>
          <w:p w14:paraId="7AF7B36A"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1 857,1</w:t>
            </w:r>
          </w:p>
        </w:tc>
        <w:tc>
          <w:tcPr>
            <w:tcW w:w="1020" w:type="dxa"/>
            <w:tcBorders>
              <w:top w:val="nil"/>
              <w:left w:val="nil"/>
              <w:bottom w:val="nil"/>
              <w:right w:val="nil"/>
            </w:tcBorders>
            <w:shd w:val="clear" w:color="auto" w:fill="auto"/>
            <w:noWrap/>
            <w:vAlign w:val="center"/>
            <w:hideMark/>
          </w:tcPr>
          <w:p w14:paraId="0BAAF674"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3 348,2</w:t>
            </w:r>
          </w:p>
        </w:tc>
        <w:tc>
          <w:tcPr>
            <w:tcW w:w="1000" w:type="dxa"/>
            <w:tcBorders>
              <w:top w:val="nil"/>
              <w:left w:val="nil"/>
              <w:bottom w:val="nil"/>
              <w:right w:val="nil"/>
            </w:tcBorders>
            <w:shd w:val="clear" w:color="auto" w:fill="auto"/>
            <w:noWrap/>
            <w:vAlign w:val="center"/>
            <w:hideMark/>
          </w:tcPr>
          <w:p w14:paraId="38BD66E1"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5 391,1</w:t>
            </w:r>
          </w:p>
        </w:tc>
        <w:tc>
          <w:tcPr>
            <w:tcW w:w="994" w:type="dxa"/>
            <w:tcBorders>
              <w:top w:val="nil"/>
              <w:left w:val="nil"/>
              <w:bottom w:val="nil"/>
              <w:right w:val="nil"/>
            </w:tcBorders>
            <w:shd w:val="clear" w:color="auto" w:fill="auto"/>
            <w:noWrap/>
            <w:vAlign w:val="center"/>
            <w:hideMark/>
          </w:tcPr>
          <w:p w14:paraId="55209C0E"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2 714,2</w:t>
            </w:r>
          </w:p>
        </w:tc>
        <w:tc>
          <w:tcPr>
            <w:tcW w:w="1000" w:type="dxa"/>
            <w:tcBorders>
              <w:top w:val="nil"/>
              <w:left w:val="nil"/>
              <w:bottom w:val="nil"/>
              <w:right w:val="nil"/>
            </w:tcBorders>
            <w:shd w:val="clear" w:color="auto" w:fill="auto"/>
            <w:noWrap/>
            <w:vAlign w:val="center"/>
            <w:hideMark/>
          </w:tcPr>
          <w:p w14:paraId="5F0FA884"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2 831,3</w:t>
            </w:r>
          </w:p>
        </w:tc>
      </w:tr>
      <w:tr w:rsidR="00761800" w:rsidRPr="00761800" w14:paraId="4F33D881" w14:textId="77777777" w:rsidTr="00406B4D">
        <w:trPr>
          <w:trHeight w:val="165"/>
        </w:trPr>
        <w:tc>
          <w:tcPr>
            <w:tcW w:w="4420" w:type="dxa"/>
            <w:tcBorders>
              <w:top w:val="nil"/>
              <w:left w:val="nil"/>
              <w:bottom w:val="nil"/>
              <w:right w:val="nil"/>
            </w:tcBorders>
            <w:shd w:val="clear" w:color="auto" w:fill="auto"/>
            <w:vAlign w:val="center"/>
            <w:hideMark/>
          </w:tcPr>
          <w:p w14:paraId="58753FF6" w14:textId="77777777" w:rsidR="00761800" w:rsidRPr="00761800" w:rsidRDefault="00761800" w:rsidP="00761800">
            <w:pPr>
              <w:jc w:val="right"/>
              <w:rPr>
                <w:rFonts w:ascii="Times New Roman" w:hAnsi="Times New Roman"/>
                <w:color w:val="000000"/>
                <w:sz w:val="18"/>
                <w:szCs w:val="18"/>
                <w:lang w:eastAsia="bg-BG"/>
              </w:rPr>
            </w:pPr>
          </w:p>
        </w:tc>
        <w:tc>
          <w:tcPr>
            <w:tcW w:w="1020" w:type="dxa"/>
            <w:tcBorders>
              <w:top w:val="nil"/>
              <w:left w:val="nil"/>
              <w:bottom w:val="nil"/>
              <w:right w:val="nil"/>
            </w:tcBorders>
            <w:shd w:val="clear" w:color="auto" w:fill="auto"/>
            <w:noWrap/>
            <w:vAlign w:val="center"/>
            <w:hideMark/>
          </w:tcPr>
          <w:p w14:paraId="25239843" w14:textId="77777777" w:rsidR="00761800" w:rsidRPr="00761800" w:rsidRDefault="00761800" w:rsidP="00761800">
            <w:pPr>
              <w:rPr>
                <w:rFonts w:ascii="Times New Roman" w:hAnsi="Times New Roman"/>
                <w:sz w:val="20"/>
                <w:lang w:eastAsia="bg-BG"/>
              </w:rPr>
            </w:pPr>
          </w:p>
        </w:tc>
        <w:tc>
          <w:tcPr>
            <w:tcW w:w="1020" w:type="dxa"/>
            <w:tcBorders>
              <w:top w:val="nil"/>
              <w:left w:val="nil"/>
              <w:bottom w:val="nil"/>
              <w:right w:val="nil"/>
            </w:tcBorders>
            <w:shd w:val="clear" w:color="auto" w:fill="auto"/>
            <w:noWrap/>
            <w:vAlign w:val="center"/>
            <w:hideMark/>
          </w:tcPr>
          <w:p w14:paraId="6194F849"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2B060055" w14:textId="77777777" w:rsidR="00761800" w:rsidRPr="00761800" w:rsidRDefault="00761800" w:rsidP="00761800">
            <w:pPr>
              <w:jc w:val="right"/>
              <w:rPr>
                <w:rFonts w:ascii="Times New Roman" w:hAnsi="Times New Roman"/>
                <w:sz w:val="20"/>
                <w:lang w:eastAsia="bg-BG"/>
              </w:rPr>
            </w:pPr>
          </w:p>
        </w:tc>
        <w:tc>
          <w:tcPr>
            <w:tcW w:w="994" w:type="dxa"/>
            <w:tcBorders>
              <w:top w:val="nil"/>
              <w:left w:val="nil"/>
              <w:bottom w:val="nil"/>
              <w:right w:val="nil"/>
            </w:tcBorders>
            <w:shd w:val="clear" w:color="auto" w:fill="auto"/>
            <w:noWrap/>
            <w:vAlign w:val="center"/>
            <w:hideMark/>
          </w:tcPr>
          <w:p w14:paraId="2047815E"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723AA75F" w14:textId="77777777" w:rsidR="00761800" w:rsidRPr="00761800" w:rsidRDefault="00761800" w:rsidP="00761800">
            <w:pPr>
              <w:jc w:val="right"/>
              <w:rPr>
                <w:rFonts w:ascii="Times New Roman" w:hAnsi="Times New Roman"/>
                <w:sz w:val="20"/>
                <w:lang w:eastAsia="bg-BG"/>
              </w:rPr>
            </w:pPr>
          </w:p>
        </w:tc>
      </w:tr>
      <w:tr w:rsidR="00761800" w:rsidRPr="00761800" w14:paraId="02C58908" w14:textId="77777777" w:rsidTr="00406B4D">
        <w:trPr>
          <w:trHeight w:val="255"/>
        </w:trPr>
        <w:tc>
          <w:tcPr>
            <w:tcW w:w="4420" w:type="dxa"/>
            <w:tcBorders>
              <w:top w:val="nil"/>
              <w:left w:val="nil"/>
              <w:bottom w:val="nil"/>
              <w:right w:val="nil"/>
            </w:tcBorders>
            <w:shd w:val="clear" w:color="auto" w:fill="auto"/>
            <w:vAlign w:val="center"/>
            <w:hideMark/>
          </w:tcPr>
          <w:p w14:paraId="1305A369"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 xml:space="preserve">ОБЩО РАЗХОДИ И ВНОСКА В БЮДЖЕТА НА ЕС  </w:t>
            </w:r>
          </w:p>
        </w:tc>
        <w:tc>
          <w:tcPr>
            <w:tcW w:w="1020" w:type="dxa"/>
            <w:tcBorders>
              <w:top w:val="nil"/>
              <w:left w:val="nil"/>
              <w:bottom w:val="nil"/>
              <w:right w:val="nil"/>
            </w:tcBorders>
            <w:shd w:val="clear" w:color="auto" w:fill="auto"/>
            <w:noWrap/>
            <w:vAlign w:val="center"/>
            <w:hideMark/>
          </w:tcPr>
          <w:p w14:paraId="5A5A9EC0"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39 972,2</w:t>
            </w:r>
          </w:p>
        </w:tc>
        <w:tc>
          <w:tcPr>
            <w:tcW w:w="1020" w:type="dxa"/>
            <w:tcBorders>
              <w:top w:val="nil"/>
              <w:left w:val="nil"/>
              <w:bottom w:val="nil"/>
              <w:right w:val="nil"/>
            </w:tcBorders>
            <w:shd w:val="clear" w:color="auto" w:fill="auto"/>
            <w:noWrap/>
            <w:vAlign w:val="center"/>
            <w:hideMark/>
          </w:tcPr>
          <w:p w14:paraId="61892103"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47 507,2</w:t>
            </w:r>
          </w:p>
        </w:tc>
        <w:tc>
          <w:tcPr>
            <w:tcW w:w="1000" w:type="dxa"/>
            <w:tcBorders>
              <w:top w:val="nil"/>
              <w:left w:val="nil"/>
              <w:bottom w:val="nil"/>
              <w:right w:val="nil"/>
            </w:tcBorders>
            <w:shd w:val="clear" w:color="auto" w:fill="auto"/>
            <w:noWrap/>
            <w:vAlign w:val="center"/>
            <w:hideMark/>
          </w:tcPr>
          <w:p w14:paraId="64C45431"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56 807,2</w:t>
            </w:r>
          </w:p>
        </w:tc>
        <w:tc>
          <w:tcPr>
            <w:tcW w:w="994" w:type="dxa"/>
            <w:tcBorders>
              <w:top w:val="nil"/>
              <w:left w:val="nil"/>
              <w:bottom w:val="nil"/>
              <w:right w:val="nil"/>
            </w:tcBorders>
            <w:shd w:val="clear" w:color="auto" w:fill="auto"/>
            <w:noWrap/>
            <w:vAlign w:val="center"/>
            <w:hideMark/>
          </w:tcPr>
          <w:p w14:paraId="5ADECF6A"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55 350,8</w:t>
            </w:r>
          </w:p>
        </w:tc>
        <w:tc>
          <w:tcPr>
            <w:tcW w:w="1000" w:type="dxa"/>
            <w:tcBorders>
              <w:top w:val="nil"/>
              <w:left w:val="nil"/>
              <w:bottom w:val="nil"/>
              <w:right w:val="nil"/>
            </w:tcBorders>
            <w:shd w:val="clear" w:color="auto" w:fill="auto"/>
            <w:noWrap/>
            <w:vAlign w:val="center"/>
            <w:hideMark/>
          </w:tcPr>
          <w:p w14:paraId="30C7F9C3"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57 687,0</w:t>
            </w:r>
          </w:p>
        </w:tc>
      </w:tr>
      <w:tr w:rsidR="00761800" w:rsidRPr="00761800" w14:paraId="78024F72" w14:textId="77777777" w:rsidTr="00406B4D">
        <w:trPr>
          <w:trHeight w:val="240"/>
        </w:trPr>
        <w:tc>
          <w:tcPr>
            <w:tcW w:w="4420" w:type="dxa"/>
            <w:tcBorders>
              <w:top w:val="nil"/>
              <w:left w:val="nil"/>
              <w:bottom w:val="nil"/>
              <w:right w:val="nil"/>
            </w:tcBorders>
            <w:shd w:val="clear" w:color="auto" w:fill="auto"/>
            <w:vAlign w:val="center"/>
            <w:hideMark/>
          </w:tcPr>
          <w:p w14:paraId="6F26AD8D"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nil"/>
              <w:right w:val="nil"/>
            </w:tcBorders>
            <w:shd w:val="clear" w:color="auto" w:fill="auto"/>
            <w:noWrap/>
            <w:vAlign w:val="center"/>
            <w:hideMark/>
          </w:tcPr>
          <w:p w14:paraId="39DCFC87"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42,3%</w:t>
            </w:r>
          </w:p>
        </w:tc>
        <w:tc>
          <w:tcPr>
            <w:tcW w:w="1020" w:type="dxa"/>
            <w:tcBorders>
              <w:top w:val="nil"/>
              <w:left w:val="nil"/>
              <w:bottom w:val="nil"/>
              <w:right w:val="nil"/>
            </w:tcBorders>
            <w:shd w:val="clear" w:color="auto" w:fill="auto"/>
            <w:noWrap/>
            <w:vAlign w:val="center"/>
            <w:hideMark/>
          </w:tcPr>
          <w:p w14:paraId="6DD08CA6"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40,9%</w:t>
            </w:r>
          </w:p>
        </w:tc>
        <w:tc>
          <w:tcPr>
            <w:tcW w:w="1000" w:type="dxa"/>
            <w:tcBorders>
              <w:top w:val="nil"/>
              <w:left w:val="nil"/>
              <w:bottom w:val="nil"/>
              <w:right w:val="nil"/>
            </w:tcBorders>
            <w:shd w:val="clear" w:color="auto" w:fill="auto"/>
            <w:noWrap/>
            <w:vAlign w:val="center"/>
            <w:hideMark/>
          </w:tcPr>
          <w:p w14:paraId="74B0B2B0"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45,4%</w:t>
            </w:r>
          </w:p>
        </w:tc>
        <w:tc>
          <w:tcPr>
            <w:tcW w:w="994" w:type="dxa"/>
            <w:tcBorders>
              <w:top w:val="nil"/>
              <w:left w:val="nil"/>
              <w:bottom w:val="nil"/>
              <w:right w:val="nil"/>
            </w:tcBorders>
            <w:shd w:val="clear" w:color="auto" w:fill="auto"/>
            <w:noWrap/>
            <w:vAlign w:val="center"/>
            <w:hideMark/>
          </w:tcPr>
          <w:p w14:paraId="39C409D7"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41,1%</w:t>
            </w:r>
          </w:p>
        </w:tc>
        <w:tc>
          <w:tcPr>
            <w:tcW w:w="1000" w:type="dxa"/>
            <w:tcBorders>
              <w:top w:val="nil"/>
              <w:left w:val="nil"/>
              <w:bottom w:val="nil"/>
              <w:right w:val="nil"/>
            </w:tcBorders>
            <w:shd w:val="clear" w:color="auto" w:fill="auto"/>
            <w:noWrap/>
            <w:vAlign w:val="center"/>
            <w:hideMark/>
          </w:tcPr>
          <w:p w14:paraId="30BA5958"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40,3%</w:t>
            </w:r>
          </w:p>
        </w:tc>
      </w:tr>
      <w:tr w:rsidR="00761800" w:rsidRPr="00761800" w14:paraId="28BC9F0F" w14:textId="77777777" w:rsidTr="00406B4D">
        <w:trPr>
          <w:trHeight w:val="240"/>
        </w:trPr>
        <w:tc>
          <w:tcPr>
            <w:tcW w:w="4420" w:type="dxa"/>
            <w:tcBorders>
              <w:top w:val="nil"/>
              <w:left w:val="nil"/>
              <w:bottom w:val="nil"/>
              <w:right w:val="nil"/>
            </w:tcBorders>
            <w:shd w:val="clear" w:color="auto" w:fill="auto"/>
            <w:noWrap/>
            <w:vAlign w:val="center"/>
            <w:hideMark/>
          </w:tcPr>
          <w:p w14:paraId="0BAEB763" w14:textId="77777777" w:rsidR="00761800" w:rsidRPr="00761800" w:rsidRDefault="00761800" w:rsidP="00761800">
            <w:pPr>
              <w:ind w:firstLineChars="100" w:firstLine="180"/>
              <w:rPr>
                <w:rFonts w:ascii="Times New Roman" w:hAnsi="Times New Roman"/>
                <w:color w:val="000000"/>
                <w:sz w:val="18"/>
                <w:szCs w:val="18"/>
                <w:lang w:eastAsia="bg-BG"/>
              </w:rPr>
            </w:pPr>
            <w:r w:rsidRPr="00761800">
              <w:rPr>
                <w:rFonts w:ascii="Times New Roman" w:hAnsi="Times New Roman"/>
                <w:color w:val="000000"/>
                <w:sz w:val="18"/>
                <w:szCs w:val="18"/>
                <w:lang w:eastAsia="bg-BG"/>
              </w:rPr>
              <w:t xml:space="preserve">Разходи </w:t>
            </w:r>
          </w:p>
        </w:tc>
        <w:tc>
          <w:tcPr>
            <w:tcW w:w="1020" w:type="dxa"/>
            <w:tcBorders>
              <w:top w:val="nil"/>
              <w:left w:val="nil"/>
              <w:bottom w:val="nil"/>
              <w:right w:val="nil"/>
            </w:tcBorders>
            <w:shd w:val="clear" w:color="auto" w:fill="auto"/>
            <w:noWrap/>
            <w:vAlign w:val="center"/>
            <w:hideMark/>
          </w:tcPr>
          <w:p w14:paraId="48BE04E4"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39 158,1</w:t>
            </w:r>
          </w:p>
        </w:tc>
        <w:tc>
          <w:tcPr>
            <w:tcW w:w="1020" w:type="dxa"/>
            <w:tcBorders>
              <w:top w:val="nil"/>
              <w:left w:val="nil"/>
              <w:bottom w:val="nil"/>
              <w:right w:val="nil"/>
            </w:tcBorders>
            <w:shd w:val="clear" w:color="auto" w:fill="auto"/>
            <w:noWrap/>
            <w:vAlign w:val="center"/>
            <w:hideMark/>
          </w:tcPr>
          <w:p w14:paraId="3CCE73F2"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46 466,3</w:t>
            </w:r>
          </w:p>
        </w:tc>
        <w:tc>
          <w:tcPr>
            <w:tcW w:w="1000" w:type="dxa"/>
            <w:tcBorders>
              <w:top w:val="nil"/>
              <w:left w:val="nil"/>
              <w:bottom w:val="nil"/>
              <w:right w:val="nil"/>
            </w:tcBorders>
            <w:shd w:val="clear" w:color="auto" w:fill="auto"/>
            <w:noWrap/>
            <w:vAlign w:val="center"/>
            <w:hideMark/>
          </w:tcPr>
          <w:p w14:paraId="5742F1F0"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55 525,0</w:t>
            </w:r>
          </w:p>
        </w:tc>
        <w:tc>
          <w:tcPr>
            <w:tcW w:w="994" w:type="dxa"/>
            <w:tcBorders>
              <w:top w:val="nil"/>
              <w:left w:val="nil"/>
              <w:bottom w:val="nil"/>
              <w:right w:val="nil"/>
            </w:tcBorders>
            <w:shd w:val="clear" w:color="auto" w:fill="auto"/>
            <w:noWrap/>
            <w:vAlign w:val="center"/>
            <w:hideMark/>
          </w:tcPr>
          <w:p w14:paraId="3E487B06"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53 964,3</w:t>
            </w:r>
          </w:p>
        </w:tc>
        <w:tc>
          <w:tcPr>
            <w:tcW w:w="1000" w:type="dxa"/>
            <w:tcBorders>
              <w:top w:val="nil"/>
              <w:left w:val="nil"/>
              <w:bottom w:val="nil"/>
              <w:right w:val="nil"/>
            </w:tcBorders>
            <w:shd w:val="clear" w:color="auto" w:fill="auto"/>
            <w:noWrap/>
            <w:vAlign w:val="center"/>
            <w:hideMark/>
          </w:tcPr>
          <w:p w14:paraId="7DA4722A"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55 897,6</w:t>
            </w:r>
          </w:p>
        </w:tc>
      </w:tr>
      <w:tr w:rsidR="00761800" w:rsidRPr="00761800" w14:paraId="631B8213" w14:textId="77777777" w:rsidTr="00406B4D">
        <w:trPr>
          <w:trHeight w:val="240"/>
        </w:trPr>
        <w:tc>
          <w:tcPr>
            <w:tcW w:w="4420" w:type="dxa"/>
            <w:tcBorders>
              <w:top w:val="nil"/>
              <w:left w:val="nil"/>
              <w:bottom w:val="nil"/>
              <w:right w:val="nil"/>
            </w:tcBorders>
            <w:shd w:val="clear" w:color="auto" w:fill="auto"/>
            <w:vAlign w:val="center"/>
            <w:hideMark/>
          </w:tcPr>
          <w:p w14:paraId="672EC835" w14:textId="77777777" w:rsidR="00761800" w:rsidRPr="00761800" w:rsidRDefault="00761800" w:rsidP="00761800">
            <w:pPr>
              <w:ind w:firstLineChars="200" w:firstLine="360"/>
              <w:rPr>
                <w:rFonts w:ascii="Times New Roman" w:hAnsi="Times New Roman"/>
                <w:color w:val="000000"/>
                <w:sz w:val="18"/>
                <w:szCs w:val="18"/>
                <w:lang w:eastAsia="bg-BG"/>
              </w:rPr>
            </w:pPr>
            <w:r w:rsidRPr="00761800">
              <w:rPr>
                <w:rFonts w:ascii="Times New Roman" w:hAnsi="Times New Roman"/>
                <w:color w:val="000000"/>
                <w:sz w:val="18"/>
                <w:szCs w:val="18"/>
                <w:lang w:eastAsia="bg-BG"/>
              </w:rPr>
              <w:t>Нелихвени разходи</w:t>
            </w:r>
          </w:p>
        </w:tc>
        <w:tc>
          <w:tcPr>
            <w:tcW w:w="1020" w:type="dxa"/>
            <w:tcBorders>
              <w:top w:val="nil"/>
              <w:left w:val="nil"/>
              <w:bottom w:val="nil"/>
              <w:right w:val="nil"/>
            </w:tcBorders>
            <w:shd w:val="clear" w:color="auto" w:fill="auto"/>
            <w:noWrap/>
            <w:vAlign w:val="center"/>
            <w:hideMark/>
          </w:tcPr>
          <w:p w14:paraId="08C37738"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38 642,2</w:t>
            </w:r>
          </w:p>
        </w:tc>
        <w:tc>
          <w:tcPr>
            <w:tcW w:w="1020" w:type="dxa"/>
            <w:tcBorders>
              <w:top w:val="nil"/>
              <w:left w:val="nil"/>
              <w:bottom w:val="nil"/>
              <w:right w:val="nil"/>
            </w:tcBorders>
            <w:shd w:val="clear" w:color="auto" w:fill="auto"/>
            <w:noWrap/>
            <w:vAlign w:val="center"/>
            <w:hideMark/>
          </w:tcPr>
          <w:p w14:paraId="4DC14A47"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45 729,1</w:t>
            </w:r>
          </w:p>
        </w:tc>
        <w:tc>
          <w:tcPr>
            <w:tcW w:w="1000" w:type="dxa"/>
            <w:tcBorders>
              <w:top w:val="nil"/>
              <w:left w:val="nil"/>
              <w:bottom w:val="nil"/>
              <w:right w:val="nil"/>
            </w:tcBorders>
            <w:shd w:val="clear" w:color="auto" w:fill="auto"/>
            <w:noWrap/>
            <w:vAlign w:val="center"/>
            <w:hideMark/>
          </w:tcPr>
          <w:p w14:paraId="0B4B62B5"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54 465,9</w:t>
            </w:r>
          </w:p>
        </w:tc>
        <w:tc>
          <w:tcPr>
            <w:tcW w:w="994" w:type="dxa"/>
            <w:tcBorders>
              <w:top w:val="nil"/>
              <w:left w:val="nil"/>
              <w:bottom w:val="nil"/>
              <w:right w:val="nil"/>
            </w:tcBorders>
            <w:shd w:val="clear" w:color="auto" w:fill="auto"/>
            <w:noWrap/>
            <w:vAlign w:val="center"/>
            <w:hideMark/>
          </w:tcPr>
          <w:p w14:paraId="66167638"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52 535,1</w:t>
            </w:r>
          </w:p>
        </w:tc>
        <w:tc>
          <w:tcPr>
            <w:tcW w:w="1000" w:type="dxa"/>
            <w:tcBorders>
              <w:top w:val="nil"/>
              <w:left w:val="nil"/>
              <w:bottom w:val="nil"/>
              <w:right w:val="nil"/>
            </w:tcBorders>
            <w:shd w:val="clear" w:color="auto" w:fill="auto"/>
            <w:noWrap/>
            <w:vAlign w:val="center"/>
            <w:hideMark/>
          </w:tcPr>
          <w:p w14:paraId="06C23297"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54 112,5</w:t>
            </w:r>
          </w:p>
        </w:tc>
      </w:tr>
      <w:tr w:rsidR="00761800" w:rsidRPr="00761800" w14:paraId="697557BF" w14:textId="77777777" w:rsidTr="00406B4D">
        <w:trPr>
          <w:trHeight w:val="240"/>
        </w:trPr>
        <w:tc>
          <w:tcPr>
            <w:tcW w:w="4420" w:type="dxa"/>
            <w:tcBorders>
              <w:top w:val="nil"/>
              <w:left w:val="nil"/>
              <w:bottom w:val="nil"/>
              <w:right w:val="nil"/>
            </w:tcBorders>
            <w:shd w:val="clear" w:color="auto" w:fill="auto"/>
            <w:vAlign w:val="center"/>
            <w:hideMark/>
          </w:tcPr>
          <w:p w14:paraId="315A0E16" w14:textId="77777777" w:rsidR="00761800" w:rsidRPr="00761800" w:rsidRDefault="00761800" w:rsidP="00761800">
            <w:pPr>
              <w:ind w:firstLineChars="200" w:firstLine="360"/>
              <w:rPr>
                <w:rFonts w:ascii="Times New Roman" w:hAnsi="Times New Roman"/>
                <w:color w:val="000000"/>
                <w:sz w:val="18"/>
                <w:szCs w:val="18"/>
                <w:lang w:eastAsia="bg-BG"/>
              </w:rPr>
            </w:pPr>
            <w:r w:rsidRPr="00761800">
              <w:rPr>
                <w:rFonts w:ascii="Times New Roman" w:hAnsi="Times New Roman"/>
                <w:color w:val="000000"/>
                <w:sz w:val="18"/>
                <w:szCs w:val="18"/>
                <w:lang w:eastAsia="bg-BG"/>
              </w:rPr>
              <w:t>Лихви</w:t>
            </w:r>
          </w:p>
        </w:tc>
        <w:tc>
          <w:tcPr>
            <w:tcW w:w="1020" w:type="dxa"/>
            <w:tcBorders>
              <w:top w:val="nil"/>
              <w:left w:val="nil"/>
              <w:bottom w:val="nil"/>
              <w:right w:val="nil"/>
            </w:tcBorders>
            <w:shd w:val="clear" w:color="auto" w:fill="auto"/>
            <w:noWrap/>
            <w:vAlign w:val="center"/>
            <w:hideMark/>
          </w:tcPr>
          <w:p w14:paraId="66DB2D25"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515,9</w:t>
            </w:r>
          </w:p>
        </w:tc>
        <w:tc>
          <w:tcPr>
            <w:tcW w:w="1020" w:type="dxa"/>
            <w:tcBorders>
              <w:top w:val="nil"/>
              <w:left w:val="nil"/>
              <w:bottom w:val="nil"/>
              <w:right w:val="nil"/>
            </w:tcBorders>
            <w:shd w:val="clear" w:color="auto" w:fill="auto"/>
            <w:noWrap/>
            <w:vAlign w:val="center"/>
            <w:hideMark/>
          </w:tcPr>
          <w:p w14:paraId="015FC567"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737,1</w:t>
            </w:r>
          </w:p>
        </w:tc>
        <w:tc>
          <w:tcPr>
            <w:tcW w:w="1000" w:type="dxa"/>
            <w:tcBorders>
              <w:top w:val="nil"/>
              <w:left w:val="nil"/>
              <w:bottom w:val="nil"/>
              <w:right w:val="nil"/>
            </w:tcBorders>
            <w:shd w:val="clear" w:color="auto" w:fill="auto"/>
            <w:noWrap/>
            <w:vAlign w:val="center"/>
            <w:hideMark/>
          </w:tcPr>
          <w:p w14:paraId="5224B58B"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1 059,2</w:t>
            </w:r>
          </w:p>
        </w:tc>
        <w:tc>
          <w:tcPr>
            <w:tcW w:w="994" w:type="dxa"/>
            <w:tcBorders>
              <w:top w:val="nil"/>
              <w:left w:val="nil"/>
              <w:bottom w:val="nil"/>
              <w:right w:val="nil"/>
            </w:tcBorders>
            <w:shd w:val="clear" w:color="auto" w:fill="auto"/>
            <w:noWrap/>
            <w:vAlign w:val="center"/>
            <w:hideMark/>
          </w:tcPr>
          <w:p w14:paraId="65556704"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1 429,2</w:t>
            </w:r>
          </w:p>
        </w:tc>
        <w:tc>
          <w:tcPr>
            <w:tcW w:w="1000" w:type="dxa"/>
            <w:tcBorders>
              <w:top w:val="nil"/>
              <w:left w:val="nil"/>
              <w:bottom w:val="nil"/>
              <w:right w:val="nil"/>
            </w:tcBorders>
            <w:shd w:val="clear" w:color="auto" w:fill="auto"/>
            <w:noWrap/>
            <w:vAlign w:val="center"/>
            <w:hideMark/>
          </w:tcPr>
          <w:p w14:paraId="185E01BC"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1 785,1</w:t>
            </w:r>
          </w:p>
        </w:tc>
      </w:tr>
      <w:tr w:rsidR="00761800" w:rsidRPr="00761800" w14:paraId="43A0DA01" w14:textId="77777777" w:rsidTr="00406B4D">
        <w:trPr>
          <w:trHeight w:val="240"/>
        </w:trPr>
        <w:tc>
          <w:tcPr>
            <w:tcW w:w="4420" w:type="dxa"/>
            <w:tcBorders>
              <w:top w:val="nil"/>
              <w:left w:val="nil"/>
              <w:bottom w:val="nil"/>
              <w:right w:val="nil"/>
            </w:tcBorders>
            <w:shd w:val="clear" w:color="auto" w:fill="auto"/>
            <w:vAlign w:val="center"/>
            <w:hideMark/>
          </w:tcPr>
          <w:p w14:paraId="55B41B0B" w14:textId="77777777" w:rsidR="00761800" w:rsidRPr="00761800" w:rsidRDefault="00761800" w:rsidP="00761800">
            <w:pPr>
              <w:ind w:firstLineChars="100" w:firstLine="180"/>
              <w:rPr>
                <w:rFonts w:ascii="Times New Roman" w:hAnsi="Times New Roman"/>
                <w:color w:val="000000"/>
                <w:sz w:val="18"/>
                <w:szCs w:val="18"/>
                <w:lang w:eastAsia="bg-BG"/>
              </w:rPr>
            </w:pPr>
            <w:r w:rsidRPr="00761800">
              <w:rPr>
                <w:rFonts w:ascii="Times New Roman" w:hAnsi="Times New Roman"/>
                <w:color w:val="000000"/>
                <w:sz w:val="18"/>
                <w:szCs w:val="18"/>
                <w:lang w:eastAsia="bg-BG"/>
              </w:rPr>
              <w:t>Вноска в общия бюджет на ЕС</w:t>
            </w:r>
          </w:p>
        </w:tc>
        <w:tc>
          <w:tcPr>
            <w:tcW w:w="1020" w:type="dxa"/>
            <w:tcBorders>
              <w:top w:val="nil"/>
              <w:left w:val="nil"/>
              <w:bottom w:val="nil"/>
              <w:right w:val="nil"/>
            </w:tcBorders>
            <w:shd w:val="clear" w:color="auto" w:fill="auto"/>
            <w:noWrap/>
            <w:vAlign w:val="center"/>
            <w:hideMark/>
          </w:tcPr>
          <w:p w14:paraId="797E5AF8"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814,1</w:t>
            </w:r>
          </w:p>
        </w:tc>
        <w:tc>
          <w:tcPr>
            <w:tcW w:w="1020" w:type="dxa"/>
            <w:tcBorders>
              <w:top w:val="nil"/>
              <w:left w:val="nil"/>
              <w:bottom w:val="nil"/>
              <w:right w:val="nil"/>
            </w:tcBorders>
            <w:shd w:val="clear" w:color="auto" w:fill="auto"/>
            <w:noWrap/>
            <w:vAlign w:val="center"/>
            <w:hideMark/>
          </w:tcPr>
          <w:p w14:paraId="7F74E476"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1 041,0</w:t>
            </w:r>
          </w:p>
        </w:tc>
        <w:tc>
          <w:tcPr>
            <w:tcW w:w="1000" w:type="dxa"/>
            <w:tcBorders>
              <w:top w:val="nil"/>
              <w:left w:val="nil"/>
              <w:bottom w:val="nil"/>
              <w:right w:val="nil"/>
            </w:tcBorders>
            <w:shd w:val="clear" w:color="auto" w:fill="auto"/>
            <w:noWrap/>
            <w:vAlign w:val="center"/>
            <w:hideMark/>
          </w:tcPr>
          <w:p w14:paraId="426D732F"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1 282,2</w:t>
            </w:r>
          </w:p>
        </w:tc>
        <w:tc>
          <w:tcPr>
            <w:tcW w:w="994" w:type="dxa"/>
            <w:tcBorders>
              <w:top w:val="nil"/>
              <w:left w:val="nil"/>
              <w:bottom w:val="nil"/>
              <w:right w:val="nil"/>
            </w:tcBorders>
            <w:shd w:val="clear" w:color="auto" w:fill="auto"/>
            <w:noWrap/>
            <w:vAlign w:val="center"/>
            <w:hideMark/>
          </w:tcPr>
          <w:p w14:paraId="7BE8B6B3"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1 386,5</w:t>
            </w:r>
          </w:p>
        </w:tc>
        <w:tc>
          <w:tcPr>
            <w:tcW w:w="1000" w:type="dxa"/>
            <w:tcBorders>
              <w:top w:val="nil"/>
              <w:left w:val="nil"/>
              <w:bottom w:val="nil"/>
              <w:right w:val="nil"/>
            </w:tcBorders>
            <w:shd w:val="clear" w:color="auto" w:fill="auto"/>
            <w:noWrap/>
            <w:vAlign w:val="center"/>
            <w:hideMark/>
          </w:tcPr>
          <w:p w14:paraId="29B5EF0F"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1 789,4</w:t>
            </w:r>
          </w:p>
        </w:tc>
      </w:tr>
      <w:tr w:rsidR="00761800" w:rsidRPr="00761800" w14:paraId="7163FE20" w14:textId="77777777" w:rsidTr="00406B4D">
        <w:trPr>
          <w:trHeight w:val="240"/>
        </w:trPr>
        <w:tc>
          <w:tcPr>
            <w:tcW w:w="4420" w:type="dxa"/>
            <w:tcBorders>
              <w:top w:val="nil"/>
              <w:left w:val="nil"/>
              <w:bottom w:val="nil"/>
              <w:right w:val="nil"/>
            </w:tcBorders>
            <w:shd w:val="clear" w:color="auto" w:fill="auto"/>
            <w:vAlign w:val="center"/>
            <w:hideMark/>
          </w:tcPr>
          <w:p w14:paraId="0CD8441D" w14:textId="77777777" w:rsidR="00761800" w:rsidRPr="00761800" w:rsidRDefault="00761800" w:rsidP="00761800">
            <w:pPr>
              <w:jc w:val="right"/>
              <w:rPr>
                <w:rFonts w:ascii="Times New Roman" w:hAnsi="Times New Roman"/>
                <w:color w:val="000000"/>
                <w:sz w:val="18"/>
                <w:szCs w:val="18"/>
                <w:lang w:eastAsia="bg-BG"/>
              </w:rPr>
            </w:pPr>
          </w:p>
        </w:tc>
        <w:tc>
          <w:tcPr>
            <w:tcW w:w="1020" w:type="dxa"/>
            <w:tcBorders>
              <w:top w:val="nil"/>
              <w:left w:val="nil"/>
              <w:bottom w:val="nil"/>
              <w:right w:val="nil"/>
            </w:tcBorders>
            <w:shd w:val="clear" w:color="auto" w:fill="auto"/>
            <w:noWrap/>
            <w:vAlign w:val="center"/>
            <w:hideMark/>
          </w:tcPr>
          <w:p w14:paraId="5FB9C7A7" w14:textId="77777777" w:rsidR="00761800" w:rsidRPr="00761800" w:rsidRDefault="00761800" w:rsidP="00761800">
            <w:pPr>
              <w:rPr>
                <w:rFonts w:ascii="Times New Roman" w:hAnsi="Times New Roman"/>
                <w:sz w:val="20"/>
                <w:lang w:eastAsia="bg-BG"/>
              </w:rPr>
            </w:pPr>
          </w:p>
        </w:tc>
        <w:tc>
          <w:tcPr>
            <w:tcW w:w="1020" w:type="dxa"/>
            <w:tcBorders>
              <w:top w:val="nil"/>
              <w:left w:val="nil"/>
              <w:bottom w:val="nil"/>
              <w:right w:val="nil"/>
            </w:tcBorders>
            <w:shd w:val="clear" w:color="auto" w:fill="auto"/>
            <w:noWrap/>
            <w:vAlign w:val="center"/>
            <w:hideMark/>
          </w:tcPr>
          <w:p w14:paraId="752D3791"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62B9B713" w14:textId="77777777" w:rsidR="00761800" w:rsidRPr="00761800" w:rsidRDefault="00761800" w:rsidP="00761800">
            <w:pPr>
              <w:jc w:val="right"/>
              <w:rPr>
                <w:rFonts w:ascii="Times New Roman" w:hAnsi="Times New Roman"/>
                <w:sz w:val="20"/>
                <w:lang w:eastAsia="bg-BG"/>
              </w:rPr>
            </w:pPr>
          </w:p>
        </w:tc>
        <w:tc>
          <w:tcPr>
            <w:tcW w:w="994" w:type="dxa"/>
            <w:tcBorders>
              <w:top w:val="nil"/>
              <w:left w:val="nil"/>
              <w:bottom w:val="nil"/>
              <w:right w:val="nil"/>
            </w:tcBorders>
            <w:shd w:val="clear" w:color="auto" w:fill="auto"/>
            <w:noWrap/>
            <w:vAlign w:val="center"/>
            <w:hideMark/>
          </w:tcPr>
          <w:p w14:paraId="09B1486B"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7133F5A7" w14:textId="77777777" w:rsidR="00761800" w:rsidRPr="00761800" w:rsidRDefault="00761800" w:rsidP="00761800">
            <w:pPr>
              <w:jc w:val="right"/>
              <w:rPr>
                <w:rFonts w:ascii="Times New Roman" w:hAnsi="Times New Roman"/>
                <w:sz w:val="20"/>
                <w:lang w:eastAsia="bg-BG"/>
              </w:rPr>
            </w:pPr>
          </w:p>
        </w:tc>
      </w:tr>
      <w:tr w:rsidR="00761800" w:rsidRPr="00761800" w14:paraId="5197D6C1" w14:textId="77777777" w:rsidTr="00406B4D">
        <w:trPr>
          <w:trHeight w:val="255"/>
        </w:trPr>
        <w:tc>
          <w:tcPr>
            <w:tcW w:w="4420" w:type="dxa"/>
            <w:tcBorders>
              <w:top w:val="nil"/>
              <w:left w:val="nil"/>
              <w:bottom w:val="nil"/>
              <w:right w:val="nil"/>
            </w:tcBorders>
            <w:shd w:val="clear" w:color="auto" w:fill="auto"/>
            <w:vAlign w:val="center"/>
            <w:hideMark/>
          </w:tcPr>
          <w:p w14:paraId="24191893"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БЮДЖЕТНО САЛДО (+/-)</w:t>
            </w:r>
          </w:p>
        </w:tc>
        <w:tc>
          <w:tcPr>
            <w:tcW w:w="1020" w:type="dxa"/>
            <w:tcBorders>
              <w:top w:val="nil"/>
              <w:left w:val="nil"/>
              <w:bottom w:val="nil"/>
              <w:right w:val="nil"/>
            </w:tcBorders>
            <w:shd w:val="clear" w:color="auto" w:fill="auto"/>
            <w:noWrap/>
            <w:vAlign w:val="center"/>
            <w:hideMark/>
          </w:tcPr>
          <w:p w14:paraId="71D0781F"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-3 151,4</w:t>
            </w:r>
          </w:p>
        </w:tc>
        <w:tc>
          <w:tcPr>
            <w:tcW w:w="1020" w:type="dxa"/>
            <w:tcBorders>
              <w:top w:val="nil"/>
              <w:left w:val="nil"/>
              <w:bottom w:val="nil"/>
              <w:right w:val="nil"/>
            </w:tcBorders>
            <w:shd w:val="clear" w:color="auto" w:fill="auto"/>
            <w:noWrap/>
            <w:vAlign w:val="center"/>
            <w:hideMark/>
          </w:tcPr>
          <w:p w14:paraId="659D2A5B"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-3 492,5</w:t>
            </w:r>
          </w:p>
        </w:tc>
        <w:tc>
          <w:tcPr>
            <w:tcW w:w="1000" w:type="dxa"/>
            <w:tcBorders>
              <w:top w:val="nil"/>
              <w:left w:val="nil"/>
              <w:bottom w:val="nil"/>
              <w:right w:val="nil"/>
            </w:tcBorders>
            <w:shd w:val="clear" w:color="auto" w:fill="auto"/>
            <w:noWrap/>
            <w:vAlign w:val="center"/>
            <w:hideMark/>
          </w:tcPr>
          <w:p w14:paraId="596ED0E1"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-7 191,9</w:t>
            </w:r>
          </w:p>
        </w:tc>
        <w:tc>
          <w:tcPr>
            <w:tcW w:w="994" w:type="dxa"/>
            <w:tcBorders>
              <w:top w:val="nil"/>
              <w:left w:val="nil"/>
              <w:bottom w:val="nil"/>
              <w:right w:val="nil"/>
            </w:tcBorders>
            <w:shd w:val="clear" w:color="auto" w:fill="auto"/>
            <w:noWrap/>
            <w:vAlign w:val="center"/>
            <w:hideMark/>
          </w:tcPr>
          <w:p w14:paraId="0B503031"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-5 078,8</w:t>
            </w:r>
          </w:p>
        </w:tc>
        <w:tc>
          <w:tcPr>
            <w:tcW w:w="1000" w:type="dxa"/>
            <w:tcBorders>
              <w:top w:val="nil"/>
              <w:left w:val="nil"/>
              <w:bottom w:val="nil"/>
              <w:right w:val="nil"/>
            </w:tcBorders>
            <w:shd w:val="clear" w:color="auto" w:fill="auto"/>
            <w:noWrap/>
            <w:vAlign w:val="center"/>
            <w:hideMark/>
          </w:tcPr>
          <w:p w14:paraId="1E558339"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-4 292,1</w:t>
            </w:r>
          </w:p>
        </w:tc>
      </w:tr>
      <w:tr w:rsidR="00761800" w:rsidRPr="00761800" w14:paraId="6B685714" w14:textId="77777777" w:rsidTr="00406B4D">
        <w:trPr>
          <w:trHeight w:val="240"/>
        </w:trPr>
        <w:tc>
          <w:tcPr>
            <w:tcW w:w="4420" w:type="dxa"/>
            <w:tcBorders>
              <w:top w:val="nil"/>
              <w:left w:val="nil"/>
              <w:bottom w:val="nil"/>
              <w:right w:val="nil"/>
            </w:tcBorders>
            <w:shd w:val="clear" w:color="auto" w:fill="auto"/>
            <w:vAlign w:val="center"/>
            <w:hideMark/>
          </w:tcPr>
          <w:p w14:paraId="49169B08"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nil"/>
              <w:right w:val="nil"/>
            </w:tcBorders>
            <w:shd w:val="clear" w:color="auto" w:fill="auto"/>
            <w:noWrap/>
            <w:vAlign w:val="center"/>
            <w:hideMark/>
          </w:tcPr>
          <w:p w14:paraId="0346517C"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-3,3%</w:t>
            </w:r>
          </w:p>
        </w:tc>
        <w:tc>
          <w:tcPr>
            <w:tcW w:w="1020" w:type="dxa"/>
            <w:tcBorders>
              <w:top w:val="nil"/>
              <w:left w:val="nil"/>
              <w:bottom w:val="nil"/>
              <w:right w:val="nil"/>
            </w:tcBorders>
            <w:shd w:val="clear" w:color="auto" w:fill="auto"/>
            <w:noWrap/>
            <w:vAlign w:val="center"/>
            <w:hideMark/>
          </w:tcPr>
          <w:p w14:paraId="3BB0B1C7"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-3,0%</w:t>
            </w:r>
          </w:p>
        </w:tc>
        <w:tc>
          <w:tcPr>
            <w:tcW w:w="1000" w:type="dxa"/>
            <w:tcBorders>
              <w:top w:val="nil"/>
              <w:left w:val="nil"/>
              <w:bottom w:val="nil"/>
              <w:right w:val="nil"/>
            </w:tcBorders>
            <w:shd w:val="clear" w:color="auto" w:fill="auto"/>
            <w:noWrap/>
            <w:vAlign w:val="center"/>
            <w:hideMark/>
          </w:tcPr>
          <w:p w14:paraId="04A0EDD3"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-5,7%</w:t>
            </w:r>
          </w:p>
        </w:tc>
        <w:tc>
          <w:tcPr>
            <w:tcW w:w="994" w:type="dxa"/>
            <w:tcBorders>
              <w:top w:val="nil"/>
              <w:left w:val="nil"/>
              <w:bottom w:val="nil"/>
              <w:right w:val="nil"/>
            </w:tcBorders>
            <w:shd w:val="clear" w:color="auto" w:fill="auto"/>
            <w:noWrap/>
            <w:vAlign w:val="center"/>
            <w:hideMark/>
          </w:tcPr>
          <w:p w14:paraId="2CD0698E"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-3,8%</w:t>
            </w:r>
          </w:p>
        </w:tc>
        <w:tc>
          <w:tcPr>
            <w:tcW w:w="1000" w:type="dxa"/>
            <w:tcBorders>
              <w:top w:val="nil"/>
              <w:left w:val="nil"/>
              <w:bottom w:val="nil"/>
              <w:right w:val="nil"/>
            </w:tcBorders>
            <w:shd w:val="clear" w:color="auto" w:fill="auto"/>
            <w:noWrap/>
            <w:vAlign w:val="center"/>
            <w:hideMark/>
          </w:tcPr>
          <w:p w14:paraId="526E4560"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-3,0%</w:t>
            </w:r>
          </w:p>
        </w:tc>
      </w:tr>
      <w:tr w:rsidR="00761800" w:rsidRPr="00761800" w14:paraId="7307B8B6" w14:textId="77777777" w:rsidTr="00406B4D">
        <w:trPr>
          <w:trHeight w:val="195"/>
        </w:trPr>
        <w:tc>
          <w:tcPr>
            <w:tcW w:w="4420" w:type="dxa"/>
            <w:tcBorders>
              <w:top w:val="nil"/>
              <w:left w:val="nil"/>
              <w:bottom w:val="nil"/>
              <w:right w:val="nil"/>
            </w:tcBorders>
            <w:shd w:val="clear" w:color="auto" w:fill="auto"/>
            <w:vAlign w:val="center"/>
            <w:hideMark/>
          </w:tcPr>
          <w:p w14:paraId="1CE186FD" w14:textId="77777777" w:rsidR="00761800" w:rsidRPr="00761800" w:rsidRDefault="00761800" w:rsidP="00761800">
            <w:pPr>
              <w:jc w:val="right"/>
              <w:rPr>
                <w:rFonts w:ascii="Times New Roman" w:hAnsi="Times New Roman"/>
                <w:b/>
                <w:bCs/>
                <w:i/>
                <w:iCs/>
                <w:color w:val="000000"/>
                <w:sz w:val="18"/>
                <w:szCs w:val="18"/>
                <w:lang w:eastAsia="bg-BG"/>
              </w:rPr>
            </w:pPr>
          </w:p>
        </w:tc>
        <w:tc>
          <w:tcPr>
            <w:tcW w:w="1020" w:type="dxa"/>
            <w:tcBorders>
              <w:top w:val="nil"/>
              <w:left w:val="nil"/>
              <w:bottom w:val="nil"/>
              <w:right w:val="nil"/>
            </w:tcBorders>
            <w:shd w:val="clear" w:color="auto" w:fill="auto"/>
            <w:noWrap/>
            <w:vAlign w:val="center"/>
            <w:hideMark/>
          </w:tcPr>
          <w:p w14:paraId="130460F8" w14:textId="77777777" w:rsidR="00761800" w:rsidRPr="00761800" w:rsidRDefault="00761800" w:rsidP="00761800">
            <w:pPr>
              <w:rPr>
                <w:rFonts w:ascii="Times New Roman" w:hAnsi="Times New Roman"/>
                <w:sz w:val="20"/>
                <w:lang w:eastAsia="bg-BG"/>
              </w:rPr>
            </w:pPr>
          </w:p>
        </w:tc>
        <w:tc>
          <w:tcPr>
            <w:tcW w:w="1020" w:type="dxa"/>
            <w:tcBorders>
              <w:top w:val="nil"/>
              <w:left w:val="nil"/>
              <w:bottom w:val="nil"/>
              <w:right w:val="nil"/>
            </w:tcBorders>
            <w:shd w:val="clear" w:color="auto" w:fill="auto"/>
            <w:noWrap/>
            <w:vAlign w:val="center"/>
            <w:hideMark/>
          </w:tcPr>
          <w:p w14:paraId="2A08C164"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2CEFF51E" w14:textId="77777777" w:rsidR="00761800" w:rsidRPr="00761800" w:rsidRDefault="00761800" w:rsidP="00761800">
            <w:pPr>
              <w:jc w:val="right"/>
              <w:rPr>
                <w:rFonts w:ascii="Times New Roman" w:hAnsi="Times New Roman"/>
                <w:sz w:val="20"/>
                <w:lang w:eastAsia="bg-BG"/>
              </w:rPr>
            </w:pPr>
          </w:p>
        </w:tc>
        <w:tc>
          <w:tcPr>
            <w:tcW w:w="994" w:type="dxa"/>
            <w:tcBorders>
              <w:top w:val="nil"/>
              <w:left w:val="nil"/>
              <w:bottom w:val="nil"/>
              <w:right w:val="nil"/>
            </w:tcBorders>
            <w:shd w:val="clear" w:color="auto" w:fill="auto"/>
            <w:noWrap/>
            <w:vAlign w:val="center"/>
            <w:hideMark/>
          </w:tcPr>
          <w:p w14:paraId="0C9B46EF"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3BFCF9CB" w14:textId="77777777" w:rsidR="00761800" w:rsidRPr="00761800" w:rsidRDefault="00761800" w:rsidP="00761800">
            <w:pPr>
              <w:jc w:val="right"/>
              <w:rPr>
                <w:rFonts w:ascii="Times New Roman" w:hAnsi="Times New Roman"/>
                <w:sz w:val="20"/>
                <w:lang w:eastAsia="bg-BG"/>
              </w:rPr>
            </w:pPr>
          </w:p>
        </w:tc>
      </w:tr>
      <w:tr w:rsidR="00761800" w:rsidRPr="00761800" w14:paraId="71052589" w14:textId="77777777" w:rsidTr="00406B4D">
        <w:trPr>
          <w:trHeight w:val="240"/>
        </w:trPr>
        <w:tc>
          <w:tcPr>
            <w:tcW w:w="4420" w:type="dxa"/>
            <w:tcBorders>
              <w:top w:val="nil"/>
              <w:left w:val="nil"/>
              <w:bottom w:val="nil"/>
              <w:right w:val="nil"/>
            </w:tcBorders>
            <w:shd w:val="clear" w:color="auto" w:fill="auto"/>
            <w:vAlign w:val="center"/>
            <w:hideMark/>
          </w:tcPr>
          <w:p w14:paraId="0A460167"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ФИНАНСИРАНЕ (+/-)</w:t>
            </w:r>
          </w:p>
        </w:tc>
        <w:tc>
          <w:tcPr>
            <w:tcW w:w="1020" w:type="dxa"/>
            <w:tcBorders>
              <w:top w:val="nil"/>
              <w:left w:val="nil"/>
              <w:bottom w:val="nil"/>
              <w:right w:val="nil"/>
            </w:tcBorders>
            <w:shd w:val="clear" w:color="auto" w:fill="auto"/>
            <w:noWrap/>
            <w:vAlign w:val="center"/>
            <w:hideMark/>
          </w:tcPr>
          <w:p w14:paraId="3AB07375"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3 151,4</w:t>
            </w:r>
          </w:p>
        </w:tc>
        <w:tc>
          <w:tcPr>
            <w:tcW w:w="1020" w:type="dxa"/>
            <w:tcBorders>
              <w:top w:val="nil"/>
              <w:left w:val="nil"/>
              <w:bottom w:val="nil"/>
              <w:right w:val="nil"/>
            </w:tcBorders>
            <w:shd w:val="clear" w:color="auto" w:fill="auto"/>
            <w:noWrap/>
            <w:vAlign w:val="center"/>
            <w:hideMark/>
          </w:tcPr>
          <w:p w14:paraId="1E4A1B55"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3 492,5</w:t>
            </w:r>
          </w:p>
        </w:tc>
        <w:tc>
          <w:tcPr>
            <w:tcW w:w="1000" w:type="dxa"/>
            <w:tcBorders>
              <w:top w:val="nil"/>
              <w:left w:val="nil"/>
              <w:bottom w:val="nil"/>
              <w:right w:val="nil"/>
            </w:tcBorders>
            <w:shd w:val="clear" w:color="auto" w:fill="auto"/>
            <w:noWrap/>
            <w:vAlign w:val="center"/>
            <w:hideMark/>
          </w:tcPr>
          <w:p w14:paraId="1C075ED4"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7 191,9</w:t>
            </w:r>
          </w:p>
        </w:tc>
        <w:tc>
          <w:tcPr>
            <w:tcW w:w="994" w:type="dxa"/>
            <w:tcBorders>
              <w:top w:val="nil"/>
              <w:left w:val="nil"/>
              <w:bottom w:val="nil"/>
              <w:right w:val="nil"/>
            </w:tcBorders>
            <w:shd w:val="clear" w:color="auto" w:fill="auto"/>
            <w:noWrap/>
            <w:vAlign w:val="center"/>
            <w:hideMark/>
          </w:tcPr>
          <w:p w14:paraId="61CDA169"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5 078,8</w:t>
            </w:r>
          </w:p>
        </w:tc>
        <w:tc>
          <w:tcPr>
            <w:tcW w:w="1000" w:type="dxa"/>
            <w:tcBorders>
              <w:top w:val="nil"/>
              <w:left w:val="nil"/>
              <w:bottom w:val="nil"/>
              <w:right w:val="nil"/>
            </w:tcBorders>
            <w:shd w:val="clear" w:color="auto" w:fill="auto"/>
            <w:noWrap/>
            <w:vAlign w:val="center"/>
            <w:hideMark/>
          </w:tcPr>
          <w:p w14:paraId="28B63467"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4 292,1</w:t>
            </w:r>
          </w:p>
        </w:tc>
      </w:tr>
      <w:tr w:rsidR="00761800" w:rsidRPr="00761800" w14:paraId="070CC905" w14:textId="77777777" w:rsidTr="00406B4D">
        <w:trPr>
          <w:trHeight w:val="240"/>
        </w:trPr>
        <w:tc>
          <w:tcPr>
            <w:tcW w:w="4420" w:type="dxa"/>
            <w:tcBorders>
              <w:top w:val="nil"/>
              <w:left w:val="nil"/>
              <w:bottom w:val="single" w:sz="4" w:space="0" w:color="auto"/>
              <w:right w:val="nil"/>
            </w:tcBorders>
            <w:shd w:val="clear" w:color="auto" w:fill="auto"/>
            <w:vAlign w:val="center"/>
            <w:hideMark/>
          </w:tcPr>
          <w:p w14:paraId="6D7DFBF7"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single" w:sz="4" w:space="0" w:color="auto"/>
              <w:right w:val="nil"/>
            </w:tcBorders>
            <w:shd w:val="clear" w:color="auto" w:fill="auto"/>
            <w:noWrap/>
            <w:vAlign w:val="center"/>
            <w:hideMark/>
          </w:tcPr>
          <w:p w14:paraId="15383509"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3,3%</w:t>
            </w:r>
          </w:p>
        </w:tc>
        <w:tc>
          <w:tcPr>
            <w:tcW w:w="1020" w:type="dxa"/>
            <w:tcBorders>
              <w:top w:val="nil"/>
              <w:left w:val="nil"/>
              <w:bottom w:val="single" w:sz="4" w:space="0" w:color="auto"/>
              <w:right w:val="nil"/>
            </w:tcBorders>
            <w:shd w:val="clear" w:color="auto" w:fill="auto"/>
            <w:noWrap/>
            <w:vAlign w:val="center"/>
            <w:hideMark/>
          </w:tcPr>
          <w:p w14:paraId="285748F4"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3,0%</w:t>
            </w:r>
          </w:p>
        </w:tc>
        <w:tc>
          <w:tcPr>
            <w:tcW w:w="1000" w:type="dxa"/>
            <w:tcBorders>
              <w:top w:val="nil"/>
              <w:left w:val="nil"/>
              <w:bottom w:val="single" w:sz="4" w:space="0" w:color="auto"/>
              <w:right w:val="nil"/>
            </w:tcBorders>
            <w:shd w:val="clear" w:color="auto" w:fill="auto"/>
            <w:noWrap/>
            <w:vAlign w:val="center"/>
            <w:hideMark/>
          </w:tcPr>
          <w:p w14:paraId="37967256"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5,7%</w:t>
            </w:r>
          </w:p>
        </w:tc>
        <w:tc>
          <w:tcPr>
            <w:tcW w:w="994" w:type="dxa"/>
            <w:tcBorders>
              <w:top w:val="nil"/>
              <w:left w:val="nil"/>
              <w:bottom w:val="single" w:sz="4" w:space="0" w:color="auto"/>
              <w:right w:val="nil"/>
            </w:tcBorders>
            <w:shd w:val="clear" w:color="auto" w:fill="auto"/>
            <w:noWrap/>
            <w:vAlign w:val="center"/>
            <w:hideMark/>
          </w:tcPr>
          <w:p w14:paraId="21AD21D7"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3,8%</w:t>
            </w:r>
          </w:p>
        </w:tc>
        <w:tc>
          <w:tcPr>
            <w:tcW w:w="1000" w:type="dxa"/>
            <w:tcBorders>
              <w:top w:val="nil"/>
              <w:left w:val="nil"/>
              <w:bottom w:val="single" w:sz="4" w:space="0" w:color="auto"/>
              <w:right w:val="nil"/>
            </w:tcBorders>
            <w:shd w:val="clear" w:color="auto" w:fill="auto"/>
            <w:noWrap/>
            <w:vAlign w:val="center"/>
            <w:hideMark/>
          </w:tcPr>
          <w:p w14:paraId="09F7EB5B" w14:textId="77777777" w:rsidR="00761800" w:rsidRPr="00761800" w:rsidRDefault="00761800" w:rsidP="00761800">
            <w:pPr>
              <w:jc w:val="right"/>
              <w:rPr>
                <w:rFonts w:ascii="Times New Roman" w:hAnsi="Times New Roman"/>
                <w:b/>
                <w:bCs/>
                <w:i/>
                <w:iCs/>
                <w:color w:val="000000"/>
                <w:sz w:val="18"/>
                <w:szCs w:val="18"/>
                <w:lang w:eastAsia="bg-BG"/>
              </w:rPr>
            </w:pPr>
            <w:r w:rsidRPr="00761800">
              <w:rPr>
                <w:rFonts w:ascii="Times New Roman" w:hAnsi="Times New Roman"/>
                <w:b/>
                <w:bCs/>
                <w:i/>
                <w:iCs/>
                <w:color w:val="000000"/>
                <w:sz w:val="18"/>
                <w:szCs w:val="18"/>
                <w:lang w:eastAsia="bg-BG"/>
              </w:rPr>
              <w:t>3,0%</w:t>
            </w:r>
          </w:p>
        </w:tc>
      </w:tr>
    </w:tbl>
    <w:p w14:paraId="108878D2" w14:textId="77777777" w:rsidR="00761800" w:rsidRPr="00761800" w:rsidRDefault="00761800" w:rsidP="00761800">
      <w:pPr>
        <w:spacing w:before="60" w:after="200"/>
        <w:ind w:right="-20"/>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Източник: МФ</w:t>
      </w:r>
    </w:p>
    <w:p w14:paraId="5E8FC603"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b/>
          <w:szCs w:val="22"/>
          <w:lang w:eastAsia="bg-BG"/>
        </w:rPr>
        <w:t>Приходите, помощите и даренията по националния бюджет</w:t>
      </w:r>
      <w:r w:rsidRPr="00761800">
        <w:rPr>
          <w:rFonts w:ascii="Times New Roman" w:eastAsia="Batang" w:hAnsi="Times New Roman"/>
          <w:szCs w:val="22"/>
          <w:lang w:eastAsia="bg-BG"/>
        </w:rPr>
        <w:t xml:space="preserve"> за периода 2026-2028 г. са в диапазона</w:t>
      </w:r>
      <w:r w:rsidRPr="00761800">
        <w:rPr>
          <w:rFonts w:ascii="Times New Roman" w:hAnsi="Times New Roman"/>
          <w:szCs w:val="22"/>
          <w:lang w:eastAsia="bg-BG"/>
        </w:rPr>
        <w:t xml:space="preserve"> 35,3-35,4% о</w:t>
      </w:r>
      <w:r w:rsidRPr="00761800">
        <w:rPr>
          <w:rFonts w:ascii="Times New Roman" w:eastAsia="Batang" w:hAnsi="Times New Roman"/>
          <w:szCs w:val="22"/>
          <w:lang w:eastAsia="bg-BG"/>
        </w:rPr>
        <w:t>т БВП.</w:t>
      </w:r>
    </w:p>
    <w:p w14:paraId="4CAC43FF" w14:textId="3DD1022C" w:rsidR="00761800" w:rsidRPr="00761800" w:rsidRDefault="00761800" w:rsidP="00761800">
      <w:pPr>
        <w:keepNext/>
        <w:spacing w:before="240" w:after="120"/>
        <w:rPr>
          <w:rFonts w:ascii="Times New Roman" w:hAnsi="Times New Roman"/>
          <w:b/>
          <w:bCs/>
          <w:color w:val="000000"/>
          <w:szCs w:val="18"/>
          <w:lang w:eastAsia="bg-BG"/>
        </w:rPr>
      </w:pPr>
      <w:bookmarkStart w:id="205" w:name="_Toc233185125"/>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7</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r>
      <w:r w:rsidRPr="00761800">
        <w:rPr>
          <w:rFonts w:ascii="Times New Roman" w:hAnsi="Times New Roman"/>
          <w:b/>
          <w:bCs/>
          <w:color w:val="000000"/>
          <w:szCs w:val="18"/>
          <w:lang w:eastAsia="bg-BG"/>
        </w:rPr>
        <w:t>КФП – Национален бюджет (2026-2028 г.)</w:t>
      </w:r>
      <w:bookmarkEnd w:id="205"/>
    </w:p>
    <w:tbl>
      <w:tblPr>
        <w:tblW w:w="9570" w:type="dxa"/>
        <w:tblCellMar>
          <w:left w:w="70" w:type="dxa"/>
          <w:right w:w="70" w:type="dxa"/>
        </w:tblCellMar>
        <w:tblLook w:val="04A0" w:firstRow="1" w:lastRow="0" w:firstColumn="1" w:lastColumn="0" w:noHBand="0" w:noVBand="1"/>
      </w:tblPr>
      <w:tblGrid>
        <w:gridCol w:w="4536"/>
        <w:gridCol w:w="1020"/>
        <w:gridCol w:w="1020"/>
        <w:gridCol w:w="1000"/>
        <w:gridCol w:w="994"/>
        <w:gridCol w:w="1000"/>
      </w:tblGrid>
      <w:tr w:rsidR="00761800" w:rsidRPr="00761800" w14:paraId="5CF580D3" w14:textId="77777777" w:rsidTr="00406B4D">
        <w:trPr>
          <w:trHeight w:val="517"/>
        </w:trPr>
        <w:tc>
          <w:tcPr>
            <w:tcW w:w="4536" w:type="dxa"/>
            <w:vMerge w:val="restart"/>
            <w:tcBorders>
              <w:top w:val="single" w:sz="4" w:space="0" w:color="595959"/>
              <w:left w:val="nil"/>
              <w:bottom w:val="single" w:sz="4" w:space="0" w:color="000000"/>
              <w:right w:val="nil"/>
            </w:tcBorders>
            <w:shd w:val="clear" w:color="auto" w:fill="auto"/>
            <w:vAlign w:val="center"/>
            <w:hideMark/>
          </w:tcPr>
          <w:p w14:paraId="07B95E7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КФП                                                          НАЦИОНАЛЕН БЮДЖЕТ</w:t>
            </w:r>
            <w:r w:rsidRPr="00761800">
              <w:rPr>
                <w:rFonts w:ascii="Times New Roman" w:hAnsi="Times New Roman"/>
                <w:b/>
                <w:bCs/>
                <w:sz w:val="20"/>
                <w:lang w:eastAsia="bg-BG"/>
              </w:rPr>
              <w:br/>
              <w:t>млн. евро</w:t>
            </w:r>
          </w:p>
        </w:tc>
        <w:tc>
          <w:tcPr>
            <w:tcW w:w="1020" w:type="dxa"/>
            <w:vMerge w:val="restart"/>
            <w:tcBorders>
              <w:top w:val="single" w:sz="4" w:space="0" w:color="595959"/>
              <w:left w:val="nil"/>
              <w:bottom w:val="single" w:sz="4" w:space="0" w:color="000000"/>
              <w:right w:val="nil"/>
            </w:tcBorders>
            <w:shd w:val="clear" w:color="auto" w:fill="auto"/>
            <w:hideMark/>
          </w:tcPr>
          <w:p w14:paraId="6D6A948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2024</w:t>
            </w:r>
            <w:r w:rsidRPr="00761800">
              <w:rPr>
                <w:rFonts w:ascii="Times New Roman" w:hAnsi="Times New Roman"/>
                <w:b/>
                <w:bCs/>
                <w:sz w:val="20"/>
                <w:lang w:eastAsia="bg-BG"/>
              </w:rPr>
              <w:br/>
              <w:t>Отчет</w:t>
            </w:r>
          </w:p>
        </w:tc>
        <w:tc>
          <w:tcPr>
            <w:tcW w:w="1020" w:type="dxa"/>
            <w:vMerge w:val="restart"/>
            <w:tcBorders>
              <w:top w:val="single" w:sz="4" w:space="0" w:color="595959"/>
              <w:left w:val="nil"/>
              <w:bottom w:val="single" w:sz="4" w:space="0" w:color="000000"/>
              <w:right w:val="nil"/>
            </w:tcBorders>
            <w:shd w:val="clear" w:color="auto" w:fill="auto"/>
            <w:hideMark/>
          </w:tcPr>
          <w:p w14:paraId="2CD03AC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2025</w:t>
            </w:r>
            <w:r w:rsidRPr="00761800">
              <w:rPr>
                <w:rFonts w:ascii="Times New Roman" w:hAnsi="Times New Roman"/>
                <w:b/>
                <w:bCs/>
                <w:sz w:val="20"/>
                <w:lang w:eastAsia="bg-BG"/>
              </w:rPr>
              <w:br/>
              <w:t>Предв. отчет</w:t>
            </w:r>
          </w:p>
        </w:tc>
        <w:tc>
          <w:tcPr>
            <w:tcW w:w="1000" w:type="dxa"/>
            <w:vMerge w:val="restart"/>
            <w:tcBorders>
              <w:top w:val="single" w:sz="4" w:space="0" w:color="595959"/>
              <w:left w:val="nil"/>
              <w:bottom w:val="single" w:sz="4" w:space="0" w:color="000000"/>
              <w:right w:val="nil"/>
            </w:tcBorders>
            <w:shd w:val="clear" w:color="auto" w:fill="auto"/>
            <w:hideMark/>
          </w:tcPr>
          <w:p w14:paraId="4B6BF8B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2026</w:t>
            </w:r>
            <w:r w:rsidRPr="00761800">
              <w:rPr>
                <w:rFonts w:ascii="Times New Roman" w:hAnsi="Times New Roman"/>
                <w:b/>
                <w:bCs/>
                <w:sz w:val="20"/>
                <w:lang w:eastAsia="bg-BG"/>
              </w:rPr>
              <w:br/>
              <w:t>Проект</w:t>
            </w:r>
          </w:p>
        </w:tc>
        <w:tc>
          <w:tcPr>
            <w:tcW w:w="994" w:type="dxa"/>
            <w:vMerge w:val="restart"/>
            <w:tcBorders>
              <w:top w:val="single" w:sz="4" w:space="0" w:color="595959"/>
              <w:left w:val="nil"/>
              <w:bottom w:val="single" w:sz="4" w:space="0" w:color="000000"/>
              <w:right w:val="nil"/>
            </w:tcBorders>
            <w:shd w:val="clear" w:color="auto" w:fill="auto"/>
            <w:hideMark/>
          </w:tcPr>
          <w:p w14:paraId="0831CAE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2027</w:t>
            </w:r>
            <w:r w:rsidRPr="00761800">
              <w:rPr>
                <w:rFonts w:ascii="Times New Roman" w:hAnsi="Times New Roman"/>
                <w:b/>
                <w:bCs/>
                <w:sz w:val="20"/>
                <w:lang w:eastAsia="bg-BG"/>
              </w:rPr>
              <w:br/>
              <w:t>Прогноза</w:t>
            </w:r>
          </w:p>
        </w:tc>
        <w:tc>
          <w:tcPr>
            <w:tcW w:w="1000" w:type="dxa"/>
            <w:vMerge w:val="restart"/>
            <w:tcBorders>
              <w:top w:val="single" w:sz="4" w:space="0" w:color="595959"/>
              <w:left w:val="nil"/>
              <w:bottom w:val="single" w:sz="4" w:space="0" w:color="000000"/>
              <w:right w:val="nil"/>
            </w:tcBorders>
            <w:shd w:val="clear" w:color="auto" w:fill="auto"/>
            <w:hideMark/>
          </w:tcPr>
          <w:p w14:paraId="7941661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2028</w:t>
            </w:r>
            <w:r w:rsidRPr="00761800">
              <w:rPr>
                <w:rFonts w:ascii="Times New Roman" w:hAnsi="Times New Roman"/>
                <w:b/>
                <w:bCs/>
                <w:sz w:val="20"/>
                <w:lang w:eastAsia="bg-BG"/>
              </w:rPr>
              <w:br/>
              <w:t>Прогноза</w:t>
            </w:r>
          </w:p>
        </w:tc>
      </w:tr>
      <w:tr w:rsidR="00761800" w:rsidRPr="00761800" w14:paraId="7881F00A" w14:textId="77777777" w:rsidTr="00406B4D">
        <w:trPr>
          <w:trHeight w:val="517"/>
        </w:trPr>
        <w:tc>
          <w:tcPr>
            <w:tcW w:w="4536" w:type="dxa"/>
            <w:vMerge/>
            <w:tcBorders>
              <w:top w:val="single" w:sz="4" w:space="0" w:color="595959"/>
              <w:left w:val="nil"/>
              <w:bottom w:val="single" w:sz="4" w:space="0" w:color="000000"/>
              <w:right w:val="nil"/>
            </w:tcBorders>
            <w:vAlign w:val="center"/>
            <w:hideMark/>
          </w:tcPr>
          <w:p w14:paraId="515C1929"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553E130F"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496E0622"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1CEE1E78" w14:textId="77777777" w:rsidR="00761800" w:rsidRPr="00761800" w:rsidRDefault="00761800" w:rsidP="00761800">
            <w:pPr>
              <w:rPr>
                <w:rFonts w:ascii="Times New Roman" w:hAnsi="Times New Roman"/>
                <w:b/>
                <w:bCs/>
                <w:sz w:val="20"/>
                <w:lang w:eastAsia="bg-BG"/>
              </w:rPr>
            </w:pPr>
          </w:p>
        </w:tc>
        <w:tc>
          <w:tcPr>
            <w:tcW w:w="994" w:type="dxa"/>
            <w:vMerge/>
            <w:tcBorders>
              <w:top w:val="single" w:sz="4" w:space="0" w:color="595959"/>
              <w:left w:val="nil"/>
              <w:bottom w:val="single" w:sz="4" w:space="0" w:color="000000"/>
              <w:right w:val="nil"/>
            </w:tcBorders>
            <w:vAlign w:val="center"/>
            <w:hideMark/>
          </w:tcPr>
          <w:p w14:paraId="7613AC72"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6BCB7CDC" w14:textId="77777777" w:rsidR="00761800" w:rsidRPr="00761800" w:rsidRDefault="00761800" w:rsidP="00761800">
            <w:pPr>
              <w:rPr>
                <w:rFonts w:ascii="Times New Roman" w:hAnsi="Times New Roman"/>
                <w:b/>
                <w:bCs/>
                <w:sz w:val="20"/>
                <w:lang w:eastAsia="bg-BG"/>
              </w:rPr>
            </w:pPr>
          </w:p>
        </w:tc>
      </w:tr>
      <w:tr w:rsidR="00761800" w:rsidRPr="00761800" w14:paraId="3AF25FB3" w14:textId="77777777" w:rsidTr="00406B4D">
        <w:trPr>
          <w:trHeight w:val="517"/>
        </w:trPr>
        <w:tc>
          <w:tcPr>
            <w:tcW w:w="4536" w:type="dxa"/>
            <w:vMerge/>
            <w:tcBorders>
              <w:top w:val="single" w:sz="4" w:space="0" w:color="595959"/>
              <w:left w:val="nil"/>
              <w:bottom w:val="single" w:sz="4" w:space="0" w:color="000000"/>
              <w:right w:val="nil"/>
            </w:tcBorders>
            <w:vAlign w:val="center"/>
            <w:hideMark/>
          </w:tcPr>
          <w:p w14:paraId="2BE2B408"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33216F3F"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24B5A3A6"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6753D006" w14:textId="77777777" w:rsidR="00761800" w:rsidRPr="00761800" w:rsidRDefault="00761800" w:rsidP="00761800">
            <w:pPr>
              <w:rPr>
                <w:rFonts w:ascii="Times New Roman" w:hAnsi="Times New Roman"/>
                <w:b/>
                <w:bCs/>
                <w:sz w:val="20"/>
                <w:lang w:eastAsia="bg-BG"/>
              </w:rPr>
            </w:pPr>
          </w:p>
        </w:tc>
        <w:tc>
          <w:tcPr>
            <w:tcW w:w="994" w:type="dxa"/>
            <w:vMerge/>
            <w:tcBorders>
              <w:top w:val="single" w:sz="4" w:space="0" w:color="595959"/>
              <w:left w:val="nil"/>
              <w:bottom w:val="single" w:sz="4" w:space="0" w:color="000000"/>
              <w:right w:val="nil"/>
            </w:tcBorders>
            <w:vAlign w:val="center"/>
            <w:hideMark/>
          </w:tcPr>
          <w:p w14:paraId="15606347"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2DCD6041" w14:textId="77777777" w:rsidR="00761800" w:rsidRPr="00761800" w:rsidRDefault="00761800" w:rsidP="00761800">
            <w:pPr>
              <w:rPr>
                <w:rFonts w:ascii="Times New Roman" w:hAnsi="Times New Roman"/>
                <w:b/>
                <w:bCs/>
                <w:sz w:val="20"/>
                <w:lang w:eastAsia="bg-BG"/>
              </w:rPr>
            </w:pPr>
          </w:p>
        </w:tc>
      </w:tr>
      <w:tr w:rsidR="00761800" w:rsidRPr="00761800" w14:paraId="6193F593" w14:textId="77777777" w:rsidTr="00406B4D">
        <w:trPr>
          <w:trHeight w:val="270"/>
        </w:trPr>
        <w:tc>
          <w:tcPr>
            <w:tcW w:w="4536" w:type="dxa"/>
            <w:tcBorders>
              <w:top w:val="nil"/>
              <w:left w:val="nil"/>
              <w:bottom w:val="nil"/>
              <w:right w:val="nil"/>
            </w:tcBorders>
            <w:shd w:val="clear" w:color="auto" w:fill="auto"/>
            <w:vAlign w:val="center"/>
            <w:hideMark/>
          </w:tcPr>
          <w:p w14:paraId="7F4E37CE"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ПРИХОДИ, ПОМОЩИ И ДАРЕНИЯ</w:t>
            </w:r>
          </w:p>
        </w:tc>
        <w:tc>
          <w:tcPr>
            <w:tcW w:w="1020" w:type="dxa"/>
            <w:tcBorders>
              <w:top w:val="nil"/>
              <w:left w:val="nil"/>
              <w:bottom w:val="nil"/>
              <w:right w:val="nil"/>
            </w:tcBorders>
            <w:shd w:val="clear" w:color="auto" w:fill="auto"/>
            <w:noWrap/>
            <w:vAlign w:val="center"/>
            <w:hideMark/>
          </w:tcPr>
          <w:p w14:paraId="76BFDB9C"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35 021,7</w:t>
            </w:r>
          </w:p>
        </w:tc>
        <w:tc>
          <w:tcPr>
            <w:tcW w:w="1020" w:type="dxa"/>
            <w:tcBorders>
              <w:top w:val="nil"/>
              <w:left w:val="nil"/>
              <w:bottom w:val="nil"/>
              <w:right w:val="nil"/>
            </w:tcBorders>
            <w:shd w:val="clear" w:color="auto" w:fill="auto"/>
            <w:noWrap/>
            <w:vAlign w:val="center"/>
            <w:hideMark/>
          </w:tcPr>
          <w:p w14:paraId="3958E097"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40 877,0</w:t>
            </w:r>
          </w:p>
        </w:tc>
        <w:tc>
          <w:tcPr>
            <w:tcW w:w="1000" w:type="dxa"/>
            <w:tcBorders>
              <w:top w:val="nil"/>
              <w:left w:val="nil"/>
              <w:bottom w:val="nil"/>
              <w:right w:val="nil"/>
            </w:tcBorders>
            <w:shd w:val="clear" w:color="auto" w:fill="auto"/>
            <w:noWrap/>
            <w:vAlign w:val="center"/>
            <w:hideMark/>
          </w:tcPr>
          <w:p w14:paraId="21ACD082"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44 248,2</w:t>
            </w:r>
          </w:p>
        </w:tc>
        <w:tc>
          <w:tcPr>
            <w:tcW w:w="994" w:type="dxa"/>
            <w:tcBorders>
              <w:top w:val="nil"/>
              <w:left w:val="nil"/>
              <w:bottom w:val="nil"/>
              <w:right w:val="nil"/>
            </w:tcBorders>
            <w:shd w:val="clear" w:color="auto" w:fill="auto"/>
            <w:noWrap/>
            <w:vAlign w:val="center"/>
            <w:hideMark/>
          </w:tcPr>
          <w:p w14:paraId="7DC7C1EC"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47 582,8</w:t>
            </w:r>
          </w:p>
        </w:tc>
        <w:tc>
          <w:tcPr>
            <w:tcW w:w="1000" w:type="dxa"/>
            <w:tcBorders>
              <w:top w:val="nil"/>
              <w:left w:val="nil"/>
              <w:bottom w:val="nil"/>
              <w:right w:val="nil"/>
            </w:tcBorders>
            <w:shd w:val="clear" w:color="auto" w:fill="auto"/>
            <w:noWrap/>
            <w:vAlign w:val="center"/>
            <w:hideMark/>
          </w:tcPr>
          <w:p w14:paraId="73676B80"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50 588,6</w:t>
            </w:r>
          </w:p>
        </w:tc>
      </w:tr>
      <w:tr w:rsidR="00761800" w:rsidRPr="00761800" w14:paraId="273CCBBE" w14:textId="77777777" w:rsidTr="00406B4D">
        <w:trPr>
          <w:trHeight w:val="240"/>
        </w:trPr>
        <w:tc>
          <w:tcPr>
            <w:tcW w:w="4536" w:type="dxa"/>
            <w:tcBorders>
              <w:top w:val="nil"/>
              <w:left w:val="nil"/>
              <w:bottom w:val="nil"/>
              <w:right w:val="nil"/>
            </w:tcBorders>
            <w:shd w:val="clear" w:color="auto" w:fill="auto"/>
            <w:vAlign w:val="center"/>
            <w:hideMark/>
          </w:tcPr>
          <w:p w14:paraId="0440EDC9"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nil"/>
              <w:right w:val="nil"/>
            </w:tcBorders>
            <w:shd w:val="clear" w:color="auto" w:fill="auto"/>
            <w:noWrap/>
            <w:vAlign w:val="center"/>
            <w:hideMark/>
          </w:tcPr>
          <w:p w14:paraId="49EEE247"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37,1%</w:t>
            </w:r>
          </w:p>
        </w:tc>
        <w:tc>
          <w:tcPr>
            <w:tcW w:w="1020" w:type="dxa"/>
            <w:tcBorders>
              <w:top w:val="nil"/>
              <w:left w:val="nil"/>
              <w:bottom w:val="nil"/>
              <w:right w:val="nil"/>
            </w:tcBorders>
            <w:shd w:val="clear" w:color="auto" w:fill="auto"/>
            <w:noWrap/>
            <w:vAlign w:val="center"/>
            <w:hideMark/>
          </w:tcPr>
          <w:p w14:paraId="6C6BA8B7"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35,2%</w:t>
            </w:r>
          </w:p>
        </w:tc>
        <w:tc>
          <w:tcPr>
            <w:tcW w:w="1000" w:type="dxa"/>
            <w:tcBorders>
              <w:top w:val="nil"/>
              <w:left w:val="nil"/>
              <w:bottom w:val="nil"/>
              <w:right w:val="nil"/>
            </w:tcBorders>
            <w:shd w:val="clear" w:color="auto" w:fill="auto"/>
            <w:noWrap/>
            <w:vAlign w:val="center"/>
            <w:hideMark/>
          </w:tcPr>
          <w:p w14:paraId="79345609"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35,3%</w:t>
            </w:r>
          </w:p>
        </w:tc>
        <w:tc>
          <w:tcPr>
            <w:tcW w:w="994" w:type="dxa"/>
            <w:tcBorders>
              <w:top w:val="nil"/>
              <w:left w:val="nil"/>
              <w:bottom w:val="nil"/>
              <w:right w:val="nil"/>
            </w:tcBorders>
            <w:shd w:val="clear" w:color="auto" w:fill="auto"/>
            <w:noWrap/>
            <w:vAlign w:val="center"/>
            <w:hideMark/>
          </w:tcPr>
          <w:p w14:paraId="67D5844A"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35,4%</w:t>
            </w:r>
          </w:p>
        </w:tc>
        <w:tc>
          <w:tcPr>
            <w:tcW w:w="1000" w:type="dxa"/>
            <w:tcBorders>
              <w:top w:val="nil"/>
              <w:left w:val="nil"/>
              <w:bottom w:val="nil"/>
              <w:right w:val="nil"/>
            </w:tcBorders>
            <w:shd w:val="clear" w:color="auto" w:fill="auto"/>
            <w:noWrap/>
            <w:vAlign w:val="center"/>
            <w:hideMark/>
          </w:tcPr>
          <w:p w14:paraId="0540EFD1"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35,3%</w:t>
            </w:r>
          </w:p>
        </w:tc>
      </w:tr>
      <w:tr w:rsidR="00761800" w:rsidRPr="00761800" w14:paraId="7DDC8ED9" w14:textId="77777777" w:rsidTr="00406B4D">
        <w:trPr>
          <w:trHeight w:val="240"/>
        </w:trPr>
        <w:tc>
          <w:tcPr>
            <w:tcW w:w="4536" w:type="dxa"/>
            <w:tcBorders>
              <w:top w:val="nil"/>
              <w:left w:val="nil"/>
              <w:bottom w:val="nil"/>
              <w:right w:val="nil"/>
            </w:tcBorders>
            <w:shd w:val="clear" w:color="auto" w:fill="auto"/>
            <w:vAlign w:val="center"/>
            <w:hideMark/>
          </w:tcPr>
          <w:p w14:paraId="6260EEF2" w14:textId="77777777" w:rsidR="00761800" w:rsidRPr="00761800" w:rsidRDefault="00761800" w:rsidP="00761800">
            <w:pPr>
              <w:ind w:firstLineChars="100" w:firstLine="180"/>
              <w:rPr>
                <w:rFonts w:ascii="Times New Roman" w:hAnsi="Times New Roman"/>
                <w:color w:val="000000"/>
                <w:sz w:val="18"/>
                <w:szCs w:val="18"/>
                <w:lang w:eastAsia="bg-BG"/>
              </w:rPr>
            </w:pPr>
            <w:r w:rsidRPr="00761800">
              <w:rPr>
                <w:rFonts w:ascii="Times New Roman" w:hAnsi="Times New Roman"/>
                <w:color w:val="000000"/>
                <w:sz w:val="18"/>
                <w:szCs w:val="18"/>
                <w:lang w:eastAsia="bg-BG"/>
              </w:rPr>
              <w:t>Данъчно-осигурителни приходи</w:t>
            </w:r>
          </w:p>
        </w:tc>
        <w:tc>
          <w:tcPr>
            <w:tcW w:w="1020" w:type="dxa"/>
            <w:tcBorders>
              <w:top w:val="nil"/>
              <w:left w:val="nil"/>
              <w:bottom w:val="nil"/>
              <w:right w:val="nil"/>
            </w:tcBorders>
            <w:shd w:val="clear" w:color="auto" w:fill="auto"/>
            <w:noWrap/>
            <w:vAlign w:val="center"/>
            <w:hideMark/>
          </w:tcPr>
          <w:p w14:paraId="3BBB9939"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30 010,3</w:t>
            </w:r>
          </w:p>
        </w:tc>
        <w:tc>
          <w:tcPr>
            <w:tcW w:w="1020" w:type="dxa"/>
            <w:tcBorders>
              <w:top w:val="nil"/>
              <w:left w:val="nil"/>
              <w:bottom w:val="nil"/>
              <w:right w:val="nil"/>
            </w:tcBorders>
            <w:shd w:val="clear" w:color="auto" w:fill="auto"/>
            <w:noWrap/>
            <w:vAlign w:val="center"/>
            <w:hideMark/>
          </w:tcPr>
          <w:p w14:paraId="26F1FB59"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34 603,1</w:t>
            </w:r>
          </w:p>
        </w:tc>
        <w:tc>
          <w:tcPr>
            <w:tcW w:w="1000" w:type="dxa"/>
            <w:tcBorders>
              <w:top w:val="nil"/>
              <w:left w:val="nil"/>
              <w:bottom w:val="nil"/>
              <w:right w:val="nil"/>
            </w:tcBorders>
            <w:shd w:val="clear" w:color="auto" w:fill="auto"/>
            <w:noWrap/>
            <w:vAlign w:val="center"/>
            <w:hideMark/>
          </w:tcPr>
          <w:p w14:paraId="2C443E6E"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38 440,1</w:t>
            </w:r>
          </w:p>
        </w:tc>
        <w:tc>
          <w:tcPr>
            <w:tcW w:w="994" w:type="dxa"/>
            <w:tcBorders>
              <w:top w:val="nil"/>
              <w:left w:val="nil"/>
              <w:bottom w:val="nil"/>
              <w:right w:val="nil"/>
            </w:tcBorders>
            <w:shd w:val="clear" w:color="auto" w:fill="auto"/>
            <w:noWrap/>
            <w:vAlign w:val="center"/>
            <w:hideMark/>
          </w:tcPr>
          <w:p w14:paraId="511BC52C"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41 431,8</w:t>
            </w:r>
          </w:p>
        </w:tc>
        <w:tc>
          <w:tcPr>
            <w:tcW w:w="1000" w:type="dxa"/>
            <w:tcBorders>
              <w:top w:val="nil"/>
              <w:left w:val="nil"/>
              <w:bottom w:val="nil"/>
              <w:right w:val="nil"/>
            </w:tcBorders>
            <w:shd w:val="clear" w:color="auto" w:fill="auto"/>
            <w:noWrap/>
            <w:vAlign w:val="center"/>
            <w:hideMark/>
          </w:tcPr>
          <w:p w14:paraId="31680034"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44 343,7</w:t>
            </w:r>
          </w:p>
        </w:tc>
      </w:tr>
      <w:tr w:rsidR="00761800" w:rsidRPr="00761800" w14:paraId="7593F7C5" w14:textId="77777777" w:rsidTr="00406B4D">
        <w:trPr>
          <w:trHeight w:val="225"/>
        </w:trPr>
        <w:tc>
          <w:tcPr>
            <w:tcW w:w="4536" w:type="dxa"/>
            <w:tcBorders>
              <w:top w:val="nil"/>
              <w:left w:val="nil"/>
              <w:bottom w:val="nil"/>
              <w:right w:val="nil"/>
            </w:tcBorders>
            <w:shd w:val="clear" w:color="auto" w:fill="auto"/>
            <w:vAlign w:val="center"/>
            <w:hideMark/>
          </w:tcPr>
          <w:p w14:paraId="1161115F" w14:textId="77777777" w:rsidR="00761800" w:rsidRPr="00761800" w:rsidRDefault="00761800" w:rsidP="00761800">
            <w:pPr>
              <w:ind w:firstLineChars="100" w:firstLine="180"/>
              <w:rPr>
                <w:rFonts w:ascii="Times New Roman" w:hAnsi="Times New Roman"/>
                <w:color w:val="000000"/>
                <w:sz w:val="18"/>
                <w:szCs w:val="18"/>
                <w:lang w:eastAsia="bg-BG"/>
              </w:rPr>
            </w:pPr>
            <w:r w:rsidRPr="00761800">
              <w:rPr>
                <w:rFonts w:ascii="Times New Roman" w:hAnsi="Times New Roman"/>
                <w:color w:val="000000"/>
                <w:sz w:val="18"/>
                <w:szCs w:val="18"/>
                <w:lang w:eastAsia="bg-BG"/>
              </w:rPr>
              <w:t>Неданъчни приходи</w:t>
            </w:r>
          </w:p>
        </w:tc>
        <w:tc>
          <w:tcPr>
            <w:tcW w:w="1020" w:type="dxa"/>
            <w:tcBorders>
              <w:top w:val="nil"/>
              <w:left w:val="nil"/>
              <w:bottom w:val="nil"/>
              <w:right w:val="nil"/>
            </w:tcBorders>
            <w:shd w:val="clear" w:color="auto" w:fill="auto"/>
            <w:noWrap/>
            <w:vAlign w:val="center"/>
            <w:hideMark/>
          </w:tcPr>
          <w:p w14:paraId="53E42AC6"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4 956,7</w:t>
            </w:r>
          </w:p>
        </w:tc>
        <w:tc>
          <w:tcPr>
            <w:tcW w:w="1020" w:type="dxa"/>
            <w:tcBorders>
              <w:top w:val="nil"/>
              <w:left w:val="nil"/>
              <w:bottom w:val="nil"/>
              <w:right w:val="nil"/>
            </w:tcBorders>
            <w:shd w:val="clear" w:color="auto" w:fill="auto"/>
            <w:noWrap/>
            <w:vAlign w:val="center"/>
            <w:hideMark/>
          </w:tcPr>
          <w:p w14:paraId="7349CFC9"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6 068,0</w:t>
            </w:r>
          </w:p>
        </w:tc>
        <w:tc>
          <w:tcPr>
            <w:tcW w:w="1000" w:type="dxa"/>
            <w:tcBorders>
              <w:top w:val="nil"/>
              <w:left w:val="nil"/>
              <w:bottom w:val="nil"/>
              <w:right w:val="nil"/>
            </w:tcBorders>
            <w:shd w:val="clear" w:color="auto" w:fill="auto"/>
            <w:noWrap/>
            <w:vAlign w:val="center"/>
            <w:hideMark/>
          </w:tcPr>
          <w:p w14:paraId="71B53466"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5 784,1</w:t>
            </w:r>
          </w:p>
        </w:tc>
        <w:tc>
          <w:tcPr>
            <w:tcW w:w="994" w:type="dxa"/>
            <w:tcBorders>
              <w:top w:val="nil"/>
              <w:left w:val="nil"/>
              <w:bottom w:val="nil"/>
              <w:right w:val="nil"/>
            </w:tcBorders>
            <w:shd w:val="clear" w:color="auto" w:fill="auto"/>
            <w:noWrap/>
            <w:vAlign w:val="center"/>
            <w:hideMark/>
          </w:tcPr>
          <w:p w14:paraId="4FA819ED"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6 126,0</w:t>
            </w:r>
          </w:p>
        </w:tc>
        <w:tc>
          <w:tcPr>
            <w:tcW w:w="1000" w:type="dxa"/>
            <w:tcBorders>
              <w:top w:val="nil"/>
              <w:left w:val="nil"/>
              <w:bottom w:val="nil"/>
              <w:right w:val="nil"/>
            </w:tcBorders>
            <w:shd w:val="clear" w:color="auto" w:fill="auto"/>
            <w:noWrap/>
            <w:vAlign w:val="center"/>
            <w:hideMark/>
          </w:tcPr>
          <w:p w14:paraId="7EF77016"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6 219,9</w:t>
            </w:r>
          </w:p>
        </w:tc>
      </w:tr>
      <w:tr w:rsidR="00761800" w:rsidRPr="00761800" w14:paraId="40B0B3F3" w14:textId="77777777" w:rsidTr="00406B4D">
        <w:trPr>
          <w:trHeight w:val="240"/>
        </w:trPr>
        <w:tc>
          <w:tcPr>
            <w:tcW w:w="4536" w:type="dxa"/>
            <w:tcBorders>
              <w:top w:val="nil"/>
              <w:left w:val="nil"/>
              <w:bottom w:val="nil"/>
              <w:right w:val="nil"/>
            </w:tcBorders>
            <w:shd w:val="clear" w:color="auto" w:fill="auto"/>
            <w:vAlign w:val="center"/>
            <w:hideMark/>
          </w:tcPr>
          <w:p w14:paraId="48954377" w14:textId="77777777" w:rsidR="00761800" w:rsidRPr="00761800" w:rsidRDefault="00761800" w:rsidP="00761800">
            <w:pPr>
              <w:ind w:firstLineChars="100" w:firstLine="180"/>
              <w:rPr>
                <w:rFonts w:ascii="Times New Roman" w:hAnsi="Times New Roman"/>
                <w:color w:val="000000"/>
                <w:sz w:val="18"/>
                <w:szCs w:val="18"/>
                <w:lang w:eastAsia="bg-BG"/>
              </w:rPr>
            </w:pPr>
            <w:r w:rsidRPr="00761800">
              <w:rPr>
                <w:rFonts w:ascii="Times New Roman" w:hAnsi="Times New Roman"/>
                <w:color w:val="000000"/>
                <w:sz w:val="18"/>
                <w:szCs w:val="18"/>
                <w:lang w:eastAsia="bg-BG"/>
              </w:rPr>
              <w:t>Помощи и дарения</w:t>
            </w:r>
          </w:p>
        </w:tc>
        <w:tc>
          <w:tcPr>
            <w:tcW w:w="1020" w:type="dxa"/>
            <w:tcBorders>
              <w:top w:val="nil"/>
              <w:left w:val="nil"/>
              <w:bottom w:val="nil"/>
              <w:right w:val="nil"/>
            </w:tcBorders>
            <w:shd w:val="clear" w:color="auto" w:fill="auto"/>
            <w:noWrap/>
            <w:vAlign w:val="center"/>
            <w:hideMark/>
          </w:tcPr>
          <w:p w14:paraId="214A12A9"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54,7</w:t>
            </w:r>
          </w:p>
        </w:tc>
        <w:tc>
          <w:tcPr>
            <w:tcW w:w="1020" w:type="dxa"/>
            <w:tcBorders>
              <w:top w:val="nil"/>
              <w:left w:val="nil"/>
              <w:bottom w:val="nil"/>
              <w:right w:val="nil"/>
            </w:tcBorders>
            <w:shd w:val="clear" w:color="auto" w:fill="auto"/>
            <w:noWrap/>
            <w:vAlign w:val="center"/>
            <w:hideMark/>
          </w:tcPr>
          <w:p w14:paraId="31BA9C7C"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205,9</w:t>
            </w:r>
          </w:p>
        </w:tc>
        <w:tc>
          <w:tcPr>
            <w:tcW w:w="1000" w:type="dxa"/>
            <w:tcBorders>
              <w:top w:val="nil"/>
              <w:left w:val="nil"/>
              <w:bottom w:val="nil"/>
              <w:right w:val="nil"/>
            </w:tcBorders>
            <w:shd w:val="clear" w:color="auto" w:fill="auto"/>
            <w:noWrap/>
            <w:vAlign w:val="center"/>
            <w:hideMark/>
          </w:tcPr>
          <w:p w14:paraId="5F1218A3"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24,0</w:t>
            </w:r>
          </w:p>
        </w:tc>
        <w:tc>
          <w:tcPr>
            <w:tcW w:w="994" w:type="dxa"/>
            <w:tcBorders>
              <w:top w:val="nil"/>
              <w:left w:val="nil"/>
              <w:bottom w:val="nil"/>
              <w:right w:val="nil"/>
            </w:tcBorders>
            <w:shd w:val="clear" w:color="auto" w:fill="auto"/>
            <w:noWrap/>
            <w:vAlign w:val="center"/>
            <w:hideMark/>
          </w:tcPr>
          <w:p w14:paraId="54480C04"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25,0</w:t>
            </w:r>
          </w:p>
        </w:tc>
        <w:tc>
          <w:tcPr>
            <w:tcW w:w="1000" w:type="dxa"/>
            <w:tcBorders>
              <w:top w:val="nil"/>
              <w:left w:val="nil"/>
              <w:bottom w:val="nil"/>
              <w:right w:val="nil"/>
            </w:tcBorders>
            <w:shd w:val="clear" w:color="auto" w:fill="auto"/>
            <w:noWrap/>
            <w:vAlign w:val="center"/>
            <w:hideMark/>
          </w:tcPr>
          <w:p w14:paraId="6B01D762"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25,0</w:t>
            </w:r>
          </w:p>
        </w:tc>
      </w:tr>
      <w:tr w:rsidR="00761800" w:rsidRPr="00761800" w14:paraId="2482DD12" w14:textId="77777777" w:rsidTr="00406B4D">
        <w:trPr>
          <w:trHeight w:val="180"/>
        </w:trPr>
        <w:tc>
          <w:tcPr>
            <w:tcW w:w="4536" w:type="dxa"/>
            <w:tcBorders>
              <w:top w:val="nil"/>
              <w:left w:val="nil"/>
              <w:bottom w:val="nil"/>
              <w:right w:val="nil"/>
            </w:tcBorders>
            <w:shd w:val="clear" w:color="auto" w:fill="auto"/>
            <w:vAlign w:val="center"/>
            <w:hideMark/>
          </w:tcPr>
          <w:p w14:paraId="55F45A1A" w14:textId="77777777" w:rsidR="00761800" w:rsidRPr="00761800" w:rsidRDefault="00761800" w:rsidP="00761800">
            <w:pPr>
              <w:jc w:val="right"/>
              <w:rPr>
                <w:rFonts w:ascii="Times New Roman" w:hAnsi="Times New Roman"/>
                <w:color w:val="000000"/>
                <w:sz w:val="18"/>
                <w:szCs w:val="18"/>
                <w:lang w:eastAsia="bg-BG"/>
              </w:rPr>
            </w:pPr>
          </w:p>
        </w:tc>
        <w:tc>
          <w:tcPr>
            <w:tcW w:w="1020" w:type="dxa"/>
            <w:tcBorders>
              <w:top w:val="nil"/>
              <w:left w:val="nil"/>
              <w:bottom w:val="nil"/>
              <w:right w:val="nil"/>
            </w:tcBorders>
            <w:shd w:val="clear" w:color="auto" w:fill="auto"/>
            <w:noWrap/>
            <w:vAlign w:val="center"/>
            <w:hideMark/>
          </w:tcPr>
          <w:p w14:paraId="1A3175B5" w14:textId="77777777" w:rsidR="00761800" w:rsidRPr="00761800" w:rsidRDefault="00761800" w:rsidP="00761800">
            <w:pPr>
              <w:rPr>
                <w:rFonts w:ascii="Times New Roman" w:hAnsi="Times New Roman"/>
                <w:sz w:val="20"/>
                <w:lang w:eastAsia="bg-BG"/>
              </w:rPr>
            </w:pPr>
          </w:p>
        </w:tc>
        <w:tc>
          <w:tcPr>
            <w:tcW w:w="1020" w:type="dxa"/>
            <w:tcBorders>
              <w:top w:val="nil"/>
              <w:left w:val="nil"/>
              <w:bottom w:val="nil"/>
              <w:right w:val="nil"/>
            </w:tcBorders>
            <w:shd w:val="clear" w:color="auto" w:fill="auto"/>
            <w:noWrap/>
            <w:vAlign w:val="center"/>
            <w:hideMark/>
          </w:tcPr>
          <w:p w14:paraId="767D678F"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43FACBBD" w14:textId="77777777" w:rsidR="00761800" w:rsidRPr="00761800" w:rsidRDefault="00761800" w:rsidP="00761800">
            <w:pPr>
              <w:jc w:val="right"/>
              <w:rPr>
                <w:rFonts w:ascii="Times New Roman" w:hAnsi="Times New Roman"/>
                <w:sz w:val="20"/>
                <w:lang w:eastAsia="bg-BG"/>
              </w:rPr>
            </w:pPr>
          </w:p>
        </w:tc>
        <w:tc>
          <w:tcPr>
            <w:tcW w:w="994" w:type="dxa"/>
            <w:tcBorders>
              <w:top w:val="nil"/>
              <w:left w:val="nil"/>
              <w:bottom w:val="nil"/>
              <w:right w:val="nil"/>
            </w:tcBorders>
            <w:shd w:val="clear" w:color="auto" w:fill="auto"/>
            <w:noWrap/>
            <w:vAlign w:val="center"/>
            <w:hideMark/>
          </w:tcPr>
          <w:p w14:paraId="0766F5FE"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13F7CD12" w14:textId="77777777" w:rsidR="00761800" w:rsidRPr="00761800" w:rsidRDefault="00761800" w:rsidP="00761800">
            <w:pPr>
              <w:jc w:val="right"/>
              <w:rPr>
                <w:rFonts w:ascii="Times New Roman" w:hAnsi="Times New Roman"/>
                <w:sz w:val="20"/>
                <w:lang w:eastAsia="bg-BG"/>
              </w:rPr>
            </w:pPr>
          </w:p>
        </w:tc>
      </w:tr>
      <w:tr w:rsidR="00761800" w:rsidRPr="00761800" w14:paraId="302D8EA0" w14:textId="77777777" w:rsidTr="00406B4D">
        <w:trPr>
          <w:trHeight w:val="465"/>
        </w:trPr>
        <w:tc>
          <w:tcPr>
            <w:tcW w:w="4536" w:type="dxa"/>
            <w:tcBorders>
              <w:top w:val="nil"/>
              <w:left w:val="nil"/>
              <w:bottom w:val="nil"/>
              <w:right w:val="nil"/>
            </w:tcBorders>
            <w:shd w:val="clear" w:color="auto" w:fill="auto"/>
            <w:vAlign w:val="center"/>
            <w:hideMark/>
          </w:tcPr>
          <w:p w14:paraId="4B67B17D"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 xml:space="preserve">ОБЩО РАЗХОДИ И ВНОСКА В БЮДЖЕТА НА ЕС  </w:t>
            </w:r>
          </w:p>
        </w:tc>
        <w:tc>
          <w:tcPr>
            <w:tcW w:w="1020" w:type="dxa"/>
            <w:tcBorders>
              <w:top w:val="nil"/>
              <w:left w:val="nil"/>
              <w:bottom w:val="nil"/>
              <w:right w:val="nil"/>
            </w:tcBorders>
            <w:shd w:val="clear" w:color="auto" w:fill="auto"/>
            <w:noWrap/>
            <w:vAlign w:val="center"/>
            <w:hideMark/>
          </w:tcPr>
          <w:p w14:paraId="6410D9DB"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37 959,7</w:t>
            </w:r>
          </w:p>
        </w:tc>
        <w:tc>
          <w:tcPr>
            <w:tcW w:w="1020" w:type="dxa"/>
            <w:tcBorders>
              <w:top w:val="nil"/>
              <w:left w:val="nil"/>
              <w:bottom w:val="nil"/>
              <w:right w:val="nil"/>
            </w:tcBorders>
            <w:shd w:val="clear" w:color="auto" w:fill="auto"/>
            <w:noWrap/>
            <w:vAlign w:val="center"/>
            <w:hideMark/>
          </w:tcPr>
          <w:p w14:paraId="75829167"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43 619,5</w:t>
            </w:r>
          </w:p>
        </w:tc>
        <w:tc>
          <w:tcPr>
            <w:tcW w:w="1000" w:type="dxa"/>
            <w:tcBorders>
              <w:top w:val="nil"/>
              <w:left w:val="nil"/>
              <w:bottom w:val="nil"/>
              <w:right w:val="nil"/>
            </w:tcBorders>
            <w:shd w:val="clear" w:color="auto" w:fill="auto"/>
            <w:noWrap/>
            <w:vAlign w:val="center"/>
            <w:hideMark/>
          </w:tcPr>
          <w:p w14:paraId="2D111D5F"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49 194,5</w:t>
            </w:r>
          </w:p>
        </w:tc>
        <w:tc>
          <w:tcPr>
            <w:tcW w:w="994" w:type="dxa"/>
            <w:tcBorders>
              <w:top w:val="nil"/>
              <w:left w:val="nil"/>
              <w:bottom w:val="nil"/>
              <w:right w:val="nil"/>
            </w:tcBorders>
            <w:shd w:val="clear" w:color="auto" w:fill="auto"/>
            <w:noWrap/>
            <w:vAlign w:val="center"/>
            <w:hideMark/>
          </w:tcPr>
          <w:p w14:paraId="04A09038"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50 798,8</w:t>
            </w:r>
          </w:p>
        </w:tc>
        <w:tc>
          <w:tcPr>
            <w:tcW w:w="1000" w:type="dxa"/>
            <w:tcBorders>
              <w:top w:val="nil"/>
              <w:left w:val="nil"/>
              <w:bottom w:val="nil"/>
              <w:right w:val="nil"/>
            </w:tcBorders>
            <w:shd w:val="clear" w:color="auto" w:fill="auto"/>
            <w:noWrap/>
            <w:vAlign w:val="center"/>
            <w:hideMark/>
          </w:tcPr>
          <w:p w14:paraId="1EC96B7E"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53 075,7</w:t>
            </w:r>
          </w:p>
        </w:tc>
      </w:tr>
      <w:tr w:rsidR="00761800" w:rsidRPr="00761800" w14:paraId="6A183B96" w14:textId="77777777" w:rsidTr="00406B4D">
        <w:trPr>
          <w:trHeight w:val="225"/>
        </w:trPr>
        <w:tc>
          <w:tcPr>
            <w:tcW w:w="4536" w:type="dxa"/>
            <w:tcBorders>
              <w:top w:val="nil"/>
              <w:left w:val="nil"/>
              <w:bottom w:val="nil"/>
              <w:right w:val="nil"/>
            </w:tcBorders>
            <w:shd w:val="clear" w:color="auto" w:fill="auto"/>
            <w:vAlign w:val="center"/>
            <w:hideMark/>
          </w:tcPr>
          <w:p w14:paraId="5EC55F66"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lastRenderedPageBreak/>
              <w:t>% от БВП</w:t>
            </w:r>
          </w:p>
        </w:tc>
        <w:tc>
          <w:tcPr>
            <w:tcW w:w="1020" w:type="dxa"/>
            <w:tcBorders>
              <w:top w:val="nil"/>
              <w:left w:val="nil"/>
              <w:bottom w:val="nil"/>
              <w:right w:val="nil"/>
            </w:tcBorders>
            <w:shd w:val="clear" w:color="auto" w:fill="auto"/>
            <w:noWrap/>
            <w:vAlign w:val="center"/>
            <w:hideMark/>
          </w:tcPr>
          <w:p w14:paraId="54E9ACA3"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40,2%</w:t>
            </w:r>
          </w:p>
        </w:tc>
        <w:tc>
          <w:tcPr>
            <w:tcW w:w="1020" w:type="dxa"/>
            <w:tcBorders>
              <w:top w:val="nil"/>
              <w:left w:val="nil"/>
              <w:bottom w:val="nil"/>
              <w:right w:val="nil"/>
            </w:tcBorders>
            <w:shd w:val="clear" w:color="auto" w:fill="auto"/>
            <w:noWrap/>
            <w:vAlign w:val="center"/>
            <w:hideMark/>
          </w:tcPr>
          <w:p w14:paraId="2390C83A"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37,6%</w:t>
            </w:r>
          </w:p>
        </w:tc>
        <w:tc>
          <w:tcPr>
            <w:tcW w:w="1000" w:type="dxa"/>
            <w:tcBorders>
              <w:top w:val="nil"/>
              <w:left w:val="nil"/>
              <w:bottom w:val="nil"/>
              <w:right w:val="nil"/>
            </w:tcBorders>
            <w:shd w:val="clear" w:color="auto" w:fill="auto"/>
            <w:noWrap/>
            <w:vAlign w:val="center"/>
            <w:hideMark/>
          </w:tcPr>
          <w:p w14:paraId="045E18D7"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39,3%</w:t>
            </w:r>
          </w:p>
        </w:tc>
        <w:tc>
          <w:tcPr>
            <w:tcW w:w="994" w:type="dxa"/>
            <w:tcBorders>
              <w:top w:val="nil"/>
              <w:left w:val="nil"/>
              <w:bottom w:val="nil"/>
              <w:right w:val="nil"/>
            </w:tcBorders>
            <w:shd w:val="clear" w:color="auto" w:fill="auto"/>
            <w:noWrap/>
            <w:vAlign w:val="center"/>
            <w:hideMark/>
          </w:tcPr>
          <w:p w14:paraId="28EB9353"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37,7%</w:t>
            </w:r>
          </w:p>
        </w:tc>
        <w:tc>
          <w:tcPr>
            <w:tcW w:w="1000" w:type="dxa"/>
            <w:tcBorders>
              <w:top w:val="nil"/>
              <w:left w:val="nil"/>
              <w:bottom w:val="nil"/>
              <w:right w:val="nil"/>
            </w:tcBorders>
            <w:shd w:val="clear" w:color="auto" w:fill="auto"/>
            <w:noWrap/>
            <w:vAlign w:val="center"/>
            <w:hideMark/>
          </w:tcPr>
          <w:p w14:paraId="707F98DD"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37,1%</w:t>
            </w:r>
          </w:p>
        </w:tc>
      </w:tr>
      <w:tr w:rsidR="00761800" w:rsidRPr="00761800" w14:paraId="02B7135D" w14:textId="77777777" w:rsidTr="00406B4D">
        <w:trPr>
          <w:trHeight w:val="240"/>
        </w:trPr>
        <w:tc>
          <w:tcPr>
            <w:tcW w:w="4536" w:type="dxa"/>
            <w:tcBorders>
              <w:top w:val="nil"/>
              <w:left w:val="nil"/>
              <w:bottom w:val="nil"/>
              <w:right w:val="nil"/>
            </w:tcBorders>
            <w:shd w:val="clear" w:color="auto" w:fill="auto"/>
            <w:noWrap/>
            <w:vAlign w:val="center"/>
            <w:hideMark/>
          </w:tcPr>
          <w:p w14:paraId="3EB2D983" w14:textId="77777777" w:rsidR="00761800" w:rsidRPr="00761800" w:rsidRDefault="00761800" w:rsidP="00761800">
            <w:pPr>
              <w:ind w:firstLineChars="100" w:firstLine="180"/>
              <w:rPr>
                <w:rFonts w:ascii="Times New Roman" w:hAnsi="Times New Roman"/>
                <w:color w:val="000000"/>
                <w:sz w:val="18"/>
                <w:szCs w:val="18"/>
                <w:lang w:eastAsia="bg-BG"/>
              </w:rPr>
            </w:pPr>
            <w:r w:rsidRPr="00761800">
              <w:rPr>
                <w:rFonts w:ascii="Times New Roman" w:hAnsi="Times New Roman"/>
                <w:color w:val="000000"/>
                <w:sz w:val="18"/>
                <w:szCs w:val="18"/>
                <w:lang w:eastAsia="bg-BG"/>
              </w:rPr>
              <w:t xml:space="preserve">Разходи </w:t>
            </w:r>
          </w:p>
        </w:tc>
        <w:tc>
          <w:tcPr>
            <w:tcW w:w="1020" w:type="dxa"/>
            <w:tcBorders>
              <w:top w:val="nil"/>
              <w:left w:val="nil"/>
              <w:bottom w:val="nil"/>
              <w:right w:val="nil"/>
            </w:tcBorders>
            <w:shd w:val="clear" w:color="auto" w:fill="auto"/>
            <w:noWrap/>
            <w:vAlign w:val="center"/>
            <w:hideMark/>
          </w:tcPr>
          <w:p w14:paraId="6E4F3F45"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37 145,6</w:t>
            </w:r>
          </w:p>
        </w:tc>
        <w:tc>
          <w:tcPr>
            <w:tcW w:w="1020" w:type="dxa"/>
            <w:tcBorders>
              <w:top w:val="nil"/>
              <w:left w:val="nil"/>
              <w:bottom w:val="nil"/>
              <w:right w:val="nil"/>
            </w:tcBorders>
            <w:shd w:val="clear" w:color="auto" w:fill="auto"/>
            <w:noWrap/>
            <w:vAlign w:val="center"/>
            <w:hideMark/>
          </w:tcPr>
          <w:p w14:paraId="713B1B3F"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42 578,5</w:t>
            </w:r>
          </w:p>
        </w:tc>
        <w:tc>
          <w:tcPr>
            <w:tcW w:w="1000" w:type="dxa"/>
            <w:tcBorders>
              <w:top w:val="nil"/>
              <w:left w:val="nil"/>
              <w:bottom w:val="nil"/>
              <w:right w:val="nil"/>
            </w:tcBorders>
            <w:shd w:val="clear" w:color="auto" w:fill="auto"/>
            <w:noWrap/>
            <w:vAlign w:val="center"/>
            <w:hideMark/>
          </w:tcPr>
          <w:p w14:paraId="0391305C"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47 912,4</w:t>
            </w:r>
          </w:p>
        </w:tc>
        <w:tc>
          <w:tcPr>
            <w:tcW w:w="994" w:type="dxa"/>
            <w:tcBorders>
              <w:top w:val="nil"/>
              <w:left w:val="nil"/>
              <w:bottom w:val="nil"/>
              <w:right w:val="nil"/>
            </w:tcBorders>
            <w:shd w:val="clear" w:color="auto" w:fill="auto"/>
            <w:noWrap/>
            <w:vAlign w:val="center"/>
            <w:hideMark/>
          </w:tcPr>
          <w:p w14:paraId="73F8DF42"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49 412,3</w:t>
            </w:r>
          </w:p>
        </w:tc>
        <w:tc>
          <w:tcPr>
            <w:tcW w:w="1000" w:type="dxa"/>
            <w:tcBorders>
              <w:top w:val="nil"/>
              <w:left w:val="nil"/>
              <w:bottom w:val="nil"/>
              <w:right w:val="nil"/>
            </w:tcBorders>
            <w:shd w:val="clear" w:color="auto" w:fill="auto"/>
            <w:noWrap/>
            <w:vAlign w:val="center"/>
            <w:hideMark/>
          </w:tcPr>
          <w:p w14:paraId="2D99DCC4"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51 286,4</w:t>
            </w:r>
          </w:p>
        </w:tc>
      </w:tr>
      <w:tr w:rsidR="00761800" w:rsidRPr="00761800" w14:paraId="7CE04C84" w14:textId="77777777" w:rsidTr="00406B4D">
        <w:trPr>
          <w:trHeight w:val="240"/>
        </w:trPr>
        <w:tc>
          <w:tcPr>
            <w:tcW w:w="4536" w:type="dxa"/>
            <w:tcBorders>
              <w:top w:val="nil"/>
              <w:left w:val="nil"/>
              <w:bottom w:val="nil"/>
              <w:right w:val="nil"/>
            </w:tcBorders>
            <w:shd w:val="clear" w:color="auto" w:fill="auto"/>
            <w:vAlign w:val="center"/>
            <w:hideMark/>
          </w:tcPr>
          <w:p w14:paraId="446E8730" w14:textId="77777777" w:rsidR="00761800" w:rsidRPr="00761800" w:rsidRDefault="00761800" w:rsidP="00761800">
            <w:pPr>
              <w:ind w:firstLineChars="200" w:firstLine="360"/>
              <w:rPr>
                <w:rFonts w:ascii="Times New Roman" w:hAnsi="Times New Roman"/>
                <w:color w:val="000000"/>
                <w:sz w:val="18"/>
                <w:szCs w:val="18"/>
                <w:lang w:eastAsia="bg-BG"/>
              </w:rPr>
            </w:pPr>
            <w:r w:rsidRPr="00761800">
              <w:rPr>
                <w:rFonts w:ascii="Times New Roman" w:hAnsi="Times New Roman"/>
                <w:color w:val="000000"/>
                <w:sz w:val="18"/>
                <w:szCs w:val="18"/>
                <w:lang w:eastAsia="bg-BG"/>
              </w:rPr>
              <w:t>Нелихвени разходи</w:t>
            </w:r>
          </w:p>
        </w:tc>
        <w:tc>
          <w:tcPr>
            <w:tcW w:w="1020" w:type="dxa"/>
            <w:tcBorders>
              <w:top w:val="nil"/>
              <w:left w:val="nil"/>
              <w:bottom w:val="nil"/>
              <w:right w:val="nil"/>
            </w:tcBorders>
            <w:shd w:val="clear" w:color="auto" w:fill="auto"/>
            <w:noWrap/>
            <w:vAlign w:val="center"/>
            <w:hideMark/>
          </w:tcPr>
          <w:p w14:paraId="5F452351"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36 629,8</w:t>
            </w:r>
          </w:p>
        </w:tc>
        <w:tc>
          <w:tcPr>
            <w:tcW w:w="1020" w:type="dxa"/>
            <w:tcBorders>
              <w:top w:val="nil"/>
              <w:left w:val="nil"/>
              <w:bottom w:val="nil"/>
              <w:right w:val="nil"/>
            </w:tcBorders>
            <w:shd w:val="clear" w:color="auto" w:fill="auto"/>
            <w:noWrap/>
            <w:vAlign w:val="center"/>
            <w:hideMark/>
          </w:tcPr>
          <w:p w14:paraId="7A68B3F6"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41 841,4</w:t>
            </w:r>
          </w:p>
        </w:tc>
        <w:tc>
          <w:tcPr>
            <w:tcW w:w="1000" w:type="dxa"/>
            <w:tcBorders>
              <w:top w:val="nil"/>
              <w:left w:val="nil"/>
              <w:bottom w:val="nil"/>
              <w:right w:val="nil"/>
            </w:tcBorders>
            <w:shd w:val="clear" w:color="auto" w:fill="auto"/>
            <w:noWrap/>
            <w:vAlign w:val="center"/>
            <w:hideMark/>
          </w:tcPr>
          <w:p w14:paraId="1DCCE6E5"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46 853,2</w:t>
            </w:r>
          </w:p>
        </w:tc>
        <w:tc>
          <w:tcPr>
            <w:tcW w:w="994" w:type="dxa"/>
            <w:tcBorders>
              <w:top w:val="nil"/>
              <w:left w:val="nil"/>
              <w:bottom w:val="nil"/>
              <w:right w:val="nil"/>
            </w:tcBorders>
            <w:shd w:val="clear" w:color="auto" w:fill="auto"/>
            <w:noWrap/>
            <w:vAlign w:val="center"/>
            <w:hideMark/>
          </w:tcPr>
          <w:p w14:paraId="58C2A2DA"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47 983,1</w:t>
            </w:r>
          </w:p>
        </w:tc>
        <w:tc>
          <w:tcPr>
            <w:tcW w:w="1000" w:type="dxa"/>
            <w:tcBorders>
              <w:top w:val="nil"/>
              <w:left w:val="nil"/>
              <w:bottom w:val="nil"/>
              <w:right w:val="nil"/>
            </w:tcBorders>
            <w:shd w:val="clear" w:color="auto" w:fill="auto"/>
            <w:noWrap/>
            <w:vAlign w:val="center"/>
            <w:hideMark/>
          </w:tcPr>
          <w:p w14:paraId="3DEE5FDC"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49 501,2</w:t>
            </w:r>
          </w:p>
        </w:tc>
      </w:tr>
      <w:tr w:rsidR="00761800" w:rsidRPr="00761800" w14:paraId="2E4300DD" w14:textId="77777777" w:rsidTr="00406B4D">
        <w:trPr>
          <w:trHeight w:val="240"/>
        </w:trPr>
        <w:tc>
          <w:tcPr>
            <w:tcW w:w="4536" w:type="dxa"/>
            <w:tcBorders>
              <w:top w:val="nil"/>
              <w:left w:val="nil"/>
              <w:bottom w:val="nil"/>
              <w:right w:val="nil"/>
            </w:tcBorders>
            <w:shd w:val="clear" w:color="auto" w:fill="auto"/>
            <w:vAlign w:val="center"/>
            <w:hideMark/>
          </w:tcPr>
          <w:p w14:paraId="43E45CBD" w14:textId="77777777" w:rsidR="00761800" w:rsidRPr="00761800" w:rsidRDefault="00761800" w:rsidP="00761800">
            <w:pPr>
              <w:ind w:firstLineChars="200" w:firstLine="360"/>
              <w:rPr>
                <w:rFonts w:ascii="Times New Roman" w:hAnsi="Times New Roman"/>
                <w:color w:val="000000"/>
                <w:sz w:val="18"/>
                <w:szCs w:val="18"/>
                <w:lang w:eastAsia="bg-BG"/>
              </w:rPr>
            </w:pPr>
            <w:r w:rsidRPr="00761800">
              <w:rPr>
                <w:rFonts w:ascii="Times New Roman" w:hAnsi="Times New Roman"/>
                <w:color w:val="000000"/>
                <w:sz w:val="18"/>
                <w:szCs w:val="18"/>
                <w:lang w:eastAsia="bg-BG"/>
              </w:rPr>
              <w:t>Лихви</w:t>
            </w:r>
          </w:p>
        </w:tc>
        <w:tc>
          <w:tcPr>
            <w:tcW w:w="1020" w:type="dxa"/>
            <w:tcBorders>
              <w:top w:val="nil"/>
              <w:left w:val="nil"/>
              <w:bottom w:val="nil"/>
              <w:right w:val="nil"/>
            </w:tcBorders>
            <w:shd w:val="clear" w:color="auto" w:fill="auto"/>
            <w:noWrap/>
            <w:vAlign w:val="center"/>
            <w:hideMark/>
          </w:tcPr>
          <w:p w14:paraId="2AC69102"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515,9</w:t>
            </w:r>
          </w:p>
        </w:tc>
        <w:tc>
          <w:tcPr>
            <w:tcW w:w="1020" w:type="dxa"/>
            <w:tcBorders>
              <w:top w:val="nil"/>
              <w:left w:val="nil"/>
              <w:bottom w:val="nil"/>
              <w:right w:val="nil"/>
            </w:tcBorders>
            <w:shd w:val="clear" w:color="auto" w:fill="auto"/>
            <w:noWrap/>
            <w:vAlign w:val="center"/>
            <w:hideMark/>
          </w:tcPr>
          <w:p w14:paraId="1EB5C51B"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737,1</w:t>
            </w:r>
          </w:p>
        </w:tc>
        <w:tc>
          <w:tcPr>
            <w:tcW w:w="1000" w:type="dxa"/>
            <w:tcBorders>
              <w:top w:val="nil"/>
              <w:left w:val="nil"/>
              <w:bottom w:val="nil"/>
              <w:right w:val="nil"/>
            </w:tcBorders>
            <w:shd w:val="clear" w:color="auto" w:fill="auto"/>
            <w:noWrap/>
            <w:vAlign w:val="center"/>
            <w:hideMark/>
          </w:tcPr>
          <w:p w14:paraId="3E576C4F"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1 059,2</w:t>
            </w:r>
          </w:p>
        </w:tc>
        <w:tc>
          <w:tcPr>
            <w:tcW w:w="994" w:type="dxa"/>
            <w:tcBorders>
              <w:top w:val="nil"/>
              <w:left w:val="nil"/>
              <w:bottom w:val="nil"/>
              <w:right w:val="nil"/>
            </w:tcBorders>
            <w:shd w:val="clear" w:color="auto" w:fill="auto"/>
            <w:noWrap/>
            <w:vAlign w:val="center"/>
            <w:hideMark/>
          </w:tcPr>
          <w:p w14:paraId="3AE2E1D3"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1 429,2</w:t>
            </w:r>
          </w:p>
        </w:tc>
        <w:tc>
          <w:tcPr>
            <w:tcW w:w="1000" w:type="dxa"/>
            <w:tcBorders>
              <w:top w:val="nil"/>
              <w:left w:val="nil"/>
              <w:bottom w:val="nil"/>
              <w:right w:val="nil"/>
            </w:tcBorders>
            <w:shd w:val="clear" w:color="auto" w:fill="auto"/>
            <w:noWrap/>
            <w:vAlign w:val="center"/>
            <w:hideMark/>
          </w:tcPr>
          <w:p w14:paraId="2CFE2E4D"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1 785,1</w:t>
            </w:r>
          </w:p>
        </w:tc>
      </w:tr>
      <w:tr w:rsidR="00761800" w:rsidRPr="00761800" w14:paraId="6F048C13" w14:textId="77777777" w:rsidTr="00406B4D">
        <w:trPr>
          <w:trHeight w:val="240"/>
        </w:trPr>
        <w:tc>
          <w:tcPr>
            <w:tcW w:w="4536" w:type="dxa"/>
            <w:tcBorders>
              <w:top w:val="nil"/>
              <w:left w:val="nil"/>
              <w:bottom w:val="nil"/>
              <w:right w:val="nil"/>
            </w:tcBorders>
            <w:shd w:val="clear" w:color="auto" w:fill="auto"/>
            <w:vAlign w:val="center"/>
            <w:hideMark/>
          </w:tcPr>
          <w:p w14:paraId="5B84DD4C" w14:textId="77777777" w:rsidR="00761800" w:rsidRPr="00761800" w:rsidRDefault="00761800" w:rsidP="00761800">
            <w:pPr>
              <w:ind w:firstLineChars="100" w:firstLine="180"/>
              <w:rPr>
                <w:rFonts w:ascii="Times New Roman" w:hAnsi="Times New Roman"/>
                <w:color w:val="000000"/>
                <w:sz w:val="18"/>
                <w:szCs w:val="18"/>
                <w:lang w:eastAsia="bg-BG"/>
              </w:rPr>
            </w:pPr>
            <w:r w:rsidRPr="00761800">
              <w:rPr>
                <w:rFonts w:ascii="Times New Roman" w:hAnsi="Times New Roman"/>
                <w:color w:val="000000"/>
                <w:sz w:val="18"/>
                <w:szCs w:val="18"/>
                <w:lang w:eastAsia="bg-BG"/>
              </w:rPr>
              <w:t>Вноска в общия бюджет на ЕС</w:t>
            </w:r>
          </w:p>
        </w:tc>
        <w:tc>
          <w:tcPr>
            <w:tcW w:w="1020" w:type="dxa"/>
            <w:tcBorders>
              <w:top w:val="nil"/>
              <w:left w:val="nil"/>
              <w:bottom w:val="nil"/>
              <w:right w:val="nil"/>
            </w:tcBorders>
            <w:shd w:val="clear" w:color="auto" w:fill="auto"/>
            <w:noWrap/>
            <w:vAlign w:val="center"/>
            <w:hideMark/>
          </w:tcPr>
          <w:p w14:paraId="132AA399"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814,1</w:t>
            </w:r>
          </w:p>
        </w:tc>
        <w:tc>
          <w:tcPr>
            <w:tcW w:w="1020" w:type="dxa"/>
            <w:tcBorders>
              <w:top w:val="nil"/>
              <w:left w:val="nil"/>
              <w:bottom w:val="nil"/>
              <w:right w:val="nil"/>
            </w:tcBorders>
            <w:shd w:val="clear" w:color="auto" w:fill="auto"/>
            <w:noWrap/>
            <w:vAlign w:val="center"/>
            <w:hideMark/>
          </w:tcPr>
          <w:p w14:paraId="65D2E924"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1 041,0</w:t>
            </w:r>
          </w:p>
        </w:tc>
        <w:tc>
          <w:tcPr>
            <w:tcW w:w="1000" w:type="dxa"/>
            <w:tcBorders>
              <w:top w:val="nil"/>
              <w:left w:val="nil"/>
              <w:bottom w:val="nil"/>
              <w:right w:val="nil"/>
            </w:tcBorders>
            <w:shd w:val="clear" w:color="auto" w:fill="auto"/>
            <w:noWrap/>
            <w:vAlign w:val="center"/>
            <w:hideMark/>
          </w:tcPr>
          <w:p w14:paraId="6746EBA2"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1 282,2</w:t>
            </w:r>
          </w:p>
        </w:tc>
        <w:tc>
          <w:tcPr>
            <w:tcW w:w="994" w:type="dxa"/>
            <w:tcBorders>
              <w:top w:val="nil"/>
              <w:left w:val="nil"/>
              <w:bottom w:val="nil"/>
              <w:right w:val="nil"/>
            </w:tcBorders>
            <w:shd w:val="clear" w:color="auto" w:fill="auto"/>
            <w:noWrap/>
            <w:vAlign w:val="center"/>
            <w:hideMark/>
          </w:tcPr>
          <w:p w14:paraId="26CA92B9"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1 386,5</w:t>
            </w:r>
          </w:p>
        </w:tc>
        <w:tc>
          <w:tcPr>
            <w:tcW w:w="1000" w:type="dxa"/>
            <w:tcBorders>
              <w:top w:val="nil"/>
              <w:left w:val="nil"/>
              <w:bottom w:val="nil"/>
              <w:right w:val="nil"/>
            </w:tcBorders>
            <w:shd w:val="clear" w:color="auto" w:fill="auto"/>
            <w:noWrap/>
            <w:vAlign w:val="center"/>
            <w:hideMark/>
          </w:tcPr>
          <w:p w14:paraId="446B9A20" w14:textId="77777777" w:rsidR="00761800" w:rsidRPr="00761800" w:rsidRDefault="00761800" w:rsidP="00761800">
            <w:pPr>
              <w:jc w:val="right"/>
              <w:rPr>
                <w:rFonts w:ascii="Times New Roman" w:hAnsi="Times New Roman"/>
                <w:color w:val="000000"/>
                <w:sz w:val="18"/>
                <w:szCs w:val="18"/>
                <w:lang w:eastAsia="bg-BG"/>
              </w:rPr>
            </w:pPr>
            <w:r w:rsidRPr="00761800">
              <w:rPr>
                <w:rFonts w:ascii="Times New Roman" w:hAnsi="Times New Roman"/>
                <w:color w:val="000000"/>
                <w:sz w:val="18"/>
                <w:szCs w:val="18"/>
                <w:lang w:eastAsia="bg-BG"/>
              </w:rPr>
              <w:t>1 789,4</w:t>
            </w:r>
          </w:p>
        </w:tc>
      </w:tr>
      <w:tr w:rsidR="00761800" w:rsidRPr="00761800" w14:paraId="2A0C2CAC" w14:textId="77777777" w:rsidTr="00406B4D">
        <w:trPr>
          <w:trHeight w:val="240"/>
        </w:trPr>
        <w:tc>
          <w:tcPr>
            <w:tcW w:w="4536" w:type="dxa"/>
            <w:tcBorders>
              <w:top w:val="nil"/>
              <w:left w:val="nil"/>
              <w:bottom w:val="nil"/>
              <w:right w:val="nil"/>
            </w:tcBorders>
            <w:shd w:val="clear" w:color="auto" w:fill="auto"/>
            <w:vAlign w:val="center"/>
            <w:hideMark/>
          </w:tcPr>
          <w:p w14:paraId="1C7E9590" w14:textId="77777777" w:rsidR="00761800" w:rsidRPr="00761800" w:rsidRDefault="00761800" w:rsidP="00761800">
            <w:pPr>
              <w:jc w:val="right"/>
              <w:rPr>
                <w:rFonts w:ascii="Times New Roman" w:hAnsi="Times New Roman"/>
                <w:color w:val="000000"/>
                <w:sz w:val="18"/>
                <w:szCs w:val="18"/>
                <w:lang w:eastAsia="bg-BG"/>
              </w:rPr>
            </w:pPr>
          </w:p>
        </w:tc>
        <w:tc>
          <w:tcPr>
            <w:tcW w:w="1020" w:type="dxa"/>
            <w:tcBorders>
              <w:top w:val="nil"/>
              <w:left w:val="nil"/>
              <w:bottom w:val="nil"/>
              <w:right w:val="nil"/>
            </w:tcBorders>
            <w:shd w:val="clear" w:color="auto" w:fill="auto"/>
            <w:noWrap/>
            <w:vAlign w:val="center"/>
            <w:hideMark/>
          </w:tcPr>
          <w:p w14:paraId="3F3C7514" w14:textId="77777777" w:rsidR="00761800" w:rsidRPr="00761800" w:rsidRDefault="00761800" w:rsidP="00761800">
            <w:pPr>
              <w:ind w:firstLineChars="100" w:firstLine="200"/>
              <w:rPr>
                <w:rFonts w:ascii="Times New Roman" w:hAnsi="Times New Roman"/>
                <w:sz w:val="20"/>
                <w:lang w:eastAsia="bg-BG"/>
              </w:rPr>
            </w:pPr>
          </w:p>
        </w:tc>
        <w:tc>
          <w:tcPr>
            <w:tcW w:w="1020" w:type="dxa"/>
            <w:tcBorders>
              <w:top w:val="nil"/>
              <w:left w:val="nil"/>
              <w:bottom w:val="nil"/>
              <w:right w:val="nil"/>
            </w:tcBorders>
            <w:shd w:val="clear" w:color="auto" w:fill="auto"/>
            <w:noWrap/>
            <w:vAlign w:val="center"/>
            <w:hideMark/>
          </w:tcPr>
          <w:p w14:paraId="0D6449D9"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5B71CB8B" w14:textId="77777777" w:rsidR="00761800" w:rsidRPr="00761800" w:rsidRDefault="00761800" w:rsidP="00761800">
            <w:pPr>
              <w:jc w:val="right"/>
              <w:rPr>
                <w:rFonts w:ascii="Times New Roman" w:hAnsi="Times New Roman"/>
                <w:sz w:val="20"/>
                <w:lang w:eastAsia="bg-BG"/>
              </w:rPr>
            </w:pPr>
          </w:p>
        </w:tc>
        <w:tc>
          <w:tcPr>
            <w:tcW w:w="994" w:type="dxa"/>
            <w:tcBorders>
              <w:top w:val="nil"/>
              <w:left w:val="nil"/>
              <w:bottom w:val="nil"/>
              <w:right w:val="nil"/>
            </w:tcBorders>
            <w:shd w:val="clear" w:color="auto" w:fill="auto"/>
            <w:noWrap/>
            <w:vAlign w:val="center"/>
            <w:hideMark/>
          </w:tcPr>
          <w:p w14:paraId="379A78CD"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3C191A21" w14:textId="77777777" w:rsidR="00761800" w:rsidRPr="00761800" w:rsidRDefault="00761800" w:rsidP="00761800">
            <w:pPr>
              <w:jc w:val="right"/>
              <w:rPr>
                <w:rFonts w:ascii="Times New Roman" w:hAnsi="Times New Roman"/>
                <w:sz w:val="20"/>
                <w:lang w:eastAsia="bg-BG"/>
              </w:rPr>
            </w:pPr>
          </w:p>
        </w:tc>
      </w:tr>
      <w:tr w:rsidR="00761800" w:rsidRPr="00761800" w14:paraId="0B70F8D8" w14:textId="77777777" w:rsidTr="00406B4D">
        <w:trPr>
          <w:trHeight w:val="525"/>
        </w:trPr>
        <w:tc>
          <w:tcPr>
            <w:tcW w:w="4536" w:type="dxa"/>
            <w:tcBorders>
              <w:top w:val="nil"/>
              <w:left w:val="nil"/>
              <w:bottom w:val="nil"/>
              <w:right w:val="nil"/>
            </w:tcBorders>
            <w:shd w:val="clear" w:color="auto" w:fill="auto"/>
            <w:vAlign w:val="center"/>
            <w:hideMark/>
          </w:tcPr>
          <w:p w14:paraId="301A7D4E"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ТРАНСФЕР ЗА СМЕТКИ ЗА СРЕДСТВА ОТ ЕС (НЕТО)</w:t>
            </w:r>
          </w:p>
        </w:tc>
        <w:tc>
          <w:tcPr>
            <w:tcW w:w="1020" w:type="dxa"/>
            <w:tcBorders>
              <w:top w:val="nil"/>
              <w:left w:val="nil"/>
              <w:bottom w:val="nil"/>
              <w:right w:val="nil"/>
            </w:tcBorders>
            <w:shd w:val="clear" w:color="auto" w:fill="auto"/>
            <w:noWrap/>
            <w:vAlign w:val="center"/>
            <w:hideMark/>
          </w:tcPr>
          <w:p w14:paraId="0345E35E"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-438,1</w:t>
            </w:r>
          </w:p>
        </w:tc>
        <w:tc>
          <w:tcPr>
            <w:tcW w:w="1020" w:type="dxa"/>
            <w:tcBorders>
              <w:top w:val="nil"/>
              <w:left w:val="nil"/>
              <w:bottom w:val="nil"/>
              <w:right w:val="nil"/>
            </w:tcBorders>
            <w:shd w:val="clear" w:color="auto" w:fill="auto"/>
            <w:noWrap/>
            <w:vAlign w:val="center"/>
            <w:hideMark/>
          </w:tcPr>
          <w:p w14:paraId="2B30524F"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4,2</w:t>
            </w:r>
          </w:p>
        </w:tc>
        <w:tc>
          <w:tcPr>
            <w:tcW w:w="1000" w:type="dxa"/>
            <w:tcBorders>
              <w:top w:val="nil"/>
              <w:left w:val="nil"/>
              <w:bottom w:val="nil"/>
              <w:right w:val="nil"/>
            </w:tcBorders>
            <w:shd w:val="clear" w:color="auto" w:fill="auto"/>
            <w:noWrap/>
            <w:vAlign w:val="center"/>
            <w:hideMark/>
          </w:tcPr>
          <w:p w14:paraId="77D26D46"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-2 134,1</w:t>
            </w:r>
          </w:p>
        </w:tc>
        <w:tc>
          <w:tcPr>
            <w:tcW w:w="994" w:type="dxa"/>
            <w:tcBorders>
              <w:top w:val="nil"/>
              <w:left w:val="nil"/>
              <w:bottom w:val="nil"/>
              <w:right w:val="nil"/>
            </w:tcBorders>
            <w:shd w:val="clear" w:color="auto" w:fill="auto"/>
            <w:noWrap/>
            <w:vAlign w:val="center"/>
            <w:hideMark/>
          </w:tcPr>
          <w:p w14:paraId="5EB71FB2"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-1 366,5</w:t>
            </w:r>
          </w:p>
        </w:tc>
        <w:tc>
          <w:tcPr>
            <w:tcW w:w="1000" w:type="dxa"/>
            <w:tcBorders>
              <w:top w:val="nil"/>
              <w:left w:val="nil"/>
              <w:bottom w:val="nil"/>
              <w:right w:val="nil"/>
            </w:tcBorders>
            <w:shd w:val="clear" w:color="auto" w:fill="auto"/>
            <w:noWrap/>
            <w:vAlign w:val="center"/>
            <w:hideMark/>
          </w:tcPr>
          <w:p w14:paraId="3247E6E0"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-1 331,0</w:t>
            </w:r>
          </w:p>
        </w:tc>
      </w:tr>
      <w:tr w:rsidR="00761800" w:rsidRPr="00761800" w14:paraId="1A4E374E" w14:textId="77777777" w:rsidTr="00406B4D">
        <w:trPr>
          <w:trHeight w:val="225"/>
        </w:trPr>
        <w:tc>
          <w:tcPr>
            <w:tcW w:w="4536" w:type="dxa"/>
            <w:tcBorders>
              <w:top w:val="nil"/>
              <w:left w:val="nil"/>
              <w:bottom w:val="nil"/>
              <w:right w:val="nil"/>
            </w:tcBorders>
            <w:shd w:val="clear" w:color="auto" w:fill="auto"/>
            <w:vAlign w:val="center"/>
            <w:hideMark/>
          </w:tcPr>
          <w:p w14:paraId="0807254D"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nil"/>
              <w:right w:val="nil"/>
            </w:tcBorders>
            <w:shd w:val="clear" w:color="auto" w:fill="auto"/>
            <w:noWrap/>
            <w:vAlign w:val="center"/>
            <w:hideMark/>
          </w:tcPr>
          <w:p w14:paraId="152EC29B"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-0,5%</w:t>
            </w:r>
          </w:p>
        </w:tc>
        <w:tc>
          <w:tcPr>
            <w:tcW w:w="1020" w:type="dxa"/>
            <w:tcBorders>
              <w:top w:val="nil"/>
              <w:left w:val="nil"/>
              <w:bottom w:val="nil"/>
              <w:right w:val="nil"/>
            </w:tcBorders>
            <w:shd w:val="clear" w:color="auto" w:fill="auto"/>
            <w:noWrap/>
            <w:vAlign w:val="center"/>
            <w:hideMark/>
          </w:tcPr>
          <w:p w14:paraId="3DEC80A9"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0,0%</w:t>
            </w:r>
          </w:p>
        </w:tc>
        <w:tc>
          <w:tcPr>
            <w:tcW w:w="1000" w:type="dxa"/>
            <w:tcBorders>
              <w:top w:val="nil"/>
              <w:left w:val="nil"/>
              <w:bottom w:val="nil"/>
              <w:right w:val="nil"/>
            </w:tcBorders>
            <w:shd w:val="clear" w:color="auto" w:fill="auto"/>
            <w:noWrap/>
            <w:vAlign w:val="center"/>
            <w:hideMark/>
          </w:tcPr>
          <w:p w14:paraId="3510B0C2"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-1,7%</w:t>
            </w:r>
          </w:p>
        </w:tc>
        <w:tc>
          <w:tcPr>
            <w:tcW w:w="994" w:type="dxa"/>
            <w:tcBorders>
              <w:top w:val="nil"/>
              <w:left w:val="nil"/>
              <w:bottom w:val="nil"/>
              <w:right w:val="nil"/>
            </w:tcBorders>
            <w:shd w:val="clear" w:color="auto" w:fill="auto"/>
            <w:noWrap/>
            <w:vAlign w:val="center"/>
            <w:hideMark/>
          </w:tcPr>
          <w:p w14:paraId="5C59C264"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-1,0%</w:t>
            </w:r>
          </w:p>
        </w:tc>
        <w:tc>
          <w:tcPr>
            <w:tcW w:w="1000" w:type="dxa"/>
            <w:tcBorders>
              <w:top w:val="nil"/>
              <w:left w:val="nil"/>
              <w:bottom w:val="nil"/>
              <w:right w:val="nil"/>
            </w:tcBorders>
            <w:shd w:val="clear" w:color="auto" w:fill="auto"/>
            <w:noWrap/>
            <w:vAlign w:val="center"/>
            <w:hideMark/>
          </w:tcPr>
          <w:p w14:paraId="7A834DD7"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-0,9%</w:t>
            </w:r>
          </w:p>
        </w:tc>
      </w:tr>
      <w:tr w:rsidR="00761800" w:rsidRPr="00761800" w14:paraId="207D6053" w14:textId="77777777" w:rsidTr="00406B4D">
        <w:trPr>
          <w:trHeight w:val="195"/>
        </w:trPr>
        <w:tc>
          <w:tcPr>
            <w:tcW w:w="4536" w:type="dxa"/>
            <w:tcBorders>
              <w:top w:val="nil"/>
              <w:left w:val="nil"/>
              <w:bottom w:val="nil"/>
              <w:right w:val="nil"/>
            </w:tcBorders>
            <w:shd w:val="clear" w:color="auto" w:fill="auto"/>
            <w:vAlign w:val="center"/>
            <w:hideMark/>
          </w:tcPr>
          <w:p w14:paraId="45AC6B1A" w14:textId="77777777" w:rsidR="00761800" w:rsidRPr="00761800" w:rsidRDefault="00761800" w:rsidP="00761800">
            <w:pPr>
              <w:jc w:val="right"/>
              <w:rPr>
                <w:rFonts w:ascii="Times New Roman" w:hAnsi="Times New Roman"/>
                <w:i/>
                <w:iCs/>
                <w:color w:val="000000"/>
                <w:sz w:val="18"/>
                <w:szCs w:val="18"/>
                <w:lang w:eastAsia="bg-BG"/>
              </w:rPr>
            </w:pPr>
          </w:p>
        </w:tc>
        <w:tc>
          <w:tcPr>
            <w:tcW w:w="1020" w:type="dxa"/>
            <w:tcBorders>
              <w:top w:val="nil"/>
              <w:left w:val="nil"/>
              <w:bottom w:val="nil"/>
              <w:right w:val="nil"/>
            </w:tcBorders>
            <w:shd w:val="clear" w:color="auto" w:fill="auto"/>
            <w:noWrap/>
            <w:vAlign w:val="center"/>
            <w:hideMark/>
          </w:tcPr>
          <w:p w14:paraId="02958E07" w14:textId="77777777" w:rsidR="00761800" w:rsidRPr="00761800" w:rsidRDefault="00761800" w:rsidP="00761800">
            <w:pPr>
              <w:rPr>
                <w:rFonts w:ascii="Times New Roman" w:hAnsi="Times New Roman"/>
                <w:sz w:val="20"/>
                <w:lang w:eastAsia="bg-BG"/>
              </w:rPr>
            </w:pPr>
          </w:p>
        </w:tc>
        <w:tc>
          <w:tcPr>
            <w:tcW w:w="1020" w:type="dxa"/>
            <w:tcBorders>
              <w:top w:val="nil"/>
              <w:left w:val="nil"/>
              <w:bottom w:val="nil"/>
              <w:right w:val="nil"/>
            </w:tcBorders>
            <w:shd w:val="clear" w:color="auto" w:fill="auto"/>
            <w:noWrap/>
            <w:vAlign w:val="center"/>
            <w:hideMark/>
          </w:tcPr>
          <w:p w14:paraId="3E766441"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5EF0F6EB" w14:textId="77777777" w:rsidR="00761800" w:rsidRPr="00761800" w:rsidRDefault="00761800" w:rsidP="00761800">
            <w:pPr>
              <w:jc w:val="right"/>
              <w:rPr>
                <w:rFonts w:ascii="Times New Roman" w:hAnsi="Times New Roman"/>
                <w:sz w:val="20"/>
                <w:lang w:eastAsia="bg-BG"/>
              </w:rPr>
            </w:pPr>
          </w:p>
        </w:tc>
        <w:tc>
          <w:tcPr>
            <w:tcW w:w="994" w:type="dxa"/>
            <w:tcBorders>
              <w:top w:val="nil"/>
              <w:left w:val="nil"/>
              <w:bottom w:val="nil"/>
              <w:right w:val="nil"/>
            </w:tcBorders>
            <w:shd w:val="clear" w:color="auto" w:fill="auto"/>
            <w:noWrap/>
            <w:vAlign w:val="center"/>
            <w:hideMark/>
          </w:tcPr>
          <w:p w14:paraId="5D3D7607"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19E5D086" w14:textId="77777777" w:rsidR="00761800" w:rsidRPr="00761800" w:rsidRDefault="00761800" w:rsidP="00761800">
            <w:pPr>
              <w:jc w:val="right"/>
              <w:rPr>
                <w:rFonts w:ascii="Times New Roman" w:hAnsi="Times New Roman"/>
                <w:sz w:val="20"/>
                <w:lang w:eastAsia="bg-BG"/>
              </w:rPr>
            </w:pPr>
          </w:p>
        </w:tc>
      </w:tr>
      <w:tr w:rsidR="00761800" w:rsidRPr="00761800" w14:paraId="2419614F" w14:textId="77777777" w:rsidTr="00406B4D">
        <w:trPr>
          <w:trHeight w:val="240"/>
        </w:trPr>
        <w:tc>
          <w:tcPr>
            <w:tcW w:w="4536" w:type="dxa"/>
            <w:tcBorders>
              <w:top w:val="nil"/>
              <w:left w:val="nil"/>
              <w:bottom w:val="nil"/>
              <w:right w:val="nil"/>
            </w:tcBorders>
            <w:shd w:val="clear" w:color="auto" w:fill="auto"/>
            <w:vAlign w:val="center"/>
            <w:hideMark/>
          </w:tcPr>
          <w:p w14:paraId="04E51A1C"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БЮДЖЕТНО САЛДО (+/-)</w:t>
            </w:r>
          </w:p>
        </w:tc>
        <w:tc>
          <w:tcPr>
            <w:tcW w:w="1020" w:type="dxa"/>
            <w:tcBorders>
              <w:top w:val="nil"/>
              <w:left w:val="nil"/>
              <w:bottom w:val="nil"/>
              <w:right w:val="nil"/>
            </w:tcBorders>
            <w:shd w:val="clear" w:color="auto" w:fill="auto"/>
            <w:noWrap/>
            <w:vAlign w:val="center"/>
            <w:hideMark/>
          </w:tcPr>
          <w:p w14:paraId="6427625C"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-3 376,1</w:t>
            </w:r>
          </w:p>
        </w:tc>
        <w:tc>
          <w:tcPr>
            <w:tcW w:w="1020" w:type="dxa"/>
            <w:tcBorders>
              <w:top w:val="nil"/>
              <w:left w:val="nil"/>
              <w:bottom w:val="nil"/>
              <w:right w:val="nil"/>
            </w:tcBorders>
            <w:shd w:val="clear" w:color="auto" w:fill="auto"/>
            <w:noWrap/>
            <w:vAlign w:val="center"/>
            <w:hideMark/>
          </w:tcPr>
          <w:p w14:paraId="55F55A7B"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-2 738,2</w:t>
            </w:r>
          </w:p>
        </w:tc>
        <w:tc>
          <w:tcPr>
            <w:tcW w:w="1000" w:type="dxa"/>
            <w:tcBorders>
              <w:top w:val="nil"/>
              <w:left w:val="nil"/>
              <w:bottom w:val="nil"/>
              <w:right w:val="nil"/>
            </w:tcBorders>
            <w:shd w:val="clear" w:color="auto" w:fill="auto"/>
            <w:noWrap/>
            <w:vAlign w:val="center"/>
            <w:hideMark/>
          </w:tcPr>
          <w:p w14:paraId="409D1293"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-7 080,4</w:t>
            </w:r>
          </w:p>
        </w:tc>
        <w:tc>
          <w:tcPr>
            <w:tcW w:w="994" w:type="dxa"/>
            <w:tcBorders>
              <w:top w:val="nil"/>
              <w:left w:val="nil"/>
              <w:bottom w:val="nil"/>
              <w:right w:val="nil"/>
            </w:tcBorders>
            <w:shd w:val="clear" w:color="auto" w:fill="auto"/>
            <w:noWrap/>
            <w:vAlign w:val="center"/>
            <w:hideMark/>
          </w:tcPr>
          <w:p w14:paraId="64DE6ED6"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-4 582,4</w:t>
            </w:r>
          </w:p>
        </w:tc>
        <w:tc>
          <w:tcPr>
            <w:tcW w:w="1000" w:type="dxa"/>
            <w:tcBorders>
              <w:top w:val="nil"/>
              <w:left w:val="nil"/>
              <w:bottom w:val="nil"/>
              <w:right w:val="nil"/>
            </w:tcBorders>
            <w:shd w:val="clear" w:color="auto" w:fill="auto"/>
            <w:noWrap/>
            <w:vAlign w:val="center"/>
            <w:hideMark/>
          </w:tcPr>
          <w:p w14:paraId="444EF4FD"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-3 818,1</w:t>
            </w:r>
          </w:p>
        </w:tc>
      </w:tr>
      <w:tr w:rsidR="00761800" w:rsidRPr="00761800" w14:paraId="16699003" w14:textId="77777777" w:rsidTr="00406B4D">
        <w:trPr>
          <w:trHeight w:val="240"/>
        </w:trPr>
        <w:tc>
          <w:tcPr>
            <w:tcW w:w="4536" w:type="dxa"/>
            <w:tcBorders>
              <w:top w:val="nil"/>
              <w:left w:val="nil"/>
              <w:bottom w:val="nil"/>
              <w:right w:val="nil"/>
            </w:tcBorders>
            <w:shd w:val="clear" w:color="auto" w:fill="auto"/>
            <w:vAlign w:val="center"/>
            <w:hideMark/>
          </w:tcPr>
          <w:p w14:paraId="7CB6CD8A"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nil"/>
              <w:right w:val="nil"/>
            </w:tcBorders>
            <w:shd w:val="clear" w:color="auto" w:fill="auto"/>
            <w:noWrap/>
            <w:vAlign w:val="center"/>
            <w:hideMark/>
          </w:tcPr>
          <w:p w14:paraId="0BF83008"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-3,6%</w:t>
            </w:r>
          </w:p>
        </w:tc>
        <w:tc>
          <w:tcPr>
            <w:tcW w:w="1020" w:type="dxa"/>
            <w:tcBorders>
              <w:top w:val="nil"/>
              <w:left w:val="nil"/>
              <w:bottom w:val="nil"/>
              <w:right w:val="nil"/>
            </w:tcBorders>
            <w:shd w:val="clear" w:color="auto" w:fill="auto"/>
            <w:noWrap/>
            <w:vAlign w:val="center"/>
            <w:hideMark/>
          </w:tcPr>
          <w:p w14:paraId="4B5750FD"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-2,4%</w:t>
            </w:r>
          </w:p>
        </w:tc>
        <w:tc>
          <w:tcPr>
            <w:tcW w:w="1000" w:type="dxa"/>
            <w:tcBorders>
              <w:top w:val="nil"/>
              <w:left w:val="nil"/>
              <w:bottom w:val="nil"/>
              <w:right w:val="nil"/>
            </w:tcBorders>
            <w:shd w:val="clear" w:color="auto" w:fill="auto"/>
            <w:noWrap/>
            <w:vAlign w:val="center"/>
            <w:hideMark/>
          </w:tcPr>
          <w:p w14:paraId="6FCAC895"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-5,7%</w:t>
            </w:r>
          </w:p>
        </w:tc>
        <w:tc>
          <w:tcPr>
            <w:tcW w:w="994" w:type="dxa"/>
            <w:tcBorders>
              <w:top w:val="nil"/>
              <w:left w:val="nil"/>
              <w:bottom w:val="nil"/>
              <w:right w:val="nil"/>
            </w:tcBorders>
            <w:shd w:val="clear" w:color="auto" w:fill="auto"/>
            <w:noWrap/>
            <w:vAlign w:val="center"/>
            <w:hideMark/>
          </w:tcPr>
          <w:p w14:paraId="517DF1B1"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-3,4%</w:t>
            </w:r>
          </w:p>
        </w:tc>
        <w:tc>
          <w:tcPr>
            <w:tcW w:w="1000" w:type="dxa"/>
            <w:tcBorders>
              <w:top w:val="nil"/>
              <w:left w:val="nil"/>
              <w:bottom w:val="nil"/>
              <w:right w:val="nil"/>
            </w:tcBorders>
            <w:shd w:val="clear" w:color="auto" w:fill="auto"/>
            <w:noWrap/>
            <w:vAlign w:val="center"/>
            <w:hideMark/>
          </w:tcPr>
          <w:p w14:paraId="67ADECFD"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-2,7%</w:t>
            </w:r>
          </w:p>
        </w:tc>
      </w:tr>
      <w:tr w:rsidR="00761800" w:rsidRPr="00761800" w14:paraId="0C8F2B36" w14:textId="77777777" w:rsidTr="00406B4D">
        <w:trPr>
          <w:trHeight w:val="195"/>
        </w:trPr>
        <w:tc>
          <w:tcPr>
            <w:tcW w:w="4536" w:type="dxa"/>
            <w:tcBorders>
              <w:top w:val="nil"/>
              <w:left w:val="nil"/>
              <w:bottom w:val="nil"/>
              <w:right w:val="nil"/>
            </w:tcBorders>
            <w:shd w:val="clear" w:color="auto" w:fill="auto"/>
            <w:vAlign w:val="center"/>
            <w:hideMark/>
          </w:tcPr>
          <w:p w14:paraId="6AC67E5B" w14:textId="77777777" w:rsidR="00761800" w:rsidRPr="00761800" w:rsidRDefault="00761800" w:rsidP="00761800">
            <w:pPr>
              <w:jc w:val="right"/>
              <w:rPr>
                <w:rFonts w:ascii="Times New Roman" w:hAnsi="Times New Roman"/>
                <w:i/>
                <w:iCs/>
                <w:color w:val="000000"/>
                <w:sz w:val="18"/>
                <w:szCs w:val="18"/>
                <w:lang w:eastAsia="bg-BG"/>
              </w:rPr>
            </w:pPr>
          </w:p>
        </w:tc>
        <w:tc>
          <w:tcPr>
            <w:tcW w:w="1020" w:type="dxa"/>
            <w:tcBorders>
              <w:top w:val="nil"/>
              <w:left w:val="nil"/>
              <w:bottom w:val="nil"/>
              <w:right w:val="nil"/>
            </w:tcBorders>
            <w:shd w:val="clear" w:color="auto" w:fill="auto"/>
            <w:noWrap/>
            <w:vAlign w:val="center"/>
            <w:hideMark/>
          </w:tcPr>
          <w:p w14:paraId="5BEA5CE5" w14:textId="77777777" w:rsidR="00761800" w:rsidRPr="00761800" w:rsidRDefault="00761800" w:rsidP="00761800">
            <w:pPr>
              <w:rPr>
                <w:rFonts w:ascii="Times New Roman" w:hAnsi="Times New Roman"/>
                <w:sz w:val="20"/>
                <w:lang w:eastAsia="bg-BG"/>
              </w:rPr>
            </w:pPr>
          </w:p>
        </w:tc>
        <w:tc>
          <w:tcPr>
            <w:tcW w:w="1020" w:type="dxa"/>
            <w:tcBorders>
              <w:top w:val="nil"/>
              <w:left w:val="nil"/>
              <w:bottom w:val="nil"/>
              <w:right w:val="nil"/>
            </w:tcBorders>
            <w:shd w:val="clear" w:color="auto" w:fill="auto"/>
            <w:noWrap/>
            <w:vAlign w:val="center"/>
            <w:hideMark/>
          </w:tcPr>
          <w:p w14:paraId="48FAB680"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55382943" w14:textId="77777777" w:rsidR="00761800" w:rsidRPr="00761800" w:rsidRDefault="00761800" w:rsidP="00761800">
            <w:pPr>
              <w:jc w:val="right"/>
              <w:rPr>
                <w:rFonts w:ascii="Times New Roman" w:hAnsi="Times New Roman"/>
                <w:sz w:val="20"/>
                <w:lang w:eastAsia="bg-BG"/>
              </w:rPr>
            </w:pPr>
          </w:p>
        </w:tc>
        <w:tc>
          <w:tcPr>
            <w:tcW w:w="994" w:type="dxa"/>
            <w:tcBorders>
              <w:top w:val="nil"/>
              <w:left w:val="nil"/>
              <w:bottom w:val="nil"/>
              <w:right w:val="nil"/>
            </w:tcBorders>
            <w:shd w:val="clear" w:color="auto" w:fill="auto"/>
            <w:noWrap/>
            <w:vAlign w:val="center"/>
            <w:hideMark/>
          </w:tcPr>
          <w:p w14:paraId="6693C43B"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4DDC03EB" w14:textId="77777777" w:rsidR="00761800" w:rsidRPr="00761800" w:rsidRDefault="00761800" w:rsidP="00761800">
            <w:pPr>
              <w:jc w:val="right"/>
              <w:rPr>
                <w:rFonts w:ascii="Times New Roman" w:hAnsi="Times New Roman"/>
                <w:sz w:val="20"/>
                <w:lang w:eastAsia="bg-BG"/>
              </w:rPr>
            </w:pPr>
          </w:p>
        </w:tc>
      </w:tr>
      <w:tr w:rsidR="00761800" w:rsidRPr="00761800" w14:paraId="112B0022" w14:textId="77777777" w:rsidTr="00406B4D">
        <w:trPr>
          <w:trHeight w:val="345"/>
        </w:trPr>
        <w:tc>
          <w:tcPr>
            <w:tcW w:w="4536" w:type="dxa"/>
            <w:tcBorders>
              <w:top w:val="nil"/>
              <w:left w:val="nil"/>
              <w:bottom w:val="nil"/>
              <w:right w:val="nil"/>
            </w:tcBorders>
            <w:shd w:val="clear" w:color="auto" w:fill="auto"/>
            <w:vAlign w:val="center"/>
            <w:hideMark/>
          </w:tcPr>
          <w:p w14:paraId="6B796C1D"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ФИНАНСИРАНЕ (+/-)</w:t>
            </w:r>
          </w:p>
        </w:tc>
        <w:tc>
          <w:tcPr>
            <w:tcW w:w="1020" w:type="dxa"/>
            <w:tcBorders>
              <w:top w:val="nil"/>
              <w:left w:val="nil"/>
              <w:bottom w:val="nil"/>
              <w:right w:val="nil"/>
            </w:tcBorders>
            <w:shd w:val="clear" w:color="auto" w:fill="auto"/>
            <w:noWrap/>
            <w:vAlign w:val="center"/>
            <w:hideMark/>
          </w:tcPr>
          <w:p w14:paraId="2C3588E6"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3 376,1</w:t>
            </w:r>
          </w:p>
        </w:tc>
        <w:tc>
          <w:tcPr>
            <w:tcW w:w="1020" w:type="dxa"/>
            <w:tcBorders>
              <w:top w:val="nil"/>
              <w:left w:val="nil"/>
              <w:bottom w:val="nil"/>
              <w:right w:val="nil"/>
            </w:tcBorders>
            <w:shd w:val="clear" w:color="auto" w:fill="auto"/>
            <w:noWrap/>
            <w:vAlign w:val="center"/>
            <w:hideMark/>
          </w:tcPr>
          <w:p w14:paraId="1CD1BCD8"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2 738,2</w:t>
            </w:r>
          </w:p>
        </w:tc>
        <w:tc>
          <w:tcPr>
            <w:tcW w:w="1000" w:type="dxa"/>
            <w:tcBorders>
              <w:top w:val="nil"/>
              <w:left w:val="nil"/>
              <w:bottom w:val="nil"/>
              <w:right w:val="nil"/>
            </w:tcBorders>
            <w:shd w:val="clear" w:color="auto" w:fill="auto"/>
            <w:noWrap/>
            <w:vAlign w:val="center"/>
            <w:hideMark/>
          </w:tcPr>
          <w:p w14:paraId="3546636A"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7 080,4</w:t>
            </w:r>
          </w:p>
        </w:tc>
        <w:tc>
          <w:tcPr>
            <w:tcW w:w="994" w:type="dxa"/>
            <w:tcBorders>
              <w:top w:val="nil"/>
              <w:left w:val="nil"/>
              <w:bottom w:val="nil"/>
              <w:right w:val="nil"/>
            </w:tcBorders>
            <w:shd w:val="clear" w:color="auto" w:fill="auto"/>
            <w:noWrap/>
            <w:vAlign w:val="center"/>
            <w:hideMark/>
          </w:tcPr>
          <w:p w14:paraId="6860B525"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4 582,4</w:t>
            </w:r>
          </w:p>
        </w:tc>
        <w:tc>
          <w:tcPr>
            <w:tcW w:w="1000" w:type="dxa"/>
            <w:tcBorders>
              <w:top w:val="nil"/>
              <w:left w:val="nil"/>
              <w:bottom w:val="nil"/>
              <w:right w:val="nil"/>
            </w:tcBorders>
            <w:shd w:val="clear" w:color="auto" w:fill="auto"/>
            <w:noWrap/>
            <w:vAlign w:val="center"/>
            <w:hideMark/>
          </w:tcPr>
          <w:p w14:paraId="61122BE6"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3 818,1</w:t>
            </w:r>
          </w:p>
        </w:tc>
      </w:tr>
      <w:tr w:rsidR="00761800" w:rsidRPr="00761800" w14:paraId="7500EA8A" w14:textId="77777777" w:rsidTr="00406B4D">
        <w:trPr>
          <w:trHeight w:val="240"/>
        </w:trPr>
        <w:tc>
          <w:tcPr>
            <w:tcW w:w="4536" w:type="dxa"/>
            <w:tcBorders>
              <w:top w:val="nil"/>
              <w:left w:val="nil"/>
              <w:bottom w:val="single" w:sz="4" w:space="0" w:color="auto"/>
              <w:right w:val="nil"/>
            </w:tcBorders>
            <w:shd w:val="clear" w:color="auto" w:fill="auto"/>
            <w:vAlign w:val="center"/>
            <w:hideMark/>
          </w:tcPr>
          <w:p w14:paraId="39B0C935"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single" w:sz="4" w:space="0" w:color="auto"/>
              <w:right w:val="nil"/>
            </w:tcBorders>
            <w:shd w:val="clear" w:color="auto" w:fill="auto"/>
            <w:noWrap/>
            <w:vAlign w:val="center"/>
            <w:hideMark/>
          </w:tcPr>
          <w:p w14:paraId="4E23BA37"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3,6%</w:t>
            </w:r>
          </w:p>
        </w:tc>
        <w:tc>
          <w:tcPr>
            <w:tcW w:w="1020" w:type="dxa"/>
            <w:tcBorders>
              <w:top w:val="nil"/>
              <w:left w:val="nil"/>
              <w:bottom w:val="single" w:sz="4" w:space="0" w:color="auto"/>
              <w:right w:val="nil"/>
            </w:tcBorders>
            <w:shd w:val="clear" w:color="auto" w:fill="auto"/>
            <w:noWrap/>
            <w:vAlign w:val="center"/>
            <w:hideMark/>
          </w:tcPr>
          <w:p w14:paraId="4BABA027"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2,4%</w:t>
            </w:r>
          </w:p>
        </w:tc>
        <w:tc>
          <w:tcPr>
            <w:tcW w:w="1000" w:type="dxa"/>
            <w:tcBorders>
              <w:top w:val="nil"/>
              <w:left w:val="nil"/>
              <w:bottom w:val="single" w:sz="4" w:space="0" w:color="auto"/>
              <w:right w:val="nil"/>
            </w:tcBorders>
            <w:shd w:val="clear" w:color="auto" w:fill="auto"/>
            <w:noWrap/>
            <w:vAlign w:val="center"/>
            <w:hideMark/>
          </w:tcPr>
          <w:p w14:paraId="122BDFA6"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5,7%</w:t>
            </w:r>
          </w:p>
        </w:tc>
        <w:tc>
          <w:tcPr>
            <w:tcW w:w="994" w:type="dxa"/>
            <w:tcBorders>
              <w:top w:val="nil"/>
              <w:left w:val="nil"/>
              <w:bottom w:val="single" w:sz="4" w:space="0" w:color="auto"/>
              <w:right w:val="nil"/>
            </w:tcBorders>
            <w:shd w:val="clear" w:color="auto" w:fill="auto"/>
            <w:noWrap/>
            <w:vAlign w:val="center"/>
            <w:hideMark/>
          </w:tcPr>
          <w:p w14:paraId="382F90DD"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3,4%</w:t>
            </w:r>
          </w:p>
        </w:tc>
        <w:tc>
          <w:tcPr>
            <w:tcW w:w="1000" w:type="dxa"/>
            <w:tcBorders>
              <w:top w:val="nil"/>
              <w:left w:val="nil"/>
              <w:bottom w:val="single" w:sz="4" w:space="0" w:color="auto"/>
              <w:right w:val="nil"/>
            </w:tcBorders>
            <w:shd w:val="clear" w:color="auto" w:fill="auto"/>
            <w:noWrap/>
            <w:vAlign w:val="center"/>
            <w:hideMark/>
          </w:tcPr>
          <w:p w14:paraId="13D5328C"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2,7%</w:t>
            </w:r>
          </w:p>
        </w:tc>
      </w:tr>
    </w:tbl>
    <w:p w14:paraId="3F32AD7D" w14:textId="77777777" w:rsidR="00761800" w:rsidRPr="00761800" w:rsidRDefault="00761800" w:rsidP="00761800">
      <w:pPr>
        <w:spacing w:before="60"/>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Източник: МФ</w:t>
      </w:r>
    </w:p>
    <w:p w14:paraId="163669E8" w14:textId="77777777" w:rsidR="00761800" w:rsidRPr="00761800" w:rsidRDefault="00761800" w:rsidP="00761800">
      <w:pPr>
        <w:spacing w:after="200"/>
        <w:jc w:val="both"/>
        <w:rPr>
          <w:rFonts w:ascii="Times New Roman" w:eastAsia="Batang" w:hAnsi="Times New Roman"/>
          <w:b/>
          <w:bCs/>
          <w:szCs w:val="18"/>
          <w:lang w:eastAsia="bg-BG"/>
        </w:rPr>
      </w:pPr>
    </w:p>
    <w:p w14:paraId="4089A66C" w14:textId="77777777" w:rsidR="00761800" w:rsidRPr="00761800" w:rsidRDefault="00761800" w:rsidP="00761800">
      <w:pPr>
        <w:spacing w:after="200"/>
        <w:jc w:val="both"/>
        <w:rPr>
          <w:rFonts w:ascii="Times New Roman" w:hAnsi="Times New Roman"/>
          <w:bCs/>
          <w:szCs w:val="18"/>
          <w:lang w:eastAsia="bg-BG"/>
        </w:rPr>
      </w:pPr>
      <w:r w:rsidRPr="00761800">
        <w:rPr>
          <w:rFonts w:ascii="Times New Roman" w:eastAsia="Batang" w:hAnsi="Times New Roman"/>
          <w:b/>
          <w:bCs/>
          <w:szCs w:val="18"/>
          <w:lang w:eastAsia="bg-BG"/>
        </w:rPr>
        <w:t>Разходите, трансферите и вноската в бюджета на ЕС по националния бюджет</w:t>
      </w:r>
      <w:r w:rsidRPr="00761800">
        <w:rPr>
          <w:rFonts w:ascii="Times New Roman" w:eastAsia="Batang" w:hAnsi="Times New Roman"/>
          <w:bCs/>
          <w:szCs w:val="18"/>
          <w:lang w:eastAsia="bg-BG"/>
        </w:rPr>
        <w:t xml:space="preserve"> в средносрочен план показват тенденция на намаление от 41,0% от БВП през 2026 г. до 38,0% от БВП през 2028 г. Нетният размер на трансфера за сметките за средства от ЕС е в диапазона от 1,7% до 0,9% от БВП.</w:t>
      </w:r>
    </w:p>
    <w:p w14:paraId="7BC25F76" w14:textId="77777777" w:rsidR="00761800" w:rsidRPr="00761800" w:rsidRDefault="00761800" w:rsidP="00761800">
      <w:pPr>
        <w:spacing w:before="60"/>
        <w:jc w:val="right"/>
        <w:rPr>
          <w:rFonts w:ascii="Times New Roman" w:eastAsia="Batang" w:hAnsi="Times New Roman"/>
          <w:sz w:val="18"/>
          <w:szCs w:val="18"/>
          <w:lang w:eastAsia="bg-BG"/>
        </w:rPr>
      </w:pPr>
    </w:p>
    <w:p w14:paraId="6AD53716"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И през следващия тригодишен период приоритет за страната ни остава успешното усвояване на средствата от европейските фондове и програми на ЕС.</w:t>
      </w:r>
    </w:p>
    <w:p w14:paraId="10AF45B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Въздействието върху бюджета за периода 2026-2028 г. от финансовите взаимоотношения с ЕС е представено в Табл. II-4.</w:t>
      </w:r>
    </w:p>
    <w:p w14:paraId="2F119D80" w14:textId="7EE3AB76" w:rsidR="00761800" w:rsidRPr="00761800" w:rsidRDefault="00761800" w:rsidP="00761800">
      <w:pPr>
        <w:keepNext/>
        <w:spacing w:before="240" w:after="120"/>
        <w:rPr>
          <w:rFonts w:ascii="Times New Roman" w:hAnsi="Times New Roman"/>
          <w:b/>
          <w:bCs/>
          <w:szCs w:val="18"/>
          <w:vertAlign w:val="superscript"/>
          <w:lang w:eastAsia="bg-BG"/>
        </w:rPr>
      </w:pPr>
      <w:bookmarkStart w:id="206" w:name="_Toc191051714"/>
      <w:bookmarkStart w:id="207" w:name="_Toc233185126"/>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8</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r>
      <w:r w:rsidRPr="00761800">
        <w:rPr>
          <w:rFonts w:ascii="Times New Roman" w:hAnsi="Times New Roman"/>
          <w:b/>
          <w:bCs/>
          <w:color w:val="000000"/>
          <w:szCs w:val="18"/>
          <w:lang w:eastAsia="bg-BG"/>
        </w:rPr>
        <w:t>КФП – Сметки за средства от ЕС (2026-2028 г.)</w:t>
      </w:r>
      <w:r w:rsidRPr="00761800">
        <w:rPr>
          <w:rFonts w:ascii="Times New Roman" w:hAnsi="Times New Roman"/>
          <w:b/>
          <w:bCs/>
          <w:szCs w:val="18"/>
          <w:vertAlign w:val="superscript"/>
          <w:lang w:eastAsia="bg-BG"/>
        </w:rPr>
        <w:t xml:space="preserve"> </w:t>
      </w:r>
      <w:r w:rsidRPr="00761800">
        <w:rPr>
          <w:rFonts w:ascii="Times New Roman" w:hAnsi="Times New Roman"/>
          <w:b/>
          <w:bCs/>
          <w:position w:val="2"/>
          <w:sz w:val="18"/>
          <w:szCs w:val="18"/>
          <w:vertAlign w:val="superscript"/>
        </w:rPr>
        <w:footnoteReference w:id="34"/>
      </w:r>
      <w:bookmarkEnd w:id="206"/>
      <w:bookmarkEnd w:id="207"/>
    </w:p>
    <w:tbl>
      <w:tblPr>
        <w:tblW w:w="9420" w:type="dxa"/>
        <w:tblCellMar>
          <w:left w:w="70" w:type="dxa"/>
          <w:right w:w="70" w:type="dxa"/>
        </w:tblCellMar>
        <w:tblLook w:val="04A0" w:firstRow="1" w:lastRow="0" w:firstColumn="1" w:lastColumn="0" w:noHBand="0" w:noVBand="1"/>
      </w:tblPr>
      <w:tblGrid>
        <w:gridCol w:w="4386"/>
        <w:gridCol w:w="1020"/>
        <w:gridCol w:w="1020"/>
        <w:gridCol w:w="1000"/>
        <w:gridCol w:w="994"/>
        <w:gridCol w:w="1000"/>
      </w:tblGrid>
      <w:tr w:rsidR="00761800" w:rsidRPr="00761800" w14:paraId="70D1BD98" w14:textId="77777777" w:rsidTr="00406B4D">
        <w:trPr>
          <w:trHeight w:val="517"/>
        </w:trPr>
        <w:tc>
          <w:tcPr>
            <w:tcW w:w="4420" w:type="dxa"/>
            <w:vMerge w:val="restart"/>
            <w:tcBorders>
              <w:top w:val="single" w:sz="4" w:space="0" w:color="595959"/>
              <w:left w:val="nil"/>
              <w:bottom w:val="single" w:sz="4" w:space="0" w:color="000000"/>
              <w:right w:val="nil"/>
            </w:tcBorders>
            <w:shd w:val="clear" w:color="auto" w:fill="auto"/>
            <w:vAlign w:val="center"/>
            <w:hideMark/>
          </w:tcPr>
          <w:p w14:paraId="51D3F73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КФП                                                                             СМЕТКИ ЗА СРЕДСТВА ОТ ЕС</w:t>
            </w:r>
            <w:r w:rsidRPr="00761800">
              <w:rPr>
                <w:rFonts w:ascii="Times New Roman" w:hAnsi="Times New Roman"/>
                <w:b/>
                <w:bCs/>
                <w:sz w:val="20"/>
                <w:lang w:eastAsia="bg-BG"/>
              </w:rPr>
              <w:br/>
              <w:t>млн. eвро</w:t>
            </w:r>
          </w:p>
        </w:tc>
        <w:tc>
          <w:tcPr>
            <w:tcW w:w="1020" w:type="dxa"/>
            <w:vMerge w:val="restart"/>
            <w:tcBorders>
              <w:top w:val="single" w:sz="4" w:space="0" w:color="595959"/>
              <w:left w:val="nil"/>
              <w:bottom w:val="single" w:sz="4" w:space="0" w:color="000000"/>
              <w:right w:val="nil"/>
            </w:tcBorders>
            <w:shd w:val="clear" w:color="auto" w:fill="auto"/>
            <w:hideMark/>
          </w:tcPr>
          <w:p w14:paraId="4BBED56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2024</w:t>
            </w:r>
            <w:r w:rsidRPr="00761800">
              <w:rPr>
                <w:rFonts w:ascii="Times New Roman" w:hAnsi="Times New Roman"/>
                <w:b/>
                <w:bCs/>
                <w:sz w:val="20"/>
                <w:lang w:eastAsia="bg-BG"/>
              </w:rPr>
              <w:br/>
              <w:t>Отчет</w:t>
            </w:r>
          </w:p>
        </w:tc>
        <w:tc>
          <w:tcPr>
            <w:tcW w:w="1020" w:type="dxa"/>
            <w:vMerge w:val="restart"/>
            <w:tcBorders>
              <w:top w:val="single" w:sz="4" w:space="0" w:color="595959"/>
              <w:left w:val="nil"/>
              <w:bottom w:val="single" w:sz="4" w:space="0" w:color="000000"/>
              <w:right w:val="nil"/>
            </w:tcBorders>
            <w:shd w:val="clear" w:color="auto" w:fill="auto"/>
            <w:hideMark/>
          </w:tcPr>
          <w:p w14:paraId="730E095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2025</w:t>
            </w:r>
            <w:r w:rsidRPr="00761800">
              <w:rPr>
                <w:rFonts w:ascii="Times New Roman" w:hAnsi="Times New Roman"/>
                <w:b/>
                <w:bCs/>
                <w:sz w:val="20"/>
                <w:lang w:eastAsia="bg-BG"/>
              </w:rPr>
              <w:br/>
              <w:t>Предв. отчет</w:t>
            </w:r>
          </w:p>
        </w:tc>
        <w:tc>
          <w:tcPr>
            <w:tcW w:w="1000" w:type="dxa"/>
            <w:vMerge w:val="restart"/>
            <w:tcBorders>
              <w:top w:val="single" w:sz="4" w:space="0" w:color="595959"/>
              <w:left w:val="nil"/>
              <w:bottom w:val="single" w:sz="4" w:space="0" w:color="000000"/>
              <w:right w:val="nil"/>
            </w:tcBorders>
            <w:shd w:val="clear" w:color="auto" w:fill="auto"/>
            <w:hideMark/>
          </w:tcPr>
          <w:p w14:paraId="7C89338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2026</w:t>
            </w:r>
            <w:r w:rsidRPr="00761800">
              <w:rPr>
                <w:rFonts w:ascii="Times New Roman" w:hAnsi="Times New Roman"/>
                <w:b/>
                <w:bCs/>
                <w:sz w:val="20"/>
                <w:lang w:eastAsia="bg-BG"/>
              </w:rPr>
              <w:br/>
              <w:t>Проект</w:t>
            </w:r>
          </w:p>
        </w:tc>
        <w:tc>
          <w:tcPr>
            <w:tcW w:w="960" w:type="dxa"/>
            <w:vMerge w:val="restart"/>
            <w:tcBorders>
              <w:top w:val="single" w:sz="4" w:space="0" w:color="595959"/>
              <w:left w:val="nil"/>
              <w:bottom w:val="single" w:sz="4" w:space="0" w:color="000000"/>
              <w:right w:val="nil"/>
            </w:tcBorders>
            <w:shd w:val="clear" w:color="auto" w:fill="auto"/>
            <w:hideMark/>
          </w:tcPr>
          <w:p w14:paraId="368ADC0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2027</w:t>
            </w:r>
            <w:r w:rsidRPr="00761800">
              <w:rPr>
                <w:rFonts w:ascii="Times New Roman" w:hAnsi="Times New Roman"/>
                <w:b/>
                <w:bCs/>
                <w:sz w:val="20"/>
                <w:lang w:eastAsia="bg-BG"/>
              </w:rPr>
              <w:br/>
              <w:t>Прогноза</w:t>
            </w:r>
          </w:p>
        </w:tc>
        <w:tc>
          <w:tcPr>
            <w:tcW w:w="1000" w:type="dxa"/>
            <w:vMerge w:val="restart"/>
            <w:tcBorders>
              <w:top w:val="single" w:sz="4" w:space="0" w:color="595959"/>
              <w:left w:val="nil"/>
              <w:bottom w:val="single" w:sz="4" w:space="0" w:color="000000"/>
              <w:right w:val="nil"/>
            </w:tcBorders>
            <w:shd w:val="clear" w:color="auto" w:fill="auto"/>
            <w:hideMark/>
          </w:tcPr>
          <w:p w14:paraId="0827902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2028</w:t>
            </w:r>
            <w:r w:rsidRPr="00761800">
              <w:rPr>
                <w:rFonts w:ascii="Times New Roman" w:hAnsi="Times New Roman"/>
                <w:b/>
                <w:bCs/>
                <w:sz w:val="20"/>
                <w:lang w:eastAsia="bg-BG"/>
              </w:rPr>
              <w:br/>
              <w:t>Прогноза</w:t>
            </w:r>
          </w:p>
        </w:tc>
      </w:tr>
      <w:tr w:rsidR="00761800" w:rsidRPr="00761800" w14:paraId="524D416C" w14:textId="77777777" w:rsidTr="00406B4D">
        <w:trPr>
          <w:trHeight w:val="517"/>
        </w:trPr>
        <w:tc>
          <w:tcPr>
            <w:tcW w:w="4420" w:type="dxa"/>
            <w:vMerge/>
            <w:tcBorders>
              <w:top w:val="single" w:sz="4" w:space="0" w:color="595959"/>
              <w:left w:val="nil"/>
              <w:bottom w:val="single" w:sz="4" w:space="0" w:color="000000"/>
              <w:right w:val="nil"/>
            </w:tcBorders>
            <w:vAlign w:val="center"/>
            <w:hideMark/>
          </w:tcPr>
          <w:p w14:paraId="39636E79"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3691F458"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1857AC63"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767D1253" w14:textId="77777777" w:rsidR="00761800" w:rsidRPr="00761800" w:rsidRDefault="00761800" w:rsidP="00761800">
            <w:pPr>
              <w:rPr>
                <w:rFonts w:ascii="Times New Roman" w:hAnsi="Times New Roman"/>
                <w:b/>
                <w:bCs/>
                <w:sz w:val="20"/>
                <w:lang w:eastAsia="bg-BG"/>
              </w:rPr>
            </w:pPr>
          </w:p>
        </w:tc>
        <w:tc>
          <w:tcPr>
            <w:tcW w:w="960" w:type="dxa"/>
            <w:vMerge/>
            <w:tcBorders>
              <w:top w:val="single" w:sz="4" w:space="0" w:color="595959"/>
              <w:left w:val="nil"/>
              <w:bottom w:val="single" w:sz="4" w:space="0" w:color="000000"/>
              <w:right w:val="nil"/>
            </w:tcBorders>
            <w:vAlign w:val="center"/>
            <w:hideMark/>
          </w:tcPr>
          <w:p w14:paraId="3734FB7B"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06A064F2" w14:textId="77777777" w:rsidR="00761800" w:rsidRPr="00761800" w:rsidRDefault="00761800" w:rsidP="00761800">
            <w:pPr>
              <w:rPr>
                <w:rFonts w:ascii="Times New Roman" w:hAnsi="Times New Roman"/>
                <w:b/>
                <w:bCs/>
                <w:sz w:val="20"/>
                <w:lang w:eastAsia="bg-BG"/>
              </w:rPr>
            </w:pPr>
          </w:p>
        </w:tc>
      </w:tr>
      <w:tr w:rsidR="00761800" w:rsidRPr="00761800" w14:paraId="1CFBFBCE" w14:textId="77777777" w:rsidTr="00406B4D">
        <w:trPr>
          <w:trHeight w:val="517"/>
        </w:trPr>
        <w:tc>
          <w:tcPr>
            <w:tcW w:w="4420" w:type="dxa"/>
            <w:vMerge/>
            <w:tcBorders>
              <w:top w:val="single" w:sz="4" w:space="0" w:color="595959"/>
              <w:left w:val="nil"/>
              <w:bottom w:val="single" w:sz="4" w:space="0" w:color="000000"/>
              <w:right w:val="nil"/>
            </w:tcBorders>
            <w:vAlign w:val="center"/>
            <w:hideMark/>
          </w:tcPr>
          <w:p w14:paraId="78D3BE32"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6E348EEE" w14:textId="77777777" w:rsidR="00761800" w:rsidRPr="00761800" w:rsidRDefault="00761800" w:rsidP="00761800">
            <w:pPr>
              <w:rPr>
                <w:rFonts w:ascii="Times New Roman" w:hAnsi="Times New Roman"/>
                <w:b/>
                <w:bCs/>
                <w:sz w:val="20"/>
                <w:lang w:eastAsia="bg-BG"/>
              </w:rPr>
            </w:pPr>
          </w:p>
        </w:tc>
        <w:tc>
          <w:tcPr>
            <w:tcW w:w="1020" w:type="dxa"/>
            <w:vMerge/>
            <w:tcBorders>
              <w:top w:val="single" w:sz="4" w:space="0" w:color="595959"/>
              <w:left w:val="nil"/>
              <w:bottom w:val="single" w:sz="4" w:space="0" w:color="000000"/>
              <w:right w:val="nil"/>
            </w:tcBorders>
            <w:vAlign w:val="center"/>
            <w:hideMark/>
          </w:tcPr>
          <w:p w14:paraId="715C2995"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77B43355" w14:textId="77777777" w:rsidR="00761800" w:rsidRPr="00761800" w:rsidRDefault="00761800" w:rsidP="00761800">
            <w:pPr>
              <w:rPr>
                <w:rFonts w:ascii="Times New Roman" w:hAnsi="Times New Roman"/>
                <w:b/>
                <w:bCs/>
                <w:sz w:val="20"/>
                <w:lang w:eastAsia="bg-BG"/>
              </w:rPr>
            </w:pPr>
          </w:p>
        </w:tc>
        <w:tc>
          <w:tcPr>
            <w:tcW w:w="960" w:type="dxa"/>
            <w:vMerge/>
            <w:tcBorders>
              <w:top w:val="single" w:sz="4" w:space="0" w:color="595959"/>
              <w:left w:val="nil"/>
              <w:bottom w:val="single" w:sz="4" w:space="0" w:color="000000"/>
              <w:right w:val="nil"/>
            </w:tcBorders>
            <w:vAlign w:val="center"/>
            <w:hideMark/>
          </w:tcPr>
          <w:p w14:paraId="57224DF8" w14:textId="77777777" w:rsidR="00761800" w:rsidRPr="00761800" w:rsidRDefault="00761800" w:rsidP="00761800">
            <w:pPr>
              <w:rPr>
                <w:rFonts w:ascii="Times New Roman" w:hAnsi="Times New Roman"/>
                <w:b/>
                <w:bCs/>
                <w:sz w:val="20"/>
                <w:lang w:eastAsia="bg-BG"/>
              </w:rPr>
            </w:pPr>
          </w:p>
        </w:tc>
        <w:tc>
          <w:tcPr>
            <w:tcW w:w="1000" w:type="dxa"/>
            <w:vMerge/>
            <w:tcBorders>
              <w:top w:val="single" w:sz="4" w:space="0" w:color="595959"/>
              <w:left w:val="nil"/>
              <w:bottom w:val="single" w:sz="4" w:space="0" w:color="000000"/>
              <w:right w:val="nil"/>
            </w:tcBorders>
            <w:vAlign w:val="center"/>
            <w:hideMark/>
          </w:tcPr>
          <w:p w14:paraId="5A161A4E" w14:textId="77777777" w:rsidR="00761800" w:rsidRPr="00761800" w:rsidRDefault="00761800" w:rsidP="00761800">
            <w:pPr>
              <w:rPr>
                <w:rFonts w:ascii="Times New Roman" w:hAnsi="Times New Roman"/>
                <w:b/>
                <w:bCs/>
                <w:sz w:val="20"/>
                <w:lang w:eastAsia="bg-BG"/>
              </w:rPr>
            </w:pPr>
          </w:p>
        </w:tc>
      </w:tr>
      <w:tr w:rsidR="00761800" w:rsidRPr="00761800" w14:paraId="37AEA795" w14:textId="77777777" w:rsidTr="00406B4D">
        <w:trPr>
          <w:trHeight w:val="240"/>
        </w:trPr>
        <w:tc>
          <w:tcPr>
            <w:tcW w:w="4420" w:type="dxa"/>
            <w:tcBorders>
              <w:top w:val="nil"/>
              <w:left w:val="nil"/>
              <w:bottom w:val="nil"/>
              <w:right w:val="nil"/>
            </w:tcBorders>
            <w:shd w:val="clear" w:color="auto" w:fill="auto"/>
            <w:vAlign w:val="center"/>
            <w:hideMark/>
          </w:tcPr>
          <w:p w14:paraId="09F7BCAB"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ПРИХОДИ, ПОМОЩИ И ДАРЕНИЯ</w:t>
            </w:r>
          </w:p>
        </w:tc>
        <w:tc>
          <w:tcPr>
            <w:tcW w:w="1020" w:type="dxa"/>
            <w:tcBorders>
              <w:top w:val="nil"/>
              <w:left w:val="nil"/>
              <w:bottom w:val="nil"/>
              <w:right w:val="nil"/>
            </w:tcBorders>
            <w:shd w:val="clear" w:color="auto" w:fill="auto"/>
            <w:noWrap/>
            <w:vAlign w:val="center"/>
            <w:hideMark/>
          </w:tcPr>
          <w:p w14:paraId="000DB3C2"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1 799,1</w:t>
            </w:r>
          </w:p>
        </w:tc>
        <w:tc>
          <w:tcPr>
            <w:tcW w:w="1020" w:type="dxa"/>
            <w:tcBorders>
              <w:top w:val="nil"/>
              <w:left w:val="nil"/>
              <w:bottom w:val="nil"/>
              <w:right w:val="nil"/>
            </w:tcBorders>
            <w:shd w:val="clear" w:color="auto" w:fill="auto"/>
            <w:noWrap/>
            <w:vAlign w:val="center"/>
            <w:hideMark/>
          </w:tcPr>
          <w:p w14:paraId="28B5BF78"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3 137,7</w:t>
            </w:r>
          </w:p>
        </w:tc>
        <w:tc>
          <w:tcPr>
            <w:tcW w:w="1000" w:type="dxa"/>
            <w:tcBorders>
              <w:top w:val="nil"/>
              <w:left w:val="nil"/>
              <w:bottom w:val="nil"/>
              <w:right w:val="nil"/>
            </w:tcBorders>
            <w:shd w:val="clear" w:color="auto" w:fill="auto"/>
            <w:noWrap/>
            <w:vAlign w:val="center"/>
            <w:hideMark/>
          </w:tcPr>
          <w:p w14:paraId="5F7F1597"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5 367,0</w:t>
            </w:r>
          </w:p>
        </w:tc>
        <w:tc>
          <w:tcPr>
            <w:tcW w:w="960" w:type="dxa"/>
            <w:tcBorders>
              <w:top w:val="nil"/>
              <w:left w:val="nil"/>
              <w:bottom w:val="nil"/>
              <w:right w:val="nil"/>
            </w:tcBorders>
            <w:shd w:val="clear" w:color="auto" w:fill="auto"/>
            <w:noWrap/>
            <w:vAlign w:val="center"/>
            <w:hideMark/>
          </w:tcPr>
          <w:p w14:paraId="296C35C5"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2 689,2</w:t>
            </w:r>
          </w:p>
        </w:tc>
        <w:tc>
          <w:tcPr>
            <w:tcW w:w="1000" w:type="dxa"/>
            <w:tcBorders>
              <w:top w:val="nil"/>
              <w:left w:val="nil"/>
              <w:bottom w:val="nil"/>
              <w:right w:val="nil"/>
            </w:tcBorders>
            <w:shd w:val="clear" w:color="auto" w:fill="auto"/>
            <w:noWrap/>
            <w:vAlign w:val="center"/>
            <w:hideMark/>
          </w:tcPr>
          <w:p w14:paraId="3757A055"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2 806,3</w:t>
            </w:r>
          </w:p>
        </w:tc>
      </w:tr>
      <w:tr w:rsidR="00761800" w:rsidRPr="00761800" w14:paraId="75E22070" w14:textId="77777777" w:rsidTr="00406B4D">
        <w:trPr>
          <w:trHeight w:val="240"/>
        </w:trPr>
        <w:tc>
          <w:tcPr>
            <w:tcW w:w="4420" w:type="dxa"/>
            <w:tcBorders>
              <w:top w:val="nil"/>
              <w:left w:val="nil"/>
              <w:bottom w:val="nil"/>
              <w:right w:val="nil"/>
            </w:tcBorders>
            <w:shd w:val="clear" w:color="auto" w:fill="auto"/>
            <w:vAlign w:val="center"/>
            <w:hideMark/>
          </w:tcPr>
          <w:p w14:paraId="425FDCA4"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nil"/>
              <w:right w:val="nil"/>
            </w:tcBorders>
            <w:shd w:val="clear" w:color="auto" w:fill="auto"/>
            <w:noWrap/>
            <w:vAlign w:val="center"/>
            <w:hideMark/>
          </w:tcPr>
          <w:p w14:paraId="72A04D6D"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1,9%</w:t>
            </w:r>
          </w:p>
        </w:tc>
        <w:tc>
          <w:tcPr>
            <w:tcW w:w="1020" w:type="dxa"/>
            <w:tcBorders>
              <w:top w:val="nil"/>
              <w:left w:val="nil"/>
              <w:bottom w:val="nil"/>
              <w:right w:val="nil"/>
            </w:tcBorders>
            <w:shd w:val="clear" w:color="auto" w:fill="auto"/>
            <w:noWrap/>
            <w:vAlign w:val="center"/>
            <w:hideMark/>
          </w:tcPr>
          <w:p w14:paraId="0AC7443D"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2,7%</w:t>
            </w:r>
          </w:p>
        </w:tc>
        <w:tc>
          <w:tcPr>
            <w:tcW w:w="1000" w:type="dxa"/>
            <w:tcBorders>
              <w:top w:val="nil"/>
              <w:left w:val="nil"/>
              <w:bottom w:val="nil"/>
              <w:right w:val="nil"/>
            </w:tcBorders>
            <w:shd w:val="clear" w:color="auto" w:fill="auto"/>
            <w:noWrap/>
            <w:vAlign w:val="center"/>
            <w:hideMark/>
          </w:tcPr>
          <w:p w14:paraId="19919288"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4,3%</w:t>
            </w:r>
          </w:p>
        </w:tc>
        <w:tc>
          <w:tcPr>
            <w:tcW w:w="960" w:type="dxa"/>
            <w:tcBorders>
              <w:top w:val="nil"/>
              <w:left w:val="nil"/>
              <w:bottom w:val="nil"/>
              <w:right w:val="nil"/>
            </w:tcBorders>
            <w:shd w:val="clear" w:color="auto" w:fill="auto"/>
            <w:noWrap/>
            <w:vAlign w:val="center"/>
            <w:hideMark/>
          </w:tcPr>
          <w:p w14:paraId="00AF31FE"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2,0%</w:t>
            </w:r>
          </w:p>
        </w:tc>
        <w:tc>
          <w:tcPr>
            <w:tcW w:w="1000" w:type="dxa"/>
            <w:tcBorders>
              <w:top w:val="nil"/>
              <w:left w:val="nil"/>
              <w:bottom w:val="nil"/>
              <w:right w:val="nil"/>
            </w:tcBorders>
            <w:shd w:val="clear" w:color="auto" w:fill="auto"/>
            <w:noWrap/>
            <w:vAlign w:val="center"/>
            <w:hideMark/>
          </w:tcPr>
          <w:p w14:paraId="5C1D94CB"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2,0%</w:t>
            </w:r>
          </w:p>
        </w:tc>
      </w:tr>
      <w:tr w:rsidR="00761800" w:rsidRPr="00761800" w14:paraId="77B1C909" w14:textId="77777777" w:rsidTr="00406B4D">
        <w:trPr>
          <w:trHeight w:val="210"/>
        </w:trPr>
        <w:tc>
          <w:tcPr>
            <w:tcW w:w="4420" w:type="dxa"/>
            <w:tcBorders>
              <w:top w:val="nil"/>
              <w:left w:val="nil"/>
              <w:bottom w:val="nil"/>
              <w:right w:val="nil"/>
            </w:tcBorders>
            <w:shd w:val="clear" w:color="auto" w:fill="auto"/>
            <w:vAlign w:val="center"/>
            <w:hideMark/>
          </w:tcPr>
          <w:p w14:paraId="7F03552E" w14:textId="77777777" w:rsidR="00761800" w:rsidRPr="00761800" w:rsidRDefault="00761800" w:rsidP="00761800">
            <w:pPr>
              <w:jc w:val="right"/>
              <w:rPr>
                <w:rFonts w:ascii="Times New Roman" w:hAnsi="Times New Roman"/>
                <w:i/>
                <w:iCs/>
                <w:color w:val="000000"/>
                <w:sz w:val="18"/>
                <w:szCs w:val="18"/>
                <w:lang w:eastAsia="bg-BG"/>
              </w:rPr>
            </w:pPr>
          </w:p>
        </w:tc>
        <w:tc>
          <w:tcPr>
            <w:tcW w:w="1020" w:type="dxa"/>
            <w:tcBorders>
              <w:top w:val="nil"/>
              <w:left w:val="nil"/>
              <w:bottom w:val="nil"/>
              <w:right w:val="nil"/>
            </w:tcBorders>
            <w:shd w:val="clear" w:color="auto" w:fill="auto"/>
            <w:noWrap/>
            <w:vAlign w:val="center"/>
            <w:hideMark/>
          </w:tcPr>
          <w:p w14:paraId="3DE7C683" w14:textId="77777777" w:rsidR="00761800" w:rsidRPr="00761800" w:rsidRDefault="00761800" w:rsidP="00761800">
            <w:pPr>
              <w:rPr>
                <w:rFonts w:ascii="Times New Roman" w:hAnsi="Times New Roman"/>
                <w:sz w:val="20"/>
                <w:lang w:eastAsia="bg-BG"/>
              </w:rPr>
            </w:pPr>
          </w:p>
        </w:tc>
        <w:tc>
          <w:tcPr>
            <w:tcW w:w="1020" w:type="dxa"/>
            <w:tcBorders>
              <w:top w:val="nil"/>
              <w:left w:val="nil"/>
              <w:bottom w:val="nil"/>
              <w:right w:val="nil"/>
            </w:tcBorders>
            <w:shd w:val="clear" w:color="auto" w:fill="auto"/>
            <w:noWrap/>
            <w:vAlign w:val="center"/>
            <w:hideMark/>
          </w:tcPr>
          <w:p w14:paraId="7FB772B7"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3BB8E299" w14:textId="77777777" w:rsidR="00761800" w:rsidRPr="00761800" w:rsidRDefault="00761800" w:rsidP="00761800">
            <w:pPr>
              <w:jc w:val="right"/>
              <w:rPr>
                <w:rFonts w:ascii="Times New Roman" w:hAnsi="Times New Roman"/>
                <w:sz w:val="20"/>
                <w:lang w:eastAsia="bg-BG"/>
              </w:rPr>
            </w:pPr>
          </w:p>
        </w:tc>
        <w:tc>
          <w:tcPr>
            <w:tcW w:w="960" w:type="dxa"/>
            <w:tcBorders>
              <w:top w:val="nil"/>
              <w:left w:val="nil"/>
              <w:bottom w:val="nil"/>
              <w:right w:val="nil"/>
            </w:tcBorders>
            <w:shd w:val="clear" w:color="auto" w:fill="auto"/>
            <w:noWrap/>
            <w:vAlign w:val="center"/>
            <w:hideMark/>
          </w:tcPr>
          <w:p w14:paraId="3ED9D4D5"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45C6D3A2" w14:textId="77777777" w:rsidR="00761800" w:rsidRPr="00761800" w:rsidRDefault="00761800" w:rsidP="00761800">
            <w:pPr>
              <w:jc w:val="right"/>
              <w:rPr>
                <w:rFonts w:ascii="Times New Roman" w:hAnsi="Times New Roman"/>
                <w:sz w:val="20"/>
                <w:lang w:eastAsia="bg-BG"/>
              </w:rPr>
            </w:pPr>
          </w:p>
        </w:tc>
      </w:tr>
      <w:tr w:rsidR="00761800" w:rsidRPr="00761800" w14:paraId="07602DEA" w14:textId="77777777" w:rsidTr="00406B4D">
        <w:trPr>
          <w:trHeight w:val="285"/>
        </w:trPr>
        <w:tc>
          <w:tcPr>
            <w:tcW w:w="4420" w:type="dxa"/>
            <w:tcBorders>
              <w:top w:val="nil"/>
              <w:left w:val="nil"/>
              <w:bottom w:val="nil"/>
              <w:right w:val="nil"/>
            </w:tcBorders>
            <w:shd w:val="clear" w:color="auto" w:fill="auto"/>
            <w:vAlign w:val="center"/>
            <w:hideMark/>
          </w:tcPr>
          <w:p w14:paraId="7A7A60A4"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 xml:space="preserve">ОБЩО РАЗХОДИ </w:t>
            </w:r>
          </w:p>
        </w:tc>
        <w:tc>
          <w:tcPr>
            <w:tcW w:w="1020" w:type="dxa"/>
            <w:tcBorders>
              <w:top w:val="nil"/>
              <w:left w:val="nil"/>
              <w:bottom w:val="nil"/>
              <w:right w:val="nil"/>
            </w:tcBorders>
            <w:shd w:val="clear" w:color="auto" w:fill="auto"/>
            <w:noWrap/>
            <w:vAlign w:val="center"/>
            <w:hideMark/>
          </w:tcPr>
          <w:p w14:paraId="43DA75E1"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2 012,5</w:t>
            </w:r>
          </w:p>
        </w:tc>
        <w:tc>
          <w:tcPr>
            <w:tcW w:w="1020" w:type="dxa"/>
            <w:tcBorders>
              <w:top w:val="nil"/>
              <w:left w:val="nil"/>
              <w:bottom w:val="nil"/>
              <w:right w:val="nil"/>
            </w:tcBorders>
            <w:shd w:val="clear" w:color="auto" w:fill="auto"/>
            <w:noWrap/>
            <w:vAlign w:val="center"/>
            <w:hideMark/>
          </w:tcPr>
          <w:p w14:paraId="2EE90DC9"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3 887,8</w:t>
            </w:r>
          </w:p>
        </w:tc>
        <w:tc>
          <w:tcPr>
            <w:tcW w:w="1000" w:type="dxa"/>
            <w:tcBorders>
              <w:top w:val="nil"/>
              <w:left w:val="nil"/>
              <w:bottom w:val="nil"/>
              <w:right w:val="nil"/>
            </w:tcBorders>
            <w:shd w:val="clear" w:color="auto" w:fill="auto"/>
            <w:noWrap/>
            <w:vAlign w:val="center"/>
            <w:hideMark/>
          </w:tcPr>
          <w:p w14:paraId="3DC291B7"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7 612,7</w:t>
            </w:r>
          </w:p>
        </w:tc>
        <w:tc>
          <w:tcPr>
            <w:tcW w:w="960" w:type="dxa"/>
            <w:tcBorders>
              <w:top w:val="nil"/>
              <w:left w:val="nil"/>
              <w:bottom w:val="nil"/>
              <w:right w:val="nil"/>
            </w:tcBorders>
            <w:shd w:val="clear" w:color="auto" w:fill="auto"/>
            <w:noWrap/>
            <w:vAlign w:val="center"/>
            <w:hideMark/>
          </w:tcPr>
          <w:p w14:paraId="6C5CEE12"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4 552,0</w:t>
            </w:r>
          </w:p>
        </w:tc>
        <w:tc>
          <w:tcPr>
            <w:tcW w:w="1000" w:type="dxa"/>
            <w:tcBorders>
              <w:top w:val="nil"/>
              <w:left w:val="nil"/>
              <w:bottom w:val="nil"/>
              <w:right w:val="nil"/>
            </w:tcBorders>
            <w:shd w:val="clear" w:color="auto" w:fill="auto"/>
            <w:noWrap/>
            <w:vAlign w:val="center"/>
            <w:hideMark/>
          </w:tcPr>
          <w:p w14:paraId="44262B84"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4 611,3</w:t>
            </w:r>
          </w:p>
        </w:tc>
      </w:tr>
      <w:tr w:rsidR="00761800" w:rsidRPr="00761800" w14:paraId="2DE5EA70" w14:textId="77777777" w:rsidTr="00406B4D">
        <w:trPr>
          <w:trHeight w:val="240"/>
        </w:trPr>
        <w:tc>
          <w:tcPr>
            <w:tcW w:w="4420" w:type="dxa"/>
            <w:tcBorders>
              <w:top w:val="nil"/>
              <w:left w:val="nil"/>
              <w:bottom w:val="nil"/>
              <w:right w:val="nil"/>
            </w:tcBorders>
            <w:shd w:val="clear" w:color="auto" w:fill="auto"/>
            <w:vAlign w:val="center"/>
            <w:hideMark/>
          </w:tcPr>
          <w:p w14:paraId="0FCE1E03"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nil"/>
              <w:right w:val="nil"/>
            </w:tcBorders>
            <w:shd w:val="clear" w:color="auto" w:fill="auto"/>
            <w:noWrap/>
            <w:vAlign w:val="center"/>
            <w:hideMark/>
          </w:tcPr>
          <w:p w14:paraId="71620ED0"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2,1%</w:t>
            </w:r>
          </w:p>
        </w:tc>
        <w:tc>
          <w:tcPr>
            <w:tcW w:w="1020" w:type="dxa"/>
            <w:tcBorders>
              <w:top w:val="nil"/>
              <w:left w:val="nil"/>
              <w:bottom w:val="nil"/>
              <w:right w:val="nil"/>
            </w:tcBorders>
            <w:shd w:val="clear" w:color="auto" w:fill="auto"/>
            <w:noWrap/>
            <w:vAlign w:val="center"/>
            <w:hideMark/>
          </w:tcPr>
          <w:p w14:paraId="59DF2477"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3,4%</w:t>
            </w:r>
          </w:p>
        </w:tc>
        <w:tc>
          <w:tcPr>
            <w:tcW w:w="1000" w:type="dxa"/>
            <w:tcBorders>
              <w:top w:val="nil"/>
              <w:left w:val="nil"/>
              <w:bottom w:val="nil"/>
              <w:right w:val="nil"/>
            </w:tcBorders>
            <w:shd w:val="clear" w:color="auto" w:fill="auto"/>
            <w:noWrap/>
            <w:vAlign w:val="center"/>
            <w:hideMark/>
          </w:tcPr>
          <w:p w14:paraId="6086E071"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6,1%</w:t>
            </w:r>
          </w:p>
        </w:tc>
        <w:tc>
          <w:tcPr>
            <w:tcW w:w="960" w:type="dxa"/>
            <w:tcBorders>
              <w:top w:val="nil"/>
              <w:left w:val="nil"/>
              <w:bottom w:val="nil"/>
              <w:right w:val="nil"/>
            </w:tcBorders>
            <w:shd w:val="clear" w:color="auto" w:fill="auto"/>
            <w:noWrap/>
            <w:vAlign w:val="center"/>
            <w:hideMark/>
          </w:tcPr>
          <w:p w14:paraId="315D2884"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3,4%</w:t>
            </w:r>
          </w:p>
        </w:tc>
        <w:tc>
          <w:tcPr>
            <w:tcW w:w="1000" w:type="dxa"/>
            <w:tcBorders>
              <w:top w:val="nil"/>
              <w:left w:val="nil"/>
              <w:bottom w:val="nil"/>
              <w:right w:val="nil"/>
            </w:tcBorders>
            <w:shd w:val="clear" w:color="auto" w:fill="auto"/>
            <w:noWrap/>
            <w:vAlign w:val="center"/>
            <w:hideMark/>
          </w:tcPr>
          <w:p w14:paraId="5DE82525"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3,2%</w:t>
            </w:r>
          </w:p>
        </w:tc>
      </w:tr>
      <w:tr w:rsidR="00761800" w:rsidRPr="00761800" w14:paraId="1663ADA1" w14:textId="77777777" w:rsidTr="00406B4D">
        <w:trPr>
          <w:trHeight w:val="240"/>
        </w:trPr>
        <w:tc>
          <w:tcPr>
            <w:tcW w:w="4420" w:type="dxa"/>
            <w:tcBorders>
              <w:top w:val="nil"/>
              <w:left w:val="nil"/>
              <w:bottom w:val="nil"/>
              <w:right w:val="nil"/>
            </w:tcBorders>
            <w:shd w:val="clear" w:color="auto" w:fill="auto"/>
            <w:vAlign w:val="center"/>
            <w:hideMark/>
          </w:tcPr>
          <w:p w14:paraId="685F970A" w14:textId="77777777" w:rsidR="00761800" w:rsidRPr="00761800" w:rsidRDefault="00761800" w:rsidP="00761800">
            <w:pPr>
              <w:jc w:val="right"/>
              <w:rPr>
                <w:rFonts w:ascii="Times New Roman" w:hAnsi="Times New Roman"/>
                <w:i/>
                <w:iCs/>
                <w:color w:val="000000"/>
                <w:sz w:val="18"/>
                <w:szCs w:val="18"/>
                <w:lang w:eastAsia="bg-BG"/>
              </w:rPr>
            </w:pPr>
          </w:p>
        </w:tc>
        <w:tc>
          <w:tcPr>
            <w:tcW w:w="1020" w:type="dxa"/>
            <w:tcBorders>
              <w:top w:val="nil"/>
              <w:left w:val="nil"/>
              <w:bottom w:val="nil"/>
              <w:right w:val="nil"/>
            </w:tcBorders>
            <w:shd w:val="clear" w:color="auto" w:fill="auto"/>
            <w:noWrap/>
            <w:vAlign w:val="center"/>
            <w:hideMark/>
          </w:tcPr>
          <w:p w14:paraId="363237FF" w14:textId="77777777" w:rsidR="00761800" w:rsidRPr="00761800" w:rsidRDefault="00761800" w:rsidP="00761800">
            <w:pPr>
              <w:rPr>
                <w:rFonts w:ascii="Times New Roman" w:hAnsi="Times New Roman"/>
                <w:sz w:val="20"/>
                <w:lang w:eastAsia="bg-BG"/>
              </w:rPr>
            </w:pPr>
          </w:p>
        </w:tc>
        <w:tc>
          <w:tcPr>
            <w:tcW w:w="1020" w:type="dxa"/>
            <w:tcBorders>
              <w:top w:val="nil"/>
              <w:left w:val="nil"/>
              <w:bottom w:val="nil"/>
              <w:right w:val="nil"/>
            </w:tcBorders>
            <w:shd w:val="clear" w:color="auto" w:fill="auto"/>
            <w:noWrap/>
            <w:vAlign w:val="center"/>
            <w:hideMark/>
          </w:tcPr>
          <w:p w14:paraId="3F9AF18D"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363185BD" w14:textId="77777777" w:rsidR="00761800" w:rsidRPr="00761800" w:rsidRDefault="00761800" w:rsidP="00761800">
            <w:pPr>
              <w:jc w:val="right"/>
              <w:rPr>
                <w:rFonts w:ascii="Times New Roman" w:hAnsi="Times New Roman"/>
                <w:sz w:val="20"/>
                <w:lang w:eastAsia="bg-BG"/>
              </w:rPr>
            </w:pPr>
          </w:p>
        </w:tc>
        <w:tc>
          <w:tcPr>
            <w:tcW w:w="960" w:type="dxa"/>
            <w:tcBorders>
              <w:top w:val="nil"/>
              <w:left w:val="nil"/>
              <w:bottom w:val="nil"/>
              <w:right w:val="nil"/>
            </w:tcBorders>
            <w:shd w:val="clear" w:color="auto" w:fill="auto"/>
            <w:noWrap/>
            <w:vAlign w:val="center"/>
            <w:hideMark/>
          </w:tcPr>
          <w:p w14:paraId="24E4837F"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6D955ED3" w14:textId="77777777" w:rsidR="00761800" w:rsidRPr="00761800" w:rsidRDefault="00761800" w:rsidP="00761800">
            <w:pPr>
              <w:jc w:val="right"/>
              <w:rPr>
                <w:rFonts w:ascii="Times New Roman" w:hAnsi="Times New Roman"/>
                <w:sz w:val="20"/>
                <w:lang w:eastAsia="bg-BG"/>
              </w:rPr>
            </w:pPr>
          </w:p>
        </w:tc>
      </w:tr>
      <w:tr w:rsidR="00761800" w:rsidRPr="00761800" w14:paraId="1078425E" w14:textId="77777777" w:rsidTr="00406B4D">
        <w:trPr>
          <w:trHeight w:val="480"/>
        </w:trPr>
        <w:tc>
          <w:tcPr>
            <w:tcW w:w="4420" w:type="dxa"/>
            <w:tcBorders>
              <w:top w:val="nil"/>
              <w:left w:val="nil"/>
              <w:bottom w:val="nil"/>
              <w:right w:val="nil"/>
            </w:tcBorders>
            <w:shd w:val="clear" w:color="auto" w:fill="auto"/>
            <w:vAlign w:val="center"/>
            <w:hideMark/>
          </w:tcPr>
          <w:p w14:paraId="0908BF66"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ТРАНСФЕР ОТ/ЗА ДЪРЖАВНИЯ БЮДЖЕТ (НЕТО)</w:t>
            </w:r>
          </w:p>
        </w:tc>
        <w:tc>
          <w:tcPr>
            <w:tcW w:w="1020" w:type="dxa"/>
            <w:tcBorders>
              <w:top w:val="nil"/>
              <w:left w:val="nil"/>
              <w:bottom w:val="nil"/>
              <w:right w:val="nil"/>
            </w:tcBorders>
            <w:shd w:val="clear" w:color="auto" w:fill="auto"/>
            <w:noWrap/>
            <w:vAlign w:val="center"/>
            <w:hideMark/>
          </w:tcPr>
          <w:p w14:paraId="2FA37197"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438,1</w:t>
            </w:r>
          </w:p>
        </w:tc>
        <w:tc>
          <w:tcPr>
            <w:tcW w:w="1020" w:type="dxa"/>
            <w:tcBorders>
              <w:top w:val="nil"/>
              <w:left w:val="nil"/>
              <w:bottom w:val="nil"/>
              <w:right w:val="nil"/>
            </w:tcBorders>
            <w:shd w:val="clear" w:color="auto" w:fill="auto"/>
            <w:noWrap/>
            <w:vAlign w:val="center"/>
            <w:hideMark/>
          </w:tcPr>
          <w:p w14:paraId="2C4976E9"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-4,2</w:t>
            </w:r>
          </w:p>
        </w:tc>
        <w:tc>
          <w:tcPr>
            <w:tcW w:w="1000" w:type="dxa"/>
            <w:tcBorders>
              <w:top w:val="nil"/>
              <w:left w:val="nil"/>
              <w:bottom w:val="nil"/>
              <w:right w:val="nil"/>
            </w:tcBorders>
            <w:shd w:val="clear" w:color="auto" w:fill="auto"/>
            <w:noWrap/>
            <w:vAlign w:val="center"/>
            <w:hideMark/>
          </w:tcPr>
          <w:p w14:paraId="1963A64F"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2 134,1</w:t>
            </w:r>
          </w:p>
        </w:tc>
        <w:tc>
          <w:tcPr>
            <w:tcW w:w="960" w:type="dxa"/>
            <w:tcBorders>
              <w:top w:val="nil"/>
              <w:left w:val="nil"/>
              <w:bottom w:val="nil"/>
              <w:right w:val="nil"/>
            </w:tcBorders>
            <w:shd w:val="clear" w:color="auto" w:fill="auto"/>
            <w:noWrap/>
            <w:vAlign w:val="center"/>
            <w:hideMark/>
          </w:tcPr>
          <w:p w14:paraId="1EEFDA20"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1 366,5</w:t>
            </w:r>
          </w:p>
        </w:tc>
        <w:tc>
          <w:tcPr>
            <w:tcW w:w="1000" w:type="dxa"/>
            <w:tcBorders>
              <w:top w:val="nil"/>
              <w:left w:val="nil"/>
              <w:bottom w:val="nil"/>
              <w:right w:val="nil"/>
            </w:tcBorders>
            <w:shd w:val="clear" w:color="auto" w:fill="auto"/>
            <w:noWrap/>
            <w:vAlign w:val="center"/>
            <w:hideMark/>
          </w:tcPr>
          <w:p w14:paraId="728FC4A7"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1 331,0</w:t>
            </w:r>
          </w:p>
        </w:tc>
      </w:tr>
      <w:tr w:rsidR="00761800" w:rsidRPr="00761800" w14:paraId="4EEDCDE7" w14:textId="77777777" w:rsidTr="00406B4D">
        <w:trPr>
          <w:trHeight w:val="240"/>
        </w:trPr>
        <w:tc>
          <w:tcPr>
            <w:tcW w:w="4420" w:type="dxa"/>
            <w:tcBorders>
              <w:top w:val="nil"/>
              <w:left w:val="nil"/>
              <w:bottom w:val="nil"/>
              <w:right w:val="nil"/>
            </w:tcBorders>
            <w:shd w:val="clear" w:color="auto" w:fill="auto"/>
            <w:vAlign w:val="center"/>
            <w:hideMark/>
          </w:tcPr>
          <w:p w14:paraId="7096C1D3"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nil"/>
              <w:right w:val="nil"/>
            </w:tcBorders>
            <w:shd w:val="clear" w:color="auto" w:fill="auto"/>
            <w:noWrap/>
            <w:vAlign w:val="center"/>
            <w:hideMark/>
          </w:tcPr>
          <w:p w14:paraId="6296A5E6"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0,5%</w:t>
            </w:r>
          </w:p>
        </w:tc>
        <w:tc>
          <w:tcPr>
            <w:tcW w:w="1020" w:type="dxa"/>
            <w:tcBorders>
              <w:top w:val="nil"/>
              <w:left w:val="nil"/>
              <w:bottom w:val="nil"/>
              <w:right w:val="nil"/>
            </w:tcBorders>
            <w:shd w:val="clear" w:color="auto" w:fill="auto"/>
            <w:noWrap/>
            <w:vAlign w:val="center"/>
            <w:hideMark/>
          </w:tcPr>
          <w:p w14:paraId="48675846"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0,0%</w:t>
            </w:r>
          </w:p>
        </w:tc>
        <w:tc>
          <w:tcPr>
            <w:tcW w:w="1000" w:type="dxa"/>
            <w:tcBorders>
              <w:top w:val="nil"/>
              <w:left w:val="nil"/>
              <w:bottom w:val="nil"/>
              <w:right w:val="nil"/>
            </w:tcBorders>
            <w:shd w:val="clear" w:color="auto" w:fill="auto"/>
            <w:noWrap/>
            <w:vAlign w:val="center"/>
            <w:hideMark/>
          </w:tcPr>
          <w:p w14:paraId="3FB2489A"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1,7%</w:t>
            </w:r>
          </w:p>
        </w:tc>
        <w:tc>
          <w:tcPr>
            <w:tcW w:w="960" w:type="dxa"/>
            <w:tcBorders>
              <w:top w:val="nil"/>
              <w:left w:val="nil"/>
              <w:bottom w:val="nil"/>
              <w:right w:val="nil"/>
            </w:tcBorders>
            <w:shd w:val="clear" w:color="auto" w:fill="auto"/>
            <w:noWrap/>
            <w:vAlign w:val="center"/>
            <w:hideMark/>
          </w:tcPr>
          <w:p w14:paraId="35980740"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1,0%</w:t>
            </w:r>
          </w:p>
        </w:tc>
        <w:tc>
          <w:tcPr>
            <w:tcW w:w="1000" w:type="dxa"/>
            <w:tcBorders>
              <w:top w:val="nil"/>
              <w:left w:val="nil"/>
              <w:bottom w:val="nil"/>
              <w:right w:val="nil"/>
            </w:tcBorders>
            <w:shd w:val="clear" w:color="auto" w:fill="auto"/>
            <w:noWrap/>
            <w:vAlign w:val="center"/>
            <w:hideMark/>
          </w:tcPr>
          <w:p w14:paraId="245AEAC8"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0,9%</w:t>
            </w:r>
          </w:p>
        </w:tc>
      </w:tr>
      <w:tr w:rsidR="00761800" w:rsidRPr="00761800" w14:paraId="3F935806" w14:textId="77777777" w:rsidTr="00406B4D">
        <w:trPr>
          <w:trHeight w:val="240"/>
        </w:trPr>
        <w:tc>
          <w:tcPr>
            <w:tcW w:w="4420" w:type="dxa"/>
            <w:tcBorders>
              <w:top w:val="nil"/>
              <w:left w:val="nil"/>
              <w:bottom w:val="nil"/>
              <w:right w:val="nil"/>
            </w:tcBorders>
            <w:shd w:val="clear" w:color="auto" w:fill="auto"/>
            <w:vAlign w:val="center"/>
            <w:hideMark/>
          </w:tcPr>
          <w:p w14:paraId="1400E931" w14:textId="77777777" w:rsidR="00761800" w:rsidRPr="00761800" w:rsidRDefault="00761800" w:rsidP="00761800">
            <w:pPr>
              <w:jc w:val="right"/>
              <w:rPr>
                <w:rFonts w:ascii="Times New Roman" w:hAnsi="Times New Roman"/>
                <w:i/>
                <w:iCs/>
                <w:color w:val="000000"/>
                <w:sz w:val="18"/>
                <w:szCs w:val="18"/>
                <w:lang w:eastAsia="bg-BG"/>
              </w:rPr>
            </w:pPr>
          </w:p>
        </w:tc>
        <w:tc>
          <w:tcPr>
            <w:tcW w:w="1020" w:type="dxa"/>
            <w:tcBorders>
              <w:top w:val="nil"/>
              <w:left w:val="nil"/>
              <w:bottom w:val="nil"/>
              <w:right w:val="nil"/>
            </w:tcBorders>
            <w:shd w:val="clear" w:color="auto" w:fill="auto"/>
            <w:noWrap/>
            <w:vAlign w:val="center"/>
            <w:hideMark/>
          </w:tcPr>
          <w:p w14:paraId="01FEC137" w14:textId="77777777" w:rsidR="00761800" w:rsidRPr="00761800" w:rsidRDefault="00761800" w:rsidP="00761800">
            <w:pPr>
              <w:rPr>
                <w:rFonts w:ascii="Times New Roman" w:hAnsi="Times New Roman"/>
                <w:sz w:val="20"/>
                <w:lang w:eastAsia="bg-BG"/>
              </w:rPr>
            </w:pPr>
          </w:p>
        </w:tc>
        <w:tc>
          <w:tcPr>
            <w:tcW w:w="1020" w:type="dxa"/>
            <w:tcBorders>
              <w:top w:val="nil"/>
              <w:left w:val="nil"/>
              <w:bottom w:val="nil"/>
              <w:right w:val="nil"/>
            </w:tcBorders>
            <w:shd w:val="clear" w:color="auto" w:fill="auto"/>
            <w:noWrap/>
            <w:vAlign w:val="center"/>
            <w:hideMark/>
          </w:tcPr>
          <w:p w14:paraId="2547083D"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3113DAEA" w14:textId="77777777" w:rsidR="00761800" w:rsidRPr="00761800" w:rsidRDefault="00761800" w:rsidP="00761800">
            <w:pPr>
              <w:jc w:val="right"/>
              <w:rPr>
                <w:rFonts w:ascii="Times New Roman" w:hAnsi="Times New Roman"/>
                <w:sz w:val="20"/>
                <w:lang w:eastAsia="bg-BG"/>
              </w:rPr>
            </w:pPr>
          </w:p>
        </w:tc>
        <w:tc>
          <w:tcPr>
            <w:tcW w:w="960" w:type="dxa"/>
            <w:tcBorders>
              <w:top w:val="nil"/>
              <w:left w:val="nil"/>
              <w:bottom w:val="nil"/>
              <w:right w:val="nil"/>
            </w:tcBorders>
            <w:shd w:val="clear" w:color="auto" w:fill="auto"/>
            <w:noWrap/>
            <w:vAlign w:val="center"/>
            <w:hideMark/>
          </w:tcPr>
          <w:p w14:paraId="61C209D0"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6BFF635A" w14:textId="77777777" w:rsidR="00761800" w:rsidRPr="00761800" w:rsidRDefault="00761800" w:rsidP="00761800">
            <w:pPr>
              <w:jc w:val="right"/>
              <w:rPr>
                <w:rFonts w:ascii="Times New Roman" w:hAnsi="Times New Roman"/>
                <w:sz w:val="20"/>
                <w:lang w:eastAsia="bg-BG"/>
              </w:rPr>
            </w:pPr>
          </w:p>
        </w:tc>
      </w:tr>
      <w:tr w:rsidR="00761800" w:rsidRPr="00761800" w14:paraId="431A2209" w14:textId="77777777" w:rsidTr="00406B4D">
        <w:trPr>
          <w:trHeight w:val="240"/>
        </w:trPr>
        <w:tc>
          <w:tcPr>
            <w:tcW w:w="4420" w:type="dxa"/>
            <w:tcBorders>
              <w:top w:val="nil"/>
              <w:left w:val="nil"/>
              <w:bottom w:val="nil"/>
              <w:right w:val="nil"/>
            </w:tcBorders>
            <w:shd w:val="clear" w:color="auto" w:fill="auto"/>
            <w:vAlign w:val="center"/>
            <w:hideMark/>
          </w:tcPr>
          <w:p w14:paraId="12A4C06A"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БЮДЖЕТНО САЛДО (+/-)</w:t>
            </w:r>
          </w:p>
        </w:tc>
        <w:tc>
          <w:tcPr>
            <w:tcW w:w="1020" w:type="dxa"/>
            <w:tcBorders>
              <w:top w:val="nil"/>
              <w:left w:val="nil"/>
              <w:bottom w:val="nil"/>
              <w:right w:val="nil"/>
            </w:tcBorders>
            <w:shd w:val="clear" w:color="auto" w:fill="auto"/>
            <w:noWrap/>
            <w:vAlign w:val="center"/>
            <w:hideMark/>
          </w:tcPr>
          <w:p w14:paraId="55765B01"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224,7</w:t>
            </w:r>
          </w:p>
        </w:tc>
        <w:tc>
          <w:tcPr>
            <w:tcW w:w="1020" w:type="dxa"/>
            <w:tcBorders>
              <w:top w:val="nil"/>
              <w:left w:val="nil"/>
              <w:bottom w:val="nil"/>
              <w:right w:val="nil"/>
            </w:tcBorders>
            <w:shd w:val="clear" w:color="auto" w:fill="auto"/>
            <w:noWrap/>
            <w:vAlign w:val="center"/>
            <w:hideMark/>
          </w:tcPr>
          <w:p w14:paraId="388E0D8E"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-754,3</w:t>
            </w:r>
          </w:p>
        </w:tc>
        <w:tc>
          <w:tcPr>
            <w:tcW w:w="1000" w:type="dxa"/>
            <w:tcBorders>
              <w:top w:val="nil"/>
              <w:left w:val="nil"/>
              <w:bottom w:val="nil"/>
              <w:right w:val="nil"/>
            </w:tcBorders>
            <w:shd w:val="clear" w:color="auto" w:fill="auto"/>
            <w:noWrap/>
            <w:vAlign w:val="center"/>
            <w:hideMark/>
          </w:tcPr>
          <w:p w14:paraId="3CAAD268"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-111,5</w:t>
            </w:r>
          </w:p>
        </w:tc>
        <w:tc>
          <w:tcPr>
            <w:tcW w:w="960" w:type="dxa"/>
            <w:tcBorders>
              <w:top w:val="nil"/>
              <w:left w:val="nil"/>
              <w:bottom w:val="nil"/>
              <w:right w:val="nil"/>
            </w:tcBorders>
            <w:shd w:val="clear" w:color="auto" w:fill="auto"/>
            <w:noWrap/>
            <w:vAlign w:val="center"/>
            <w:hideMark/>
          </w:tcPr>
          <w:p w14:paraId="0056C71D"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-496,4</w:t>
            </w:r>
          </w:p>
        </w:tc>
        <w:tc>
          <w:tcPr>
            <w:tcW w:w="1000" w:type="dxa"/>
            <w:tcBorders>
              <w:top w:val="nil"/>
              <w:left w:val="nil"/>
              <w:bottom w:val="nil"/>
              <w:right w:val="nil"/>
            </w:tcBorders>
            <w:shd w:val="clear" w:color="auto" w:fill="auto"/>
            <w:noWrap/>
            <w:vAlign w:val="center"/>
            <w:hideMark/>
          </w:tcPr>
          <w:p w14:paraId="1C214328"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-474,0</w:t>
            </w:r>
          </w:p>
        </w:tc>
      </w:tr>
      <w:tr w:rsidR="00761800" w:rsidRPr="00761800" w14:paraId="74DE428A" w14:textId="77777777" w:rsidTr="00406B4D">
        <w:trPr>
          <w:trHeight w:val="240"/>
        </w:trPr>
        <w:tc>
          <w:tcPr>
            <w:tcW w:w="4420" w:type="dxa"/>
            <w:tcBorders>
              <w:top w:val="nil"/>
              <w:left w:val="nil"/>
              <w:bottom w:val="nil"/>
              <w:right w:val="nil"/>
            </w:tcBorders>
            <w:shd w:val="clear" w:color="auto" w:fill="auto"/>
            <w:vAlign w:val="center"/>
            <w:hideMark/>
          </w:tcPr>
          <w:p w14:paraId="5C988697"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nil"/>
              <w:right w:val="nil"/>
            </w:tcBorders>
            <w:shd w:val="clear" w:color="auto" w:fill="auto"/>
            <w:noWrap/>
            <w:vAlign w:val="center"/>
            <w:hideMark/>
          </w:tcPr>
          <w:p w14:paraId="62702818"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0,2%</w:t>
            </w:r>
          </w:p>
        </w:tc>
        <w:tc>
          <w:tcPr>
            <w:tcW w:w="1020" w:type="dxa"/>
            <w:tcBorders>
              <w:top w:val="nil"/>
              <w:left w:val="nil"/>
              <w:bottom w:val="nil"/>
              <w:right w:val="nil"/>
            </w:tcBorders>
            <w:shd w:val="clear" w:color="auto" w:fill="auto"/>
            <w:noWrap/>
            <w:vAlign w:val="center"/>
            <w:hideMark/>
          </w:tcPr>
          <w:p w14:paraId="03BF0760"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-0,7%</w:t>
            </w:r>
          </w:p>
        </w:tc>
        <w:tc>
          <w:tcPr>
            <w:tcW w:w="1000" w:type="dxa"/>
            <w:tcBorders>
              <w:top w:val="nil"/>
              <w:left w:val="nil"/>
              <w:bottom w:val="nil"/>
              <w:right w:val="nil"/>
            </w:tcBorders>
            <w:shd w:val="clear" w:color="auto" w:fill="auto"/>
            <w:noWrap/>
            <w:vAlign w:val="center"/>
            <w:hideMark/>
          </w:tcPr>
          <w:p w14:paraId="528A9B81"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-0,1%</w:t>
            </w:r>
          </w:p>
        </w:tc>
        <w:tc>
          <w:tcPr>
            <w:tcW w:w="960" w:type="dxa"/>
            <w:tcBorders>
              <w:top w:val="nil"/>
              <w:left w:val="nil"/>
              <w:bottom w:val="nil"/>
              <w:right w:val="nil"/>
            </w:tcBorders>
            <w:shd w:val="clear" w:color="auto" w:fill="auto"/>
            <w:noWrap/>
            <w:vAlign w:val="center"/>
            <w:hideMark/>
          </w:tcPr>
          <w:p w14:paraId="2A7C9575"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-0,4%</w:t>
            </w:r>
          </w:p>
        </w:tc>
        <w:tc>
          <w:tcPr>
            <w:tcW w:w="1000" w:type="dxa"/>
            <w:tcBorders>
              <w:top w:val="nil"/>
              <w:left w:val="nil"/>
              <w:bottom w:val="nil"/>
              <w:right w:val="nil"/>
            </w:tcBorders>
            <w:shd w:val="clear" w:color="auto" w:fill="auto"/>
            <w:noWrap/>
            <w:vAlign w:val="center"/>
            <w:hideMark/>
          </w:tcPr>
          <w:p w14:paraId="087E6B12"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-0,3%</w:t>
            </w:r>
          </w:p>
        </w:tc>
      </w:tr>
      <w:tr w:rsidR="00761800" w:rsidRPr="00761800" w14:paraId="48D90B2E" w14:textId="77777777" w:rsidTr="00406B4D">
        <w:trPr>
          <w:trHeight w:val="240"/>
        </w:trPr>
        <w:tc>
          <w:tcPr>
            <w:tcW w:w="4420" w:type="dxa"/>
            <w:tcBorders>
              <w:top w:val="nil"/>
              <w:left w:val="nil"/>
              <w:bottom w:val="nil"/>
              <w:right w:val="nil"/>
            </w:tcBorders>
            <w:shd w:val="clear" w:color="auto" w:fill="auto"/>
            <w:vAlign w:val="center"/>
            <w:hideMark/>
          </w:tcPr>
          <w:p w14:paraId="0DABA065" w14:textId="77777777" w:rsidR="00761800" w:rsidRPr="00761800" w:rsidRDefault="00761800" w:rsidP="00761800">
            <w:pPr>
              <w:jc w:val="right"/>
              <w:rPr>
                <w:rFonts w:ascii="Times New Roman" w:hAnsi="Times New Roman"/>
                <w:i/>
                <w:iCs/>
                <w:color w:val="000000"/>
                <w:sz w:val="18"/>
                <w:szCs w:val="18"/>
                <w:lang w:eastAsia="bg-BG"/>
              </w:rPr>
            </w:pPr>
          </w:p>
        </w:tc>
        <w:tc>
          <w:tcPr>
            <w:tcW w:w="1020" w:type="dxa"/>
            <w:tcBorders>
              <w:top w:val="nil"/>
              <w:left w:val="nil"/>
              <w:bottom w:val="nil"/>
              <w:right w:val="nil"/>
            </w:tcBorders>
            <w:shd w:val="clear" w:color="auto" w:fill="auto"/>
            <w:noWrap/>
            <w:vAlign w:val="center"/>
            <w:hideMark/>
          </w:tcPr>
          <w:p w14:paraId="0C350AB3" w14:textId="77777777" w:rsidR="00761800" w:rsidRPr="00761800" w:rsidRDefault="00761800" w:rsidP="00761800">
            <w:pPr>
              <w:rPr>
                <w:rFonts w:ascii="Times New Roman" w:hAnsi="Times New Roman"/>
                <w:sz w:val="20"/>
                <w:lang w:eastAsia="bg-BG"/>
              </w:rPr>
            </w:pPr>
          </w:p>
        </w:tc>
        <w:tc>
          <w:tcPr>
            <w:tcW w:w="1020" w:type="dxa"/>
            <w:tcBorders>
              <w:top w:val="nil"/>
              <w:left w:val="nil"/>
              <w:bottom w:val="nil"/>
              <w:right w:val="nil"/>
            </w:tcBorders>
            <w:shd w:val="clear" w:color="auto" w:fill="auto"/>
            <w:noWrap/>
            <w:vAlign w:val="center"/>
            <w:hideMark/>
          </w:tcPr>
          <w:p w14:paraId="69E83DDB"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0D99E9AE" w14:textId="77777777" w:rsidR="00761800" w:rsidRPr="00761800" w:rsidRDefault="00761800" w:rsidP="00761800">
            <w:pPr>
              <w:jc w:val="right"/>
              <w:rPr>
                <w:rFonts w:ascii="Times New Roman" w:hAnsi="Times New Roman"/>
                <w:sz w:val="20"/>
                <w:lang w:eastAsia="bg-BG"/>
              </w:rPr>
            </w:pPr>
          </w:p>
        </w:tc>
        <w:tc>
          <w:tcPr>
            <w:tcW w:w="960" w:type="dxa"/>
            <w:tcBorders>
              <w:top w:val="nil"/>
              <w:left w:val="nil"/>
              <w:bottom w:val="nil"/>
              <w:right w:val="nil"/>
            </w:tcBorders>
            <w:shd w:val="clear" w:color="auto" w:fill="auto"/>
            <w:noWrap/>
            <w:vAlign w:val="center"/>
            <w:hideMark/>
          </w:tcPr>
          <w:p w14:paraId="64A679FF" w14:textId="77777777" w:rsidR="00761800" w:rsidRPr="00761800" w:rsidRDefault="00761800" w:rsidP="00761800">
            <w:pPr>
              <w:jc w:val="right"/>
              <w:rPr>
                <w:rFonts w:ascii="Times New Roman" w:hAnsi="Times New Roman"/>
                <w:sz w:val="20"/>
                <w:lang w:eastAsia="bg-BG"/>
              </w:rPr>
            </w:pPr>
          </w:p>
        </w:tc>
        <w:tc>
          <w:tcPr>
            <w:tcW w:w="1000" w:type="dxa"/>
            <w:tcBorders>
              <w:top w:val="nil"/>
              <w:left w:val="nil"/>
              <w:bottom w:val="nil"/>
              <w:right w:val="nil"/>
            </w:tcBorders>
            <w:shd w:val="clear" w:color="auto" w:fill="auto"/>
            <w:noWrap/>
            <w:vAlign w:val="center"/>
            <w:hideMark/>
          </w:tcPr>
          <w:p w14:paraId="61A317E8" w14:textId="77777777" w:rsidR="00761800" w:rsidRPr="00761800" w:rsidRDefault="00761800" w:rsidP="00761800">
            <w:pPr>
              <w:jc w:val="right"/>
              <w:rPr>
                <w:rFonts w:ascii="Times New Roman" w:hAnsi="Times New Roman"/>
                <w:sz w:val="20"/>
                <w:lang w:eastAsia="bg-BG"/>
              </w:rPr>
            </w:pPr>
          </w:p>
        </w:tc>
      </w:tr>
      <w:tr w:rsidR="00761800" w:rsidRPr="00761800" w14:paraId="1818E6B9" w14:textId="77777777" w:rsidTr="00406B4D">
        <w:trPr>
          <w:trHeight w:val="315"/>
        </w:trPr>
        <w:tc>
          <w:tcPr>
            <w:tcW w:w="4420" w:type="dxa"/>
            <w:tcBorders>
              <w:top w:val="nil"/>
              <w:left w:val="nil"/>
              <w:bottom w:val="nil"/>
              <w:right w:val="nil"/>
            </w:tcBorders>
            <w:shd w:val="clear" w:color="auto" w:fill="auto"/>
            <w:vAlign w:val="center"/>
            <w:hideMark/>
          </w:tcPr>
          <w:p w14:paraId="498EACC4" w14:textId="77777777" w:rsidR="00761800" w:rsidRPr="00761800" w:rsidRDefault="00761800" w:rsidP="00761800">
            <w:pPr>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lastRenderedPageBreak/>
              <w:t>ФИНАНСИРАНЕ (+/-)</w:t>
            </w:r>
          </w:p>
        </w:tc>
        <w:tc>
          <w:tcPr>
            <w:tcW w:w="1020" w:type="dxa"/>
            <w:tcBorders>
              <w:top w:val="nil"/>
              <w:left w:val="nil"/>
              <w:bottom w:val="nil"/>
              <w:right w:val="nil"/>
            </w:tcBorders>
            <w:shd w:val="clear" w:color="auto" w:fill="auto"/>
            <w:noWrap/>
            <w:vAlign w:val="center"/>
            <w:hideMark/>
          </w:tcPr>
          <w:p w14:paraId="0186B8DE"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-224,7</w:t>
            </w:r>
          </w:p>
        </w:tc>
        <w:tc>
          <w:tcPr>
            <w:tcW w:w="1020" w:type="dxa"/>
            <w:tcBorders>
              <w:top w:val="nil"/>
              <w:left w:val="nil"/>
              <w:bottom w:val="nil"/>
              <w:right w:val="nil"/>
            </w:tcBorders>
            <w:shd w:val="clear" w:color="auto" w:fill="auto"/>
            <w:noWrap/>
            <w:vAlign w:val="center"/>
            <w:hideMark/>
          </w:tcPr>
          <w:p w14:paraId="286ED213"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754,3</w:t>
            </w:r>
          </w:p>
        </w:tc>
        <w:tc>
          <w:tcPr>
            <w:tcW w:w="1000" w:type="dxa"/>
            <w:tcBorders>
              <w:top w:val="nil"/>
              <w:left w:val="nil"/>
              <w:bottom w:val="nil"/>
              <w:right w:val="nil"/>
            </w:tcBorders>
            <w:shd w:val="clear" w:color="auto" w:fill="auto"/>
            <w:noWrap/>
            <w:vAlign w:val="center"/>
            <w:hideMark/>
          </w:tcPr>
          <w:p w14:paraId="3E7DE9F0"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111,5</w:t>
            </w:r>
          </w:p>
        </w:tc>
        <w:tc>
          <w:tcPr>
            <w:tcW w:w="960" w:type="dxa"/>
            <w:tcBorders>
              <w:top w:val="nil"/>
              <w:left w:val="nil"/>
              <w:bottom w:val="nil"/>
              <w:right w:val="nil"/>
            </w:tcBorders>
            <w:shd w:val="clear" w:color="auto" w:fill="auto"/>
            <w:noWrap/>
            <w:vAlign w:val="center"/>
            <w:hideMark/>
          </w:tcPr>
          <w:p w14:paraId="7F8462A7"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496,4</w:t>
            </w:r>
          </w:p>
        </w:tc>
        <w:tc>
          <w:tcPr>
            <w:tcW w:w="1000" w:type="dxa"/>
            <w:tcBorders>
              <w:top w:val="nil"/>
              <w:left w:val="nil"/>
              <w:bottom w:val="nil"/>
              <w:right w:val="nil"/>
            </w:tcBorders>
            <w:shd w:val="clear" w:color="auto" w:fill="auto"/>
            <w:noWrap/>
            <w:vAlign w:val="center"/>
            <w:hideMark/>
          </w:tcPr>
          <w:p w14:paraId="14C9ADB0" w14:textId="77777777" w:rsidR="00761800" w:rsidRPr="00761800" w:rsidRDefault="00761800" w:rsidP="00761800">
            <w:pPr>
              <w:jc w:val="right"/>
              <w:rPr>
                <w:rFonts w:ascii="Times New Roman" w:hAnsi="Times New Roman"/>
                <w:b/>
                <w:bCs/>
                <w:color w:val="000000"/>
                <w:sz w:val="18"/>
                <w:szCs w:val="18"/>
                <w:lang w:eastAsia="bg-BG"/>
              </w:rPr>
            </w:pPr>
            <w:r w:rsidRPr="00761800">
              <w:rPr>
                <w:rFonts w:ascii="Times New Roman" w:hAnsi="Times New Roman"/>
                <w:b/>
                <w:bCs/>
                <w:color w:val="000000"/>
                <w:sz w:val="18"/>
                <w:szCs w:val="18"/>
                <w:lang w:eastAsia="bg-BG"/>
              </w:rPr>
              <w:t>474,0</w:t>
            </w:r>
          </w:p>
        </w:tc>
      </w:tr>
      <w:tr w:rsidR="00761800" w:rsidRPr="00761800" w14:paraId="6B48F1F1" w14:textId="77777777" w:rsidTr="00406B4D">
        <w:trPr>
          <w:trHeight w:val="240"/>
        </w:trPr>
        <w:tc>
          <w:tcPr>
            <w:tcW w:w="4420" w:type="dxa"/>
            <w:tcBorders>
              <w:top w:val="nil"/>
              <w:left w:val="nil"/>
              <w:bottom w:val="single" w:sz="4" w:space="0" w:color="auto"/>
              <w:right w:val="nil"/>
            </w:tcBorders>
            <w:shd w:val="clear" w:color="auto" w:fill="auto"/>
            <w:vAlign w:val="center"/>
            <w:hideMark/>
          </w:tcPr>
          <w:p w14:paraId="0E57FA03"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 от БВП</w:t>
            </w:r>
          </w:p>
        </w:tc>
        <w:tc>
          <w:tcPr>
            <w:tcW w:w="1020" w:type="dxa"/>
            <w:tcBorders>
              <w:top w:val="nil"/>
              <w:left w:val="nil"/>
              <w:bottom w:val="single" w:sz="4" w:space="0" w:color="auto"/>
              <w:right w:val="nil"/>
            </w:tcBorders>
            <w:shd w:val="clear" w:color="auto" w:fill="auto"/>
            <w:noWrap/>
            <w:vAlign w:val="center"/>
            <w:hideMark/>
          </w:tcPr>
          <w:p w14:paraId="601EFE69"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-0,2%</w:t>
            </w:r>
          </w:p>
        </w:tc>
        <w:tc>
          <w:tcPr>
            <w:tcW w:w="1020" w:type="dxa"/>
            <w:tcBorders>
              <w:top w:val="nil"/>
              <w:left w:val="nil"/>
              <w:bottom w:val="single" w:sz="4" w:space="0" w:color="auto"/>
              <w:right w:val="nil"/>
            </w:tcBorders>
            <w:shd w:val="clear" w:color="auto" w:fill="auto"/>
            <w:noWrap/>
            <w:vAlign w:val="center"/>
            <w:hideMark/>
          </w:tcPr>
          <w:p w14:paraId="2012DA43"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0,7%</w:t>
            </w:r>
          </w:p>
        </w:tc>
        <w:tc>
          <w:tcPr>
            <w:tcW w:w="1000" w:type="dxa"/>
            <w:tcBorders>
              <w:top w:val="nil"/>
              <w:left w:val="nil"/>
              <w:bottom w:val="single" w:sz="4" w:space="0" w:color="auto"/>
              <w:right w:val="nil"/>
            </w:tcBorders>
            <w:shd w:val="clear" w:color="auto" w:fill="auto"/>
            <w:noWrap/>
            <w:vAlign w:val="center"/>
            <w:hideMark/>
          </w:tcPr>
          <w:p w14:paraId="0E4C0732"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0,1%</w:t>
            </w:r>
          </w:p>
        </w:tc>
        <w:tc>
          <w:tcPr>
            <w:tcW w:w="960" w:type="dxa"/>
            <w:tcBorders>
              <w:top w:val="nil"/>
              <w:left w:val="nil"/>
              <w:bottom w:val="single" w:sz="4" w:space="0" w:color="auto"/>
              <w:right w:val="nil"/>
            </w:tcBorders>
            <w:shd w:val="clear" w:color="auto" w:fill="auto"/>
            <w:noWrap/>
            <w:vAlign w:val="center"/>
            <w:hideMark/>
          </w:tcPr>
          <w:p w14:paraId="15BCCE40"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0,4%</w:t>
            </w:r>
          </w:p>
        </w:tc>
        <w:tc>
          <w:tcPr>
            <w:tcW w:w="1000" w:type="dxa"/>
            <w:tcBorders>
              <w:top w:val="nil"/>
              <w:left w:val="nil"/>
              <w:bottom w:val="single" w:sz="4" w:space="0" w:color="auto"/>
              <w:right w:val="nil"/>
            </w:tcBorders>
            <w:shd w:val="clear" w:color="auto" w:fill="auto"/>
            <w:noWrap/>
            <w:vAlign w:val="center"/>
            <w:hideMark/>
          </w:tcPr>
          <w:p w14:paraId="074132DD" w14:textId="77777777" w:rsidR="00761800" w:rsidRPr="00761800" w:rsidRDefault="00761800" w:rsidP="00761800">
            <w:pPr>
              <w:jc w:val="right"/>
              <w:rPr>
                <w:rFonts w:ascii="Times New Roman" w:hAnsi="Times New Roman"/>
                <w:i/>
                <w:iCs/>
                <w:color w:val="000000"/>
                <w:sz w:val="18"/>
                <w:szCs w:val="18"/>
                <w:lang w:eastAsia="bg-BG"/>
              </w:rPr>
            </w:pPr>
            <w:r w:rsidRPr="00761800">
              <w:rPr>
                <w:rFonts w:ascii="Times New Roman" w:hAnsi="Times New Roman"/>
                <w:i/>
                <w:iCs/>
                <w:color w:val="000000"/>
                <w:sz w:val="18"/>
                <w:szCs w:val="18"/>
                <w:lang w:eastAsia="bg-BG"/>
              </w:rPr>
              <w:t>0,3%</w:t>
            </w:r>
          </w:p>
        </w:tc>
      </w:tr>
    </w:tbl>
    <w:p w14:paraId="6876AA74" w14:textId="77777777" w:rsidR="00761800" w:rsidRPr="00761800" w:rsidRDefault="00761800" w:rsidP="00761800">
      <w:pPr>
        <w:spacing w:before="60" w:after="200"/>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Източник: МФ</w:t>
      </w:r>
    </w:p>
    <w:p w14:paraId="2B760061"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852010"/>
          <w:spacing w:val="10"/>
          <w:w w:val="90"/>
          <w:sz w:val="28"/>
          <w:szCs w:val="26"/>
          <w:lang w:eastAsia="bg-BG"/>
        </w:rPr>
      </w:pPr>
      <w:bookmarkStart w:id="208" w:name="_Toc233717477"/>
      <w:bookmarkStart w:id="209" w:name="_Toc464224780"/>
      <w:bookmarkStart w:id="210" w:name="_Toc464225430"/>
      <w:bookmarkStart w:id="211" w:name="_Toc464458977"/>
      <w:bookmarkStart w:id="212" w:name="_Toc464459723"/>
      <w:bookmarkStart w:id="213" w:name="_Toc464460678"/>
      <w:bookmarkStart w:id="214" w:name="_Toc464463077"/>
      <w:bookmarkStart w:id="215" w:name="_Toc464464904"/>
      <w:bookmarkStart w:id="216" w:name="_Toc464465410"/>
      <w:bookmarkStart w:id="217" w:name="_Toc464465598"/>
      <w:bookmarkStart w:id="218" w:name="_Toc464466423"/>
      <w:bookmarkStart w:id="219" w:name="_Toc464466667"/>
      <w:bookmarkStart w:id="220" w:name="_Toc464644979"/>
      <w:bookmarkStart w:id="221" w:name="_Toc465205508"/>
      <w:bookmarkEnd w:id="201"/>
      <w:bookmarkEnd w:id="202"/>
      <w:bookmarkEnd w:id="203"/>
      <w:r w:rsidRPr="00761800">
        <w:rPr>
          <w:rFonts w:ascii="Times New Roman" w:hAnsi="Times New Roman"/>
          <w:b/>
          <w:bCs/>
          <w:caps/>
          <w:color w:val="852010"/>
          <w:spacing w:val="10"/>
          <w:w w:val="90"/>
          <w:sz w:val="28"/>
          <w:szCs w:val="26"/>
          <w:lang w:eastAsia="bg-BG"/>
        </w:rPr>
        <w:t>Прогноза за сектор „Държавно управление“ за периода 2026-2028 г.</w:t>
      </w:r>
      <w:bookmarkEnd w:id="208"/>
    </w:p>
    <w:bookmarkEnd w:id="209"/>
    <w:bookmarkEnd w:id="210"/>
    <w:bookmarkEnd w:id="211"/>
    <w:bookmarkEnd w:id="212"/>
    <w:bookmarkEnd w:id="213"/>
    <w:bookmarkEnd w:id="214"/>
    <w:bookmarkEnd w:id="215"/>
    <w:bookmarkEnd w:id="216"/>
    <w:bookmarkEnd w:id="217"/>
    <w:bookmarkEnd w:id="218"/>
    <w:bookmarkEnd w:id="219"/>
    <w:bookmarkEnd w:id="220"/>
    <w:bookmarkEnd w:id="221"/>
    <w:p w14:paraId="68F953B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За целите на международните сравнения бюджетната рамка се представя както по национална методология (по показатели на КФП на касова основа), така и на базата на европейската методология ЕСС 2010 за показателите за сектор „Държавно управление“, като следва да се отбележи, че фискалните параметри отразяват по еднакъв начин фискалната политика. </w:t>
      </w:r>
    </w:p>
    <w:p w14:paraId="400D827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Представената прогноза е разработена на базата на последната макроикономическа прогноза на МФ, на предприетите мерки и политики, които оказват фискално въздействие през прогнозния период.</w:t>
      </w:r>
    </w:p>
    <w:p w14:paraId="61524FFD" w14:textId="77777777" w:rsidR="00761800" w:rsidRPr="00761800" w:rsidRDefault="00761800" w:rsidP="00761800">
      <w:pPr>
        <w:spacing w:after="200"/>
        <w:jc w:val="both"/>
        <w:rPr>
          <w:rFonts w:ascii="Times New Roman" w:hAnsi="Times New Roman"/>
          <w:szCs w:val="22"/>
          <w:lang w:eastAsia="bg-BG"/>
        </w:rPr>
      </w:pPr>
    </w:p>
    <w:p w14:paraId="2DD3916D" w14:textId="77777777" w:rsidR="00761800" w:rsidRPr="00761800" w:rsidRDefault="00761800" w:rsidP="00761800">
      <w:pPr>
        <w:spacing w:after="200"/>
        <w:jc w:val="both"/>
        <w:rPr>
          <w:rFonts w:ascii="Times New Roman" w:hAnsi="Times New Roman"/>
          <w:szCs w:val="22"/>
          <w:lang w:eastAsia="bg-BG"/>
        </w:rPr>
      </w:pPr>
    </w:p>
    <w:p w14:paraId="287EC762"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Основни показатели на сектор „Държавно управление“ и  траектория на нетните разходи</w:t>
      </w:r>
    </w:p>
    <w:p w14:paraId="22B3CAB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Траекторията на нетните разходи представлява бюджетно ограничение за допустимото нарастване на нетните публични разходи през следващите години с цел държавният дълг да се движи по устойчива низходяща траектория или да се поддържа на устойчиво равнище, а бюджетният дефицит да остане под референтната стойност от 3% от БВП.</w:t>
      </w:r>
    </w:p>
    <w:p w14:paraId="6674158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Приетата от Съвета на ЕС траектория на нетните разходи за България предвижда максимален годишен растеж на национално финансираните нетни първични разходи от 4,9% през 2026 г., 4,4% през 2027 г. и 4,0% през 2028 г. Според настоящите прогнози на МФ, нетните разходи, финансирани на национално ниво, се очаква да нараснат със 7,5% през 2026 г., 2,8% през 2027 г. и 4,4% през 2028 г.</w:t>
      </w:r>
    </w:p>
    <w:p w14:paraId="0E6B00D0" w14:textId="77777777" w:rsidR="00761800" w:rsidRPr="00761800" w:rsidRDefault="00761800" w:rsidP="00761800">
      <w:pPr>
        <w:spacing w:after="120"/>
        <w:jc w:val="both"/>
        <w:rPr>
          <w:rFonts w:ascii="Times New Roman" w:hAnsi="Times New Roman"/>
          <w:szCs w:val="22"/>
          <w:lang w:eastAsia="bg-BG"/>
        </w:rPr>
      </w:pPr>
      <w:r w:rsidRPr="00761800">
        <w:rPr>
          <w:rFonts w:ascii="Times New Roman" w:hAnsi="Times New Roman"/>
          <w:szCs w:val="22"/>
          <w:lang w:eastAsia="bg-BG"/>
        </w:rPr>
        <w:t xml:space="preserve">През юли 2025 г. Съветът на ЕС активира за България националната клауза за дерогация, която предоставя допълнително бюджетно пространство за увеличаване на разходите за отбрана в съответствие с фискалните правила на ЕС. Клаузата е приложима за период от четири години и допуска отклонение от одобрената траектория на нетните разходи в размер до 1,5% от БВП. </w:t>
      </w:r>
    </w:p>
    <w:p w14:paraId="3A0AEF7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b/>
          <w:szCs w:val="22"/>
          <w:lang w:eastAsia="bg-BG"/>
        </w:rPr>
        <w:t>Дефицитът на сектор „Държавно управление“</w:t>
      </w:r>
      <w:r w:rsidRPr="00761800">
        <w:rPr>
          <w:rFonts w:ascii="Times New Roman" w:hAnsi="Times New Roman"/>
          <w:szCs w:val="22"/>
          <w:lang w:eastAsia="bg-BG"/>
        </w:rPr>
        <w:t xml:space="preserve"> се увеличава до 5,4% от БВП през 2026 г., след което се очаква постепенно консолидиране до 3,9% от БВП през 2027 г. и 3,3% от БВП през 2028 г. Нарастването на дефицита през 2026 г. отразява главно ефекта от структурното увеличение през предходните години на разходите за възнаграждения в публичния сектор и на социалните плащания като дял от общите бюджетни разходи. </w:t>
      </w:r>
    </w:p>
    <w:p w14:paraId="5090D7F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Нарастването на инвестициите в отбраната оказва влияние върху бюджетното салдо на сектор „Държавно управление“, което води до задържането на дефицита над референтната стойност от 3% от БВП през прогнозния период, но с оглед действието на националната клауза за дерогация по Регламент (ЕС) 2024/1263, това въздействие се </w:t>
      </w:r>
      <w:r w:rsidRPr="00761800">
        <w:rPr>
          <w:rFonts w:ascii="Times New Roman" w:hAnsi="Times New Roman"/>
          <w:szCs w:val="22"/>
          <w:lang w:eastAsia="bg-BG"/>
        </w:rPr>
        <w:lastRenderedPageBreak/>
        <w:t>разглежда като временно и не води до трайно влошаване на бюджетната позиция или до нарушаване на фискалната устойчивост в дългосрочен план.</w:t>
      </w:r>
    </w:p>
    <w:p w14:paraId="5FBAA3C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подкрепа на инвестициите за отбрана беше разработен специален инструмент „Мерки за сигурността на Европа чрез укрепване на европейската отбранителна промишленост“ („инструментът SAFE“), създаден с Регламент (ЕС) 2025/1106 на Съвета от 27 май 2025 г., по линия на който на държавите членки се предоставя финансова помощ, позволяваща им да направят спешни и мащабни публични инвестиции в подкрепа на европейската отбранителна промишленост в отговор на настоящата кризисна обстановка. В тази връзка България е заявила намерение да се възползва от този инструмент за финансиране в размер до 3,2 млрд. евро, който е включен в лимита за дълга за 2026 г., и ще се усвоява поетапно съгласно одобрен от Народното събрание национален план за включване на проекти, одобрени от Европейската комисия и финансирани по инструмента SAFE.</w:t>
      </w:r>
    </w:p>
    <w:p w14:paraId="162A0334" w14:textId="77777777" w:rsidR="00761800" w:rsidRPr="00761800" w:rsidRDefault="00761800" w:rsidP="00761800">
      <w:pPr>
        <w:spacing w:after="200"/>
        <w:jc w:val="both"/>
        <w:rPr>
          <w:rFonts w:ascii="Times New Roman" w:hAnsi="Times New Roman"/>
          <w:szCs w:val="22"/>
          <w:lang w:eastAsia="bg-BG"/>
        </w:rPr>
      </w:pPr>
    </w:p>
    <w:p w14:paraId="64C9A9AC" w14:textId="77777777" w:rsidR="00761800" w:rsidRPr="00761800" w:rsidRDefault="00761800" w:rsidP="00761800">
      <w:pPr>
        <w:spacing w:after="200"/>
        <w:jc w:val="both"/>
        <w:rPr>
          <w:rFonts w:ascii="Times New Roman" w:hAnsi="Times New Roman"/>
          <w:szCs w:val="22"/>
          <w:lang w:eastAsia="bg-BG"/>
        </w:rPr>
      </w:pPr>
    </w:p>
    <w:p w14:paraId="277F05C6" w14:textId="77777777" w:rsidR="00761800" w:rsidRPr="00761800" w:rsidRDefault="00761800" w:rsidP="00761800">
      <w:pPr>
        <w:spacing w:after="200"/>
        <w:jc w:val="both"/>
        <w:rPr>
          <w:rFonts w:ascii="Times New Roman" w:hAnsi="Times New Roman"/>
          <w:szCs w:val="22"/>
          <w:lang w:eastAsia="bg-BG"/>
        </w:rPr>
      </w:pPr>
    </w:p>
    <w:p w14:paraId="4F0D520C" w14:textId="04900125" w:rsidR="00761800" w:rsidRPr="00761800" w:rsidRDefault="00761800" w:rsidP="00761800">
      <w:pPr>
        <w:keepNext/>
        <w:spacing w:before="240" w:after="120"/>
        <w:ind w:left="1418" w:hanging="1418"/>
        <w:rPr>
          <w:rFonts w:ascii="Times New Roman" w:hAnsi="Times New Roman"/>
          <w:b/>
          <w:bCs/>
          <w:szCs w:val="18"/>
          <w:lang w:eastAsia="bg-BG"/>
        </w:rPr>
      </w:pPr>
      <w:bookmarkStart w:id="222" w:name="_Toc233185127"/>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9</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Фискален ангажимент</w:t>
      </w:r>
      <w:bookmarkEnd w:id="222"/>
    </w:p>
    <w:tbl>
      <w:tblPr>
        <w:tblStyle w:val="GridTable5Dark-Accent11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463"/>
        <w:gridCol w:w="3490"/>
        <w:gridCol w:w="1313"/>
        <w:gridCol w:w="1313"/>
        <w:gridCol w:w="1248"/>
        <w:gridCol w:w="1243"/>
      </w:tblGrid>
      <w:tr w:rsidR="00761800" w:rsidRPr="00761800" w14:paraId="00DE47C2" w14:textId="77777777" w:rsidTr="00406B4D">
        <w:trPr>
          <w:trHeight w:val="20"/>
          <w:tblHeader/>
          <w:jc w:val="center"/>
        </w:trPr>
        <w:tc>
          <w:tcPr>
            <w:tcW w:w="2179" w:type="pct"/>
            <w:gridSpan w:val="2"/>
            <w:tcBorders>
              <w:top w:val="single" w:sz="4" w:space="0" w:color="auto"/>
              <w:bottom w:val="single" w:sz="4" w:space="0" w:color="auto"/>
            </w:tcBorders>
            <w:shd w:val="clear" w:color="auto" w:fill="auto"/>
            <w:vAlign w:val="center"/>
          </w:tcPr>
          <w:p w14:paraId="4D117D63" w14:textId="77777777" w:rsidR="00761800" w:rsidRPr="00761800" w:rsidRDefault="00761800" w:rsidP="00761800">
            <w:pPr>
              <w:spacing w:before="40" w:after="40"/>
              <w:rPr>
                <w:rFonts w:ascii="Times New Roman" w:hAnsi="Times New Roman"/>
                <w:b/>
                <w:bCs/>
                <w:sz w:val="18"/>
              </w:rPr>
            </w:pPr>
          </w:p>
        </w:tc>
        <w:tc>
          <w:tcPr>
            <w:tcW w:w="724" w:type="pct"/>
            <w:tcBorders>
              <w:top w:val="single" w:sz="4" w:space="0" w:color="auto"/>
              <w:bottom w:val="single" w:sz="4" w:space="0" w:color="auto"/>
            </w:tcBorders>
            <w:shd w:val="clear" w:color="auto" w:fill="auto"/>
            <w:vAlign w:val="center"/>
          </w:tcPr>
          <w:p w14:paraId="33040F70" w14:textId="77777777" w:rsidR="00761800" w:rsidRPr="00761800" w:rsidRDefault="00761800" w:rsidP="00761800">
            <w:pPr>
              <w:spacing w:before="40" w:after="40"/>
              <w:jc w:val="center"/>
              <w:rPr>
                <w:rFonts w:ascii="Times New Roman" w:hAnsi="Times New Roman"/>
                <w:b/>
                <w:bCs/>
                <w:sz w:val="18"/>
              </w:rPr>
            </w:pPr>
            <w:r w:rsidRPr="00761800">
              <w:rPr>
                <w:rFonts w:ascii="Times New Roman" w:hAnsi="Times New Roman"/>
                <w:b/>
                <w:bCs/>
                <w:sz w:val="18"/>
              </w:rPr>
              <w:t>2025</w:t>
            </w:r>
          </w:p>
        </w:tc>
        <w:tc>
          <w:tcPr>
            <w:tcW w:w="724" w:type="pct"/>
            <w:tcBorders>
              <w:top w:val="single" w:sz="4" w:space="0" w:color="auto"/>
            </w:tcBorders>
            <w:shd w:val="clear" w:color="auto" w:fill="auto"/>
            <w:vAlign w:val="center"/>
          </w:tcPr>
          <w:p w14:paraId="3DD118AD" w14:textId="77777777" w:rsidR="00761800" w:rsidRPr="00761800" w:rsidRDefault="00761800" w:rsidP="00761800">
            <w:pPr>
              <w:spacing w:before="40" w:after="40"/>
              <w:jc w:val="center"/>
              <w:rPr>
                <w:rFonts w:ascii="Times New Roman" w:hAnsi="Times New Roman"/>
                <w:b/>
                <w:bCs/>
                <w:sz w:val="18"/>
              </w:rPr>
            </w:pPr>
            <w:r w:rsidRPr="00761800">
              <w:rPr>
                <w:rFonts w:ascii="Times New Roman" w:hAnsi="Times New Roman"/>
                <w:b/>
                <w:bCs/>
                <w:sz w:val="18"/>
              </w:rPr>
              <w:t>2026</w:t>
            </w:r>
          </w:p>
        </w:tc>
        <w:tc>
          <w:tcPr>
            <w:tcW w:w="688" w:type="pct"/>
            <w:tcBorders>
              <w:top w:val="single" w:sz="4" w:space="0" w:color="auto"/>
            </w:tcBorders>
            <w:shd w:val="clear" w:color="auto" w:fill="auto"/>
          </w:tcPr>
          <w:p w14:paraId="19AC6849" w14:textId="77777777" w:rsidR="00761800" w:rsidRPr="00761800" w:rsidRDefault="00761800" w:rsidP="00761800">
            <w:pPr>
              <w:spacing w:before="40" w:after="40"/>
              <w:jc w:val="center"/>
              <w:rPr>
                <w:rFonts w:ascii="Times New Roman" w:hAnsi="Times New Roman"/>
                <w:b/>
                <w:bCs/>
                <w:sz w:val="18"/>
              </w:rPr>
            </w:pPr>
            <w:r w:rsidRPr="00761800">
              <w:rPr>
                <w:rFonts w:ascii="Times New Roman" w:hAnsi="Times New Roman"/>
                <w:b/>
                <w:bCs/>
                <w:sz w:val="18"/>
              </w:rPr>
              <w:t>2027</w:t>
            </w:r>
          </w:p>
        </w:tc>
        <w:tc>
          <w:tcPr>
            <w:tcW w:w="685" w:type="pct"/>
            <w:tcBorders>
              <w:top w:val="single" w:sz="4" w:space="0" w:color="auto"/>
            </w:tcBorders>
            <w:shd w:val="clear" w:color="auto" w:fill="auto"/>
          </w:tcPr>
          <w:p w14:paraId="06297E48" w14:textId="77777777" w:rsidR="00761800" w:rsidRPr="00761800" w:rsidRDefault="00761800" w:rsidP="00761800">
            <w:pPr>
              <w:spacing w:before="40" w:after="40"/>
              <w:jc w:val="center"/>
              <w:rPr>
                <w:rFonts w:ascii="Times New Roman" w:hAnsi="Times New Roman"/>
                <w:b/>
                <w:bCs/>
                <w:sz w:val="18"/>
              </w:rPr>
            </w:pPr>
            <w:r w:rsidRPr="00761800">
              <w:rPr>
                <w:rFonts w:ascii="Times New Roman" w:hAnsi="Times New Roman"/>
                <w:b/>
                <w:bCs/>
                <w:sz w:val="18"/>
              </w:rPr>
              <w:t>2028</w:t>
            </w:r>
          </w:p>
        </w:tc>
      </w:tr>
      <w:tr w:rsidR="00761800" w:rsidRPr="00761800" w14:paraId="0B466462" w14:textId="77777777" w:rsidTr="00761800">
        <w:trPr>
          <w:cnfStyle w:val="000000100000" w:firstRow="0" w:lastRow="0" w:firstColumn="0" w:lastColumn="0" w:oddVBand="0" w:evenVBand="0" w:oddHBand="1" w:evenHBand="0" w:firstRowFirstColumn="0" w:firstRowLastColumn="0" w:lastRowFirstColumn="0" w:lastRowLastColumn="0"/>
          <w:trHeight w:val="20"/>
          <w:jc w:val="center"/>
        </w:trPr>
        <w:tc>
          <w:tcPr>
            <w:tcW w:w="2179" w:type="pct"/>
            <w:gridSpan w:val="2"/>
            <w:tcBorders>
              <w:top w:val="single" w:sz="4" w:space="0" w:color="auto"/>
            </w:tcBorders>
            <w:shd w:val="clear" w:color="auto" w:fill="E3E4E6"/>
            <w:vAlign w:val="center"/>
          </w:tcPr>
          <w:p w14:paraId="6A738869" w14:textId="77777777" w:rsidR="00761800" w:rsidRPr="00761800" w:rsidRDefault="00761800" w:rsidP="00761800">
            <w:pPr>
              <w:spacing w:before="40" w:after="40"/>
              <w:rPr>
                <w:rFonts w:ascii="Times New Roman" w:hAnsi="Times New Roman"/>
                <w:bCs/>
                <w:sz w:val="18"/>
              </w:rPr>
            </w:pPr>
            <w:r w:rsidRPr="00761800">
              <w:rPr>
                <w:rFonts w:ascii="Times New Roman" w:hAnsi="Times New Roman"/>
                <w:bCs/>
                <w:sz w:val="18"/>
              </w:rPr>
              <w:t>Препоръка на Съвета</w:t>
            </w:r>
          </w:p>
        </w:tc>
        <w:tc>
          <w:tcPr>
            <w:tcW w:w="2821" w:type="pct"/>
            <w:gridSpan w:val="4"/>
            <w:tcBorders>
              <w:top w:val="single" w:sz="4" w:space="0" w:color="auto"/>
            </w:tcBorders>
            <w:shd w:val="clear" w:color="auto" w:fill="auto"/>
          </w:tcPr>
          <w:p w14:paraId="6D45010E" w14:textId="77777777" w:rsidR="00761800" w:rsidRPr="00761800" w:rsidRDefault="00761800" w:rsidP="00761800">
            <w:pPr>
              <w:spacing w:before="40" w:after="40"/>
              <w:rPr>
                <w:rFonts w:ascii="Times New Roman" w:hAnsi="Times New Roman"/>
                <w:bCs/>
                <w:sz w:val="18"/>
              </w:rPr>
            </w:pPr>
          </w:p>
        </w:tc>
      </w:tr>
      <w:tr w:rsidR="00761800" w:rsidRPr="00761800" w14:paraId="622900F2" w14:textId="77777777" w:rsidTr="00406B4D">
        <w:trPr>
          <w:trHeight w:val="20"/>
          <w:jc w:val="center"/>
        </w:trPr>
        <w:tc>
          <w:tcPr>
            <w:tcW w:w="255" w:type="pct"/>
            <w:shd w:val="clear" w:color="auto" w:fill="auto"/>
            <w:vAlign w:val="center"/>
          </w:tcPr>
          <w:p w14:paraId="2685C577" w14:textId="77777777" w:rsidR="00761800" w:rsidRPr="00761800" w:rsidRDefault="00761800" w:rsidP="00761800">
            <w:pPr>
              <w:spacing w:before="40" w:after="40"/>
              <w:rPr>
                <w:rFonts w:ascii="Times New Roman" w:hAnsi="Times New Roman"/>
                <w:bCs/>
                <w:sz w:val="18"/>
              </w:rPr>
            </w:pPr>
            <w:r w:rsidRPr="00761800">
              <w:rPr>
                <w:rFonts w:ascii="Times New Roman" w:hAnsi="Times New Roman"/>
                <w:bCs/>
                <w:sz w:val="18"/>
              </w:rPr>
              <w:t>1</w:t>
            </w:r>
          </w:p>
        </w:tc>
        <w:tc>
          <w:tcPr>
            <w:tcW w:w="1924" w:type="pct"/>
            <w:shd w:val="clear" w:color="auto" w:fill="auto"/>
            <w:vAlign w:val="center"/>
          </w:tcPr>
          <w:p w14:paraId="74F5331B" w14:textId="77777777" w:rsidR="00761800" w:rsidRPr="00761800" w:rsidRDefault="00761800" w:rsidP="00761800">
            <w:pPr>
              <w:spacing w:before="40" w:after="40"/>
              <w:rPr>
                <w:rFonts w:ascii="Times New Roman" w:hAnsi="Times New Roman"/>
                <w:bCs/>
                <w:sz w:val="18"/>
              </w:rPr>
            </w:pPr>
            <w:r w:rsidRPr="00761800">
              <w:rPr>
                <w:rFonts w:ascii="Times New Roman" w:hAnsi="Times New Roman"/>
                <w:bCs/>
                <w:sz w:val="18"/>
              </w:rPr>
              <w:t>Нетни първични разходи, финансирани на национално ниво</w:t>
            </w:r>
          </w:p>
        </w:tc>
        <w:tc>
          <w:tcPr>
            <w:tcW w:w="724" w:type="pct"/>
            <w:shd w:val="clear" w:color="auto" w:fill="auto"/>
            <w:vAlign w:val="bottom"/>
          </w:tcPr>
          <w:p w14:paraId="7DB67A95" w14:textId="77777777" w:rsidR="00761800" w:rsidRPr="00761800" w:rsidRDefault="00761800" w:rsidP="00761800">
            <w:pPr>
              <w:spacing w:before="40" w:after="40"/>
              <w:jc w:val="center"/>
              <w:rPr>
                <w:rFonts w:ascii="Times New Roman" w:hAnsi="Times New Roman"/>
                <w:bCs/>
                <w:sz w:val="18"/>
              </w:rPr>
            </w:pPr>
            <w:r w:rsidRPr="00761800">
              <w:rPr>
                <w:rFonts w:ascii="Times New Roman" w:hAnsi="Times New Roman"/>
                <w:bCs/>
                <w:sz w:val="18"/>
              </w:rPr>
              <w:t>6,2</w:t>
            </w:r>
          </w:p>
        </w:tc>
        <w:tc>
          <w:tcPr>
            <w:tcW w:w="724" w:type="pct"/>
            <w:shd w:val="clear" w:color="auto" w:fill="auto"/>
            <w:vAlign w:val="bottom"/>
          </w:tcPr>
          <w:p w14:paraId="5C8995FF" w14:textId="77777777" w:rsidR="00761800" w:rsidRPr="00761800" w:rsidRDefault="00761800" w:rsidP="00761800">
            <w:pPr>
              <w:spacing w:before="40" w:after="40"/>
              <w:jc w:val="center"/>
              <w:rPr>
                <w:rFonts w:ascii="Times New Roman" w:hAnsi="Times New Roman"/>
                <w:bCs/>
                <w:sz w:val="18"/>
              </w:rPr>
            </w:pPr>
            <w:r w:rsidRPr="00761800">
              <w:rPr>
                <w:rFonts w:ascii="Times New Roman" w:hAnsi="Times New Roman"/>
                <w:bCs/>
                <w:sz w:val="18"/>
              </w:rPr>
              <w:t>3,6</w:t>
            </w:r>
          </w:p>
        </w:tc>
        <w:tc>
          <w:tcPr>
            <w:tcW w:w="688" w:type="pct"/>
            <w:shd w:val="clear" w:color="auto" w:fill="auto"/>
            <w:vAlign w:val="bottom"/>
          </w:tcPr>
          <w:p w14:paraId="254C38D2" w14:textId="77777777" w:rsidR="00761800" w:rsidRPr="00761800" w:rsidRDefault="00761800" w:rsidP="00761800">
            <w:pPr>
              <w:spacing w:before="40" w:after="40"/>
              <w:jc w:val="center"/>
              <w:rPr>
                <w:rFonts w:ascii="Times New Roman" w:hAnsi="Times New Roman"/>
                <w:bCs/>
                <w:sz w:val="18"/>
              </w:rPr>
            </w:pPr>
            <w:r w:rsidRPr="00761800">
              <w:rPr>
                <w:rFonts w:ascii="Times New Roman" w:hAnsi="Times New Roman"/>
                <w:bCs/>
                <w:sz w:val="18"/>
              </w:rPr>
              <w:t>3,7</w:t>
            </w:r>
          </w:p>
        </w:tc>
        <w:tc>
          <w:tcPr>
            <w:tcW w:w="685" w:type="pct"/>
            <w:shd w:val="clear" w:color="auto" w:fill="auto"/>
            <w:vAlign w:val="bottom"/>
          </w:tcPr>
          <w:p w14:paraId="782C9A51" w14:textId="77777777" w:rsidR="00761800" w:rsidRPr="00761800" w:rsidRDefault="00761800" w:rsidP="00761800">
            <w:pPr>
              <w:spacing w:before="40" w:after="40"/>
              <w:jc w:val="center"/>
              <w:rPr>
                <w:rFonts w:ascii="Times New Roman" w:hAnsi="Times New Roman"/>
                <w:bCs/>
                <w:sz w:val="18"/>
              </w:rPr>
            </w:pPr>
            <w:r w:rsidRPr="00761800">
              <w:rPr>
                <w:rFonts w:ascii="Times New Roman" w:hAnsi="Times New Roman"/>
                <w:bCs/>
                <w:sz w:val="18"/>
              </w:rPr>
              <w:t>3,5</w:t>
            </w:r>
          </w:p>
        </w:tc>
      </w:tr>
      <w:tr w:rsidR="00761800" w:rsidRPr="00761800" w14:paraId="199361AD" w14:textId="77777777" w:rsidTr="00761800">
        <w:trPr>
          <w:gridAfter w:val="3"/>
          <w:cnfStyle w:val="000000100000" w:firstRow="0" w:lastRow="0" w:firstColumn="0" w:lastColumn="0" w:oddVBand="0" w:evenVBand="0" w:oddHBand="1" w:evenHBand="0" w:firstRowFirstColumn="0" w:firstRowLastColumn="0" w:lastRowFirstColumn="0" w:lastRowLastColumn="0"/>
          <w:wAfter w:w="2097" w:type="pct"/>
          <w:trHeight w:val="20"/>
          <w:jc w:val="center"/>
        </w:trPr>
        <w:tc>
          <w:tcPr>
            <w:tcW w:w="2179" w:type="pct"/>
            <w:gridSpan w:val="2"/>
            <w:shd w:val="clear" w:color="auto" w:fill="E3E4E6"/>
            <w:vAlign w:val="center"/>
          </w:tcPr>
          <w:p w14:paraId="5A1636ED" w14:textId="77777777" w:rsidR="00761800" w:rsidRPr="00761800" w:rsidRDefault="00761800" w:rsidP="00761800">
            <w:pPr>
              <w:spacing w:before="40" w:after="40"/>
              <w:rPr>
                <w:rFonts w:ascii="Times New Roman" w:hAnsi="Times New Roman"/>
                <w:bCs/>
                <w:sz w:val="18"/>
              </w:rPr>
            </w:pPr>
            <w:r w:rsidRPr="00761800">
              <w:rPr>
                <w:rFonts w:ascii="Times New Roman" w:hAnsi="Times New Roman"/>
                <w:bCs/>
                <w:sz w:val="18"/>
              </w:rPr>
              <w:t>Отчетни данни/прогноза</w:t>
            </w:r>
          </w:p>
        </w:tc>
        <w:tc>
          <w:tcPr>
            <w:tcW w:w="724" w:type="pct"/>
            <w:shd w:val="clear" w:color="auto" w:fill="auto"/>
          </w:tcPr>
          <w:p w14:paraId="21461B55" w14:textId="77777777" w:rsidR="00761800" w:rsidRPr="00761800" w:rsidRDefault="00761800" w:rsidP="00761800">
            <w:pPr>
              <w:spacing w:before="40" w:after="40"/>
              <w:rPr>
                <w:rFonts w:ascii="Times New Roman" w:hAnsi="Times New Roman"/>
                <w:bCs/>
                <w:sz w:val="18"/>
              </w:rPr>
            </w:pPr>
          </w:p>
        </w:tc>
      </w:tr>
      <w:tr w:rsidR="00761800" w:rsidRPr="00761800" w14:paraId="74B5740E" w14:textId="77777777" w:rsidTr="00406B4D">
        <w:trPr>
          <w:trHeight w:val="20"/>
          <w:jc w:val="center"/>
        </w:trPr>
        <w:tc>
          <w:tcPr>
            <w:tcW w:w="255" w:type="pct"/>
            <w:tcBorders>
              <w:bottom w:val="single" w:sz="4" w:space="0" w:color="auto"/>
            </w:tcBorders>
            <w:shd w:val="clear" w:color="auto" w:fill="auto"/>
            <w:vAlign w:val="center"/>
          </w:tcPr>
          <w:p w14:paraId="4616DC80" w14:textId="77777777" w:rsidR="00761800" w:rsidRPr="00761800" w:rsidRDefault="00761800" w:rsidP="00761800">
            <w:pPr>
              <w:spacing w:before="40" w:after="40"/>
              <w:rPr>
                <w:rFonts w:ascii="Times New Roman" w:hAnsi="Times New Roman"/>
                <w:bCs/>
                <w:sz w:val="18"/>
              </w:rPr>
            </w:pPr>
            <w:r w:rsidRPr="00761800">
              <w:rPr>
                <w:rFonts w:ascii="Times New Roman" w:hAnsi="Times New Roman"/>
                <w:bCs/>
                <w:sz w:val="18"/>
              </w:rPr>
              <w:t>2</w:t>
            </w:r>
          </w:p>
        </w:tc>
        <w:tc>
          <w:tcPr>
            <w:tcW w:w="1924" w:type="pct"/>
            <w:tcBorders>
              <w:bottom w:val="single" w:sz="4" w:space="0" w:color="auto"/>
            </w:tcBorders>
            <w:shd w:val="clear" w:color="auto" w:fill="auto"/>
            <w:vAlign w:val="center"/>
          </w:tcPr>
          <w:p w14:paraId="7615EC3E" w14:textId="77777777" w:rsidR="00761800" w:rsidRPr="00761800" w:rsidRDefault="00761800" w:rsidP="00761800">
            <w:pPr>
              <w:spacing w:before="40" w:after="40"/>
              <w:rPr>
                <w:rFonts w:ascii="Times New Roman" w:hAnsi="Times New Roman"/>
                <w:bCs/>
                <w:sz w:val="18"/>
              </w:rPr>
            </w:pPr>
            <w:r w:rsidRPr="00761800">
              <w:rPr>
                <w:rFonts w:ascii="Times New Roman" w:hAnsi="Times New Roman"/>
                <w:bCs/>
                <w:sz w:val="18"/>
              </w:rPr>
              <w:t>Нетни първични разходи, финансирани на национално ниво</w:t>
            </w:r>
          </w:p>
        </w:tc>
        <w:tc>
          <w:tcPr>
            <w:tcW w:w="724" w:type="pct"/>
            <w:tcBorders>
              <w:bottom w:val="single" w:sz="4" w:space="0" w:color="auto"/>
            </w:tcBorders>
            <w:shd w:val="clear" w:color="auto" w:fill="auto"/>
          </w:tcPr>
          <w:p w14:paraId="42150D3F" w14:textId="77777777" w:rsidR="00761800" w:rsidRPr="00761800" w:rsidRDefault="00761800" w:rsidP="00761800">
            <w:pPr>
              <w:spacing w:before="40" w:after="40"/>
              <w:jc w:val="center"/>
              <w:rPr>
                <w:rFonts w:ascii="Times New Roman" w:hAnsi="Times New Roman"/>
                <w:bCs/>
                <w:sz w:val="18"/>
              </w:rPr>
            </w:pPr>
            <w:r w:rsidRPr="00761800">
              <w:rPr>
                <w:rFonts w:ascii="Times New Roman" w:hAnsi="Times New Roman"/>
                <w:bCs/>
                <w:sz w:val="18"/>
              </w:rPr>
              <w:t>12,3</w:t>
            </w:r>
          </w:p>
        </w:tc>
        <w:tc>
          <w:tcPr>
            <w:tcW w:w="724" w:type="pct"/>
            <w:tcBorders>
              <w:bottom w:val="single" w:sz="4" w:space="0" w:color="auto"/>
            </w:tcBorders>
            <w:shd w:val="clear" w:color="auto" w:fill="auto"/>
          </w:tcPr>
          <w:p w14:paraId="3CA9F424" w14:textId="77777777" w:rsidR="00761800" w:rsidRPr="00761800" w:rsidRDefault="00761800" w:rsidP="00761800">
            <w:pPr>
              <w:spacing w:before="40" w:after="40"/>
              <w:jc w:val="center"/>
              <w:rPr>
                <w:rFonts w:ascii="Times New Roman" w:hAnsi="Times New Roman"/>
                <w:bCs/>
                <w:sz w:val="18"/>
              </w:rPr>
            </w:pPr>
            <w:r w:rsidRPr="00761800">
              <w:rPr>
                <w:rFonts w:ascii="Times New Roman" w:hAnsi="Times New Roman"/>
                <w:bCs/>
                <w:sz w:val="18"/>
              </w:rPr>
              <w:t>7,5</w:t>
            </w:r>
          </w:p>
        </w:tc>
        <w:tc>
          <w:tcPr>
            <w:tcW w:w="688" w:type="pct"/>
            <w:tcBorders>
              <w:bottom w:val="single" w:sz="4" w:space="0" w:color="auto"/>
            </w:tcBorders>
            <w:shd w:val="clear" w:color="auto" w:fill="auto"/>
          </w:tcPr>
          <w:p w14:paraId="5F07E324" w14:textId="77777777" w:rsidR="00761800" w:rsidRPr="00761800" w:rsidRDefault="00761800" w:rsidP="00761800">
            <w:pPr>
              <w:spacing w:before="40" w:after="40"/>
              <w:jc w:val="center"/>
              <w:rPr>
                <w:rFonts w:ascii="Times New Roman" w:hAnsi="Times New Roman"/>
                <w:bCs/>
                <w:sz w:val="18"/>
              </w:rPr>
            </w:pPr>
            <w:r w:rsidRPr="00761800">
              <w:rPr>
                <w:rFonts w:ascii="Times New Roman" w:hAnsi="Times New Roman"/>
                <w:bCs/>
                <w:sz w:val="18"/>
              </w:rPr>
              <w:t>2,8</w:t>
            </w:r>
          </w:p>
        </w:tc>
        <w:tc>
          <w:tcPr>
            <w:tcW w:w="685" w:type="pct"/>
            <w:tcBorders>
              <w:bottom w:val="single" w:sz="4" w:space="0" w:color="auto"/>
            </w:tcBorders>
            <w:shd w:val="clear" w:color="auto" w:fill="auto"/>
          </w:tcPr>
          <w:p w14:paraId="4CA1C2A8" w14:textId="77777777" w:rsidR="00761800" w:rsidRPr="00761800" w:rsidRDefault="00761800" w:rsidP="00761800">
            <w:pPr>
              <w:spacing w:before="40" w:after="40"/>
              <w:jc w:val="center"/>
              <w:rPr>
                <w:rFonts w:ascii="Times New Roman" w:hAnsi="Times New Roman"/>
                <w:bCs/>
                <w:sz w:val="18"/>
              </w:rPr>
            </w:pPr>
            <w:r w:rsidRPr="00761800">
              <w:rPr>
                <w:rFonts w:ascii="Times New Roman" w:hAnsi="Times New Roman"/>
                <w:bCs/>
                <w:sz w:val="18"/>
              </w:rPr>
              <w:t>4,4</w:t>
            </w:r>
          </w:p>
        </w:tc>
      </w:tr>
    </w:tbl>
    <w:p w14:paraId="703232CC" w14:textId="77777777" w:rsidR="00761800" w:rsidRPr="00761800" w:rsidRDefault="00761800" w:rsidP="00761800">
      <w:pPr>
        <w:spacing w:before="120" w:after="200"/>
        <w:ind w:firstLine="850"/>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Източник: ЕК, МФ</w:t>
      </w:r>
    </w:p>
    <w:p w14:paraId="50D3A3B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Съгласно методологията на Европейската система от сметки (ЕСС 2010) разходите за придобиване на военно оборудване се отчитат през годината на доставката, независимо от момента на извършване на плащането. Поради това дефицитът на сектор „Държавно управление“ на начислена основа отразява времевото разминаване между извършените плащания и признаването на разходите за доставки на военно оборудване, за които плащанията са осъществени през предходни години. Най-съществено е влиянието на този ефект през 2027 г.</w:t>
      </w:r>
    </w:p>
    <w:p w14:paraId="623D453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 областта на отбраната са предвидени значителни инвестиции за поддържане и развитие на националните отбранителни способности и способностите, свързани с колективната отбрана. Също така, с оглед на повишаването на разполагаемите доходи и професионалното развитие в областта на сигурността и отбраната, осигуряване на средства за запазване на сигурността на границите и за гарантиране безопасността на гражданите е разчетено увеличение на разходите за персонал и други текущи разходи в сектор „Отбрана и сигурност“. </w:t>
      </w:r>
    </w:p>
    <w:p w14:paraId="6395AB6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Планираният размер на бюджетното салдо на сектор „Държавно управление“ за периода 2026-2028 г. ще се реализира при дял на приходите 39,9% от БВП през 2026 г., и 37,0% от БВП през 2028 г. Разходите като дял от БВП достигат 45,3% през 2026 г., като след това намаляват до 40,3% от БВП за 2028 г.</w:t>
      </w:r>
    </w:p>
    <w:p w14:paraId="7FDE108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lastRenderedPageBreak/>
        <w:t xml:space="preserve">В приходната част на бюджета се запазват основните приоритети на политиката, свързани с подобряване на събираемостта, предотвратяване на възможностите за укриване и невнасяне на данъци и осигуровки и намаляване на административната тежест и разходите за бизнеса и гражданите. За изпълнение на приоритетните цели на данъчната политика се извършват нормативни промени и действия на приходните администрации в областта на събирането и контрола. Прогнозният растеж на приходите на сектор „Държавно управление“ спрямо предходната година възлиза на 13,0%. </w:t>
      </w:r>
    </w:p>
    <w:p w14:paraId="052D9B3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b/>
          <w:szCs w:val="22"/>
          <w:lang w:eastAsia="bg-BG"/>
        </w:rPr>
        <w:t>Растежът на приходите</w:t>
      </w:r>
      <w:r w:rsidRPr="00761800">
        <w:rPr>
          <w:rFonts w:ascii="Times New Roman" w:hAnsi="Times New Roman"/>
          <w:szCs w:val="22"/>
          <w:lang w:eastAsia="bg-BG"/>
        </w:rPr>
        <w:t xml:space="preserve"> през 2026 г. ще се базира на увеличения, произтичащи от благоприятното въздействие на макроикономическата среда, на мерки за увеличаване на приходите от ДДС и акциз, повишаване на събираемостта и намаляване дела на сивата икономика, на увеличение на минималния и на максималния осигурителен доход, на пакет от мерки в областта на хазартната дейност и др. </w:t>
      </w:r>
    </w:p>
    <w:p w14:paraId="41A7292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Приходите от данъци върху производството и вноса се очаква да нараснат с 13,1%, като основен принос за това има увеличението на приходите от ДДС с 16,2%. Нарастването на приходите от ДДС се дължи на благоприятната макроикономическа среда и предложените мерки за повишаване на събираемостта, включително засилване на действащия фискален контрол върху стоките с висок фискален риск, дигитално проследяване в реално време на веригата за доставките на горива от производител/вносител до краен потребител и засилен контрол върху електронната търговия. Приходите от акцизи се очаква да се увеличат с 3,9%, основно в резултат на повишаването на акцизните ставки за цигарите, тютюна и останалите тютюневи изделия съгласно ускореното реализиране на вече въведения акцизен календар за периода 2025-2029 г. в Закона за акцизите и данъчните складове за поетапно увеличаване на акцизните ставки върху тютюна и тютюневите изделия. </w:t>
      </w:r>
    </w:p>
    <w:p w14:paraId="44E17C4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Приходите от текущите данъци върху доходите и богатството ще се увеличат с 15,7% спрямо предходната година. Влияние за нарастването на тези приходи оказва нарастването на компенсацията на наетите съгласно макроикономическата прогноза.</w:t>
      </w:r>
    </w:p>
    <w:p w14:paraId="196A815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 цел осигуряване на устойчивостта на системата за социално осигуряване е предвидено изменение на минималните осигурителни прагове по икономически дейности над минималната работна заплата, считано от 01.08.2026 г., както и увеличение на минималния осигурителен доход на 620,20 евро и на максималния осигурителен доход на 2 300 евро за периода от 1 август 2026 г. до 2028 г. Като се вземат предвид тези ефекти, ръстът на приходите от социални осигуровки възлиза на 10,0%.</w:t>
      </w:r>
    </w:p>
    <w:p w14:paraId="25F0F1F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При неданъчните приходи растежът от 10,9% се дължи на пакет от мерки в областта на хазартната дейност, както и на актуализиране размерите на тол таксите в зависимост от въглеродните емисии на пътните превозни средства и увеличение на цената на електронните винетки.</w:t>
      </w:r>
    </w:p>
    <w:p w14:paraId="277FB19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b/>
          <w:szCs w:val="22"/>
          <w:lang w:eastAsia="bg-BG"/>
        </w:rPr>
        <w:t>Разходите на сектор „Държавно управление“</w:t>
      </w:r>
      <w:r w:rsidRPr="00761800">
        <w:rPr>
          <w:rFonts w:ascii="Times New Roman" w:hAnsi="Times New Roman"/>
          <w:szCs w:val="22"/>
          <w:lang w:eastAsia="bg-BG"/>
        </w:rPr>
        <w:t xml:space="preserve"> през 2026 г. се очаква да възлязат на 45,3% от БВП, което е с 3,6 пр.п. по-високо от нивото през предходната година. С най-висок дял в структурата на разходите са социалните трансфери без тези в натура, които обхващат пенсиите и социалните плащания (13,0% от БВП), и компенсацията на наетите (11,7% от БВП). Увеличение в номинално и процентно изражение се наблюдава при  капиталовите трансфери. Брутообразуването на основен капитал се очаква да нарасне в номинално и процентно изражение до 5,8% от БВП.</w:t>
      </w:r>
    </w:p>
    <w:p w14:paraId="68CD3A1C" w14:textId="77777777" w:rsidR="00761800" w:rsidRPr="00761800" w:rsidRDefault="00761800" w:rsidP="00761800">
      <w:pPr>
        <w:spacing w:after="200"/>
        <w:jc w:val="both"/>
        <w:rPr>
          <w:rFonts w:ascii="Times New Roman" w:hAnsi="Times New Roman"/>
          <w:szCs w:val="22"/>
          <w:highlight w:val="green"/>
          <w:lang w:eastAsia="bg-BG"/>
        </w:rPr>
      </w:pPr>
      <w:r w:rsidRPr="00761800">
        <w:rPr>
          <w:rFonts w:ascii="Times New Roman" w:hAnsi="Times New Roman"/>
          <w:szCs w:val="22"/>
          <w:lang w:eastAsia="bg-BG"/>
        </w:rPr>
        <w:t xml:space="preserve">Разходите за компенсация на наетите лица през 2026 г. се очаква да намалеят с 0,8 пр.п. като дял от БВП спрямо 2025 г. Това се дължи на предприетите мерки за ограничаване на темпа на нарастване на възнагражденията в бюджетния сектор с цел спазване на </w:t>
      </w:r>
      <w:r w:rsidRPr="00761800">
        <w:rPr>
          <w:rFonts w:ascii="Times New Roman" w:hAnsi="Times New Roman"/>
          <w:szCs w:val="22"/>
          <w:lang w:eastAsia="bg-BG"/>
        </w:rPr>
        <w:lastRenderedPageBreak/>
        <w:t>фискалните правила и постигане на устойчиво намаляване на бюджетния дефицит. Тази динамика се наблюдава въпреки вече реализираното увеличение на възнагражденията в публичния сектор с 5% от началото на годината, увеличението на минималната работна заплата, както и нарастването на разходите за социално- и здравноосигурителни вноски вследствие на предвиденото повишаване на минималния и максималния осигурителен доход.</w:t>
      </w:r>
    </w:p>
    <w:p w14:paraId="243B23D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При социалните трансфери в натура, които включват плащанията към изпълнителите на медицинска помощ, делът на разходите в БВП през 2026 г. се увеличава с 0,7 пр.п. спрямо 2025 г. и достига 3,1% от БВП. Другата категория социални трансфери – социалните трансфери, различни от тези в натура, обхваща разходите за пенсии, помощи и обезщетения за домакинствата. През 2026 г. техният дял в БВП нараства с 0,1 пр.п. до 13,0% от БВП. Основен принос за това има увеличението на разходите за пенсии вследствие на ежегодното им осъвременяване от 1 юли по реда на чл. 100 от Кодекса за социално осигуряване („швейцарското правило“), както и повишаването на размерите на социалните помощи и обезщетенията за домакинствата.</w:t>
      </w:r>
    </w:p>
    <w:p w14:paraId="0BDB60A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През 2026 г. субсидиите се увеличават с 0,3 пр.п. от БВП до 2,3%, което се дължи на разходите, свързани с програмите и мерките за смекчаване на икономическите последици от нестабилността на цените на електрическата енергия за битови и небитови крайни клиенти. Разходите за лихви нарастват с 0,1 пр.п. до 1,0% от БВП.</w:t>
      </w:r>
    </w:p>
    <w:p w14:paraId="7A1897B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Разходите за брутообразуване на основен капитал като дял от БВП нарастват с 1,3 пр.п. през 2026 г. до 5,8% от БВП. Значително въздействие върху капиталовите разходи оказват тези, финансирани от държавния бюджет съгласно програмата за приоритетни стратегически инвестиционни проекти с национално финансиране за периода 2026-2028 г. и от общините по Инвестиционната програма за общински проекти. Значително увеличение има и на капиталовите разходи по програми на ЕС в рамките на програмния период 2021-2027 г. и по НПВУ. Национално финансираното капиталообразуване за 2026 г. се очаква да достигне до 3,1% от БВП, а финансираното по програми на ЕС - 2,8% от БВП.</w:t>
      </w:r>
    </w:p>
    <w:p w14:paraId="1C80997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Общият ефект от предприятията и болниците, включени в сектор „Държавно управление“, върху баланса на сектора за периода 2026-2028 г. е съответно: 30,8 млн. евро за 2026 г., -167,2 млн. евро за 2027 г и -117,7 млн. евро за 2028 г. За отрицателния ефект върху баланса на сектора най-голямо влияние имат Националната компания „Железопътна инфраструктура“ и „БДЖ – Пътнически превози“ ЕООД.</w:t>
      </w:r>
    </w:p>
    <w:p w14:paraId="0C8CA315" w14:textId="0DA62030" w:rsidR="00761800" w:rsidRPr="00761800" w:rsidRDefault="00761800" w:rsidP="00761800">
      <w:pPr>
        <w:keepNext/>
        <w:spacing w:before="200"/>
        <w:ind w:left="1411" w:hanging="1411"/>
        <w:rPr>
          <w:rFonts w:ascii="Times New Roman" w:hAnsi="Times New Roman"/>
          <w:szCs w:val="22"/>
          <w:vertAlign w:val="superscript"/>
          <w:lang w:eastAsia="bg-BG"/>
        </w:rPr>
      </w:pPr>
      <w:bookmarkStart w:id="223" w:name="_Toc233185128"/>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10</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Изменение на показателите на сектор „Държавно управление“ за периода 2025-2028 г.</w:t>
      </w:r>
      <w:r w:rsidRPr="00761800">
        <w:rPr>
          <w:rFonts w:ascii="Times New Roman" w:hAnsi="Times New Roman"/>
          <w:szCs w:val="22"/>
          <w:vertAlign w:val="superscript"/>
          <w:lang w:eastAsia="bg-BG"/>
        </w:rPr>
        <w:t xml:space="preserve"> </w:t>
      </w:r>
      <w:r w:rsidRPr="00761800">
        <w:rPr>
          <w:rFonts w:ascii="Times New Roman" w:hAnsi="Times New Roman"/>
          <w:position w:val="2"/>
          <w:sz w:val="18"/>
          <w:szCs w:val="22"/>
          <w:vertAlign w:val="superscript"/>
        </w:rPr>
        <w:footnoteReference w:id="35"/>
      </w:r>
      <w:bookmarkEnd w:id="223"/>
    </w:p>
    <w:p w14:paraId="0A59143B" w14:textId="77777777" w:rsidR="00761800" w:rsidRPr="00761800" w:rsidRDefault="00761800" w:rsidP="00761800">
      <w:pPr>
        <w:spacing w:before="120" w:after="200"/>
        <w:jc w:val="both"/>
        <w:rPr>
          <w:rFonts w:ascii="Times New Roman" w:eastAsia="Batang" w:hAnsi="Times New Roman"/>
          <w:sz w:val="18"/>
          <w:szCs w:val="18"/>
          <w:lang w:eastAsia="bg-BG"/>
        </w:rPr>
      </w:pPr>
    </w:p>
    <w:tbl>
      <w:tblPr>
        <w:tblW w:w="5001" w:type="pct"/>
        <w:tblCellMar>
          <w:left w:w="70" w:type="dxa"/>
          <w:right w:w="70" w:type="dxa"/>
        </w:tblCellMar>
        <w:tblLook w:val="04A0" w:firstRow="1" w:lastRow="0" w:firstColumn="1" w:lastColumn="0" w:noHBand="0" w:noVBand="1"/>
      </w:tblPr>
      <w:tblGrid>
        <w:gridCol w:w="1900"/>
        <w:gridCol w:w="770"/>
        <w:gridCol w:w="985"/>
        <w:gridCol w:w="770"/>
        <w:gridCol w:w="985"/>
        <w:gridCol w:w="770"/>
        <w:gridCol w:w="985"/>
        <w:gridCol w:w="770"/>
        <w:gridCol w:w="1127"/>
      </w:tblGrid>
      <w:tr w:rsidR="00761800" w:rsidRPr="00761800" w14:paraId="4D5E3D6B" w14:textId="77777777" w:rsidTr="00406B4D">
        <w:trPr>
          <w:trHeight w:val="300"/>
          <w:tblHeader/>
        </w:trPr>
        <w:tc>
          <w:tcPr>
            <w:tcW w:w="1048" w:type="pct"/>
            <w:vMerge w:val="restart"/>
            <w:tcBorders>
              <w:top w:val="single" w:sz="4" w:space="0" w:color="auto"/>
              <w:left w:val="single" w:sz="4" w:space="0" w:color="auto"/>
              <w:bottom w:val="single" w:sz="4" w:space="0" w:color="000000"/>
              <w:right w:val="nil"/>
            </w:tcBorders>
            <w:shd w:val="clear" w:color="auto" w:fill="auto"/>
            <w:vAlign w:val="center"/>
            <w:hideMark/>
          </w:tcPr>
          <w:p w14:paraId="1669C65F"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 xml:space="preserve">Показатели, </w:t>
            </w:r>
            <w:r w:rsidRPr="00761800">
              <w:rPr>
                <w:rFonts w:ascii="Times New Roman" w:hAnsi="Times New Roman"/>
                <w:b/>
                <w:bCs/>
                <w:sz w:val="16"/>
                <w:szCs w:val="16"/>
                <w:lang w:eastAsia="bg-BG"/>
              </w:rPr>
              <w:br/>
              <w:t>млн. евро</w:t>
            </w:r>
          </w:p>
        </w:tc>
        <w:tc>
          <w:tcPr>
            <w:tcW w:w="968" w:type="pct"/>
            <w:gridSpan w:val="2"/>
            <w:tcBorders>
              <w:top w:val="single" w:sz="4" w:space="0" w:color="auto"/>
              <w:left w:val="single" w:sz="4" w:space="0" w:color="auto"/>
              <w:bottom w:val="single" w:sz="4" w:space="0" w:color="595959"/>
              <w:right w:val="single" w:sz="4" w:space="0" w:color="000000"/>
            </w:tcBorders>
            <w:shd w:val="clear" w:color="auto" w:fill="auto"/>
            <w:noWrap/>
            <w:vAlign w:val="bottom"/>
            <w:hideMark/>
          </w:tcPr>
          <w:p w14:paraId="72EBE10F"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2025</w:t>
            </w:r>
          </w:p>
        </w:tc>
        <w:tc>
          <w:tcPr>
            <w:tcW w:w="968" w:type="pct"/>
            <w:gridSpan w:val="2"/>
            <w:tcBorders>
              <w:top w:val="single" w:sz="4" w:space="0" w:color="auto"/>
              <w:left w:val="nil"/>
              <w:bottom w:val="single" w:sz="4" w:space="0" w:color="595959"/>
              <w:right w:val="single" w:sz="4" w:space="0" w:color="000000"/>
            </w:tcBorders>
            <w:shd w:val="clear" w:color="auto" w:fill="auto"/>
            <w:noWrap/>
            <w:vAlign w:val="bottom"/>
            <w:hideMark/>
          </w:tcPr>
          <w:p w14:paraId="5E25DF47"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2026</w:t>
            </w:r>
          </w:p>
        </w:tc>
        <w:tc>
          <w:tcPr>
            <w:tcW w:w="968" w:type="pct"/>
            <w:gridSpan w:val="2"/>
            <w:tcBorders>
              <w:top w:val="single" w:sz="4" w:space="0" w:color="auto"/>
              <w:left w:val="nil"/>
              <w:bottom w:val="single" w:sz="4" w:space="0" w:color="595959"/>
              <w:right w:val="single" w:sz="4" w:space="0" w:color="000000"/>
            </w:tcBorders>
            <w:shd w:val="clear" w:color="auto" w:fill="auto"/>
            <w:noWrap/>
            <w:vAlign w:val="bottom"/>
            <w:hideMark/>
          </w:tcPr>
          <w:p w14:paraId="6DF3971C"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2027</w:t>
            </w:r>
          </w:p>
        </w:tc>
        <w:tc>
          <w:tcPr>
            <w:tcW w:w="1047" w:type="pct"/>
            <w:gridSpan w:val="2"/>
            <w:tcBorders>
              <w:top w:val="single" w:sz="4" w:space="0" w:color="auto"/>
              <w:left w:val="nil"/>
              <w:bottom w:val="single" w:sz="4" w:space="0" w:color="595959"/>
              <w:right w:val="single" w:sz="4" w:space="0" w:color="000000"/>
            </w:tcBorders>
            <w:shd w:val="clear" w:color="auto" w:fill="auto"/>
            <w:noWrap/>
            <w:vAlign w:val="bottom"/>
            <w:hideMark/>
          </w:tcPr>
          <w:p w14:paraId="34F8F1BA"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2028</w:t>
            </w:r>
          </w:p>
        </w:tc>
      </w:tr>
      <w:tr w:rsidR="00761800" w:rsidRPr="00761800" w14:paraId="01EC6991" w14:textId="77777777" w:rsidTr="00406B4D">
        <w:trPr>
          <w:trHeight w:val="387"/>
          <w:tblHeader/>
        </w:trPr>
        <w:tc>
          <w:tcPr>
            <w:tcW w:w="1048" w:type="pct"/>
            <w:vMerge/>
            <w:tcBorders>
              <w:top w:val="single" w:sz="4" w:space="0" w:color="auto"/>
              <w:left w:val="single" w:sz="4" w:space="0" w:color="auto"/>
              <w:bottom w:val="single" w:sz="4" w:space="0" w:color="000000"/>
              <w:right w:val="nil"/>
            </w:tcBorders>
            <w:vAlign w:val="center"/>
            <w:hideMark/>
          </w:tcPr>
          <w:p w14:paraId="33670B56" w14:textId="77777777" w:rsidR="00761800" w:rsidRPr="00761800" w:rsidRDefault="00761800" w:rsidP="00761800">
            <w:pPr>
              <w:rPr>
                <w:rFonts w:ascii="Times New Roman" w:hAnsi="Times New Roman"/>
                <w:b/>
                <w:bCs/>
                <w:sz w:val="16"/>
                <w:szCs w:val="16"/>
                <w:lang w:eastAsia="bg-BG"/>
              </w:rPr>
            </w:pPr>
          </w:p>
        </w:tc>
        <w:tc>
          <w:tcPr>
            <w:tcW w:w="425" w:type="pct"/>
            <w:tcBorders>
              <w:top w:val="nil"/>
              <w:left w:val="single" w:sz="4" w:space="0" w:color="auto"/>
              <w:bottom w:val="single" w:sz="4" w:space="0" w:color="auto"/>
              <w:right w:val="nil"/>
            </w:tcBorders>
            <w:shd w:val="clear" w:color="auto" w:fill="auto"/>
            <w:hideMark/>
          </w:tcPr>
          <w:p w14:paraId="132AB770"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Проект</w:t>
            </w:r>
          </w:p>
        </w:tc>
        <w:tc>
          <w:tcPr>
            <w:tcW w:w="543" w:type="pct"/>
            <w:tcBorders>
              <w:top w:val="nil"/>
              <w:left w:val="nil"/>
              <w:bottom w:val="single" w:sz="4" w:space="0" w:color="auto"/>
              <w:right w:val="single" w:sz="4" w:space="0" w:color="auto"/>
            </w:tcBorders>
            <w:shd w:val="clear" w:color="auto" w:fill="auto"/>
            <w:hideMark/>
          </w:tcPr>
          <w:p w14:paraId="68CC0B51"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Изменение,</w:t>
            </w:r>
            <w:r w:rsidRPr="00761800">
              <w:rPr>
                <w:rFonts w:ascii="Times New Roman" w:hAnsi="Times New Roman"/>
                <w:b/>
                <w:bCs/>
                <w:sz w:val="16"/>
                <w:szCs w:val="16"/>
                <w:lang w:eastAsia="bg-BG"/>
              </w:rPr>
              <w:br/>
              <w:t>%</w:t>
            </w:r>
          </w:p>
        </w:tc>
        <w:tc>
          <w:tcPr>
            <w:tcW w:w="425" w:type="pct"/>
            <w:tcBorders>
              <w:top w:val="nil"/>
              <w:left w:val="nil"/>
              <w:bottom w:val="single" w:sz="4" w:space="0" w:color="auto"/>
              <w:right w:val="nil"/>
            </w:tcBorders>
            <w:shd w:val="clear" w:color="auto" w:fill="auto"/>
            <w:hideMark/>
          </w:tcPr>
          <w:p w14:paraId="76DB1523"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Проект</w:t>
            </w:r>
          </w:p>
        </w:tc>
        <w:tc>
          <w:tcPr>
            <w:tcW w:w="543" w:type="pct"/>
            <w:tcBorders>
              <w:top w:val="nil"/>
              <w:left w:val="nil"/>
              <w:bottom w:val="single" w:sz="4" w:space="0" w:color="auto"/>
              <w:right w:val="single" w:sz="4" w:space="0" w:color="auto"/>
            </w:tcBorders>
            <w:shd w:val="clear" w:color="auto" w:fill="auto"/>
            <w:hideMark/>
          </w:tcPr>
          <w:p w14:paraId="4DC6E370"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Изменение,</w:t>
            </w:r>
          </w:p>
          <w:p w14:paraId="6210261D"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w:t>
            </w:r>
          </w:p>
        </w:tc>
        <w:tc>
          <w:tcPr>
            <w:tcW w:w="425" w:type="pct"/>
            <w:tcBorders>
              <w:top w:val="nil"/>
              <w:left w:val="nil"/>
              <w:bottom w:val="single" w:sz="4" w:space="0" w:color="auto"/>
              <w:right w:val="nil"/>
            </w:tcBorders>
            <w:shd w:val="clear" w:color="auto" w:fill="auto"/>
            <w:hideMark/>
          </w:tcPr>
          <w:p w14:paraId="20930BFE"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Проект</w:t>
            </w:r>
          </w:p>
        </w:tc>
        <w:tc>
          <w:tcPr>
            <w:tcW w:w="543" w:type="pct"/>
            <w:tcBorders>
              <w:top w:val="nil"/>
              <w:left w:val="nil"/>
              <w:bottom w:val="single" w:sz="4" w:space="0" w:color="auto"/>
              <w:right w:val="single" w:sz="4" w:space="0" w:color="auto"/>
            </w:tcBorders>
            <w:shd w:val="clear" w:color="auto" w:fill="auto"/>
            <w:hideMark/>
          </w:tcPr>
          <w:p w14:paraId="443FC080"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Изменение,</w:t>
            </w:r>
          </w:p>
          <w:p w14:paraId="5CC8D54D"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w:t>
            </w:r>
          </w:p>
        </w:tc>
        <w:tc>
          <w:tcPr>
            <w:tcW w:w="425" w:type="pct"/>
            <w:tcBorders>
              <w:top w:val="nil"/>
              <w:left w:val="nil"/>
              <w:bottom w:val="single" w:sz="4" w:space="0" w:color="auto"/>
              <w:right w:val="nil"/>
            </w:tcBorders>
            <w:shd w:val="clear" w:color="auto" w:fill="auto"/>
            <w:hideMark/>
          </w:tcPr>
          <w:p w14:paraId="1FABCCE8"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Проект</w:t>
            </w:r>
          </w:p>
        </w:tc>
        <w:tc>
          <w:tcPr>
            <w:tcW w:w="622" w:type="pct"/>
            <w:tcBorders>
              <w:top w:val="nil"/>
              <w:left w:val="nil"/>
              <w:bottom w:val="single" w:sz="4" w:space="0" w:color="auto"/>
              <w:right w:val="single" w:sz="4" w:space="0" w:color="auto"/>
            </w:tcBorders>
            <w:shd w:val="clear" w:color="auto" w:fill="auto"/>
            <w:hideMark/>
          </w:tcPr>
          <w:p w14:paraId="1CE0A345"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Изменение,</w:t>
            </w:r>
          </w:p>
          <w:p w14:paraId="70E45060"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w:t>
            </w:r>
          </w:p>
        </w:tc>
      </w:tr>
      <w:tr w:rsidR="00761800" w:rsidRPr="00761800" w14:paraId="49109186" w14:textId="77777777" w:rsidTr="00406B4D">
        <w:trPr>
          <w:trHeight w:val="495"/>
        </w:trPr>
        <w:tc>
          <w:tcPr>
            <w:tcW w:w="1048" w:type="pct"/>
            <w:tcBorders>
              <w:top w:val="nil"/>
              <w:left w:val="single" w:sz="4" w:space="0" w:color="auto"/>
              <w:bottom w:val="nil"/>
              <w:right w:val="nil"/>
            </w:tcBorders>
            <w:shd w:val="clear" w:color="auto" w:fill="auto"/>
            <w:hideMark/>
          </w:tcPr>
          <w:p w14:paraId="659A885C"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1. Данъци върху производството и вноса</w:t>
            </w:r>
          </w:p>
        </w:tc>
        <w:tc>
          <w:tcPr>
            <w:tcW w:w="425" w:type="pct"/>
            <w:tcBorders>
              <w:top w:val="nil"/>
              <w:left w:val="single" w:sz="4" w:space="0" w:color="auto"/>
              <w:bottom w:val="nil"/>
              <w:right w:val="nil"/>
            </w:tcBorders>
            <w:shd w:val="clear" w:color="auto" w:fill="auto"/>
            <w:noWrap/>
            <w:vAlign w:val="bottom"/>
          </w:tcPr>
          <w:p w14:paraId="746E237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16 699,9</w:t>
            </w:r>
          </w:p>
        </w:tc>
        <w:tc>
          <w:tcPr>
            <w:tcW w:w="543" w:type="pct"/>
            <w:tcBorders>
              <w:top w:val="nil"/>
              <w:left w:val="nil"/>
              <w:bottom w:val="nil"/>
              <w:right w:val="single" w:sz="4" w:space="0" w:color="auto"/>
            </w:tcBorders>
            <w:shd w:val="clear" w:color="auto" w:fill="auto"/>
            <w:noWrap/>
            <w:vAlign w:val="bottom"/>
          </w:tcPr>
          <w:p w14:paraId="4053683E"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8,9%</w:t>
            </w:r>
          </w:p>
        </w:tc>
        <w:tc>
          <w:tcPr>
            <w:tcW w:w="425" w:type="pct"/>
            <w:tcBorders>
              <w:top w:val="nil"/>
              <w:left w:val="nil"/>
              <w:bottom w:val="nil"/>
              <w:right w:val="nil"/>
            </w:tcBorders>
            <w:shd w:val="clear" w:color="auto" w:fill="auto"/>
            <w:noWrap/>
            <w:vAlign w:val="bottom"/>
          </w:tcPr>
          <w:p w14:paraId="5AD2EE7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18 894,2</w:t>
            </w:r>
          </w:p>
        </w:tc>
        <w:tc>
          <w:tcPr>
            <w:tcW w:w="543" w:type="pct"/>
            <w:tcBorders>
              <w:top w:val="nil"/>
              <w:left w:val="nil"/>
              <w:bottom w:val="nil"/>
              <w:right w:val="single" w:sz="4" w:space="0" w:color="auto"/>
            </w:tcBorders>
            <w:shd w:val="clear" w:color="auto" w:fill="auto"/>
            <w:noWrap/>
            <w:vAlign w:val="bottom"/>
          </w:tcPr>
          <w:p w14:paraId="6912F9D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13,1%</w:t>
            </w:r>
          </w:p>
        </w:tc>
        <w:tc>
          <w:tcPr>
            <w:tcW w:w="425" w:type="pct"/>
            <w:tcBorders>
              <w:top w:val="nil"/>
              <w:left w:val="nil"/>
              <w:bottom w:val="nil"/>
              <w:right w:val="nil"/>
            </w:tcBorders>
            <w:shd w:val="clear" w:color="auto" w:fill="auto"/>
            <w:noWrap/>
            <w:vAlign w:val="bottom"/>
          </w:tcPr>
          <w:p w14:paraId="18075FD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20 051,8</w:t>
            </w:r>
          </w:p>
        </w:tc>
        <w:tc>
          <w:tcPr>
            <w:tcW w:w="543" w:type="pct"/>
            <w:tcBorders>
              <w:top w:val="nil"/>
              <w:left w:val="nil"/>
              <w:bottom w:val="nil"/>
              <w:right w:val="single" w:sz="4" w:space="0" w:color="auto"/>
            </w:tcBorders>
            <w:shd w:val="clear" w:color="auto" w:fill="auto"/>
            <w:noWrap/>
            <w:vAlign w:val="bottom"/>
          </w:tcPr>
          <w:p w14:paraId="6DF44717"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6,1%</w:t>
            </w:r>
          </w:p>
        </w:tc>
        <w:tc>
          <w:tcPr>
            <w:tcW w:w="425" w:type="pct"/>
            <w:tcBorders>
              <w:top w:val="nil"/>
              <w:left w:val="nil"/>
              <w:bottom w:val="nil"/>
              <w:right w:val="nil"/>
            </w:tcBorders>
            <w:shd w:val="clear" w:color="auto" w:fill="auto"/>
            <w:noWrap/>
            <w:vAlign w:val="bottom"/>
          </w:tcPr>
          <w:p w14:paraId="4F583FF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21 343,0</w:t>
            </w:r>
          </w:p>
        </w:tc>
        <w:tc>
          <w:tcPr>
            <w:tcW w:w="622" w:type="pct"/>
            <w:tcBorders>
              <w:top w:val="nil"/>
              <w:left w:val="nil"/>
              <w:bottom w:val="nil"/>
              <w:right w:val="single" w:sz="4" w:space="0" w:color="auto"/>
            </w:tcBorders>
            <w:shd w:val="clear" w:color="auto" w:fill="auto"/>
            <w:noWrap/>
            <w:vAlign w:val="bottom"/>
          </w:tcPr>
          <w:p w14:paraId="079A649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6,4%</w:t>
            </w:r>
          </w:p>
        </w:tc>
      </w:tr>
      <w:tr w:rsidR="00761800" w:rsidRPr="00761800" w14:paraId="03C94CED" w14:textId="77777777" w:rsidTr="00406B4D">
        <w:trPr>
          <w:trHeight w:val="495"/>
        </w:trPr>
        <w:tc>
          <w:tcPr>
            <w:tcW w:w="1048" w:type="pct"/>
            <w:tcBorders>
              <w:top w:val="nil"/>
              <w:left w:val="single" w:sz="4" w:space="0" w:color="auto"/>
              <w:bottom w:val="nil"/>
              <w:right w:val="nil"/>
            </w:tcBorders>
            <w:shd w:val="clear" w:color="auto" w:fill="auto"/>
            <w:hideMark/>
          </w:tcPr>
          <w:p w14:paraId="1BAB97C6"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2. Текущи данъци върху доходите, богатството и др.</w:t>
            </w:r>
          </w:p>
        </w:tc>
        <w:tc>
          <w:tcPr>
            <w:tcW w:w="425" w:type="pct"/>
            <w:tcBorders>
              <w:top w:val="nil"/>
              <w:left w:val="single" w:sz="4" w:space="0" w:color="auto"/>
              <w:bottom w:val="nil"/>
              <w:right w:val="nil"/>
            </w:tcBorders>
            <w:shd w:val="clear" w:color="auto" w:fill="auto"/>
            <w:noWrap/>
            <w:vAlign w:val="bottom"/>
          </w:tcPr>
          <w:p w14:paraId="20EA557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7 528,8</w:t>
            </w:r>
          </w:p>
        </w:tc>
        <w:tc>
          <w:tcPr>
            <w:tcW w:w="543" w:type="pct"/>
            <w:tcBorders>
              <w:top w:val="nil"/>
              <w:left w:val="nil"/>
              <w:bottom w:val="nil"/>
              <w:right w:val="single" w:sz="4" w:space="0" w:color="auto"/>
            </w:tcBorders>
            <w:shd w:val="clear" w:color="auto" w:fill="auto"/>
            <w:noWrap/>
            <w:vAlign w:val="bottom"/>
          </w:tcPr>
          <w:p w14:paraId="58DD2AC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11,0%</w:t>
            </w:r>
          </w:p>
        </w:tc>
        <w:tc>
          <w:tcPr>
            <w:tcW w:w="425" w:type="pct"/>
            <w:tcBorders>
              <w:top w:val="nil"/>
              <w:left w:val="nil"/>
              <w:bottom w:val="nil"/>
              <w:right w:val="nil"/>
            </w:tcBorders>
            <w:shd w:val="clear" w:color="auto" w:fill="auto"/>
            <w:noWrap/>
            <w:vAlign w:val="bottom"/>
          </w:tcPr>
          <w:p w14:paraId="37BE830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8 708,5</w:t>
            </w:r>
          </w:p>
        </w:tc>
        <w:tc>
          <w:tcPr>
            <w:tcW w:w="543" w:type="pct"/>
            <w:tcBorders>
              <w:top w:val="nil"/>
              <w:left w:val="nil"/>
              <w:bottom w:val="nil"/>
              <w:right w:val="single" w:sz="4" w:space="0" w:color="auto"/>
            </w:tcBorders>
            <w:shd w:val="clear" w:color="auto" w:fill="auto"/>
            <w:noWrap/>
            <w:vAlign w:val="bottom"/>
          </w:tcPr>
          <w:p w14:paraId="22B6B8D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15,7%</w:t>
            </w:r>
          </w:p>
        </w:tc>
        <w:tc>
          <w:tcPr>
            <w:tcW w:w="425" w:type="pct"/>
            <w:tcBorders>
              <w:top w:val="nil"/>
              <w:left w:val="nil"/>
              <w:bottom w:val="nil"/>
              <w:right w:val="nil"/>
            </w:tcBorders>
            <w:shd w:val="clear" w:color="auto" w:fill="auto"/>
            <w:noWrap/>
            <w:vAlign w:val="bottom"/>
          </w:tcPr>
          <w:p w14:paraId="56DD89C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9 390,1</w:t>
            </w:r>
          </w:p>
        </w:tc>
        <w:tc>
          <w:tcPr>
            <w:tcW w:w="543" w:type="pct"/>
            <w:tcBorders>
              <w:top w:val="nil"/>
              <w:left w:val="nil"/>
              <w:bottom w:val="nil"/>
              <w:right w:val="single" w:sz="4" w:space="0" w:color="auto"/>
            </w:tcBorders>
            <w:shd w:val="clear" w:color="auto" w:fill="auto"/>
            <w:noWrap/>
            <w:vAlign w:val="bottom"/>
          </w:tcPr>
          <w:p w14:paraId="0BFCC08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7,8%</w:t>
            </w:r>
          </w:p>
        </w:tc>
        <w:tc>
          <w:tcPr>
            <w:tcW w:w="425" w:type="pct"/>
            <w:tcBorders>
              <w:top w:val="nil"/>
              <w:left w:val="nil"/>
              <w:bottom w:val="nil"/>
              <w:right w:val="nil"/>
            </w:tcBorders>
            <w:shd w:val="clear" w:color="auto" w:fill="auto"/>
            <w:noWrap/>
            <w:vAlign w:val="bottom"/>
          </w:tcPr>
          <w:p w14:paraId="7A72342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9 985,0</w:t>
            </w:r>
          </w:p>
        </w:tc>
        <w:tc>
          <w:tcPr>
            <w:tcW w:w="622" w:type="pct"/>
            <w:tcBorders>
              <w:top w:val="nil"/>
              <w:left w:val="nil"/>
              <w:bottom w:val="nil"/>
              <w:right w:val="single" w:sz="4" w:space="0" w:color="auto"/>
            </w:tcBorders>
            <w:shd w:val="clear" w:color="auto" w:fill="auto"/>
            <w:noWrap/>
            <w:vAlign w:val="bottom"/>
          </w:tcPr>
          <w:p w14:paraId="0A47E92E"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6,3%</w:t>
            </w:r>
          </w:p>
        </w:tc>
      </w:tr>
      <w:tr w:rsidR="00761800" w:rsidRPr="00761800" w14:paraId="320A7720" w14:textId="77777777" w:rsidTr="00406B4D">
        <w:trPr>
          <w:trHeight w:val="495"/>
        </w:trPr>
        <w:tc>
          <w:tcPr>
            <w:tcW w:w="1048" w:type="pct"/>
            <w:tcBorders>
              <w:top w:val="nil"/>
              <w:left w:val="single" w:sz="4" w:space="0" w:color="auto"/>
              <w:bottom w:val="nil"/>
              <w:right w:val="nil"/>
            </w:tcBorders>
            <w:shd w:val="clear" w:color="auto" w:fill="auto"/>
            <w:hideMark/>
          </w:tcPr>
          <w:p w14:paraId="5C98D0F3" w14:textId="77777777" w:rsidR="00761800" w:rsidRPr="00761800" w:rsidRDefault="00761800" w:rsidP="00761800">
            <w:pPr>
              <w:rPr>
                <w:rFonts w:ascii="Times New Roman" w:hAnsi="Times New Roman"/>
                <w:i/>
                <w:iCs/>
                <w:sz w:val="16"/>
                <w:szCs w:val="16"/>
                <w:lang w:eastAsia="bg-BG"/>
              </w:rPr>
            </w:pPr>
            <w:r w:rsidRPr="00761800">
              <w:rPr>
                <w:rFonts w:ascii="Times New Roman" w:hAnsi="Times New Roman"/>
                <w:i/>
                <w:iCs/>
                <w:sz w:val="16"/>
                <w:szCs w:val="16"/>
                <w:lang w:eastAsia="bg-BG"/>
              </w:rPr>
              <w:lastRenderedPageBreak/>
              <w:t xml:space="preserve"> 2a. - в т.ч. платени от домакинствата</w:t>
            </w:r>
          </w:p>
        </w:tc>
        <w:tc>
          <w:tcPr>
            <w:tcW w:w="425" w:type="pct"/>
            <w:tcBorders>
              <w:top w:val="nil"/>
              <w:left w:val="single" w:sz="4" w:space="0" w:color="auto"/>
              <w:bottom w:val="nil"/>
              <w:right w:val="nil"/>
            </w:tcBorders>
            <w:shd w:val="clear" w:color="auto" w:fill="auto"/>
            <w:noWrap/>
            <w:vAlign w:val="bottom"/>
          </w:tcPr>
          <w:p w14:paraId="6D94E499"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4 404,6</w:t>
            </w:r>
          </w:p>
        </w:tc>
        <w:tc>
          <w:tcPr>
            <w:tcW w:w="543" w:type="pct"/>
            <w:tcBorders>
              <w:top w:val="nil"/>
              <w:left w:val="nil"/>
              <w:bottom w:val="nil"/>
              <w:right w:val="single" w:sz="4" w:space="0" w:color="auto"/>
            </w:tcBorders>
            <w:shd w:val="clear" w:color="auto" w:fill="auto"/>
            <w:noWrap/>
            <w:vAlign w:val="bottom"/>
          </w:tcPr>
          <w:p w14:paraId="0412B81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12,0%</w:t>
            </w:r>
          </w:p>
        </w:tc>
        <w:tc>
          <w:tcPr>
            <w:tcW w:w="425" w:type="pct"/>
            <w:tcBorders>
              <w:top w:val="nil"/>
              <w:left w:val="nil"/>
              <w:bottom w:val="nil"/>
              <w:right w:val="nil"/>
            </w:tcBorders>
            <w:shd w:val="clear" w:color="auto" w:fill="auto"/>
            <w:noWrap/>
            <w:vAlign w:val="bottom"/>
          </w:tcPr>
          <w:p w14:paraId="5D2E3E86"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4 949,3</w:t>
            </w:r>
          </w:p>
        </w:tc>
        <w:tc>
          <w:tcPr>
            <w:tcW w:w="543" w:type="pct"/>
            <w:tcBorders>
              <w:top w:val="nil"/>
              <w:left w:val="nil"/>
              <w:bottom w:val="nil"/>
              <w:right w:val="single" w:sz="4" w:space="0" w:color="auto"/>
            </w:tcBorders>
            <w:shd w:val="clear" w:color="auto" w:fill="auto"/>
            <w:noWrap/>
            <w:vAlign w:val="bottom"/>
          </w:tcPr>
          <w:p w14:paraId="52217C89"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12,4%</w:t>
            </w:r>
          </w:p>
        </w:tc>
        <w:tc>
          <w:tcPr>
            <w:tcW w:w="425" w:type="pct"/>
            <w:tcBorders>
              <w:top w:val="nil"/>
              <w:left w:val="nil"/>
              <w:bottom w:val="nil"/>
              <w:right w:val="nil"/>
            </w:tcBorders>
            <w:shd w:val="clear" w:color="auto" w:fill="auto"/>
            <w:noWrap/>
            <w:vAlign w:val="bottom"/>
          </w:tcPr>
          <w:p w14:paraId="69B37626"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5 323,9</w:t>
            </w:r>
          </w:p>
        </w:tc>
        <w:tc>
          <w:tcPr>
            <w:tcW w:w="543" w:type="pct"/>
            <w:tcBorders>
              <w:top w:val="nil"/>
              <w:left w:val="nil"/>
              <w:bottom w:val="nil"/>
              <w:right w:val="single" w:sz="4" w:space="0" w:color="auto"/>
            </w:tcBorders>
            <w:shd w:val="clear" w:color="auto" w:fill="auto"/>
            <w:noWrap/>
            <w:vAlign w:val="bottom"/>
          </w:tcPr>
          <w:p w14:paraId="24C87C9A"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7,6%</w:t>
            </w:r>
          </w:p>
        </w:tc>
        <w:tc>
          <w:tcPr>
            <w:tcW w:w="425" w:type="pct"/>
            <w:tcBorders>
              <w:top w:val="nil"/>
              <w:left w:val="nil"/>
              <w:bottom w:val="nil"/>
              <w:right w:val="nil"/>
            </w:tcBorders>
            <w:shd w:val="clear" w:color="auto" w:fill="auto"/>
            <w:noWrap/>
            <w:vAlign w:val="bottom"/>
          </w:tcPr>
          <w:p w14:paraId="3A60EFE5"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5 645,5</w:t>
            </w:r>
          </w:p>
        </w:tc>
        <w:tc>
          <w:tcPr>
            <w:tcW w:w="622" w:type="pct"/>
            <w:tcBorders>
              <w:top w:val="nil"/>
              <w:left w:val="nil"/>
              <w:bottom w:val="nil"/>
              <w:right w:val="single" w:sz="4" w:space="0" w:color="auto"/>
            </w:tcBorders>
            <w:shd w:val="clear" w:color="auto" w:fill="auto"/>
            <w:noWrap/>
            <w:vAlign w:val="bottom"/>
          </w:tcPr>
          <w:p w14:paraId="33DFF6C3"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6,0%</w:t>
            </w:r>
          </w:p>
        </w:tc>
      </w:tr>
      <w:tr w:rsidR="00761800" w:rsidRPr="00761800" w14:paraId="43BCE2EF" w14:textId="77777777" w:rsidTr="00406B4D">
        <w:trPr>
          <w:trHeight w:val="300"/>
        </w:trPr>
        <w:tc>
          <w:tcPr>
            <w:tcW w:w="1048" w:type="pct"/>
            <w:tcBorders>
              <w:top w:val="nil"/>
              <w:left w:val="single" w:sz="4" w:space="0" w:color="auto"/>
              <w:bottom w:val="nil"/>
              <w:right w:val="nil"/>
            </w:tcBorders>
            <w:shd w:val="clear" w:color="auto" w:fill="auto"/>
            <w:hideMark/>
          </w:tcPr>
          <w:p w14:paraId="5688C9C2" w14:textId="77777777" w:rsidR="00761800" w:rsidRPr="00761800" w:rsidRDefault="00761800" w:rsidP="00761800">
            <w:pPr>
              <w:rPr>
                <w:rFonts w:ascii="Times New Roman" w:hAnsi="Times New Roman"/>
                <w:i/>
                <w:iCs/>
                <w:sz w:val="16"/>
                <w:szCs w:val="16"/>
                <w:lang w:eastAsia="bg-BG"/>
              </w:rPr>
            </w:pPr>
            <w:r w:rsidRPr="00761800">
              <w:rPr>
                <w:rFonts w:ascii="Times New Roman" w:hAnsi="Times New Roman"/>
                <w:i/>
                <w:iCs/>
                <w:sz w:val="16"/>
                <w:szCs w:val="16"/>
                <w:lang w:eastAsia="bg-BG"/>
              </w:rPr>
              <w:t xml:space="preserve"> 2b. - в т.ч. платени от фирмите</w:t>
            </w:r>
          </w:p>
        </w:tc>
        <w:tc>
          <w:tcPr>
            <w:tcW w:w="425" w:type="pct"/>
            <w:tcBorders>
              <w:top w:val="nil"/>
              <w:left w:val="single" w:sz="4" w:space="0" w:color="auto"/>
              <w:bottom w:val="nil"/>
              <w:right w:val="nil"/>
            </w:tcBorders>
            <w:shd w:val="clear" w:color="auto" w:fill="auto"/>
            <w:noWrap/>
            <w:vAlign w:val="bottom"/>
          </w:tcPr>
          <w:p w14:paraId="58B10E16"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3 124,2</w:t>
            </w:r>
          </w:p>
        </w:tc>
        <w:tc>
          <w:tcPr>
            <w:tcW w:w="543" w:type="pct"/>
            <w:tcBorders>
              <w:top w:val="nil"/>
              <w:left w:val="nil"/>
              <w:bottom w:val="nil"/>
              <w:right w:val="single" w:sz="4" w:space="0" w:color="auto"/>
            </w:tcBorders>
            <w:shd w:val="clear" w:color="auto" w:fill="auto"/>
            <w:noWrap/>
            <w:vAlign w:val="bottom"/>
          </w:tcPr>
          <w:p w14:paraId="1B76507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9,6%</w:t>
            </w:r>
          </w:p>
        </w:tc>
        <w:tc>
          <w:tcPr>
            <w:tcW w:w="425" w:type="pct"/>
            <w:tcBorders>
              <w:top w:val="nil"/>
              <w:left w:val="nil"/>
              <w:bottom w:val="nil"/>
              <w:right w:val="nil"/>
            </w:tcBorders>
            <w:shd w:val="clear" w:color="auto" w:fill="auto"/>
            <w:noWrap/>
            <w:vAlign w:val="bottom"/>
          </w:tcPr>
          <w:p w14:paraId="24F8A87D"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3 759,2</w:t>
            </w:r>
          </w:p>
        </w:tc>
        <w:tc>
          <w:tcPr>
            <w:tcW w:w="543" w:type="pct"/>
            <w:tcBorders>
              <w:top w:val="nil"/>
              <w:left w:val="nil"/>
              <w:bottom w:val="nil"/>
              <w:right w:val="single" w:sz="4" w:space="0" w:color="auto"/>
            </w:tcBorders>
            <w:shd w:val="clear" w:color="auto" w:fill="auto"/>
            <w:noWrap/>
            <w:vAlign w:val="bottom"/>
          </w:tcPr>
          <w:p w14:paraId="7264880B"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20,3%</w:t>
            </w:r>
          </w:p>
        </w:tc>
        <w:tc>
          <w:tcPr>
            <w:tcW w:w="425" w:type="pct"/>
            <w:tcBorders>
              <w:top w:val="nil"/>
              <w:left w:val="nil"/>
              <w:bottom w:val="nil"/>
              <w:right w:val="nil"/>
            </w:tcBorders>
            <w:shd w:val="clear" w:color="auto" w:fill="auto"/>
            <w:noWrap/>
            <w:vAlign w:val="bottom"/>
          </w:tcPr>
          <w:p w14:paraId="15C3F686"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4 066,1</w:t>
            </w:r>
          </w:p>
        </w:tc>
        <w:tc>
          <w:tcPr>
            <w:tcW w:w="543" w:type="pct"/>
            <w:tcBorders>
              <w:top w:val="nil"/>
              <w:left w:val="nil"/>
              <w:bottom w:val="nil"/>
              <w:right w:val="single" w:sz="4" w:space="0" w:color="auto"/>
            </w:tcBorders>
            <w:shd w:val="clear" w:color="auto" w:fill="auto"/>
            <w:noWrap/>
            <w:vAlign w:val="bottom"/>
          </w:tcPr>
          <w:p w14:paraId="19D5352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8,2%</w:t>
            </w:r>
          </w:p>
        </w:tc>
        <w:tc>
          <w:tcPr>
            <w:tcW w:w="425" w:type="pct"/>
            <w:tcBorders>
              <w:top w:val="nil"/>
              <w:left w:val="nil"/>
              <w:bottom w:val="nil"/>
              <w:right w:val="nil"/>
            </w:tcBorders>
            <w:shd w:val="clear" w:color="auto" w:fill="auto"/>
            <w:noWrap/>
            <w:vAlign w:val="bottom"/>
          </w:tcPr>
          <w:p w14:paraId="23648457"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4 339,5</w:t>
            </w:r>
          </w:p>
        </w:tc>
        <w:tc>
          <w:tcPr>
            <w:tcW w:w="622" w:type="pct"/>
            <w:tcBorders>
              <w:top w:val="nil"/>
              <w:left w:val="nil"/>
              <w:bottom w:val="nil"/>
              <w:right w:val="single" w:sz="4" w:space="0" w:color="auto"/>
            </w:tcBorders>
            <w:shd w:val="clear" w:color="auto" w:fill="auto"/>
            <w:noWrap/>
            <w:vAlign w:val="bottom"/>
          </w:tcPr>
          <w:p w14:paraId="6235C469"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6,7%</w:t>
            </w:r>
          </w:p>
        </w:tc>
      </w:tr>
      <w:tr w:rsidR="00761800" w:rsidRPr="00761800" w14:paraId="3FD8B22D" w14:textId="77777777" w:rsidTr="00406B4D">
        <w:trPr>
          <w:trHeight w:val="300"/>
        </w:trPr>
        <w:tc>
          <w:tcPr>
            <w:tcW w:w="1048" w:type="pct"/>
            <w:tcBorders>
              <w:top w:val="nil"/>
              <w:left w:val="single" w:sz="4" w:space="0" w:color="auto"/>
              <w:bottom w:val="nil"/>
              <w:right w:val="nil"/>
            </w:tcBorders>
            <w:shd w:val="clear" w:color="auto" w:fill="auto"/>
            <w:hideMark/>
          </w:tcPr>
          <w:p w14:paraId="405ACF27"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3. Социално-осигурителни вноски</w:t>
            </w:r>
          </w:p>
        </w:tc>
        <w:tc>
          <w:tcPr>
            <w:tcW w:w="425" w:type="pct"/>
            <w:tcBorders>
              <w:top w:val="nil"/>
              <w:left w:val="single" w:sz="4" w:space="0" w:color="auto"/>
              <w:bottom w:val="nil"/>
              <w:right w:val="nil"/>
            </w:tcBorders>
            <w:shd w:val="clear" w:color="auto" w:fill="auto"/>
            <w:noWrap/>
            <w:vAlign w:val="bottom"/>
          </w:tcPr>
          <w:p w14:paraId="76C9ED5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10 637,9</w:t>
            </w:r>
          </w:p>
        </w:tc>
        <w:tc>
          <w:tcPr>
            <w:tcW w:w="543" w:type="pct"/>
            <w:tcBorders>
              <w:top w:val="nil"/>
              <w:left w:val="nil"/>
              <w:bottom w:val="nil"/>
              <w:right w:val="single" w:sz="4" w:space="0" w:color="auto"/>
            </w:tcBorders>
            <w:shd w:val="clear" w:color="auto" w:fill="auto"/>
            <w:noWrap/>
            <w:vAlign w:val="bottom"/>
          </w:tcPr>
          <w:p w14:paraId="3BA2610B"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14,6%</w:t>
            </w:r>
          </w:p>
        </w:tc>
        <w:tc>
          <w:tcPr>
            <w:tcW w:w="425" w:type="pct"/>
            <w:tcBorders>
              <w:top w:val="nil"/>
              <w:left w:val="nil"/>
              <w:bottom w:val="nil"/>
              <w:right w:val="nil"/>
            </w:tcBorders>
            <w:shd w:val="clear" w:color="auto" w:fill="auto"/>
            <w:noWrap/>
            <w:vAlign w:val="bottom"/>
          </w:tcPr>
          <w:p w14:paraId="5F71BF6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11 699,2</w:t>
            </w:r>
          </w:p>
        </w:tc>
        <w:tc>
          <w:tcPr>
            <w:tcW w:w="543" w:type="pct"/>
            <w:tcBorders>
              <w:top w:val="nil"/>
              <w:left w:val="nil"/>
              <w:bottom w:val="nil"/>
              <w:right w:val="single" w:sz="4" w:space="0" w:color="auto"/>
            </w:tcBorders>
            <w:shd w:val="clear" w:color="auto" w:fill="auto"/>
            <w:noWrap/>
            <w:vAlign w:val="bottom"/>
          </w:tcPr>
          <w:p w14:paraId="29C7EB0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10,0%</w:t>
            </w:r>
          </w:p>
        </w:tc>
        <w:tc>
          <w:tcPr>
            <w:tcW w:w="425" w:type="pct"/>
            <w:tcBorders>
              <w:top w:val="nil"/>
              <w:left w:val="nil"/>
              <w:bottom w:val="nil"/>
              <w:right w:val="nil"/>
            </w:tcBorders>
            <w:shd w:val="clear" w:color="auto" w:fill="auto"/>
            <w:noWrap/>
            <w:vAlign w:val="bottom"/>
          </w:tcPr>
          <w:p w14:paraId="758FDF2D"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12 740,7</w:t>
            </w:r>
          </w:p>
        </w:tc>
        <w:tc>
          <w:tcPr>
            <w:tcW w:w="543" w:type="pct"/>
            <w:tcBorders>
              <w:top w:val="nil"/>
              <w:left w:val="nil"/>
              <w:bottom w:val="nil"/>
              <w:right w:val="single" w:sz="4" w:space="0" w:color="auto"/>
            </w:tcBorders>
            <w:shd w:val="clear" w:color="auto" w:fill="auto"/>
            <w:noWrap/>
            <w:vAlign w:val="bottom"/>
          </w:tcPr>
          <w:p w14:paraId="2B71C2AD"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8,9%</w:t>
            </w:r>
          </w:p>
        </w:tc>
        <w:tc>
          <w:tcPr>
            <w:tcW w:w="425" w:type="pct"/>
            <w:tcBorders>
              <w:top w:val="nil"/>
              <w:left w:val="nil"/>
              <w:bottom w:val="nil"/>
              <w:right w:val="nil"/>
            </w:tcBorders>
            <w:shd w:val="clear" w:color="auto" w:fill="auto"/>
            <w:noWrap/>
            <w:vAlign w:val="bottom"/>
          </w:tcPr>
          <w:p w14:paraId="46462E1B"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13 845,8</w:t>
            </w:r>
          </w:p>
        </w:tc>
        <w:tc>
          <w:tcPr>
            <w:tcW w:w="622" w:type="pct"/>
            <w:tcBorders>
              <w:top w:val="nil"/>
              <w:left w:val="nil"/>
              <w:bottom w:val="nil"/>
              <w:right w:val="single" w:sz="4" w:space="0" w:color="auto"/>
            </w:tcBorders>
            <w:shd w:val="clear" w:color="auto" w:fill="auto"/>
            <w:noWrap/>
            <w:vAlign w:val="bottom"/>
          </w:tcPr>
          <w:p w14:paraId="0D6391B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8,7%</w:t>
            </w:r>
          </w:p>
        </w:tc>
      </w:tr>
      <w:tr w:rsidR="00761800" w:rsidRPr="00761800" w14:paraId="031831D1" w14:textId="77777777" w:rsidTr="00406B4D">
        <w:trPr>
          <w:trHeight w:val="495"/>
        </w:trPr>
        <w:tc>
          <w:tcPr>
            <w:tcW w:w="1048" w:type="pct"/>
            <w:tcBorders>
              <w:top w:val="nil"/>
              <w:left w:val="single" w:sz="4" w:space="0" w:color="auto"/>
              <w:bottom w:val="nil"/>
              <w:right w:val="nil"/>
            </w:tcBorders>
            <w:shd w:val="clear" w:color="auto" w:fill="auto"/>
            <w:hideMark/>
          </w:tcPr>
          <w:p w14:paraId="77384CC0" w14:textId="77777777" w:rsidR="00761800" w:rsidRPr="00761800" w:rsidRDefault="00761800" w:rsidP="00761800">
            <w:pPr>
              <w:rPr>
                <w:rFonts w:ascii="Times New Roman" w:hAnsi="Times New Roman"/>
                <w:i/>
                <w:iCs/>
                <w:sz w:val="16"/>
                <w:szCs w:val="16"/>
                <w:lang w:eastAsia="bg-BG"/>
              </w:rPr>
            </w:pPr>
            <w:r w:rsidRPr="00761800">
              <w:rPr>
                <w:rFonts w:ascii="Times New Roman" w:hAnsi="Times New Roman"/>
                <w:i/>
                <w:iCs/>
                <w:sz w:val="16"/>
                <w:szCs w:val="16"/>
                <w:lang w:eastAsia="bg-BG"/>
              </w:rPr>
              <w:t xml:space="preserve"> 3a. - в т.ч. действително платени вноски</w:t>
            </w:r>
          </w:p>
        </w:tc>
        <w:tc>
          <w:tcPr>
            <w:tcW w:w="425" w:type="pct"/>
            <w:tcBorders>
              <w:top w:val="nil"/>
              <w:left w:val="single" w:sz="4" w:space="0" w:color="auto"/>
              <w:bottom w:val="nil"/>
              <w:right w:val="nil"/>
            </w:tcBorders>
            <w:shd w:val="clear" w:color="auto" w:fill="auto"/>
            <w:noWrap/>
            <w:vAlign w:val="bottom"/>
          </w:tcPr>
          <w:p w14:paraId="45E54AE0"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10 637,9</w:t>
            </w:r>
          </w:p>
        </w:tc>
        <w:tc>
          <w:tcPr>
            <w:tcW w:w="543" w:type="pct"/>
            <w:tcBorders>
              <w:top w:val="nil"/>
              <w:left w:val="nil"/>
              <w:bottom w:val="nil"/>
              <w:right w:val="single" w:sz="4" w:space="0" w:color="auto"/>
            </w:tcBorders>
            <w:shd w:val="clear" w:color="auto" w:fill="auto"/>
            <w:noWrap/>
            <w:vAlign w:val="bottom"/>
          </w:tcPr>
          <w:p w14:paraId="08764739"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14,6%</w:t>
            </w:r>
          </w:p>
        </w:tc>
        <w:tc>
          <w:tcPr>
            <w:tcW w:w="425" w:type="pct"/>
            <w:tcBorders>
              <w:top w:val="nil"/>
              <w:left w:val="nil"/>
              <w:bottom w:val="nil"/>
              <w:right w:val="nil"/>
            </w:tcBorders>
            <w:shd w:val="clear" w:color="auto" w:fill="auto"/>
            <w:noWrap/>
            <w:vAlign w:val="bottom"/>
          </w:tcPr>
          <w:p w14:paraId="3C971300"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11 699,2</w:t>
            </w:r>
          </w:p>
        </w:tc>
        <w:tc>
          <w:tcPr>
            <w:tcW w:w="543" w:type="pct"/>
            <w:tcBorders>
              <w:top w:val="nil"/>
              <w:left w:val="nil"/>
              <w:bottom w:val="nil"/>
              <w:right w:val="single" w:sz="4" w:space="0" w:color="auto"/>
            </w:tcBorders>
            <w:shd w:val="clear" w:color="auto" w:fill="auto"/>
            <w:noWrap/>
            <w:vAlign w:val="bottom"/>
          </w:tcPr>
          <w:p w14:paraId="0AC0B0C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10,0%</w:t>
            </w:r>
          </w:p>
        </w:tc>
        <w:tc>
          <w:tcPr>
            <w:tcW w:w="425" w:type="pct"/>
            <w:tcBorders>
              <w:top w:val="nil"/>
              <w:left w:val="nil"/>
              <w:bottom w:val="nil"/>
              <w:right w:val="nil"/>
            </w:tcBorders>
            <w:shd w:val="clear" w:color="auto" w:fill="auto"/>
            <w:noWrap/>
            <w:vAlign w:val="bottom"/>
          </w:tcPr>
          <w:p w14:paraId="1D4BA575"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12 740,7</w:t>
            </w:r>
          </w:p>
        </w:tc>
        <w:tc>
          <w:tcPr>
            <w:tcW w:w="543" w:type="pct"/>
            <w:tcBorders>
              <w:top w:val="nil"/>
              <w:left w:val="nil"/>
              <w:bottom w:val="nil"/>
              <w:right w:val="single" w:sz="4" w:space="0" w:color="auto"/>
            </w:tcBorders>
            <w:shd w:val="clear" w:color="auto" w:fill="auto"/>
            <w:noWrap/>
            <w:vAlign w:val="bottom"/>
          </w:tcPr>
          <w:p w14:paraId="7A172C1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8,9%</w:t>
            </w:r>
          </w:p>
        </w:tc>
        <w:tc>
          <w:tcPr>
            <w:tcW w:w="425" w:type="pct"/>
            <w:tcBorders>
              <w:top w:val="nil"/>
              <w:left w:val="nil"/>
              <w:bottom w:val="nil"/>
              <w:right w:val="nil"/>
            </w:tcBorders>
            <w:shd w:val="clear" w:color="auto" w:fill="auto"/>
            <w:noWrap/>
            <w:vAlign w:val="bottom"/>
          </w:tcPr>
          <w:p w14:paraId="6602EC68"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13 845,8</w:t>
            </w:r>
          </w:p>
        </w:tc>
        <w:tc>
          <w:tcPr>
            <w:tcW w:w="622" w:type="pct"/>
            <w:tcBorders>
              <w:top w:val="nil"/>
              <w:left w:val="nil"/>
              <w:bottom w:val="nil"/>
              <w:right w:val="single" w:sz="4" w:space="0" w:color="auto"/>
            </w:tcBorders>
            <w:shd w:val="clear" w:color="auto" w:fill="auto"/>
            <w:noWrap/>
            <w:vAlign w:val="bottom"/>
          </w:tcPr>
          <w:p w14:paraId="1934366A"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8,7%</w:t>
            </w:r>
          </w:p>
        </w:tc>
      </w:tr>
      <w:tr w:rsidR="00761800" w:rsidRPr="00761800" w14:paraId="0C10EF58" w14:textId="77777777" w:rsidTr="00406B4D">
        <w:trPr>
          <w:trHeight w:val="495"/>
        </w:trPr>
        <w:tc>
          <w:tcPr>
            <w:tcW w:w="1048" w:type="pct"/>
            <w:tcBorders>
              <w:top w:val="nil"/>
              <w:left w:val="single" w:sz="4" w:space="0" w:color="auto"/>
              <w:bottom w:val="nil"/>
              <w:right w:val="nil"/>
            </w:tcBorders>
            <w:shd w:val="clear" w:color="auto" w:fill="auto"/>
            <w:hideMark/>
          </w:tcPr>
          <w:p w14:paraId="523BBFF8"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4. Други приходи, вкл. приходи от продажби</w:t>
            </w:r>
          </w:p>
        </w:tc>
        <w:tc>
          <w:tcPr>
            <w:tcW w:w="425" w:type="pct"/>
            <w:tcBorders>
              <w:top w:val="nil"/>
              <w:left w:val="single" w:sz="4" w:space="0" w:color="auto"/>
              <w:bottom w:val="nil"/>
              <w:right w:val="nil"/>
            </w:tcBorders>
            <w:shd w:val="clear" w:color="auto" w:fill="auto"/>
            <w:noWrap/>
            <w:vAlign w:val="bottom"/>
          </w:tcPr>
          <w:p w14:paraId="59406AE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6 096,0</w:t>
            </w:r>
          </w:p>
        </w:tc>
        <w:tc>
          <w:tcPr>
            <w:tcW w:w="543" w:type="pct"/>
            <w:tcBorders>
              <w:top w:val="nil"/>
              <w:left w:val="nil"/>
              <w:bottom w:val="nil"/>
              <w:right w:val="single" w:sz="4" w:space="0" w:color="auto"/>
            </w:tcBorders>
            <w:shd w:val="clear" w:color="auto" w:fill="auto"/>
            <w:noWrap/>
            <w:vAlign w:val="bottom"/>
          </w:tcPr>
          <w:p w14:paraId="175220A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38,1%</w:t>
            </w:r>
          </w:p>
        </w:tc>
        <w:tc>
          <w:tcPr>
            <w:tcW w:w="425" w:type="pct"/>
            <w:tcBorders>
              <w:top w:val="nil"/>
              <w:left w:val="nil"/>
              <w:bottom w:val="nil"/>
              <w:right w:val="nil"/>
            </w:tcBorders>
            <w:shd w:val="clear" w:color="auto" w:fill="auto"/>
            <w:noWrap/>
            <w:vAlign w:val="bottom"/>
          </w:tcPr>
          <w:p w14:paraId="44BB3607"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6 759,3</w:t>
            </w:r>
          </w:p>
        </w:tc>
        <w:tc>
          <w:tcPr>
            <w:tcW w:w="543" w:type="pct"/>
            <w:tcBorders>
              <w:top w:val="nil"/>
              <w:left w:val="nil"/>
              <w:bottom w:val="nil"/>
              <w:right w:val="single" w:sz="4" w:space="0" w:color="auto"/>
            </w:tcBorders>
            <w:shd w:val="clear" w:color="auto" w:fill="auto"/>
            <w:noWrap/>
            <w:vAlign w:val="bottom"/>
          </w:tcPr>
          <w:p w14:paraId="5D148D7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10,9%</w:t>
            </w:r>
          </w:p>
        </w:tc>
        <w:tc>
          <w:tcPr>
            <w:tcW w:w="425" w:type="pct"/>
            <w:tcBorders>
              <w:top w:val="nil"/>
              <w:left w:val="nil"/>
              <w:bottom w:val="nil"/>
              <w:right w:val="nil"/>
            </w:tcBorders>
            <w:shd w:val="clear" w:color="auto" w:fill="auto"/>
            <w:noWrap/>
            <w:vAlign w:val="bottom"/>
          </w:tcPr>
          <w:p w14:paraId="7883459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6 732,4</w:t>
            </w:r>
          </w:p>
        </w:tc>
        <w:tc>
          <w:tcPr>
            <w:tcW w:w="543" w:type="pct"/>
            <w:tcBorders>
              <w:top w:val="nil"/>
              <w:left w:val="nil"/>
              <w:bottom w:val="nil"/>
              <w:right w:val="single" w:sz="4" w:space="0" w:color="auto"/>
            </w:tcBorders>
            <w:shd w:val="clear" w:color="auto" w:fill="auto"/>
            <w:noWrap/>
            <w:vAlign w:val="bottom"/>
          </w:tcPr>
          <w:p w14:paraId="5F12E49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-0,4%</w:t>
            </w:r>
          </w:p>
        </w:tc>
        <w:tc>
          <w:tcPr>
            <w:tcW w:w="425" w:type="pct"/>
            <w:tcBorders>
              <w:top w:val="nil"/>
              <w:left w:val="nil"/>
              <w:bottom w:val="nil"/>
              <w:right w:val="nil"/>
            </w:tcBorders>
            <w:shd w:val="clear" w:color="auto" w:fill="auto"/>
            <w:noWrap/>
            <w:vAlign w:val="bottom"/>
          </w:tcPr>
          <w:p w14:paraId="72D84A3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6 862,0</w:t>
            </w:r>
          </w:p>
        </w:tc>
        <w:tc>
          <w:tcPr>
            <w:tcW w:w="622" w:type="pct"/>
            <w:tcBorders>
              <w:top w:val="nil"/>
              <w:left w:val="nil"/>
              <w:bottom w:val="nil"/>
              <w:right w:val="single" w:sz="4" w:space="0" w:color="auto"/>
            </w:tcBorders>
            <w:shd w:val="clear" w:color="auto" w:fill="auto"/>
            <w:noWrap/>
            <w:vAlign w:val="bottom"/>
          </w:tcPr>
          <w:p w14:paraId="6EA35C1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1,9%</w:t>
            </w:r>
          </w:p>
        </w:tc>
      </w:tr>
      <w:tr w:rsidR="00761800" w:rsidRPr="00761800" w14:paraId="2CCD0DF3" w14:textId="77777777" w:rsidTr="00406B4D">
        <w:trPr>
          <w:trHeight w:val="300"/>
        </w:trPr>
        <w:tc>
          <w:tcPr>
            <w:tcW w:w="1048" w:type="pct"/>
            <w:tcBorders>
              <w:top w:val="nil"/>
              <w:left w:val="single" w:sz="4" w:space="0" w:color="auto"/>
              <w:bottom w:val="nil"/>
              <w:right w:val="nil"/>
            </w:tcBorders>
            <w:shd w:val="clear" w:color="auto" w:fill="auto"/>
            <w:hideMark/>
          </w:tcPr>
          <w:p w14:paraId="00BAC8BB"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 xml:space="preserve">5. Общо текущи приходи </w:t>
            </w:r>
          </w:p>
        </w:tc>
        <w:tc>
          <w:tcPr>
            <w:tcW w:w="425" w:type="pct"/>
            <w:tcBorders>
              <w:top w:val="nil"/>
              <w:left w:val="single" w:sz="4" w:space="0" w:color="auto"/>
              <w:bottom w:val="nil"/>
              <w:right w:val="nil"/>
            </w:tcBorders>
            <w:shd w:val="clear" w:color="auto" w:fill="auto"/>
            <w:noWrap/>
            <w:vAlign w:val="bottom"/>
          </w:tcPr>
          <w:p w14:paraId="18B36588"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40 962,7</w:t>
            </w:r>
          </w:p>
        </w:tc>
        <w:tc>
          <w:tcPr>
            <w:tcW w:w="543" w:type="pct"/>
            <w:tcBorders>
              <w:top w:val="nil"/>
              <w:left w:val="nil"/>
              <w:bottom w:val="nil"/>
              <w:right w:val="single" w:sz="4" w:space="0" w:color="auto"/>
            </w:tcBorders>
            <w:shd w:val="clear" w:color="auto" w:fill="auto"/>
            <w:noWrap/>
            <w:vAlign w:val="bottom"/>
          </w:tcPr>
          <w:p w14:paraId="354AE3B5"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14,3%</w:t>
            </w:r>
          </w:p>
        </w:tc>
        <w:tc>
          <w:tcPr>
            <w:tcW w:w="425" w:type="pct"/>
            <w:tcBorders>
              <w:top w:val="nil"/>
              <w:left w:val="nil"/>
              <w:bottom w:val="nil"/>
              <w:right w:val="nil"/>
            </w:tcBorders>
            <w:shd w:val="clear" w:color="auto" w:fill="auto"/>
            <w:noWrap/>
            <w:vAlign w:val="bottom"/>
          </w:tcPr>
          <w:p w14:paraId="150E58CE"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46 061,2</w:t>
            </w:r>
          </w:p>
        </w:tc>
        <w:tc>
          <w:tcPr>
            <w:tcW w:w="543" w:type="pct"/>
            <w:tcBorders>
              <w:top w:val="nil"/>
              <w:left w:val="nil"/>
              <w:bottom w:val="nil"/>
              <w:right w:val="single" w:sz="4" w:space="0" w:color="auto"/>
            </w:tcBorders>
            <w:shd w:val="clear" w:color="auto" w:fill="auto"/>
            <w:noWrap/>
            <w:vAlign w:val="bottom"/>
          </w:tcPr>
          <w:p w14:paraId="6271A1F3"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12,4%</w:t>
            </w:r>
          </w:p>
        </w:tc>
        <w:tc>
          <w:tcPr>
            <w:tcW w:w="425" w:type="pct"/>
            <w:tcBorders>
              <w:top w:val="nil"/>
              <w:left w:val="nil"/>
              <w:bottom w:val="nil"/>
              <w:right w:val="nil"/>
            </w:tcBorders>
            <w:shd w:val="clear" w:color="auto" w:fill="auto"/>
            <w:noWrap/>
            <w:vAlign w:val="bottom"/>
          </w:tcPr>
          <w:p w14:paraId="3C5ED7EF"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48 915,0</w:t>
            </w:r>
          </w:p>
        </w:tc>
        <w:tc>
          <w:tcPr>
            <w:tcW w:w="543" w:type="pct"/>
            <w:tcBorders>
              <w:top w:val="nil"/>
              <w:left w:val="nil"/>
              <w:bottom w:val="nil"/>
              <w:right w:val="single" w:sz="4" w:space="0" w:color="auto"/>
            </w:tcBorders>
            <w:shd w:val="clear" w:color="auto" w:fill="auto"/>
            <w:noWrap/>
            <w:vAlign w:val="bottom"/>
          </w:tcPr>
          <w:p w14:paraId="1D8EB628"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6,2%</w:t>
            </w:r>
          </w:p>
        </w:tc>
        <w:tc>
          <w:tcPr>
            <w:tcW w:w="425" w:type="pct"/>
            <w:tcBorders>
              <w:top w:val="nil"/>
              <w:left w:val="nil"/>
              <w:bottom w:val="nil"/>
              <w:right w:val="nil"/>
            </w:tcBorders>
            <w:shd w:val="clear" w:color="auto" w:fill="auto"/>
            <w:noWrap/>
            <w:vAlign w:val="bottom"/>
          </w:tcPr>
          <w:p w14:paraId="06EED734"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52 035,8</w:t>
            </w:r>
          </w:p>
        </w:tc>
        <w:tc>
          <w:tcPr>
            <w:tcW w:w="622" w:type="pct"/>
            <w:tcBorders>
              <w:top w:val="nil"/>
              <w:left w:val="nil"/>
              <w:bottom w:val="nil"/>
              <w:right w:val="single" w:sz="4" w:space="0" w:color="auto"/>
            </w:tcBorders>
            <w:shd w:val="clear" w:color="auto" w:fill="auto"/>
            <w:noWrap/>
            <w:vAlign w:val="bottom"/>
          </w:tcPr>
          <w:p w14:paraId="13C2A1FC"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6,4%</w:t>
            </w:r>
          </w:p>
        </w:tc>
      </w:tr>
      <w:tr w:rsidR="00761800" w:rsidRPr="00761800" w14:paraId="4DD83334" w14:textId="77777777" w:rsidTr="00406B4D">
        <w:trPr>
          <w:trHeight w:val="300"/>
        </w:trPr>
        <w:tc>
          <w:tcPr>
            <w:tcW w:w="1048" w:type="pct"/>
            <w:tcBorders>
              <w:top w:val="nil"/>
              <w:left w:val="single" w:sz="4" w:space="0" w:color="auto"/>
              <w:bottom w:val="nil"/>
              <w:right w:val="nil"/>
            </w:tcBorders>
            <w:shd w:val="clear" w:color="auto" w:fill="auto"/>
            <w:hideMark/>
          </w:tcPr>
          <w:p w14:paraId="519CEF1B"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6. Компенсация на наетите лица</w:t>
            </w:r>
          </w:p>
        </w:tc>
        <w:tc>
          <w:tcPr>
            <w:tcW w:w="425" w:type="pct"/>
            <w:tcBorders>
              <w:top w:val="nil"/>
              <w:left w:val="single" w:sz="4" w:space="0" w:color="auto"/>
              <w:bottom w:val="nil"/>
              <w:right w:val="nil"/>
            </w:tcBorders>
            <w:shd w:val="clear" w:color="auto" w:fill="auto"/>
            <w:noWrap/>
            <w:vAlign w:val="bottom"/>
          </w:tcPr>
          <w:p w14:paraId="0C8DB1C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14 441,6</w:t>
            </w:r>
          </w:p>
        </w:tc>
        <w:tc>
          <w:tcPr>
            <w:tcW w:w="543" w:type="pct"/>
            <w:tcBorders>
              <w:top w:val="nil"/>
              <w:left w:val="nil"/>
              <w:bottom w:val="nil"/>
              <w:right w:val="single" w:sz="4" w:space="0" w:color="auto"/>
            </w:tcBorders>
            <w:shd w:val="clear" w:color="auto" w:fill="auto"/>
            <w:noWrap/>
            <w:vAlign w:val="bottom"/>
          </w:tcPr>
          <w:p w14:paraId="32E915E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21,6%</w:t>
            </w:r>
          </w:p>
        </w:tc>
        <w:tc>
          <w:tcPr>
            <w:tcW w:w="425" w:type="pct"/>
            <w:tcBorders>
              <w:top w:val="nil"/>
              <w:left w:val="nil"/>
              <w:bottom w:val="nil"/>
              <w:right w:val="nil"/>
            </w:tcBorders>
            <w:shd w:val="clear" w:color="auto" w:fill="auto"/>
            <w:noWrap/>
            <w:vAlign w:val="bottom"/>
          </w:tcPr>
          <w:p w14:paraId="32F9074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14 624,8</w:t>
            </w:r>
          </w:p>
        </w:tc>
        <w:tc>
          <w:tcPr>
            <w:tcW w:w="543" w:type="pct"/>
            <w:tcBorders>
              <w:top w:val="nil"/>
              <w:left w:val="nil"/>
              <w:bottom w:val="nil"/>
              <w:right w:val="single" w:sz="4" w:space="0" w:color="auto"/>
            </w:tcBorders>
            <w:shd w:val="clear" w:color="auto" w:fill="auto"/>
            <w:noWrap/>
            <w:vAlign w:val="bottom"/>
          </w:tcPr>
          <w:p w14:paraId="1698B431"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1,3%</w:t>
            </w:r>
          </w:p>
        </w:tc>
        <w:tc>
          <w:tcPr>
            <w:tcW w:w="425" w:type="pct"/>
            <w:tcBorders>
              <w:top w:val="nil"/>
              <w:left w:val="nil"/>
              <w:bottom w:val="nil"/>
              <w:right w:val="nil"/>
            </w:tcBorders>
            <w:shd w:val="clear" w:color="auto" w:fill="auto"/>
            <w:noWrap/>
            <w:vAlign w:val="bottom"/>
          </w:tcPr>
          <w:p w14:paraId="7B45724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14 932,7</w:t>
            </w:r>
          </w:p>
        </w:tc>
        <w:tc>
          <w:tcPr>
            <w:tcW w:w="543" w:type="pct"/>
            <w:tcBorders>
              <w:top w:val="nil"/>
              <w:left w:val="nil"/>
              <w:bottom w:val="nil"/>
              <w:right w:val="single" w:sz="4" w:space="0" w:color="auto"/>
            </w:tcBorders>
            <w:shd w:val="clear" w:color="auto" w:fill="auto"/>
            <w:noWrap/>
            <w:vAlign w:val="bottom"/>
          </w:tcPr>
          <w:p w14:paraId="323DC34B"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2,1%</w:t>
            </w:r>
          </w:p>
        </w:tc>
        <w:tc>
          <w:tcPr>
            <w:tcW w:w="425" w:type="pct"/>
            <w:tcBorders>
              <w:top w:val="nil"/>
              <w:left w:val="nil"/>
              <w:bottom w:val="nil"/>
              <w:right w:val="nil"/>
            </w:tcBorders>
            <w:shd w:val="clear" w:color="auto" w:fill="auto"/>
            <w:noWrap/>
            <w:vAlign w:val="bottom"/>
          </w:tcPr>
          <w:p w14:paraId="0679E26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15 273,6</w:t>
            </w:r>
          </w:p>
        </w:tc>
        <w:tc>
          <w:tcPr>
            <w:tcW w:w="622" w:type="pct"/>
            <w:tcBorders>
              <w:top w:val="nil"/>
              <w:left w:val="nil"/>
              <w:bottom w:val="nil"/>
              <w:right w:val="single" w:sz="4" w:space="0" w:color="auto"/>
            </w:tcBorders>
            <w:shd w:val="clear" w:color="auto" w:fill="auto"/>
            <w:noWrap/>
            <w:vAlign w:val="bottom"/>
          </w:tcPr>
          <w:p w14:paraId="0CEF27D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2,3%</w:t>
            </w:r>
          </w:p>
        </w:tc>
      </w:tr>
      <w:tr w:rsidR="00761800" w:rsidRPr="00761800" w14:paraId="0B20E41D" w14:textId="77777777" w:rsidTr="00406B4D">
        <w:trPr>
          <w:trHeight w:val="300"/>
        </w:trPr>
        <w:tc>
          <w:tcPr>
            <w:tcW w:w="1048" w:type="pct"/>
            <w:tcBorders>
              <w:top w:val="nil"/>
              <w:left w:val="single" w:sz="4" w:space="0" w:color="auto"/>
              <w:bottom w:val="nil"/>
              <w:right w:val="nil"/>
            </w:tcBorders>
            <w:shd w:val="clear" w:color="auto" w:fill="auto"/>
            <w:hideMark/>
          </w:tcPr>
          <w:p w14:paraId="7A313265"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7. Междинно потребление</w:t>
            </w:r>
          </w:p>
        </w:tc>
        <w:tc>
          <w:tcPr>
            <w:tcW w:w="425" w:type="pct"/>
            <w:tcBorders>
              <w:top w:val="nil"/>
              <w:left w:val="single" w:sz="4" w:space="0" w:color="auto"/>
              <w:bottom w:val="nil"/>
              <w:right w:val="nil"/>
            </w:tcBorders>
            <w:shd w:val="clear" w:color="auto" w:fill="auto"/>
            <w:noWrap/>
            <w:vAlign w:val="bottom"/>
          </w:tcPr>
          <w:p w14:paraId="4C674B1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5 610,4</w:t>
            </w:r>
          </w:p>
        </w:tc>
        <w:tc>
          <w:tcPr>
            <w:tcW w:w="543" w:type="pct"/>
            <w:tcBorders>
              <w:top w:val="nil"/>
              <w:left w:val="nil"/>
              <w:bottom w:val="nil"/>
              <w:right w:val="single" w:sz="4" w:space="0" w:color="auto"/>
            </w:tcBorders>
            <w:shd w:val="clear" w:color="auto" w:fill="auto"/>
            <w:noWrap/>
            <w:vAlign w:val="bottom"/>
          </w:tcPr>
          <w:p w14:paraId="31B8C20B"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15,1%</w:t>
            </w:r>
          </w:p>
        </w:tc>
        <w:tc>
          <w:tcPr>
            <w:tcW w:w="425" w:type="pct"/>
            <w:tcBorders>
              <w:top w:val="nil"/>
              <w:left w:val="nil"/>
              <w:bottom w:val="nil"/>
              <w:right w:val="nil"/>
            </w:tcBorders>
            <w:shd w:val="clear" w:color="auto" w:fill="auto"/>
            <w:noWrap/>
            <w:vAlign w:val="bottom"/>
          </w:tcPr>
          <w:p w14:paraId="17F8F02C"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6 901,4</w:t>
            </w:r>
          </w:p>
        </w:tc>
        <w:tc>
          <w:tcPr>
            <w:tcW w:w="543" w:type="pct"/>
            <w:tcBorders>
              <w:top w:val="nil"/>
              <w:left w:val="nil"/>
              <w:bottom w:val="nil"/>
              <w:right w:val="single" w:sz="4" w:space="0" w:color="auto"/>
            </w:tcBorders>
            <w:shd w:val="clear" w:color="auto" w:fill="auto"/>
            <w:noWrap/>
            <w:vAlign w:val="bottom"/>
          </w:tcPr>
          <w:p w14:paraId="44228919"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23,0%</w:t>
            </w:r>
          </w:p>
        </w:tc>
        <w:tc>
          <w:tcPr>
            <w:tcW w:w="425" w:type="pct"/>
            <w:tcBorders>
              <w:top w:val="nil"/>
              <w:left w:val="nil"/>
              <w:bottom w:val="nil"/>
              <w:right w:val="nil"/>
            </w:tcBorders>
            <w:shd w:val="clear" w:color="auto" w:fill="auto"/>
            <w:noWrap/>
            <w:vAlign w:val="bottom"/>
          </w:tcPr>
          <w:p w14:paraId="7BF2580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6 838,7</w:t>
            </w:r>
          </w:p>
        </w:tc>
        <w:tc>
          <w:tcPr>
            <w:tcW w:w="543" w:type="pct"/>
            <w:tcBorders>
              <w:top w:val="nil"/>
              <w:left w:val="nil"/>
              <w:bottom w:val="nil"/>
              <w:right w:val="single" w:sz="4" w:space="0" w:color="auto"/>
            </w:tcBorders>
            <w:shd w:val="clear" w:color="auto" w:fill="auto"/>
            <w:noWrap/>
            <w:vAlign w:val="bottom"/>
          </w:tcPr>
          <w:p w14:paraId="1B26E2A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-0,9%</w:t>
            </w:r>
          </w:p>
        </w:tc>
        <w:tc>
          <w:tcPr>
            <w:tcW w:w="425" w:type="pct"/>
            <w:tcBorders>
              <w:top w:val="nil"/>
              <w:left w:val="nil"/>
              <w:bottom w:val="nil"/>
              <w:right w:val="nil"/>
            </w:tcBorders>
            <w:shd w:val="clear" w:color="auto" w:fill="auto"/>
            <w:noWrap/>
            <w:vAlign w:val="bottom"/>
          </w:tcPr>
          <w:p w14:paraId="3DD0D9E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6 811,9</w:t>
            </w:r>
          </w:p>
        </w:tc>
        <w:tc>
          <w:tcPr>
            <w:tcW w:w="622" w:type="pct"/>
            <w:tcBorders>
              <w:top w:val="nil"/>
              <w:left w:val="nil"/>
              <w:bottom w:val="nil"/>
              <w:right w:val="single" w:sz="4" w:space="0" w:color="auto"/>
            </w:tcBorders>
            <w:shd w:val="clear" w:color="auto" w:fill="auto"/>
            <w:noWrap/>
            <w:vAlign w:val="bottom"/>
          </w:tcPr>
          <w:p w14:paraId="10439111"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-0,4%</w:t>
            </w:r>
          </w:p>
        </w:tc>
      </w:tr>
      <w:tr w:rsidR="00761800" w:rsidRPr="00761800" w14:paraId="1D113DA3" w14:textId="77777777" w:rsidTr="00406B4D">
        <w:trPr>
          <w:trHeight w:val="300"/>
        </w:trPr>
        <w:tc>
          <w:tcPr>
            <w:tcW w:w="1048" w:type="pct"/>
            <w:tcBorders>
              <w:top w:val="nil"/>
              <w:left w:val="single" w:sz="4" w:space="0" w:color="auto"/>
              <w:bottom w:val="nil"/>
              <w:right w:val="nil"/>
            </w:tcBorders>
            <w:shd w:val="clear" w:color="auto" w:fill="auto"/>
            <w:hideMark/>
          </w:tcPr>
          <w:p w14:paraId="07DBE316"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8. Социални трансфери в натура</w:t>
            </w:r>
          </w:p>
        </w:tc>
        <w:tc>
          <w:tcPr>
            <w:tcW w:w="425" w:type="pct"/>
            <w:tcBorders>
              <w:top w:val="nil"/>
              <w:left w:val="single" w:sz="4" w:space="0" w:color="auto"/>
              <w:bottom w:val="nil"/>
              <w:right w:val="nil"/>
            </w:tcBorders>
            <w:shd w:val="clear" w:color="auto" w:fill="auto"/>
            <w:noWrap/>
            <w:vAlign w:val="bottom"/>
          </w:tcPr>
          <w:p w14:paraId="19A37F7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2 794,1</w:t>
            </w:r>
          </w:p>
        </w:tc>
        <w:tc>
          <w:tcPr>
            <w:tcW w:w="543" w:type="pct"/>
            <w:tcBorders>
              <w:top w:val="nil"/>
              <w:left w:val="nil"/>
              <w:bottom w:val="nil"/>
              <w:right w:val="single" w:sz="4" w:space="0" w:color="auto"/>
            </w:tcBorders>
            <w:shd w:val="clear" w:color="auto" w:fill="auto"/>
            <w:noWrap/>
            <w:vAlign w:val="bottom"/>
          </w:tcPr>
          <w:p w14:paraId="305D9BB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14,6%</w:t>
            </w:r>
          </w:p>
        </w:tc>
        <w:tc>
          <w:tcPr>
            <w:tcW w:w="425" w:type="pct"/>
            <w:tcBorders>
              <w:top w:val="nil"/>
              <w:left w:val="nil"/>
              <w:bottom w:val="nil"/>
              <w:right w:val="nil"/>
            </w:tcBorders>
            <w:shd w:val="clear" w:color="auto" w:fill="auto"/>
            <w:noWrap/>
            <w:vAlign w:val="bottom"/>
          </w:tcPr>
          <w:p w14:paraId="122CCBFA"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3 844,2</w:t>
            </w:r>
          </w:p>
        </w:tc>
        <w:tc>
          <w:tcPr>
            <w:tcW w:w="543" w:type="pct"/>
            <w:tcBorders>
              <w:top w:val="nil"/>
              <w:left w:val="nil"/>
              <w:bottom w:val="nil"/>
              <w:right w:val="single" w:sz="4" w:space="0" w:color="auto"/>
            </w:tcBorders>
            <w:shd w:val="clear" w:color="auto" w:fill="auto"/>
            <w:noWrap/>
            <w:vAlign w:val="bottom"/>
          </w:tcPr>
          <w:p w14:paraId="5B99E44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37,6%</w:t>
            </w:r>
          </w:p>
        </w:tc>
        <w:tc>
          <w:tcPr>
            <w:tcW w:w="425" w:type="pct"/>
            <w:tcBorders>
              <w:top w:val="nil"/>
              <w:left w:val="nil"/>
              <w:bottom w:val="nil"/>
              <w:right w:val="nil"/>
            </w:tcBorders>
            <w:shd w:val="clear" w:color="auto" w:fill="auto"/>
            <w:noWrap/>
            <w:vAlign w:val="bottom"/>
          </w:tcPr>
          <w:p w14:paraId="39D742F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4 133,7</w:t>
            </w:r>
          </w:p>
        </w:tc>
        <w:tc>
          <w:tcPr>
            <w:tcW w:w="543" w:type="pct"/>
            <w:tcBorders>
              <w:top w:val="nil"/>
              <w:left w:val="nil"/>
              <w:bottom w:val="nil"/>
              <w:right w:val="single" w:sz="4" w:space="0" w:color="auto"/>
            </w:tcBorders>
            <w:shd w:val="clear" w:color="auto" w:fill="auto"/>
            <w:noWrap/>
            <w:vAlign w:val="bottom"/>
          </w:tcPr>
          <w:p w14:paraId="12301EE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7,5%</w:t>
            </w:r>
          </w:p>
        </w:tc>
        <w:tc>
          <w:tcPr>
            <w:tcW w:w="425" w:type="pct"/>
            <w:tcBorders>
              <w:top w:val="nil"/>
              <w:left w:val="nil"/>
              <w:bottom w:val="nil"/>
              <w:right w:val="nil"/>
            </w:tcBorders>
            <w:shd w:val="clear" w:color="auto" w:fill="auto"/>
            <w:noWrap/>
            <w:vAlign w:val="bottom"/>
          </w:tcPr>
          <w:p w14:paraId="5B1D2C7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4 307,9</w:t>
            </w:r>
          </w:p>
        </w:tc>
        <w:tc>
          <w:tcPr>
            <w:tcW w:w="622" w:type="pct"/>
            <w:tcBorders>
              <w:top w:val="nil"/>
              <w:left w:val="nil"/>
              <w:bottom w:val="nil"/>
              <w:right w:val="single" w:sz="4" w:space="0" w:color="auto"/>
            </w:tcBorders>
            <w:shd w:val="clear" w:color="auto" w:fill="auto"/>
            <w:noWrap/>
            <w:vAlign w:val="bottom"/>
          </w:tcPr>
          <w:p w14:paraId="0940FC07"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4,2%</w:t>
            </w:r>
          </w:p>
        </w:tc>
      </w:tr>
      <w:tr w:rsidR="00761800" w:rsidRPr="00761800" w14:paraId="035976B6" w14:textId="77777777" w:rsidTr="00406B4D">
        <w:trPr>
          <w:trHeight w:val="495"/>
        </w:trPr>
        <w:tc>
          <w:tcPr>
            <w:tcW w:w="1048" w:type="pct"/>
            <w:tcBorders>
              <w:top w:val="nil"/>
              <w:left w:val="single" w:sz="4" w:space="0" w:color="auto"/>
              <w:bottom w:val="nil"/>
              <w:right w:val="nil"/>
            </w:tcBorders>
            <w:shd w:val="clear" w:color="auto" w:fill="auto"/>
            <w:hideMark/>
          </w:tcPr>
          <w:p w14:paraId="39764652"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9. Социални трансфери без тези в натура</w:t>
            </w:r>
          </w:p>
        </w:tc>
        <w:tc>
          <w:tcPr>
            <w:tcW w:w="425" w:type="pct"/>
            <w:tcBorders>
              <w:top w:val="nil"/>
              <w:left w:val="single" w:sz="4" w:space="0" w:color="auto"/>
              <w:bottom w:val="nil"/>
              <w:right w:val="nil"/>
            </w:tcBorders>
            <w:shd w:val="clear" w:color="auto" w:fill="auto"/>
            <w:noWrap/>
            <w:vAlign w:val="bottom"/>
          </w:tcPr>
          <w:p w14:paraId="097482CC"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14 909,2</w:t>
            </w:r>
          </w:p>
        </w:tc>
        <w:tc>
          <w:tcPr>
            <w:tcW w:w="543" w:type="pct"/>
            <w:tcBorders>
              <w:top w:val="nil"/>
              <w:left w:val="nil"/>
              <w:bottom w:val="nil"/>
              <w:right w:val="single" w:sz="4" w:space="0" w:color="auto"/>
            </w:tcBorders>
            <w:shd w:val="clear" w:color="auto" w:fill="auto"/>
            <w:noWrap/>
            <w:vAlign w:val="bottom"/>
          </w:tcPr>
          <w:p w14:paraId="55CA78C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11,2%</w:t>
            </w:r>
          </w:p>
        </w:tc>
        <w:tc>
          <w:tcPr>
            <w:tcW w:w="425" w:type="pct"/>
            <w:tcBorders>
              <w:top w:val="nil"/>
              <w:left w:val="nil"/>
              <w:bottom w:val="nil"/>
              <w:right w:val="nil"/>
            </w:tcBorders>
            <w:shd w:val="clear" w:color="auto" w:fill="auto"/>
            <w:noWrap/>
            <w:vAlign w:val="bottom"/>
          </w:tcPr>
          <w:p w14:paraId="5387DAE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16 268,0</w:t>
            </w:r>
          </w:p>
        </w:tc>
        <w:tc>
          <w:tcPr>
            <w:tcW w:w="543" w:type="pct"/>
            <w:tcBorders>
              <w:top w:val="nil"/>
              <w:left w:val="nil"/>
              <w:bottom w:val="nil"/>
              <w:right w:val="single" w:sz="4" w:space="0" w:color="auto"/>
            </w:tcBorders>
            <w:shd w:val="clear" w:color="auto" w:fill="auto"/>
            <w:noWrap/>
            <w:vAlign w:val="bottom"/>
          </w:tcPr>
          <w:p w14:paraId="1DE6D399"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9,1%</w:t>
            </w:r>
          </w:p>
        </w:tc>
        <w:tc>
          <w:tcPr>
            <w:tcW w:w="425" w:type="pct"/>
            <w:tcBorders>
              <w:top w:val="nil"/>
              <w:left w:val="nil"/>
              <w:bottom w:val="nil"/>
              <w:right w:val="nil"/>
            </w:tcBorders>
            <w:shd w:val="clear" w:color="auto" w:fill="auto"/>
            <w:noWrap/>
            <w:vAlign w:val="bottom"/>
          </w:tcPr>
          <w:p w14:paraId="3B50671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17 264,6</w:t>
            </w:r>
          </w:p>
        </w:tc>
        <w:tc>
          <w:tcPr>
            <w:tcW w:w="543" w:type="pct"/>
            <w:tcBorders>
              <w:top w:val="nil"/>
              <w:left w:val="nil"/>
              <w:bottom w:val="nil"/>
              <w:right w:val="single" w:sz="4" w:space="0" w:color="auto"/>
            </w:tcBorders>
            <w:shd w:val="clear" w:color="auto" w:fill="auto"/>
            <w:noWrap/>
            <w:vAlign w:val="bottom"/>
          </w:tcPr>
          <w:p w14:paraId="168F439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6,1%</w:t>
            </w:r>
          </w:p>
        </w:tc>
        <w:tc>
          <w:tcPr>
            <w:tcW w:w="425" w:type="pct"/>
            <w:tcBorders>
              <w:top w:val="nil"/>
              <w:left w:val="nil"/>
              <w:bottom w:val="nil"/>
              <w:right w:val="nil"/>
            </w:tcBorders>
            <w:shd w:val="clear" w:color="auto" w:fill="auto"/>
            <w:noWrap/>
            <w:vAlign w:val="bottom"/>
          </w:tcPr>
          <w:p w14:paraId="1120726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18 225,9</w:t>
            </w:r>
          </w:p>
        </w:tc>
        <w:tc>
          <w:tcPr>
            <w:tcW w:w="622" w:type="pct"/>
            <w:tcBorders>
              <w:top w:val="nil"/>
              <w:left w:val="nil"/>
              <w:bottom w:val="nil"/>
              <w:right w:val="single" w:sz="4" w:space="0" w:color="auto"/>
            </w:tcBorders>
            <w:shd w:val="clear" w:color="auto" w:fill="auto"/>
            <w:noWrap/>
            <w:vAlign w:val="bottom"/>
          </w:tcPr>
          <w:p w14:paraId="24D10FD7"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5,6%</w:t>
            </w:r>
          </w:p>
        </w:tc>
      </w:tr>
      <w:tr w:rsidR="00761800" w:rsidRPr="00761800" w14:paraId="0B2078EF" w14:textId="77777777" w:rsidTr="00406B4D">
        <w:trPr>
          <w:trHeight w:val="300"/>
        </w:trPr>
        <w:tc>
          <w:tcPr>
            <w:tcW w:w="1048" w:type="pct"/>
            <w:tcBorders>
              <w:top w:val="nil"/>
              <w:left w:val="single" w:sz="4" w:space="0" w:color="auto"/>
              <w:bottom w:val="nil"/>
              <w:right w:val="nil"/>
            </w:tcBorders>
            <w:shd w:val="clear" w:color="auto" w:fill="auto"/>
            <w:hideMark/>
          </w:tcPr>
          <w:p w14:paraId="1A2BE229"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10. Лихвени разходи</w:t>
            </w:r>
          </w:p>
        </w:tc>
        <w:tc>
          <w:tcPr>
            <w:tcW w:w="425" w:type="pct"/>
            <w:tcBorders>
              <w:top w:val="nil"/>
              <w:left w:val="single" w:sz="4" w:space="0" w:color="auto"/>
              <w:bottom w:val="nil"/>
              <w:right w:val="nil"/>
            </w:tcBorders>
            <w:shd w:val="clear" w:color="auto" w:fill="auto"/>
            <w:noWrap/>
            <w:vAlign w:val="bottom"/>
          </w:tcPr>
          <w:p w14:paraId="209001A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953,6</w:t>
            </w:r>
          </w:p>
        </w:tc>
        <w:tc>
          <w:tcPr>
            <w:tcW w:w="543" w:type="pct"/>
            <w:tcBorders>
              <w:top w:val="nil"/>
              <w:left w:val="nil"/>
              <w:bottom w:val="nil"/>
              <w:right w:val="single" w:sz="4" w:space="0" w:color="auto"/>
            </w:tcBorders>
            <w:shd w:val="clear" w:color="auto" w:fill="auto"/>
            <w:noWrap/>
            <w:vAlign w:val="bottom"/>
          </w:tcPr>
          <w:p w14:paraId="4F9C5DCD"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76,0%</w:t>
            </w:r>
          </w:p>
        </w:tc>
        <w:tc>
          <w:tcPr>
            <w:tcW w:w="425" w:type="pct"/>
            <w:tcBorders>
              <w:top w:val="nil"/>
              <w:left w:val="nil"/>
              <w:bottom w:val="nil"/>
              <w:right w:val="nil"/>
            </w:tcBorders>
            <w:shd w:val="clear" w:color="auto" w:fill="auto"/>
            <w:noWrap/>
            <w:vAlign w:val="bottom"/>
          </w:tcPr>
          <w:p w14:paraId="3CC75E29"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1 200,4</w:t>
            </w:r>
          </w:p>
        </w:tc>
        <w:tc>
          <w:tcPr>
            <w:tcW w:w="543" w:type="pct"/>
            <w:tcBorders>
              <w:top w:val="nil"/>
              <w:left w:val="nil"/>
              <w:bottom w:val="nil"/>
              <w:right w:val="single" w:sz="4" w:space="0" w:color="auto"/>
            </w:tcBorders>
            <w:shd w:val="clear" w:color="auto" w:fill="auto"/>
            <w:noWrap/>
            <w:vAlign w:val="bottom"/>
          </w:tcPr>
          <w:p w14:paraId="477418D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25,9%</w:t>
            </w:r>
          </w:p>
        </w:tc>
        <w:tc>
          <w:tcPr>
            <w:tcW w:w="425" w:type="pct"/>
            <w:tcBorders>
              <w:top w:val="nil"/>
              <w:left w:val="nil"/>
              <w:bottom w:val="nil"/>
              <w:right w:val="nil"/>
            </w:tcBorders>
            <w:shd w:val="clear" w:color="auto" w:fill="auto"/>
            <w:noWrap/>
            <w:vAlign w:val="bottom"/>
          </w:tcPr>
          <w:p w14:paraId="4BE9068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1 565,3</w:t>
            </w:r>
          </w:p>
        </w:tc>
        <w:tc>
          <w:tcPr>
            <w:tcW w:w="543" w:type="pct"/>
            <w:tcBorders>
              <w:top w:val="nil"/>
              <w:left w:val="nil"/>
              <w:bottom w:val="nil"/>
              <w:right w:val="single" w:sz="4" w:space="0" w:color="auto"/>
            </w:tcBorders>
            <w:shd w:val="clear" w:color="auto" w:fill="auto"/>
            <w:noWrap/>
            <w:vAlign w:val="bottom"/>
          </w:tcPr>
          <w:p w14:paraId="45AC6BDE"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30,4%</w:t>
            </w:r>
          </w:p>
        </w:tc>
        <w:tc>
          <w:tcPr>
            <w:tcW w:w="425" w:type="pct"/>
            <w:tcBorders>
              <w:top w:val="nil"/>
              <w:left w:val="nil"/>
              <w:bottom w:val="nil"/>
              <w:right w:val="nil"/>
            </w:tcBorders>
            <w:shd w:val="clear" w:color="auto" w:fill="auto"/>
            <w:noWrap/>
            <w:vAlign w:val="bottom"/>
          </w:tcPr>
          <w:p w14:paraId="02B30309"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1 886,2</w:t>
            </w:r>
          </w:p>
        </w:tc>
        <w:tc>
          <w:tcPr>
            <w:tcW w:w="622" w:type="pct"/>
            <w:tcBorders>
              <w:top w:val="nil"/>
              <w:left w:val="nil"/>
              <w:bottom w:val="nil"/>
              <w:right w:val="single" w:sz="4" w:space="0" w:color="auto"/>
            </w:tcBorders>
            <w:shd w:val="clear" w:color="auto" w:fill="auto"/>
            <w:noWrap/>
            <w:vAlign w:val="bottom"/>
          </w:tcPr>
          <w:p w14:paraId="28882C83"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20,5%</w:t>
            </w:r>
          </w:p>
        </w:tc>
      </w:tr>
      <w:tr w:rsidR="00761800" w:rsidRPr="00761800" w14:paraId="4831E177" w14:textId="77777777" w:rsidTr="00406B4D">
        <w:trPr>
          <w:trHeight w:val="300"/>
        </w:trPr>
        <w:tc>
          <w:tcPr>
            <w:tcW w:w="1048" w:type="pct"/>
            <w:tcBorders>
              <w:top w:val="nil"/>
              <w:left w:val="single" w:sz="4" w:space="0" w:color="auto"/>
              <w:bottom w:val="nil"/>
              <w:right w:val="nil"/>
            </w:tcBorders>
            <w:shd w:val="clear" w:color="auto" w:fill="auto"/>
            <w:hideMark/>
          </w:tcPr>
          <w:p w14:paraId="77CC1D0C"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11. Субсидии</w:t>
            </w:r>
          </w:p>
        </w:tc>
        <w:tc>
          <w:tcPr>
            <w:tcW w:w="425" w:type="pct"/>
            <w:tcBorders>
              <w:top w:val="nil"/>
              <w:left w:val="single" w:sz="4" w:space="0" w:color="auto"/>
              <w:bottom w:val="nil"/>
              <w:right w:val="nil"/>
            </w:tcBorders>
            <w:shd w:val="clear" w:color="auto" w:fill="auto"/>
            <w:noWrap/>
            <w:vAlign w:val="bottom"/>
          </w:tcPr>
          <w:p w14:paraId="6C834659"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2 320,0</w:t>
            </w:r>
          </w:p>
        </w:tc>
        <w:tc>
          <w:tcPr>
            <w:tcW w:w="543" w:type="pct"/>
            <w:tcBorders>
              <w:top w:val="nil"/>
              <w:left w:val="nil"/>
              <w:bottom w:val="nil"/>
              <w:right w:val="single" w:sz="4" w:space="0" w:color="auto"/>
            </w:tcBorders>
            <w:shd w:val="clear" w:color="auto" w:fill="auto"/>
            <w:noWrap/>
            <w:vAlign w:val="bottom"/>
          </w:tcPr>
          <w:p w14:paraId="032EC13E"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0,4%</w:t>
            </w:r>
          </w:p>
        </w:tc>
        <w:tc>
          <w:tcPr>
            <w:tcW w:w="425" w:type="pct"/>
            <w:tcBorders>
              <w:top w:val="nil"/>
              <w:left w:val="nil"/>
              <w:bottom w:val="nil"/>
              <w:right w:val="nil"/>
            </w:tcBorders>
            <w:shd w:val="clear" w:color="auto" w:fill="auto"/>
            <w:noWrap/>
            <w:vAlign w:val="bottom"/>
          </w:tcPr>
          <w:p w14:paraId="33B8133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2 865,5</w:t>
            </w:r>
          </w:p>
        </w:tc>
        <w:tc>
          <w:tcPr>
            <w:tcW w:w="543" w:type="pct"/>
            <w:tcBorders>
              <w:top w:val="nil"/>
              <w:left w:val="nil"/>
              <w:bottom w:val="nil"/>
              <w:right w:val="single" w:sz="4" w:space="0" w:color="auto"/>
            </w:tcBorders>
            <w:shd w:val="clear" w:color="auto" w:fill="auto"/>
            <w:noWrap/>
            <w:vAlign w:val="bottom"/>
          </w:tcPr>
          <w:p w14:paraId="37C5AE2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23,5%</w:t>
            </w:r>
          </w:p>
        </w:tc>
        <w:tc>
          <w:tcPr>
            <w:tcW w:w="425" w:type="pct"/>
            <w:tcBorders>
              <w:top w:val="nil"/>
              <w:left w:val="nil"/>
              <w:bottom w:val="nil"/>
              <w:right w:val="nil"/>
            </w:tcBorders>
            <w:shd w:val="clear" w:color="auto" w:fill="auto"/>
            <w:noWrap/>
            <w:vAlign w:val="bottom"/>
          </w:tcPr>
          <w:p w14:paraId="35B5D24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2 222,1</w:t>
            </w:r>
          </w:p>
        </w:tc>
        <w:tc>
          <w:tcPr>
            <w:tcW w:w="543" w:type="pct"/>
            <w:tcBorders>
              <w:top w:val="nil"/>
              <w:left w:val="nil"/>
              <w:bottom w:val="nil"/>
              <w:right w:val="single" w:sz="4" w:space="0" w:color="auto"/>
            </w:tcBorders>
            <w:shd w:val="clear" w:color="auto" w:fill="auto"/>
            <w:noWrap/>
            <w:vAlign w:val="bottom"/>
          </w:tcPr>
          <w:p w14:paraId="1B4FA5D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-22,5%</w:t>
            </w:r>
          </w:p>
        </w:tc>
        <w:tc>
          <w:tcPr>
            <w:tcW w:w="425" w:type="pct"/>
            <w:tcBorders>
              <w:top w:val="nil"/>
              <w:left w:val="nil"/>
              <w:bottom w:val="nil"/>
              <w:right w:val="nil"/>
            </w:tcBorders>
            <w:shd w:val="clear" w:color="auto" w:fill="auto"/>
            <w:noWrap/>
            <w:vAlign w:val="bottom"/>
          </w:tcPr>
          <w:p w14:paraId="5998D7C1"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2 072,8</w:t>
            </w:r>
          </w:p>
        </w:tc>
        <w:tc>
          <w:tcPr>
            <w:tcW w:w="622" w:type="pct"/>
            <w:tcBorders>
              <w:top w:val="nil"/>
              <w:left w:val="nil"/>
              <w:bottom w:val="nil"/>
              <w:right w:val="single" w:sz="4" w:space="0" w:color="auto"/>
            </w:tcBorders>
            <w:shd w:val="clear" w:color="auto" w:fill="auto"/>
            <w:noWrap/>
            <w:vAlign w:val="bottom"/>
          </w:tcPr>
          <w:p w14:paraId="5799F3FC"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-6,7%</w:t>
            </w:r>
          </w:p>
        </w:tc>
      </w:tr>
      <w:tr w:rsidR="00761800" w:rsidRPr="00761800" w14:paraId="3BD96134" w14:textId="77777777" w:rsidTr="00406B4D">
        <w:trPr>
          <w:trHeight w:val="300"/>
        </w:trPr>
        <w:tc>
          <w:tcPr>
            <w:tcW w:w="1048" w:type="pct"/>
            <w:tcBorders>
              <w:top w:val="nil"/>
              <w:left w:val="single" w:sz="4" w:space="0" w:color="auto"/>
              <w:bottom w:val="nil"/>
              <w:right w:val="nil"/>
            </w:tcBorders>
            <w:shd w:val="clear" w:color="auto" w:fill="auto"/>
            <w:hideMark/>
          </w:tcPr>
          <w:p w14:paraId="3CA360AE"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12. Други текущи плащания</w:t>
            </w:r>
          </w:p>
        </w:tc>
        <w:tc>
          <w:tcPr>
            <w:tcW w:w="425" w:type="pct"/>
            <w:tcBorders>
              <w:top w:val="nil"/>
              <w:left w:val="single" w:sz="4" w:space="0" w:color="auto"/>
              <w:bottom w:val="nil"/>
              <w:right w:val="nil"/>
            </w:tcBorders>
            <w:shd w:val="clear" w:color="auto" w:fill="auto"/>
            <w:noWrap/>
            <w:vAlign w:val="bottom"/>
          </w:tcPr>
          <w:p w14:paraId="62C0D3DE"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1 334,6</w:t>
            </w:r>
          </w:p>
        </w:tc>
        <w:tc>
          <w:tcPr>
            <w:tcW w:w="543" w:type="pct"/>
            <w:tcBorders>
              <w:top w:val="nil"/>
              <w:left w:val="nil"/>
              <w:bottom w:val="nil"/>
              <w:right w:val="single" w:sz="4" w:space="0" w:color="auto"/>
            </w:tcBorders>
            <w:shd w:val="clear" w:color="auto" w:fill="auto"/>
            <w:noWrap/>
            <w:vAlign w:val="bottom"/>
          </w:tcPr>
          <w:p w14:paraId="1A8CD1A1"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-1,7%</w:t>
            </w:r>
          </w:p>
        </w:tc>
        <w:tc>
          <w:tcPr>
            <w:tcW w:w="425" w:type="pct"/>
            <w:tcBorders>
              <w:top w:val="nil"/>
              <w:left w:val="nil"/>
              <w:bottom w:val="nil"/>
              <w:right w:val="nil"/>
            </w:tcBorders>
            <w:shd w:val="clear" w:color="auto" w:fill="auto"/>
            <w:noWrap/>
            <w:vAlign w:val="bottom"/>
          </w:tcPr>
          <w:p w14:paraId="2752C92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2 166,8</w:t>
            </w:r>
          </w:p>
        </w:tc>
        <w:tc>
          <w:tcPr>
            <w:tcW w:w="543" w:type="pct"/>
            <w:tcBorders>
              <w:top w:val="nil"/>
              <w:left w:val="nil"/>
              <w:bottom w:val="nil"/>
              <w:right w:val="single" w:sz="4" w:space="0" w:color="auto"/>
            </w:tcBorders>
            <w:shd w:val="clear" w:color="auto" w:fill="auto"/>
            <w:noWrap/>
            <w:vAlign w:val="bottom"/>
          </w:tcPr>
          <w:p w14:paraId="2DFAE74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62,4%</w:t>
            </w:r>
          </w:p>
        </w:tc>
        <w:tc>
          <w:tcPr>
            <w:tcW w:w="425" w:type="pct"/>
            <w:tcBorders>
              <w:top w:val="nil"/>
              <w:left w:val="nil"/>
              <w:bottom w:val="nil"/>
              <w:right w:val="nil"/>
            </w:tcBorders>
            <w:shd w:val="clear" w:color="auto" w:fill="auto"/>
            <w:noWrap/>
            <w:vAlign w:val="bottom"/>
          </w:tcPr>
          <w:p w14:paraId="0D887FE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2 204,9</w:t>
            </w:r>
          </w:p>
        </w:tc>
        <w:tc>
          <w:tcPr>
            <w:tcW w:w="543" w:type="pct"/>
            <w:tcBorders>
              <w:top w:val="nil"/>
              <w:left w:val="nil"/>
              <w:bottom w:val="nil"/>
              <w:right w:val="single" w:sz="4" w:space="0" w:color="auto"/>
            </w:tcBorders>
            <w:shd w:val="clear" w:color="auto" w:fill="auto"/>
            <w:noWrap/>
            <w:vAlign w:val="bottom"/>
          </w:tcPr>
          <w:p w14:paraId="489F1E87"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1,8%</w:t>
            </w:r>
          </w:p>
        </w:tc>
        <w:tc>
          <w:tcPr>
            <w:tcW w:w="425" w:type="pct"/>
            <w:tcBorders>
              <w:top w:val="nil"/>
              <w:left w:val="nil"/>
              <w:bottom w:val="nil"/>
              <w:right w:val="nil"/>
            </w:tcBorders>
            <w:shd w:val="clear" w:color="auto" w:fill="auto"/>
            <w:noWrap/>
            <w:vAlign w:val="bottom"/>
          </w:tcPr>
          <w:p w14:paraId="1B62EC93"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2 590,9</w:t>
            </w:r>
          </w:p>
        </w:tc>
        <w:tc>
          <w:tcPr>
            <w:tcW w:w="622" w:type="pct"/>
            <w:tcBorders>
              <w:top w:val="nil"/>
              <w:left w:val="nil"/>
              <w:bottom w:val="nil"/>
              <w:right w:val="single" w:sz="4" w:space="0" w:color="auto"/>
            </w:tcBorders>
            <w:shd w:val="clear" w:color="auto" w:fill="auto"/>
            <w:noWrap/>
            <w:vAlign w:val="bottom"/>
          </w:tcPr>
          <w:p w14:paraId="3D1A7A7A"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17,5%</w:t>
            </w:r>
          </w:p>
        </w:tc>
      </w:tr>
      <w:tr w:rsidR="00761800" w:rsidRPr="00761800" w14:paraId="5BAFE419" w14:textId="77777777" w:rsidTr="00406B4D">
        <w:trPr>
          <w:trHeight w:val="300"/>
        </w:trPr>
        <w:tc>
          <w:tcPr>
            <w:tcW w:w="1048" w:type="pct"/>
            <w:tcBorders>
              <w:top w:val="nil"/>
              <w:left w:val="single" w:sz="4" w:space="0" w:color="auto"/>
              <w:bottom w:val="nil"/>
              <w:right w:val="nil"/>
            </w:tcBorders>
            <w:shd w:val="clear" w:color="auto" w:fill="auto"/>
            <w:vAlign w:val="bottom"/>
            <w:hideMark/>
          </w:tcPr>
          <w:p w14:paraId="1D72DB4A"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 xml:space="preserve">13. Общо текущи разходи </w:t>
            </w:r>
          </w:p>
        </w:tc>
        <w:tc>
          <w:tcPr>
            <w:tcW w:w="425" w:type="pct"/>
            <w:tcBorders>
              <w:top w:val="nil"/>
              <w:left w:val="single" w:sz="4" w:space="0" w:color="auto"/>
              <w:bottom w:val="nil"/>
              <w:right w:val="nil"/>
            </w:tcBorders>
            <w:shd w:val="clear" w:color="auto" w:fill="auto"/>
            <w:noWrap/>
            <w:vAlign w:val="bottom"/>
          </w:tcPr>
          <w:p w14:paraId="5A535FBA"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42 363,3</w:t>
            </w:r>
          </w:p>
        </w:tc>
        <w:tc>
          <w:tcPr>
            <w:tcW w:w="543" w:type="pct"/>
            <w:tcBorders>
              <w:top w:val="nil"/>
              <w:left w:val="nil"/>
              <w:bottom w:val="nil"/>
              <w:right w:val="single" w:sz="4" w:space="0" w:color="auto"/>
            </w:tcBorders>
            <w:shd w:val="clear" w:color="auto" w:fill="auto"/>
            <w:noWrap/>
            <w:vAlign w:val="bottom"/>
          </w:tcPr>
          <w:p w14:paraId="4B8C451A"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15,1%</w:t>
            </w:r>
          </w:p>
        </w:tc>
        <w:tc>
          <w:tcPr>
            <w:tcW w:w="425" w:type="pct"/>
            <w:tcBorders>
              <w:top w:val="nil"/>
              <w:left w:val="nil"/>
              <w:bottom w:val="nil"/>
              <w:right w:val="nil"/>
            </w:tcBorders>
            <w:shd w:val="clear" w:color="auto" w:fill="auto"/>
            <w:noWrap/>
            <w:vAlign w:val="bottom"/>
          </w:tcPr>
          <w:p w14:paraId="5F43CAD0"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47 871,1</w:t>
            </w:r>
          </w:p>
        </w:tc>
        <w:tc>
          <w:tcPr>
            <w:tcW w:w="543" w:type="pct"/>
            <w:tcBorders>
              <w:top w:val="nil"/>
              <w:left w:val="nil"/>
              <w:bottom w:val="nil"/>
              <w:right w:val="single" w:sz="4" w:space="0" w:color="auto"/>
            </w:tcBorders>
            <w:shd w:val="clear" w:color="auto" w:fill="auto"/>
            <w:noWrap/>
            <w:vAlign w:val="bottom"/>
          </w:tcPr>
          <w:p w14:paraId="46C87BA2"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13,0%</w:t>
            </w:r>
          </w:p>
        </w:tc>
        <w:tc>
          <w:tcPr>
            <w:tcW w:w="425" w:type="pct"/>
            <w:tcBorders>
              <w:top w:val="nil"/>
              <w:left w:val="nil"/>
              <w:bottom w:val="nil"/>
              <w:right w:val="nil"/>
            </w:tcBorders>
            <w:shd w:val="clear" w:color="auto" w:fill="auto"/>
            <w:noWrap/>
            <w:vAlign w:val="bottom"/>
          </w:tcPr>
          <w:p w14:paraId="143BC92D"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49 162,0</w:t>
            </w:r>
          </w:p>
        </w:tc>
        <w:tc>
          <w:tcPr>
            <w:tcW w:w="543" w:type="pct"/>
            <w:tcBorders>
              <w:top w:val="nil"/>
              <w:left w:val="nil"/>
              <w:bottom w:val="nil"/>
              <w:right w:val="single" w:sz="4" w:space="0" w:color="auto"/>
            </w:tcBorders>
            <w:shd w:val="clear" w:color="auto" w:fill="auto"/>
            <w:noWrap/>
            <w:vAlign w:val="bottom"/>
          </w:tcPr>
          <w:p w14:paraId="54A17639"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2,7%</w:t>
            </w:r>
          </w:p>
        </w:tc>
        <w:tc>
          <w:tcPr>
            <w:tcW w:w="425" w:type="pct"/>
            <w:tcBorders>
              <w:top w:val="nil"/>
              <w:left w:val="nil"/>
              <w:bottom w:val="nil"/>
              <w:right w:val="nil"/>
            </w:tcBorders>
            <w:shd w:val="clear" w:color="auto" w:fill="auto"/>
            <w:noWrap/>
            <w:vAlign w:val="bottom"/>
          </w:tcPr>
          <w:p w14:paraId="51414F5C"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51 169,2</w:t>
            </w:r>
          </w:p>
        </w:tc>
        <w:tc>
          <w:tcPr>
            <w:tcW w:w="622" w:type="pct"/>
            <w:tcBorders>
              <w:top w:val="nil"/>
              <w:left w:val="nil"/>
              <w:bottom w:val="nil"/>
              <w:right w:val="single" w:sz="4" w:space="0" w:color="auto"/>
            </w:tcBorders>
            <w:shd w:val="clear" w:color="auto" w:fill="auto"/>
            <w:noWrap/>
            <w:vAlign w:val="bottom"/>
          </w:tcPr>
          <w:p w14:paraId="518E506A"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4,1%</w:t>
            </w:r>
          </w:p>
        </w:tc>
      </w:tr>
      <w:tr w:rsidR="00761800" w:rsidRPr="00761800" w14:paraId="4D5A3E9F" w14:textId="77777777" w:rsidTr="00406B4D">
        <w:trPr>
          <w:trHeight w:val="300"/>
        </w:trPr>
        <w:tc>
          <w:tcPr>
            <w:tcW w:w="1048" w:type="pct"/>
            <w:tcBorders>
              <w:top w:val="nil"/>
              <w:left w:val="single" w:sz="4" w:space="0" w:color="auto"/>
              <w:bottom w:val="nil"/>
              <w:right w:val="nil"/>
            </w:tcBorders>
            <w:shd w:val="clear" w:color="auto" w:fill="auto"/>
            <w:vAlign w:val="bottom"/>
            <w:hideMark/>
          </w:tcPr>
          <w:p w14:paraId="05CE7B03"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14. Брутни спестявания (5-13)</w:t>
            </w:r>
          </w:p>
        </w:tc>
        <w:tc>
          <w:tcPr>
            <w:tcW w:w="425" w:type="pct"/>
            <w:tcBorders>
              <w:top w:val="nil"/>
              <w:left w:val="single" w:sz="4" w:space="0" w:color="auto"/>
              <w:bottom w:val="nil"/>
              <w:right w:val="nil"/>
            </w:tcBorders>
            <w:shd w:val="clear" w:color="auto" w:fill="auto"/>
            <w:noWrap/>
            <w:vAlign w:val="bottom"/>
          </w:tcPr>
          <w:p w14:paraId="5D51D317"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-1 400,7</w:t>
            </w:r>
          </w:p>
        </w:tc>
        <w:tc>
          <w:tcPr>
            <w:tcW w:w="543" w:type="pct"/>
            <w:tcBorders>
              <w:top w:val="nil"/>
              <w:left w:val="nil"/>
              <w:bottom w:val="nil"/>
              <w:right w:val="single" w:sz="4" w:space="0" w:color="auto"/>
            </w:tcBorders>
            <w:shd w:val="clear" w:color="auto" w:fill="auto"/>
            <w:noWrap/>
            <w:vAlign w:val="bottom"/>
          </w:tcPr>
          <w:p w14:paraId="271C119E"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41,9%</w:t>
            </w:r>
          </w:p>
        </w:tc>
        <w:tc>
          <w:tcPr>
            <w:tcW w:w="425" w:type="pct"/>
            <w:tcBorders>
              <w:top w:val="nil"/>
              <w:left w:val="nil"/>
              <w:bottom w:val="nil"/>
              <w:right w:val="nil"/>
            </w:tcBorders>
            <w:shd w:val="clear" w:color="auto" w:fill="auto"/>
            <w:noWrap/>
            <w:vAlign w:val="bottom"/>
          </w:tcPr>
          <w:p w14:paraId="7ADCA25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-1 809,9</w:t>
            </w:r>
          </w:p>
        </w:tc>
        <w:tc>
          <w:tcPr>
            <w:tcW w:w="543" w:type="pct"/>
            <w:tcBorders>
              <w:top w:val="nil"/>
              <w:left w:val="nil"/>
              <w:bottom w:val="nil"/>
              <w:right w:val="single" w:sz="4" w:space="0" w:color="auto"/>
            </w:tcBorders>
            <w:shd w:val="clear" w:color="auto" w:fill="auto"/>
            <w:noWrap/>
            <w:vAlign w:val="bottom"/>
          </w:tcPr>
          <w:p w14:paraId="7D4C58BD"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29,2%</w:t>
            </w:r>
          </w:p>
        </w:tc>
        <w:tc>
          <w:tcPr>
            <w:tcW w:w="425" w:type="pct"/>
            <w:tcBorders>
              <w:top w:val="nil"/>
              <w:left w:val="nil"/>
              <w:bottom w:val="nil"/>
              <w:right w:val="nil"/>
            </w:tcBorders>
            <w:shd w:val="clear" w:color="auto" w:fill="auto"/>
            <w:noWrap/>
            <w:vAlign w:val="bottom"/>
          </w:tcPr>
          <w:p w14:paraId="74F53DF9"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-247,0</w:t>
            </w:r>
          </w:p>
        </w:tc>
        <w:tc>
          <w:tcPr>
            <w:tcW w:w="543" w:type="pct"/>
            <w:tcBorders>
              <w:top w:val="nil"/>
              <w:left w:val="nil"/>
              <w:bottom w:val="nil"/>
              <w:right w:val="single" w:sz="4" w:space="0" w:color="auto"/>
            </w:tcBorders>
            <w:shd w:val="clear" w:color="auto" w:fill="auto"/>
            <w:noWrap/>
            <w:vAlign w:val="bottom"/>
          </w:tcPr>
          <w:p w14:paraId="7F57684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-86,4%</w:t>
            </w:r>
          </w:p>
        </w:tc>
        <w:tc>
          <w:tcPr>
            <w:tcW w:w="425" w:type="pct"/>
            <w:tcBorders>
              <w:top w:val="nil"/>
              <w:left w:val="nil"/>
              <w:bottom w:val="nil"/>
              <w:right w:val="nil"/>
            </w:tcBorders>
            <w:shd w:val="clear" w:color="auto" w:fill="auto"/>
            <w:noWrap/>
            <w:vAlign w:val="bottom"/>
          </w:tcPr>
          <w:p w14:paraId="5748382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866,6</w:t>
            </w:r>
          </w:p>
        </w:tc>
        <w:tc>
          <w:tcPr>
            <w:tcW w:w="622" w:type="pct"/>
            <w:tcBorders>
              <w:top w:val="nil"/>
              <w:left w:val="nil"/>
              <w:bottom w:val="nil"/>
              <w:right w:val="single" w:sz="4" w:space="0" w:color="auto"/>
            </w:tcBorders>
            <w:shd w:val="clear" w:color="auto" w:fill="auto"/>
            <w:noWrap/>
            <w:vAlign w:val="bottom"/>
          </w:tcPr>
          <w:p w14:paraId="089EC0E1"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-450,9%</w:t>
            </w:r>
          </w:p>
        </w:tc>
      </w:tr>
      <w:tr w:rsidR="00761800" w:rsidRPr="00761800" w14:paraId="56E01D81" w14:textId="77777777" w:rsidTr="00406B4D">
        <w:trPr>
          <w:trHeight w:val="495"/>
        </w:trPr>
        <w:tc>
          <w:tcPr>
            <w:tcW w:w="1048" w:type="pct"/>
            <w:tcBorders>
              <w:top w:val="nil"/>
              <w:left w:val="single" w:sz="4" w:space="0" w:color="auto"/>
              <w:bottom w:val="nil"/>
              <w:right w:val="nil"/>
            </w:tcBorders>
            <w:shd w:val="clear" w:color="auto" w:fill="auto"/>
            <w:hideMark/>
          </w:tcPr>
          <w:p w14:paraId="1A212D29"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15. Капиталови трансфери, получени</w:t>
            </w:r>
          </w:p>
        </w:tc>
        <w:tc>
          <w:tcPr>
            <w:tcW w:w="425" w:type="pct"/>
            <w:tcBorders>
              <w:top w:val="nil"/>
              <w:left w:val="single" w:sz="4" w:space="0" w:color="auto"/>
              <w:bottom w:val="nil"/>
              <w:right w:val="nil"/>
            </w:tcBorders>
            <w:shd w:val="clear" w:color="auto" w:fill="auto"/>
            <w:noWrap/>
            <w:vAlign w:val="bottom"/>
          </w:tcPr>
          <w:p w14:paraId="05CE37BE"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3 295,5</w:t>
            </w:r>
          </w:p>
        </w:tc>
        <w:tc>
          <w:tcPr>
            <w:tcW w:w="543" w:type="pct"/>
            <w:tcBorders>
              <w:top w:val="nil"/>
              <w:left w:val="nil"/>
              <w:bottom w:val="nil"/>
              <w:right w:val="single" w:sz="4" w:space="0" w:color="auto"/>
            </w:tcBorders>
            <w:shd w:val="clear" w:color="auto" w:fill="auto"/>
            <w:noWrap/>
            <w:vAlign w:val="bottom"/>
          </w:tcPr>
          <w:p w14:paraId="533D3031"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61,1%</w:t>
            </w:r>
          </w:p>
        </w:tc>
        <w:tc>
          <w:tcPr>
            <w:tcW w:w="425" w:type="pct"/>
            <w:tcBorders>
              <w:top w:val="nil"/>
              <w:left w:val="nil"/>
              <w:bottom w:val="nil"/>
              <w:right w:val="nil"/>
            </w:tcBorders>
            <w:shd w:val="clear" w:color="auto" w:fill="auto"/>
            <w:noWrap/>
            <w:vAlign w:val="bottom"/>
          </w:tcPr>
          <w:p w14:paraId="6D6E9C2B"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3 924,5</w:t>
            </w:r>
          </w:p>
        </w:tc>
        <w:tc>
          <w:tcPr>
            <w:tcW w:w="543" w:type="pct"/>
            <w:tcBorders>
              <w:top w:val="nil"/>
              <w:left w:val="nil"/>
              <w:bottom w:val="nil"/>
              <w:right w:val="single" w:sz="4" w:space="0" w:color="auto"/>
            </w:tcBorders>
            <w:shd w:val="clear" w:color="auto" w:fill="auto"/>
            <w:noWrap/>
            <w:vAlign w:val="bottom"/>
          </w:tcPr>
          <w:p w14:paraId="476A0BB1"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19,1%</w:t>
            </w:r>
          </w:p>
        </w:tc>
        <w:tc>
          <w:tcPr>
            <w:tcW w:w="425" w:type="pct"/>
            <w:tcBorders>
              <w:top w:val="nil"/>
              <w:left w:val="nil"/>
              <w:bottom w:val="nil"/>
              <w:right w:val="nil"/>
            </w:tcBorders>
            <w:shd w:val="clear" w:color="auto" w:fill="auto"/>
            <w:noWrap/>
            <w:vAlign w:val="bottom"/>
          </w:tcPr>
          <w:p w14:paraId="4A4F58B2"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1 028,7</w:t>
            </w:r>
          </w:p>
        </w:tc>
        <w:tc>
          <w:tcPr>
            <w:tcW w:w="543" w:type="pct"/>
            <w:tcBorders>
              <w:top w:val="nil"/>
              <w:left w:val="nil"/>
              <w:bottom w:val="nil"/>
              <w:right w:val="single" w:sz="4" w:space="0" w:color="auto"/>
            </w:tcBorders>
            <w:shd w:val="clear" w:color="auto" w:fill="auto"/>
            <w:noWrap/>
            <w:vAlign w:val="bottom"/>
          </w:tcPr>
          <w:p w14:paraId="610A84D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-73,8%</w:t>
            </w:r>
          </w:p>
        </w:tc>
        <w:tc>
          <w:tcPr>
            <w:tcW w:w="425" w:type="pct"/>
            <w:tcBorders>
              <w:top w:val="nil"/>
              <w:left w:val="nil"/>
              <w:bottom w:val="nil"/>
              <w:right w:val="nil"/>
            </w:tcBorders>
            <w:shd w:val="clear" w:color="auto" w:fill="auto"/>
            <w:noWrap/>
            <w:vAlign w:val="bottom"/>
          </w:tcPr>
          <w:p w14:paraId="6B98418A"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935,7</w:t>
            </w:r>
          </w:p>
        </w:tc>
        <w:tc>
          <w:tcPr>
            <w:tcW w:w="622" w:type="pct"/>
            <w:tcBorders>
              <w:top w:val="nil"/>
              <w:left w:val="nil"/>
              <w:bottom w:val="nil"/>
              <w:right w:val="single" w:sz="4" w:space="0" w:color="auto"/>
            </w:tcBorders>
            <w:shd w:val="clear" w:color="auto" w:fill="auto"/>
            <w:noWrap/>
            <w:vAlign w:val="bottom"/>
          </w:tcPr>
          <w:p w14:paraId="4B1745DD"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-9,0%</w:t>
            </w:r>
          </w:p>
        </w:tc>
      </w:tr>
      <w:tr w:rsidR="00761800" w:rsidRPr="00761800" w14:paraId="1F3EE9EF" w14:textId="77777777" w:rsidTr="00406B4D">
        <w:trPr>
          <w:trHeight w:val="495"/>
        </w:trPr>
        <w:tc>
          <w:tcPr>
            <w:tcW w:w="1048" w:type="pct"/>
            <w:tcBorders>
              <w:top w:val="nil"/>
              <w:left w:val="single" w:sz="4" w:space="0" w:color="auto"/>
              <w:bottom w:val="nil"/>
              <w:right w:val="nil"/>
            </w:tcBorders>
            <w:shd w:val="clear" w:color="auto" w:fill="auto"/>
            <w:hideMark/>
          </w:tcPr>
          <w:p w14:paraId="6ED8BF1E"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16. Брутообразуване на основен капитал</w:t>
            </w:r>
          </w:p>
        </w:tc>
        <w:tc>
          <w:tcPr>
            <w:tcW w:w="425" w:type="pct"/>
            <w:tcBorders>
              <w:top w:val="nil"/>
              <w:left w:val="single" w:sz="4" w:space="0" w:color="auto"/>
              <w:bottom w:val="nil"/>
              <w:right w:val="nil"/>
            </w:tcBorders>
            <w:shd w:val="clear" w:color="auto" w:fill="auto"/>
            <w:noWrap/>
            <w:vAlign w:val="bottom"/>
          </w:tcPr>
          <w:p w14:paraId="0C28D943"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5 243,5</w:t>
            </w:r>
          </w:p>
        </w:tc>
        <w:tc>
          <w:tcPr>
            <w:tcW w:w="543" w:type="pct"/>
            <w:tcBorders>
              <w:top w:val="nil"/>
              <w:left w:val="nil"/>
              <w:bottom w:val="nil"/>
              <w:right w:val="single" w:sz="4" w:space="0" w:color="auto"/>
            </w:tcBorders>
            <w:shd w:val="clear" w:color="auto" w:fill="auto"/>
            <w:noWrap/>
            <w:vAlign w:val="bottom"/>
          </w:tcPr>
          <w:p w14:paraId="1623A07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58,4%</w:t>
            </w:r>
          </w:p>
        </w:tc>
        <w:tc>
          <w:tcPr>
            <w:tcW w:w="425" w:type="pct"/>
            <w:tcBorders>
              <w:top w:val="nil"/>
              <w:left w:val="nil"/>
              <w:bottom w:val="nil"/>
              <w:right w:val="nil"/>
            </w:tcBorders>
            <w:shd w:val="clear" w:color="auto" w:fill="auto"/>
            <w:noWrap/>
            <w:vAlign w:val="bottom"/>
          </w:tcPr>
          <w:p w14:paraId="6FCF560F"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7 321,5</w:t>
            </w:r>
          </w:p>
        </w:tc>
        <w:tc>
          <w:tcPr>
            <w:tcW w:w="543" w:type="pct"/>
            <w:tcBorders>
              <w:top w:val="nil"/>
              <w:left w:val="nil"/>
              <w:bottom w:val="nil"/>
              <w:right w:val="single" w:sz="4" w:space="0" w:color="auto"/>
            </w:tcBorders>
            <w:shd w:val="clear" w:color="auto" w:fill="auto"/>
            <w:noWrap/>
            <w:vAlign w:val="bottom"/>
          </w:tcPr>
          <w:p w14:paraId="0025681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39,6%</w:t>
            </w:r>
          </w:p>
        </w:tc>
        <w:tc>
          <w:tcPr>
            <w:tcW w:w="425" w:type="pct"/>
            <w:tcBorders>
              <w:top w:val="nil"/>
              <w:left w:val="nil"/>
              <w:bottom w:val="nil"/>
              <w:right w:val="nil"/>
            </w:tcBorders>
            <w:shd w:val="clear" w:color="auto" w:fill="auto"/>
            <w:noWrap/>
            <w:vAlign w:val="bottom"/>
          </w:tcPr>
          <w:p w14:paraId="361666A9"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5 550,2</w:t>
            </w:r>
          </w:p>
        </w:tc>
        <w:tc>
          <w:tcPr>
            <w:tcW w:w="543" w:type="pct"/>
            <w:tcBorders>
              <w:top w:val="nil"/>
              <w:left w:val="nil"/>
              <w:bottom w:val="nil"/>
              <w:right w:val="single" w:sz="4" w:space="0" w:color="auto"/>
            </w:tcBorders>
            <w:shd w:val="clear" w:color="auto" w:fill="auto"/>
            <w:noWrap/>
            <w:vAlign w:val="bottom"/>
          </w:tcPr>
          <w:p w14:paraId="146D3F5C"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-24,2%</w:t>
            </w:r>
          </w:p>
        </w:tc>
        <w:tc>
          <w:tcPr>
            <w:tcW w:w="425" w:type="pct"/>
            <w:tcBorders>
              <w:top w:val="nil"/>
              <w:left w:val="nil"/>
              <w:bottom w:val="nil"/>
              <w:right w:val="nil"/>
            </w:tcBorders>
            <w:shd w:val="clear" w:color="auto" w:fill="auto"/>
            <w:noWrap/>
            <w:vAlign w:val="bottom"/>
          </w:tcPr>
          <w:p w14:paraId="3E2465BE"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5 992,2</w:t>
            </w:r>
          </w:p>
        </w:tc>
        <w:tc>
          <w:tcPr>
            <w:tcW w:w="622" w:type="pct"/>
            <w:tcBorders>
              <w:top w:val="nil"/>
              <w:left w:val="nil"/>
              <w:bottom w:val="nil"/>
              <w:right w:val="single" w:sz="4" w:space="0" w:color="auto"/>
            </w:tcBorders>
            <w:shd w:val="clear" w:color="auto" w:fill="auto"/>
            <w:noWrap/>
            <w:vAlign w:val="bottom"/>
          </w:tcPr>
          <w:p w14:paraId="1560022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8,0%</w:t>
            </w:r>
          </w:p>
        </w:tc>
      </w:tr>
      <w:tr w:rsidR="00761800" w:rsidRPr="00761800" w14:paraId="1C28EAFF" w14:textId="77777777" w:rsidTr="00406B4D">
        <w:trPr>
          <w:trHeight w:val="300"/>
        </w:trPr>
        <w:tc>
          <w:tcPr>
            <w:tcW w:w="1048" w:type="pct"/>
            <w:tcBorders>
              <w:top w:val="nil"/>
              <w:left w:val="single" w:sz="4" w:space="0" w:color="auto"/>
              <w:bottom w:val="nil"/>
              <w:right w:val="nil"/>
            </w:tcBorders>
            <w:shd w:val="clear" w:color="auto" w:fill="auto"/>
            <w:hideMark/>
          </w:tcPr>
          <w:p w14:paraId="4BA13AE8"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17. Други капиталови разходи</w:t>
            </w:r>
          </w:p>
        </w:tc>
        <w:tc>
          <w:tcPr>
            <w:tcW w:w="425" w:type="pct"/>
            <w:tcBorders>
              <w:top w:val="nil"/>
              <w:left w:val="single" w:sz="4" w:space="0" w:color="auto"/>
              <w:bottom w:val="nil"/>
              <w:right w:val="nil"/>
            </w:tcBorders>
            <w:shd w:val="clear" w:color="auto" w:fill="auto"/>
            <w:noWrap/>
            <w:vAlign w:val="bottom"/>
          </w:tcPr>
          <w:p w14:paraId="035DC242"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763,9</w:t>
            </w:r>
          </w:p>
        </w:tc>
        <w:tc>
          <w:tcPr>
            <w:tcW w:w="543" w:type="pct"/>
            <w:tcBorders>
              <w:top w:val="nil"/>
              <w:left w:val="nil"/>
              <w:bottom w:val="nil"/>
              <w:right w:val="single" w:sz="4" w:space="0" w:color="auto"/>
            </w:tcBorders>
            <w:shd w:val="clear" w:color="auto" w:fill="auto"/>
            <w:noWrap/>
            <w:vAlign w:val="bottom"/>
          </w:tcPr>
          <w:p w14:paraId="3EF207A3"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-18,6%</w:t>
            </w:r>
          </w:p>
        </w:tc>
        <w:tc>
          <w:tcPr>
            <w:tcW w:w="425" w:type="pct"/>
            <w:tcBorders>
              <w:top w:val="nil"/>
              <w:left w:val="nil"/>
              <w:bottom w:val="nil"/>
              <w:right w:val="nil"/>
            </w:tcBorders>
            <w:shd w:val="clear" w:color="auto" w:fill="auto"/>
            <w:noWrap/>
            <w:vAlign w:val="bottom"/>
          </w:tcPr>
          <w:p w14:paraId="661BD1C1"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1 544,4</w:t>
            </w:r>
          </w:p>
        </w:tc>
        <w:tc>
          <w:tcPr>
            <w:tcW w:w="543" w:type="pct"/>
            <w:tcBorders>
              <w:top w:val="nil"/>
              <w:left w:val="nil"/>
              <w:bottom w:val="nil"/>
              <w:right w:val="single" w:sz="4" w:space="0" w:color="auto"/>
            </w:tcBorders>
            <w:shd w:val="clear" w:color="auto" w:fill="auto"/>
            <w:noWrap/>
            <w:vAlign w:val="bottom"/>
          </w:tcPr>
          <w:p w14:paraId="544AB54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102,2%</w:t>
            </w:r>
          </w:p>
        </w:tc>
        <w:tc>
          <w:tcPr>
            <w:tcW w:w="425" w:type="pct"/>
            <w:tcBorders>
              <w:top w:val="nil"/>
              <w:left w:val="nil"/>
              <w:bottom w:val="nil"/>
              <w:right w:val="nil"/>
            </w:tcBorders>
            <w:shd w:val="clear" w:color="auto" w:fill="auto"/>
            <w:noWrap/>
            <w:vAlign w:val="bottom"/>
          </w:tcPr>
          <w:p w14:paraId="5119284D"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452,2</w:t>
            </w:r>
          </w:p>
        </w:tc>
        <w:tc>
          <w:tcPr>
            <w:tcW w:w="543" w:type="pct"/>
            <w:tcBorders>
              <w:top w:val="nil"/>
              <w:left w:val="nil"/>
              <w:bottom w:val="nil"/>
              <w:right w:val="single" w:sz="4" w:space="0" w:color="auto"/>
            </w:tcBorders>
            <w:shd w:val="clear" w:color="auto" w:fill="auto"/>
            <w:noWrap/>
            <w:vAlign w:val="bottom"/>
          </w:tcPr>
          <w:p w14:paraId="4D2C051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-70,7%</w:t>
            </w:r>
          </w:p>
        </w:tc>
        <w:tc>
          <w:tcPr>
            <w:tcW w:w="425" w:type="pct"/>
            <w:tcBorders>
              <w:top w:val="nil"/>
              <w:left w:val="nil"/>
              <w:bottom w:val="nil"/>
              <w:right w:val="nil"/>
            </w:tcBorders>
            <w:shd w:val="clear" w:color="auto" w:fill="auto"/>
            <w:noWrap/>
            <w:vAlign w:val="bottom"/>
          </w:tcPr>
          <w:p w14:paraId="2CCB10A7"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509,5</w:t>
            </w:r>
          </w:p>
        </w:tc>
        <w:tc>
          <w:tcPr>
            <w:tcW w:w="622" w:type="pct"/>
            <w:tcBorders>
              <w:top w:val="nil"/>
              <w:left w:val="nil"/>
              <w:bottom w:val="nil"/>
              <w:right w:val="single" w:sz="4" w:space="0" w:color="auto"/>
            </w:tcBorders>
            <w:shd w:val="clear" w:color="auto" w:fill="auto"/>
            <w:noWrap/>
            <w:vAlign w:val="bottom"/>
          </w:tcPr>
          <w:p w14:paraId="054AA85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12,7%</w:t>
            </w:r>
          </w:p>
        </w:tc>
      </w:tr>
      <w:tr w:rsidR="00761800" w:rsidRPr="00761800" w14:paraId="158E7CDF" w14:textId="77777777" w:rsidTr="00406B4D">
        <w:trPr>
          <w:trHeight w:val="310"/>
        </w:trPr>
        <w:tc>
          <w:tcPr>
            <w:tcW w:w="1048" w:type="pct"/>
            <w:tcBorders>
              <w:top w:val="nil"/>
              <w:left w:val="single" w:sz="4" w:space="0" w:color="auto"/>
              <w:bottom w:val="single" w:sz="4" w:space="0" w:color="auto"/>
              <w:right w:val="nil"/>
            </w:tcBorders>
            <w:shd w:val="clear" w:color="auto" w:fill="auto"/>
            <w:vAlign w:val="bottom"/>
            <w:hideMark/>
          </w:tcPr>
          <w:p w14:paraId="68CC06DC" w14:textId="77777777" w:rsidR="00761800" w:rsidRPr="00761800" w:rsidRDefault="00761800" w:rsidP="00761800">
            <w:pPr>
              <w:jc w:val="both"/>
              <w:rPr>
                <w:rFonts w:ascii="Times New Roman" w:hAnsi="Times New Roman"/>
                <w:sz w:val="16"/>
                <w:szCs w:val="16"/>
                <w:lang w:eastAsia="bg-BG"/>
              </w:rPr>
            </w:pPr>
          </w:p>
        </w:tc>
        <w:tc>
          <w:tcPr>
            <w:tcW w:w="425" w:type="pct"/>
            <w:tcBorders>
              <w:top w:val="nil"/>
              <w:left w:val="single" w:sz="4" w:space="0" w:color="auto"/>
              <w:bottom w:val="nil"/>
              <w:right w:val="nil"/>
            </w:tcBorders>
            <w:shd w:val="clear" w:color="auto" w:fill="auto"/>
            <w:noWrap/>
            <w:vAlign w:val="center"/>
          </w:tcPr>
          <w:p w14:paraId="76301809" w14:textId="77777777" w:rsidR="00761800" w:rsidRPr="00761800" w:rsidRDefault="00761800" w:rsidP="00761800">
            <w:pPr>
              <w:spacing w:after="200"/>
              <w:jc w:val="right"/>
              <w:rPr>
                <w:rFonts w:ascii="Times New Roman" w:hAnsi="Times New Roman"/>
                <w:sz w:val="18"/>
                <w:szCs w:val="18"/>
                <w:lang w:eastAsia="bg-BG"/>
              </w:rPr>
            </w:pPr>
          </w:p>
        </w:tc>
        <w:tc>
          <w:tcPr>
            <w:tcW w:w="543" w:type="pct"/>
            <w:tcBorders>
              <w:top w:val="nil"/>
              <w:left w:val="nil"/>
              <w:bottom w:val="nil"/>
              <w:right w:val="single" w:sz="4" w:space="0" w:color="auto"/>
            </w:tcBorders>
            <w:shd w:val="clear" w:color="auto" w:fill="auto"/>
            <w:noWrap/>
            <w:vAlign w:val="center"/>
          </w:tcPr>
          <w:p w14:paraId="2E17039D" w14:textId="77777777" w:rsidR="00761800" w:rsidRPr="00761800" w:rsidRDefault="00761800" w:rsidP="00761800">
            <w:pPr>
              <w:spacing w:after="200"/>
              <w:jc w:val="right"/>
              <w:rPr>
                <w:rFonts w:ascii="Times New Roman" w:hAnsi="Times New Roman"/>
                <w:b/>
                <w:i/>
                <w:sz w:val="18"/>
                <w:szCs w:val="18"/>
                <w:lang w:eastAsia="bg-BG"/>
              </w:rPr>
            </w:pPr>
            <w:r w:rsidRPr="00761800">
              <w:rPr>
                <w:rFonts w:ascii="Times New Roman" w:hAnsi="Times New Roman"/>
                <w:b/>
                <w:i/>
                <w:sz w:val="18"/>
                <w:szCs w:val="18"/>
                <w:lang w:eastAsia="bg-BG"/>
              </w:rPr>
              <w:t>% от БВП</w:t>
            </w:r>
          </w:p>
        </w:tc>
        <w:tc>
          <w:tcPr>
            <w:tcW w:w="425" w:type="pct"/>
            <w:tcBorders>
              <w:top w:val="nil"/>
              <w:left w:val="nil"/>
              <w:bottom w:val="nil"/>
              <w:right w:val="nil"/>
            </w:tcBorders>
            <w:shd w:val="clear" w:color="auto" w:fill="auto"/>
            <w:noWrap/>
            <w:vAlign w:val="center"/>
          </w:tcPr>
          <w:p w14:paraId="43F258B4" w14:textId="77777777" w:rsidR="00761800" w:rsidRPr="00761800" w:rsidRDefault="00761800" w:rsidP="00761800">
            <w:pPr>
              <w:spacing w:after="200"/>
              <w:jc w:val="right"/>
              <w:rPr>
                <w:rFonts w:ascii="Times New Roman" w:hAnsi="Times New Roman"/>
                <w:b/>
                <w:i/>
                <w:sz w:val="18"/>
                <w:szCs w:val="18"/>
                <w:lang w:eastAsia="bg-BG"/>
              </w:rPr>
            </w:pPr>
          </w:p>
        </w:tc>
        <w:tc>
          <w:tcPr>
            <w:tcW w:w="543" w:type="pct"/>
            <w:tcBorders>
              <w:top w:val="nil"/>
              <w:left w:val="nil"/>
              <w:bottom w:val="nil"/>
              <w:right w:val="single" w:sz="4" w:space="0" w:color="auto"/>
            </w:tcBorders>
            <w:shd w:val="clear" w:color="auto" w:fill="auto"/>
            <w:noWrap/>
            <w:vAlign w:val="center"/>
          </w:tcPr>
          <w:p w14:paraId="4341D3D9" w14:textId="77777777" w:rsidR="00761800" w:rsidRPr="00761800" w:rsidRDefault="00761800" w:rsidP="00761800">
            <w:pPr>
              <w:spacing w:after="200"/>
              <w:jc w:val="right"/>
              <w:rPr>
                <w:rFonts w:ascii="Times New Roman" w:hAnsi="Times New Roman"/>
                <w:b/>
                <w:i/>
                <w:sz w:val="18"/>
                <w:szCs w:val="18"/>
                <w:lang w:eastAsia="bg-BG"/>
              </w:rPr>
            </w:pPr>
            <w:r w:rsidRPr="00761800">
              <w:rPr>
                <w:rFonts w:ascii="Times New Roman" w:hAnsi="Times New Roman"/>
                <w:b/>
                <w:i/>
                <w:sz w:val="18"/>
                <w:szCs w:val="18"/>
                <w:lang w:eastAsia="bg-BG"/>
              </w:rPr>
              <w:t>% от БВП</w:t>
            </w:r>
          </w:p>
        </w:tc>
        <w:tc>
          <w:tcPr>
            <w:tcW w:w="425" w:type="pct"/>
            <w:tcBorders>
              <w:top w:val="nil"/>
              <w:left w:val="nil"/>
              <w:bottom w:val="nil"/>
              <w:right w:val="nil"/>
            </w:tcBorders>
            <w:shd w:val="clear" w:color="auto" w:fill="auto"/>
            <w:noWrap/>
            <w:vAlign w:val="center"/>
          </w:tcPr>
          <w:p w14:paraId="4F68F93B" w14:textId="77777777" w:rsidR="00761800" w:rsidRPr="00761800" w:rsidRDefault="00761800" w:rsidP="00761800">
            <w:pPr>
              <w:spacing w:after="200"/>
              <w:jc w:val="right"/>
              <w:rPr>
                <w:rFonts w:ascii="Times New Roman" w:hAnsi="Times New Roman"/>
                <w:b/>
                <w:i/>
                <w:sz w:val="18"/>
                <w:szCs w:val="18"/>
                <w:lang w:eastAsia="bg-BG"/>
              </w:rPr>
            </w:pPr>
          </w:p>
        </w:tc>
        <w:tc>
          <w:tcPr>
            <w:tcW w:w="543" w:type="pct"/>
            <w:tcBorders>
              <w:top w:val="nil"/>
              <w:left w:val="nil"/>
              <w:bottom w:val="nil"/>
              <w:right w:val="single" w:sz="4" w:space="0" w:color="auto"/>
            </w:tcBorders>
            <w:shd w:val="clear" w:color="auto" w:fill="auto"/>
            <w:noWrap/>
            <w:vAlign w:val="center"/>
          </w:tcPr>
          <w:p w14:paraId="092E3EA1" w14:textId="77777777" w:rsidR="00761800" w:rsidRPr="00761800" w:rsidRDefault="00761800" w:rsidP="00761800">
            <w:pPr>
              <w:spacing w:after="200"/>
              <w:jc w:val="right"/>
              <w:rPr>
                <w:rFonts w:ascii="Times New Roman" w:hAnsi="Times New Roman"/>
                <w:b/>
                <w:i/>
                <w:sz w:val="18"/>
                <w:szCs w:val="18"/>
                <w:lang w:eastAsia="bg-BG"/>
              </w:rPr>
            </w:pPr>
            <w:r w:rsidRPr="00761800">
              <w:rPr>
                <w:rFonts w:ascii="Times New Roman" w:hAnsi="Times New Roman"/>
                <w:b/>
                <w:i/>
                <w:sz w:val="18"/>
                <w:szCs w:val="18"/>
                <w:lang w:eastAsia="bg-BG"/>
              </w:rPr>
              <w:t>% от БВП</w:t>
            </w:r>
          </w:p>
        </w:tc>
        <w:tc>
          <w:tcPr>
            <w:tcW w:w="425" w:type="pct"/>
            <w:tcBorders>
              <w:top w:val="nil"/>
              <w:left w:val="nil"/>
              <w:bottom w:val="nil"/>
              <w:right w:val="nil"/>
            </w:tcBorders>
            <w:shd w:val="clear" w:color="auto" w:fill="auto"/>
            <w:noWrap/>
            <w:vAlign w:val="center"/>
          </w:tcPr>
          <w:p w14:paraId="4E255312" w14:textId="77777777" w:rsidR="00761800" w:rsidRPr="00761800" w:rsidRDefault="00761800" w:rsidP="00761800">
            <w:pPr>
              <w:spacing w:after="200"/>
              <w:jc w:val="right"/>
              <w:rPr>
                <w:rFonts w:ascii="Times New Roman" w:hAnsi="Times New Roman"/>
                <w:b/>
                <w:i/>
                <w:sz w:val="18"/>
                <w:szCs w:val="18"/>
                <w:lang w:eastAsia="bg-BG"/>
              </w:rPr>
            </w:pPr>
          </w:p>
        </w:tc>
        <w:tc>
          <w:tcPr>
            <w:tcW w:w="622" w:type="pct"/>
            <w:tcBorders>
              <w:top w:val="nil"/>
              <w:left w:val="nil"/>
              <w:bottom w:val="nil"/>
              <w:right w:val="single" w:sz="4" w:space="0" w:color="auto"/>
            </w:tcBorders>
            <w:shd w:val="clear" w:color="auto" w:fill="auto"/>
            <w:noWrap/>
            <w:vAlign w:val="center"/>
          </w:tcPr>
          <w:p w14:paraId="08F0B64E" w14:textId="77777777" w:rsidR="00761800" w:rsidRPr="00761800" w:rsidRDefault="00761800" w:rsidP="00761800">
            <w:pPr>
              <w:spacing w:after="200"/>
              <w:jc w:val="right"/>
              <w:rPr>
                <w:rFonts w:ascii="Times New Roman" w:hAnsi="Times New Roman"/>
                <w:b/>
                <w:i/>
                <w:sz w:val="18"/>
                <w:szCs w:val="18"/>
                <w:lang w:eastAsia="bg-BG"/>
              </w:rPr>
            </w:pPr>
            <w:r w:rsidRPr="00761800">
              <w:rPr>
                <w:rFonts w:ascii="Times New Roman" w:hAnsi="Times New Roman"/>
                <w:b/>
                <w:i/>
                <w:sz w:val="18"/>
                <w:szCs w:val="18"/>
                <w:lang w:eastAsia="bg-BG"/>
              </w:rPr>
              <w:t>% от БВП</w:t>
            </w:r>
          </w:p>
        </w:tc>
      </w:tr>
      <w:tr w:rsidR="00761800" w:rsidRPr="00761800" w14:paraId="66C58132" w14:textId="77777777" w:rsidTr="00406B4D">
        <w:trPr>
          <w:trHeight w:val="300"/>
        </w:trPr>
        <w:tc>
          <w:tcPr>
            <w:tcW w:w="1048" w:type="pct"/>
            <w:tcBorders>
              <w:top w:val="nil"/>
              <w:left w:val="single" w:sz="4" w:space="0" w:color="auto"/>
              <w:bottom w:val="nil"/>
              <w:right w:val="nil"/>
            </w:tcBorders>
            <w:shd w:val="clear" w:color="auto" w:fill="auto"/>
            <w:vAlign w:val="bottom"/>
            <w:hideMark/>
          </w:tcPr>
          <w:p w14:paraId="165922C6"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18. Общи правителствени приходи</w:t>
            </w:r>
          </w:p>
        </w:tc>
        <w:tc>
          <w:tcPr>
            <w:tcW w:w="425" w:type="pct"/>
            <w:tcBorders>
              <w:top w:val="single" w:sz="4" w:space="0" w:color="auto"/>
              <w:left w:val="single" w:sz="4" w:space="0" w:color="auto"/>
              <w:bottom w:val="nil"/>
              <w:right w:val="nil"/>
            </w:tcBorders>
            <w:shd w:val="clear" w:color="auto" w:fill="auto"/>
            <w:noWrap/>
            <w:vAlign w:val="bottom"/>
          </w:tcPr>
          <w:p w14:paraId="7497BC66"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44 258,1</w:t>
            </w:r>
          </w:p>
        </w:tc>
        <w:tc>
          <w:tcPr>
            <w:tcW w:w="543" w:type="pct"/>
            <w:tcBorders>
              <w:top w:val="single" w:sz="4" w:space="0" w:color="auto"/>
              <w:left w:val="nil"/>
              <w:bottom w:val="nil"/>
              <w:right w:val="single" w:sz="4" w:space="0" w:color="auto"/>
            </w:tcBorders>
            <w:shd w:val="clear" w:color="auto" w:fill="auto"/>
            <w:noWrap/>
            <w:vAlign w:val="bottom"/>
          </w:tcPr>
          <w:p w14:paraId="7C239747"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38,1%</w:t>
            </w:r>
          </w:p>
        </w:tc>
        <w:tc>
          <w:tcPr>
            <w:tcW w:w="425" w:type="pct"/>
            <w:tcBorders>
              <w:top w:val="single" w:sz="4" w:space="0" w:color="auto"/>
              <w:left w:val="nil"/>
              <w:bottom w:val="nil"/>
              <w:right w:val="nil"/>
            </w:tcBorders>
            <w:shd w:val="clear" w:color="auto" w:fill="auto"/>
            <w:noWrap/>
            <w:vAlign w:val="bottom"/>
          </w:tcPr>
          <w:p w14:paraId="7C6F734E"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49 985,7</w:t>
            </w:r>
          </w:p>
        </w:tc>
        <w:tc>
          <w:tcPr>
            <w:tcW w:w="543" w:type="pct"/>
            <w:tcBorders>
              <w:top w:val="single" w:sz="4" w:space="0" w:color="auto"/>
              <w:left w:val="nil"/>
              <w:bottom w:val="nil"/>
              <w:right w:val="single" w:sz="4" w:space="0" w:color="auto"/>
            </w:tcBorders>
            <w:shd w:val="clear" w:color="auto" w:fill="auto"/>
            <w:noWrap/>
            <w:vAlign w:val="bottom"/>
          </w:tcPr>
          <w:p w14:paraId="5AA7628F"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39,9%</w:t>
            </w:r>
          </w:p>
        </w:tc>
        <w:tc>
          <w:tcPr>
            <w:tcW w:w="425" w:type="pct"/>
            <w:tcBorders>
              <w:top w:val="single" w:sz="4" w:space="0" w:color="auto"/>
              <w:left w:val="nil"/>
              <w:bottom w:val="nil"/>
              <w:right w:val="nil"/>
            </w:tcBorders>
            <w:shd w:val="clear" w:color="auto" w:fill="auto"/>
            <w:noWrap/>
            <w:vAlign w:val="bottom"/>
          </w:tcPr>
          <w:p w14:paraId="627CDF17"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49 943,7</w:t>
            </w:r>
          </w:p>
        </w:tc>
        <w:tc>
          <w:tcPr>
            <w:tcW w:w="543" w:type="pct"/>
            <w:tcBorders>
              <w:top w:val="single" w:sz="4" w:space="0" w:color="auto"/>
              <w:left w:val="nil"/>
              <w:bottom w:val="nil"/>
              <w:right w:val="single" w:sz="4" w:space="0" w:color="auto"/>
            </w:tcBorders>
            <w:shd w:val="clear" w:color="auto" w:fill="auto"/>
            <w:noWrap/>
            <w:vAlign w:val="bottom"/>
          </w:tcPr>
          <w:p w14:paraId="6B8758B5"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37,1%</w:t>
            </w:r>
          </w:p>
        </w:tc>
        <w:tc>
          <w:tcPr>
            <w:tcW w:w="425" w:type="pct"/>
            <w:tcBorders>
              <w:top w:val="single" w:sz="4" w:space="0" w:color="auto"/>
              <w:left w:val="nil"/>
              <w:bottom w:val="nil"/>
              <w:right w:val="nil"/>
            </w:tcBorders>
            <w:shd w:val="clear" w:color="auto" w:fill="auto"/>
            <w:noWrap/>
            <w:vAlign w:val="bottom"/>
          </w:tcPr>
          <w:p w14:paraId="42631269"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52 971,5</w:t>
            </w:r>
          </w:p>
        </w:tc>
        <w:tc>
          <w:tcPr>
            <w:tcW w:w="622" w:type="pct"/>
            <w:tcBorders>
              <w:top w:val="single" w:sz="4" w:space="0" w:color="auto"/>
              <w:left w:val="nil"/>
              <w:bottom w:val="nil"/>
              <w:right w:val="single" w:sz="4" w:space="0" w:color="auto"/>
            </w:tcBorders>
            <w:shd w:val="clear" w:color="auto" w:fill="auto"/>
            <w:noWrap/>
            <w:vAlign w:val="bottom"/>
          </w:tcPr>
          <w:p w14:paraId="6DC62D51"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37,0%</w:t>
            </w:r>
          </w:p>
        </w:tc>
      </w:tr>
      <w:tr w:rsidR="00761800" w:rsidRPr="00761800" w14:paraId="66C4713F" w14:textId="77777777" w:rsidTr="00406B4D">
        <w:trPr>
          <w:trHeight w:val="300"/>
        </w:trPr>
        <w:tc>
          <w:tcPr>
            <w:tcW w:w="1048" w:type="pct"/>
            <w:tcBorders>
              <w:top w:val="nil"/>
              <w:left w:val="single" w:sz="4" w:space="0" w:color="auto"/>
              <w:bottom w:val="nil"/>
              <w:right w:val="nil"/>
            </w:tcBorders>
            <w:shd w:val="clear" w:color="auto" w:fill="auto"/>
            <w:vAlign w:val="bottom"/>
            <w:hideMark/>
          </w:tcPr>
          <w:p w14:paraId="41FA5645"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19. Общи правителствени разходи</w:t>
            </w:r>
          </w:p>
        </w:tc>
        <w:tc>
          <w:tcPr>
            <w:tcW w:w="425" w:type="pct"/>
            <w:tcBorders>
              <w:top w:val="nil"/>
              <w:left w:val="single" w:sz="4" w:space="0" w:color="auto"/>
              <w:bottom w:val="nil"/>
              <w:right w:val="nil"/>
            </w:tcBorders>
            <w:shd w:val="clear" w:color="auto" w:fill="auto"/>
            <w:noWrap/>
            <w:vAlign w:val="bottom"/>
          </w:tcPr>
          <w:p w14:paraId="3BCC7F9D"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48 370,7</w:t>
            </w:r>
          </w:p>
        </w:tc>
        <w:tc>
          <w:tcPr>
            <w:tcW w:w="543" w:type="pct"/>
            <w:tcBorders>
              <w:top w:val="nil"/>
              <w:left w:val="nil"/>
              <w:bottom w:val="nil"/>
              <w:right w:val="single" w:sz="4" w:space="0" w:color="auto"/>
            </w:tcBorders>
            <w:shd w:val="clear" w:color="auto" w:fill="auto"/>
            <w:noWrap/>
            <w:vAlign w:val="bottom"/>
          </w:tcPr>
          <w:p w14:paraId="2F488F1D"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41,7%</w:t>
            </w:r>
          </w:p>
        </w:tc>
        <w:tc>
          <w:tcPr>
            <w:tcW w:w="425" w:type="pct"/>
            <w:tcBorders>
              <w:top w:val="nil"/>
              <w:left w:val="nil"/>
              <w:bottom w:val="nil"/>
              <w:right w:val="nil"/>
            </w:tcBorders>
            <w:shd w:val="clear" w:color="auto" w:fill="auto"/>
            <w:noWrap/>
            <w:vAlign w:val="bottom"/>
          </w:tcPr>
          <w:p w14:paraId="0DA726A7"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56 737,1</w:t>
            </w:r>
          </w:p>
        </w:tc>
        <w:tc>
          <w:tcPr>
            <w:tcW w:w="543" w:type="pct"/>
            <w:tcBorders>
              <w:top w:val="nil"/>
              <w:left w:val="nil"/>
              <w:bottom w:val="nil"/>
              <w:right w:val="single" w:sz="4" w:space="0" w:color="auto"/>
            </w:tcBorders>
            <w:shd w:val="clear" w:color="auto" w:fill="auto"/>
            <w:noWrap/>
            <w:vAlign w:val="bottom"/>
          </w:tcPr>
          <w:p w14:paraId="60828359"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45,3%</w:t>
            </w:r>
          </w:p>
        </w:tc>
        <w:tc>
          <w:tcPr>
            <w:tcW w:w="425" w:type="pct"/>
            <w:tcBorders>
              <w:top w:val="nil"/>
              <w:left w:val="nil"/>
              <w:bottom w:val="nil"/>
              <w:right w:val="nil"/>
            </w:tcBorders>
            <w:shd w:val="clear" w:color="auto" w:fill="auto"/>
            <w:noWrap/>
            <w:vAlign w:val="bottom"/>
          </w:tcPr>
          <w:p w14:paraId="09F5CD65"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55 164,4</w:t>
            </w:r>
          </w:p>
        </w:tc>
        <w:tc>
          <w:tcPr>
            <w:tcW w:w="543" w:type="pct"/>
            <w:tcBorders>
              <w:top w:val="nil"/>
              <w:left w:val="nil"/>
              <w:bottom w:val="nil"/>
              <w:right w:val="single" w:sz="4" w:space="0" w:color="auto"/>
            </w:tcBorders>
            <w:shd w:val="clear" w:color="auto" w:fill="auto"/>
            <w:noWrap/>
            <w:vAlign w:val="bottom"/>
          </w:tcPr>
          <w:p w14:paraId="35D549EC"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41,0%</w:t>
            </w:r>
          </w:p>
        </w:tc>
        <w:tc>
          <w:tcPr>
            <w:tcW w:w="425" w:type="pct"/>
            <w:tcBorders>
              <w:top w:val="nil"/>
              <w:left w:val="nil"/>
              <w:bottom w:val="nil"/>
              <w:right w:val="nil"/>
            </w:tcBorders>
            <w:shd w:val="clear" w:color="auto" w:fill="auto"/>
            <w:noWrap/>
            <w:vAlign w:val="bottom"/>
          </w:tcPr>
          <w:p w14:paraId="5281BF58"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57 670,8</w:t>
            </w:r>
          </w:p>
        </w:tc>
        <w:tc>
          <w:tcPr>
            <w:tcW w:w="622" w:type="pct"/>
            <w:tcBorders>
              <w:top w:val="nil"/>
              <w:left w:val="nil"/>
              <w:bottom w:val="nil"/>
              <w:right w:val="single" w:sz="4" w:space="0" w:color="auto"/>
            </w:tcBorders>
            <w:shd w:val="clear" w:color="auto" w:fill="auto"/>
            <w:noWrap/>
            <w:vAlign w:val="bottom"/>
          </w:tcPr>
          <w:p w14:paraId="5696804A"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40,3%</w:t>
            </w:r>
          </w:p>
        </w:tc>
      </w:tr>
      <w:tr w:rsidR="00761800" w:rsidRPr="00761800" w14:paraId="4A411692" w14:textId="77777777" w:rsidTr="00406B4D">
        <w:trPr>
          <w:trHeight w:val="300"/>
        </w:trPr>
        <w:tc>
          <w:tcPr>
            <w:tcW w:w="1048" w:type="pct"/>
            <w:tcBorders>
              <w:top w:val="nil"/>
              <w:left w:val="single" w:sz="4" w:space="0" w:color="auto"/>
              <w:bottom w:val="nil"/>
              <w:right w:val="nil"/>
            </w:tcBorders>
            <w:shd w:val="clear" w:color="auto" w:fill="auto"/>
          </w:tcPr>
          <w:p w14:paraId="193959FA"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20. Баланс</w:t>
            </w:r>
          </w:p>
        </w:tc>
        <w:tc>
          <w:tcPr>
            <w:tcW w:w="425" w:type="pct"/>
            <w:tcBorders>
              <w:top w:val="nil"/>
              <w:left w:val="single" w:sz="4" w:space="0" w:color="auto"/>
              <w:bottom w:val="nil"/>
              <w:right w:val="nil"/>
            </w:tcBorders>
            <w:shd w:val="clear" w:color="auto" w:fill="auto"/>
            <w:noWrap/>
            <w:vAlign w:val="bottom"/>
          </w:tcPr>
          <w:p w14:paraId="483D885D"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-4 112,6</w:t>
            </w:r>
          </w:p>
        </w:tc>
        <w:tc>
          <w:tcPr>
            <w:tcW w:w="543" w:type="pct"/>
            <w:tcBorders>
              <w:top w:val="nil"/>
              <w:left w:val="nil"/>
              <w:bottom w:val="nil"/>
              <w:right w:val="single" w:sz="4" w:space="0" w:color="auto"/>
            </w:tcBorders>
            <w:shd w:val="clear" w:color="auto" w:fill="auto"/>
            <w:noWrap/>
            <w:vAlign w:val="bottom"/>
          </w:tcPr>
          <w:p w14:paraId="7BA528A1"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-3,5%</w:t>
            </w:r>
          </w:p>
        </w:tc>
        <w:tc>
          <w:tcPr>
            <w:tcW w:w="425" w:type="pct"/>
            <w:tcBorders>
              <w:top w:val="nil"/>
              <w:left w:val="nil"/>
              <w:bottom w:val="nil"/>
              <w:right w:val="nil"/>
            </w:tcBorders>
            <w:shd w:val="clear" w:color="auto" w:fill="auto"/>
            <w:noWrap/>
            <w:vAlign w:val="bottom"/>
          </w:tcPr>
          <w:p w14:paraId="0A14A852"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-6 751,4</w:t>
            </w:r>
          </w:p>
        </w:tc>
        <w:tc>
          <w:tcPr>
            <w:tcW w:w="543" w:type="pct"/>
            <w:tcBorders>
              <w:top w:val="nil"/>
              <w:left w:val="nil"/>
              <w:bottom w:val="nil"/>
              <w:right w:val="single" w:sz="4" w:space="0" w:color="auto"/>
            </w:tcBorders>
            <w:shd w:val="clear" w:color="auto" w:fill="auto"/>
            <w:noWrap/>
            <w:vAlign w:val="bottom"/>
          </w:tcPr>
          <w:p w14:paraId="558A00C5"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-5,4%</w:t>
            </w:r>
          </w:p>
        </w:tc>
        <w:tc>
          <w:tcPr>
            <w:tcW w:w="425" w:type="pct"/>
            <w:tcBorders>
              <w:top w:val="nil"/>
              <w:left w:val="nil"/>
              <w:bottom w:val="nil"/>
              <w:right w:val="nil"/>
            </w:tcBorders>
            <w:shd w:val="clear" w:color="auto" w:fill="auto"/>
            <w:noWrap/>
            <w:vAlign w:val="bottom"/>
          </w:tcPr>
          <w:p w14:paraId="2A4C5B23"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-5 220,7</w:t>
            </w:r>
          </w:p>
        </w:tc>
        <w:tc>
          <w:tcPr>
            <w:tcW w:w="543" w:type="pct"/>
            <w:tcBorders>
              <w:top w:val="nil"/>
              <w:left w:val="nil"/>
              <w:bottom w:val="nil"/>
              <w:right w:val="single" w:sz="4" w:space="0" w:color="auto"/>
            </w:tcBorders>
            <w:shd w:val="clear" w:color="auto" w:fill="auto"/>
            <w:noWrap/>
            <w:vAlign w:val="bottom"/>
          </w:tcPr>
          <w:p w14:paraId="4E5111D3"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-3,9%</w:t>
            </w:r>
          </w:p>
        </w:tc>
        <w:tc>
          <w:tcPr>
            <w:tcW w:w="425" w:type="pct"/>
            <w:tcBorders>
              <w:top w:val="nil"/>
              <w:left w:val="nil"/>
              <w:bottom w:val="nil"/>
              <w:right w:val="nil"/>
            </w:tcBorders>
            <w:shd w:val="clear" w:color="auto" w:fill="auto"/>
            <w:noWrap/>
            <w:vAlign w:val="bottom"/>
          </w:tcPr>
          <w:p w14:paraId="1725A9C4"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-4 699,4</w:t>
            </w:r>
          </w:p>
        </w:tc>
        <w:tc>
          <w:tcPr>
            <w:tcW w:w="622" w:type="pct"/>
            <w:tcBorders>
              <w:top w:val="nil"/>
              <w:left w:val="nil"/>
              <w:bottom w:val="nil"/>
              <w:right w:val="single" w:sz="4" w:space="0" w:color="auto"/>
            </w:tcBorders>
            <w:shd w:val="clear" w:color="auto" w:fill="auto"/>
            <w:noWrap/>
            <w:vAlign w:val="bottom"/>
          </w:tcPr>
          <w:p w14:paraId="1AEE7D14"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-3,3%</w:t>
            </w:r>
          </w:p>
        </w:tc>
      </w:tr>
      <w:tr w:rsidR="00761800" w:rsidRPr="00761800" w14:paraId="1D482566" w14:textId="77777777" w:rsidTr="00406B4D">
        <w:trPr>
          <w:trHeight w:val="265"/>
        </w:trPr>
        <w:tc>
          <w:tcPr>
            <w:tcW w:w="1048" w:type="pct"/>
            <w:tcBorders>
              <w:top w:val="nil"/>
              <w:left w:val="single" w:sz="4" w:space="0" w:color="auto"/>
              <w:bottom w:val="nil"/>
              <w:right w:val="nil"/>
            </w:tcBorders>
            <w:shd w:val="clear" w:color="auto" w:fill="auto"/>
          </w:tcPr>
          <w:p w14:paraId="3E0BC29F" w14:textId="77777777" w:rsidR="00761800" w:rsidRPr="00761800" w:rsidRDefault="00761800" w:rsidP="00761800">
            <w:pPr>
              <w:rPr>
                <w:rFonts w:ascii="Times New Roman" w:hAnsi="Times New Roman"/>
                <w:bCs/>
                <w:i/>
                <w:sz w:val="16"/>
                <w:szCs w:val="16"/>
                <w:lang w:eastAsia="bg-BG"/>
              </w:rPr>
            </w:pPr>
            <w:r w:rsidRPr="00761800">
              <w:rPr>
                <w:rFonts w:ascii="Times New Roman" w:hAnsi="Times New Roman"/>
                <w:bCs/>
                <w:i/>
                <w:sz w:val="16"/>
                <w:szCs w:val="16"/>
                <w:lang w:eastAsia="bg-BG"/>
              </w:rPr>
              <w:t>20a. - първичен баланс</w:t>
            </w:r>
          </w:p>
        </w:tc>
        <w:tc>
          <w:tcPr>
            <w:tcW w:w="425" w:type="pct"/>
            <w:tcBorders>
              <w:top w:val="nil"/>
              <w:left w:val="single" w:sz="4" w:space="0" w:color="auto"/>
              <w:bottom w:val="nil"/>
              <w:right w:val="nil"/>
            </w:tcBorders>
            <w:shd w:val="clear" w:color="auto" w:fill="auto"/>
            <w:noWrap/>
            <w:vAlign w:val="bottom"/>
          </w:tcPr>
          <w:p w14:paraId="64361099"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-3 159,0</w:t>
            </w:r>
          </w:p>
        </w:tc>
        <w:tc>
          <w:tcPr>
            <w:tcW w:w="543" w:type="pct"/>
            <w:tcBorders>
              <w:top w:val="nil"/>
              <w:left w:val="nil"/>
              <w:bottom w:val="nil"/>
              <w:right w:val="single" w:sz="4" w:space="0" w:color="auto"/>
            </w:tcBorders>
            <w:shd w:val="clear" w:color="auto" w:fill="auto"/>
            <w:noWrap/>
            <w:vAlign w:val="bottom"/>
          </w:tcPr>
          <w:p w14:paraId="09279853"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-2,7%</w:t>
            </w:r>
          </w:p>
        </w:tc>
        <w:tc>
          <w:tcPr>
            <w:tcW w:w="425" w:type="pct"/>
            <w:tcBorders>
              <w:top w:val="nil"/>
              <w:left w:val="nil"/>
              <w:bottom w:val="nil"/>
              <w:right w:val="nil"/>
            </w:tcBorders>
            <w:shd w:val="clear" w:color="auto" w:fill="auto"/>
            <w:noWrap/>
            <w:vAlign w:val="bottom"/>
          </w:tcPr>
          <w:p w14:paraId="4F0B5A5B"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-5 550,9</w:t>
            </w:r>
          </w:p>
        </w:tc>
        <w:tc>
          <w:tcPr>
            <w:tcW w:w="543" w:type="pct"/>
            <w:tcBorders>
              <w:top w:val="nil"/>
              <w:left w:val="nil"/>
              <w:bottom w:val="nil"/>
              <w:right w:val="single" w:sz="4" w:space="0" w:color="auto"/>
            </w:tcBorders>
            <w:shd w:val="clear" w:color="auto" w:fill="auto"/>
            <w:noWrap/>
            <w:vAlign w:val="bottom"/>
          </w:tcPr>
          <w:p w14:paraId="0196235D"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-4,4%</w:t>
            </w:r>
          </w:p>
        </w:tc>
        <w:tc>
          <w:tcPr>
            <w:tcW w:w="425" w:type="pct"/>
            <w:tcBorders>
              <w:top w:val="nil"/>
              <w:left w:val="nil"/>
              <w:bottom w:val="nil"/>
              <w:right w:val="nil"/>
            </w:tcBorders>
            <w:shd w:val="clear" w:color="auto" w:fill="auto"/>
            <w:noWrap/>
            <w:vAlign w:val="bottom"/>
          </w:tcPr>
          <w:p w14:paraId="77D75324"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-3 655,5</w:t>
            </w:r>
          </w:p>
        </w:tc>
        <w:tc>
          <w:tcPr>
            <w:tcW w:w="543" w:type="pct"/>
            <w:tcBorders>
              <w:top w:val="nil"/>
              <w:left w:val="nil"/>
              <w:bottom w:val="nil"/>
              <w:right w:val="single" w:sz="4" w:space="0" w:color="auto"/>
            </w:tcBorders>
            <w:shd w:val="clear" w:color="auto" w:fill="auto"/>
            <w:noWrap/>
            <w:vAlign w:val="bottom"/>
          </w:tcPr>
          <w:p w14:paraId="1A9D7A4D"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-2,7%</w:t>
            </w:r>
          </w:p>
        </w:tc>
        <w:tc>
          <w:tcPr>
            <w:tcW w:w="425" w:type="pct"/>
            <w:tcBorders>
              <w:top w:val="nil"/>
              <w:left w:val="nil"/>
              <w:bottom w:val="nil"/>
              <w:right w:val="nil"/>
            </w:tcBorders>
            <w:shd w:val="clear" w:color="auto" w:fill="auto"/>
            <w:noWrap/>
            <w:vAlign w:val="bottom"/>
          </w:tcPr>
          <w:p w14:paraId="2669A27B" w14:textId="77777777" w:rsidR="00761800" w:rsidRPr="00761800" w:rsidRDefault="00761800" w:rsidP="00761800">
            <w:pPr>
              <w:spacing w:after="200"/>
              <w:jc w:val="right"/>
              <w:rPr>
                <w:rFonts w:ascii="Times New Roman" w:hAnsi="Times New Roman"/>
                <w:i/>
                <w:iCs/>
                <w:sz w:val="16"/>
                <w:szCs w:val="18"/>
                <w:lang w:eastAsia="bg-BG"/>
              </w:rPr>
            </w:pPr>
            <w:r w:rsidRPr="00761800">
              <w:rPr>
                <w:rFonts w:ascii="Times New Roman" w:hAnsi="Times New Roman"/>
                <w:i/>
                <w:iCs/>
                <w:sz w:val="16"/>
                <w:szCs w:val="18"/>
                <w:lang w:eastAsia="bg-BG"/>
              </w:rPr>
              <w:t>-2 813,2</w:t>
            </w:r>
          </w:p>
        </w:tc>
        <w:tc>
          <w:tcPr>
            <w:tcW w:w="622" w:type="pct"/>
            <w:tcBorders>
              <w:top w:val="nil"/>
              <w:left w:val="nil"/>
              <w:bottom w:val="nil"/>
              <w:right w:val="single" w:sz="4" w:space="0" w:color="auto"/>
            </w:tcBorders>
            <w:shd w:val="clear" w:color="auto" w:fill="auto"/>
            <w:noWrap/>
            <w:vAlign w:val="bottom"/>
          </w:tcPr>
          <w:p w14:paraId="3D8B1F9A"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-2,0%</w:t>
            </w:r>
          </w:p>
        </w:tc>
      </w:tr>
      <w:tr w:rsidR="00761800" w:rsidRPr="00761800" w14:paraId="5A94C6B2" w14:textId="77777777" w:rsidTr="00406B4D">
        <w:trPr>
          <w:trHeight w:val="300"/>
        </w:trPr>
        <w:tc>
          <w:tcPr>
            <w:tcW w:w="1048" w:type="pct"/>
            <w:tcBorders>
              <w:top w:val="nil"/>
              <w:left w:val="single" w:sz="4" w:space="0" w:color="auto"/>
              <w:bottom w:val="single" w:sz="4" w:space="0" w:color="auto"/>
              <w:right w:val="nil"/>
            </w:tcBorders>
            <w:shd w:val="clear" w:color="auto" w:fill="auto"/>
          </w:tcPr>
          <w:p w14:paraId="73CF7459"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21. Консолидиран дълг на сектор „Държавно управление“</w:t>
            </w:r>
          </w:p>
        </w:tc>
        <w:tc>
          <w:tcPr>
            <w:tcW w:w="425" w:type="pct"/>
            <w:tcBorders>
              <w:top w:val="nil"/>
              <w:left w:val="single" w:sz="4" w:space="0" w:color="auto"/>
              <w:bottom w:val="single" w:sz="4" w:space="0" w:color="auto"/>
              <w:right w:val="nil"/>
            </w:tcBorders>
            <w:shd w:val="clear" w:color="auto" w:fill="auto"/>
            <w:noWrap/>
            <w:vAlign w:val="bottom"/>
          </w:tcPr>
          <w:p w14:paraId="78AF604E"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34 634,9</w:t>
            </w:r>
          </w:p>
        </w:tc>
        <w:tc>
          <w:tcPr>
            <w:tcW w:w="543" w:type="pct"/>
            <w:tcBorders>
              <w:top w:val="nil"/>
              <w:left w:val="nil"/>
              <w:bottom w:val="single" w:sz="4" w:space="0" w:color="auto"/>
              <w:right w:val="single" w:sz="4" w:space="0" w:color="auto"/>
            </w:tcBorders>
            <w:shd w:val="clear" w:color="auto" w:fill="auto"/>
            <w:noWrap/>
            <w:vAlign w:val="bottom"/>
          </w:tcPr>
          <w:p w14:paraId="7B0E98C7"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29,9%</w:t>
            </w:r>
          </w:p>
        </w:tc>
        <w:tc>
          <w:tcPr>
            <w:tcW w:w="425" w:type="pct"/>
            <w:tcBorders>
              <w:top w:val="nil"/>
              <w:left w:val="nil"/>
              <w:bottom w:val="single" w:sz="4" w:space="0" w:color="auto"/>
              <w:right w:val="nil"/>
            </w:tcBorders>
            <w:shd w:val="clear" w:color="auto" w:fill="auto"/>
            <w:noWrap/>
            <w:vAlign w:val="bottom"/>
          </w:tcPr>
          <w:p w14:paraId="7A0801A7"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40 426,5</w:t>
            </w:r>
          </w:p>
        </w:tc>
        <w:tc>
          <w:tcPr>
            <w:tcW w:w="543" w:type="pct"/>
            <w:tcBorders>
              <w:top w:val="nil"/>
              <w:left w:val="nil"/>
              <w:bottom w:val="single" w:sz="4" w:space="0" w:color="auto"/>
              <w:right w:val="single" w:sz="4" w:space="0" w:color="auto"/>
            </w:tcBorders>
            <w:shd w:val="clear" w:color="auto" w:fill="auto"/>
            <w:noWrap/>
            <w:vAlign w:val="bottom"/>
          </w:tcPr>
          <w:p w14:paraId="20344B25"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32,3%</w:t>
            </w:r>
          </w:p>
        </w:tc>
        <w:tc>
          <w:tcPr>
            <w:tcW w:w="425" w:type="pct"/>
            <w:tcBorders>
              <w:top w:val="nil"/>
              <w:left w:val="nil"/>
              <w:bottom w:val="single" w:sz="4" w:space="0" w:color="auto"/>
              <w:right w:val="nil"/>
            </w:tcBorders>
            <w:shd w:val="clear" w:color="auto" w:fill="auto"/>
            <w:noWrap/>
            <w:vAlign w:val="bottom"/>
          </w:tcPr>
          <w:p w14:paraId="11339E70"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45 438,3</w:t>
            </w:r>
          </w:p>
        </w:tc>
        <w:tc>
          <w:tcPr>
            <w:tcW w:w="543" w:type="pct"/>
            <w:tcBorders>
              <w:top w:val="nil"/>
              <w:left w:val="nil"/>
              <w:bottom w:val="single" w:sz="4" w:space="0" w:color="auto"/>
              <w:right w:val="single" w:sz="4" w:space="0" w:color="auto"/>
            </w:tcBorders>
            <w:shd w:val="clear" w:color="auto" w:fill="auto"/>
            <w:noWrap/>
            <w:vAlign w:val="bottom"/>
          </w:tcPr>
          <w:p w14:paraId="0451F9EB"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33,8%</w:t>
            </w:r>
          </w:p>
        </w:tc>
        <w:tc>
          <w:tcPr>
            <w:tcW w:w="425" w:type="pct"/>
            <w:tcBorders>
              <w:top w:val="nil"/>
              <w:left w:val="nil"/>
              <w:bottom w:val="single" w:sz="4" w:space="0" w:color="auto"/>
              <w:right w:val="nil"/>
            </w:tcBorders>
            <w:shd w:val="clear" w:color="auto" w:fill="auto"/>
            <w:noWrap/>
            <w:vAlign w:val="bottom"/>
          </w:tcPr>
          <w:p w14:paraId="57ED6DEF"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51 105,2</w:t>
            </w:r>
          </w:p>
        </w:tc>
        <w:tc>
          <w:tcPr>
            <w:tcW w:w="622" w:type="pct"/>
            <w:tcBorders>
              <w:top w:val="nil"/>
              <w:left w:val="nil"/>
              <w:bottom w:val="single" w:sz="4" w:space="0" w:color="auto"/>
              <w:right w:val="single" w:sz="4" w:space="0" w:color="auto"/>
            </w:tcBorders>
            <w:shd w:val="clear" w:color="auto" w:fill="auto"/>
            <w:noWrap/>
            <w:vAlign w:val="bottom"/>
          </w:tcPr>
          <w:p w14:paraId="4A9F4131"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35,7%</w:t>
            </w:r>
          </w:p>
        </w:tc>
      </w:tr>
    </w:tbl>
    <w:p w14:paraId="189788F6" w14:textId="77777777" w:rsidR="00761800" w:rsidRPr="00761800" w:rsidRDefault="00761800" w:rsidP="00761800">
      <w:pPr>
        <w:spacing w:before="120" w:after="200"/>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Източник: МФ</w:t>
      </w:r>
    </w:p>
    <w:p w14:paraId="086E073C"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Основни показатели на сектор „Държавно управление“ и прогноза при непроменени политики</w:t>
      </w:r>
    </w:p>
    <w:p w14:paraId="00182F5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Таблицата по-долу представя прогнозата за сектор „Държавно управление“ при непроменени политики, съпоставена спрямо основната бюджетна прогноза в Актуализираната средносрочна бюджетна прогноза за периода 2026-2028 г. Във фискалната прогноза при непроменени политики не се отчита въздействието на дискреционните приходни и разходни мерки на правителството, които са описани </w:t>
      </w:r>
      <w:r w:rsidRPr="00761800">
        <w:rPr>
          <w:rFonts w:ascii="Times New Roman" w:hAnsi="Times New Roman"/>
          <w:szCs w:val="22"/>
          <w:lang w:eastAsia="bg-BG"/>
        </w:rPr>
        <w:lastRenderedPageBreak/>
        <w:t xml:space="preserve">подробно в част 3.3 „Дискреционни мерки и фискални ефекти на начислена основа“. Промените, които се наблюдават в бюджетния сценарий при непроменени политики (т.нар. базисен сценарий) между прогнозните години, са основно в резултат на промени в икономически и/или демографски показатели, които имат ефект върху фискалните параметри. </w:t>
      </w:r>
    </w:p>
    <w:p w14:paraId="3ADBD17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приходите разлики между базисния сценарий и бюджетната прогноза се наблюдават при данъците върху производството и вноса, данъците върху доходите, социално-осигурителните вноски, както и при неданъчните приходи.</w:t>
      </w:r>
    </w:p>
    <w:p w14:paraId="1DFFFEC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При разходите разлики между базисния сценарий и бюджетната прогноза се наблюдават основно в разходите за персонал, субсидиите и социалните трансфери.</w:t>
      </w:r>
    </w:p>
    <w:p w14:paraId="00DCF388" w14:textId="439444AD" w:rsidR="00761800" w:rsidRPr="00761800" w:rsidRDefault="00761800" w:rsidP="00761800">
      <w:pPr>
        <w:keepNext/>
        <w:spacing w:before="240" w:after="120"/>
        <w:ind w:left="1418" w:hanging="1418"/>
        <w:rPr>
          <w:rFonts w:ascii="Times New Roman" w:hAnsi="Times New Roman"/>
          <w:b/>
          <w:bCs/>
          <w:szCs w:val="18"/>
          <w:lang w:eastAsia="bg-BG"/>
        </w:rPr>
      </w:pPr>
      <w:bookmarkStart w:id="224" w:name="_Toc233185129"/>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11</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Бюджетна прогноза на сектор „Държавно управление“ при непроменени политики за периода 2025-2028 г.</w:t>
      </w:r>
      <w:bookmarkEnd w:id="224"/>
    </w:p>
    <w:p w14:paraId="37774B79" w14:textId="77777777" w:rsidR="00761800" w:rsidRPr="00761800" w:rsidRDefault="00761800" w:rsidP="00761800">
      <w:pPr>
        <w:spacing w:before="120" w:after="200"/>
        <w:jc w:val="right"/>
        <w:rPr>
          <w:rFonts w:ascii="Times New Roman" w:hAnsi="Times New Roman"/>
          <w:sz w:val="18"/>
          <w:szCs w:val="18"/>
          <w:lang w:eastAsia="bg-BG"/>
        </w:rPr>
      </w:pPr>
    </w:p>
    <w:tbl>
      <w:tblPr>
        <w:tblW w:w="5000" w:type="pct"/>
        <w:tblCellMar>
          <w:left w:w="70" w:type="dxa"/>
          <w:right w:w="70" w:type="dxa"/>
        </w:tblCellMar>
        <w:tblLook w:val="04A0" w:firstRow="1" w:lastRow="0" w:firstColumn="1" w:lastColumn="0" w:noHBand="0" w:noVBand="1"/>
      </w:tblPr>
      <w:tblGrid>
        <w:gridCol w:w="1835"/>
        <w:gridCol w:w="820"/>
        <w:gridCol w:w="985"/>
        <w:gridCol w:w="821"/>
        <w:gridCol w:w="986"/>
        <w:gridCol w:w="821"/>
        <w:gridCol w:w="986"/>
        <w:gridCol w:w="821"/>
        <w:gridCol w:w="985"/>
      </w:tblGrid>
      <w:tr w:rsidR="00761800" w:rsidRPr="00761800" w14:paraId="14394727" w14:textId="77777777" w:rsidTr="00406B4D">
        <w:trPr>
          <w:trHeight w:val="300"/>
          <w:tblHeader/>
        </w:trPr>
        <w:tc>
          <w:tcPr>
            <w:tcW w:w="1013" w:type="pct"/>
            <w:vMerge w:val="restart"/>
            <w:tcBorders>
              <w:top w:val="single" w:sz="4" w:space="0" w:color="auto"/>
              <w:left w:val="single" w:sz="4" w:space="0" w:color="auto"/>
              <w:bottom w:val="single" w:sz="4" w:space="0" w:color="000000"/>
              <w:right w:val="nil"/>
            </w:tcBorders>
            <w:shd w:val="clear" w:color="auto" w:fill="auto"/>
            <w:vAlign w:val="center"/>
            <w:hideMark/>
          </w:tcPr>
          <w:p w14:paraId="76973B18"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 xml:space="preserve">Показатели, </w:t>
            </w:r>
            <w:r w:rsidRPr="00761800">
              <w:rPr>
                <w:rFonts w:ascii="Times New Roman" w:hAnsi="Times New Roman"/>
                <w:b/>
                <w:bCs/>
                <w:sz w:val="16"/>
                <w:szCs w:val="16"/>
                <w:lang w:eastAsia="bg-BG"/>
              </w:rPr>
              <w:br/>
              <w:t>млн. евро</w:t>
            </w:r>
          </w:p>
        </w:tc>
        <w:tc>
          <w:tcPr>
            <w:tcW w:w="996" w:type="pct"/>
            <w:gridSpan w:val="2"/>
            <w:tcBorders>
              <w:top w:val="single" w:sz="4" w:space="0" w:color="auto"/>
              <w:left w:val="single" w:sz="4" w:space="0" w:color="auto"/>
              <w:bottom w:val="single" w:sz="4" w:space="0" w:color="595959"/>
              <w:right w:val="single" w:sz="4" w:space="0" w:color="000000"/>
            </w:tcBorders>
            <w:shd w:val="clear" w:color="auto" w:fill="auto"/>
            <w:noWrap/>
            <w:vAlign w:val="bottom"/>
            <w:hideMark/>
          </w:tcPr>
          <w:p w14:paraId="22C300BB"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2025</w:t>
            </w:r>
          </w:p>
        </w:tc>
        <w:tc>
          <w:tcPr>
            <w:tcW w:w="997" w:type="pct"/>
            <w:gridSpan w:val="2"/>
            <w:tcBorders>
              <w:top w:val="single" w:sz="4" w:space="0" w:color="auto"/>
              <w:left w:val="nil"/>
              <w:bottom w:val="single" w:sz="4" w:space="0" w:color="595959"/>
              <w:right w:val="single" w:sz="4" w:space="0" w:color="000000"/>
            </w:tcBorders>
            <w:shd w:val="clear" w:color="auto" w:fill="auto"/>
            <w:noWrap/>
            <w:vAlign w:val="bottom"/>
            <w:hideMark/>
          </w:tcPr>
          <w:p w14:paraId="2DFFC6E6"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2026</w:t>
            </w:r>
          </w:p>
        </w:tc>
        <w:tc>
          <w:tcPr>
            <w:tcW w:w="997" w:type="pct"/>
            <w:gridSpan w:val="2"/>
            <w:tcBorders>
              <w:top w:val="single" w:sz="4" w:space="0" w:color="auto"/>
              <w:left w:val="nil"/>
              <w:bottom w:val="single" w:sz="4" w:space="0" w:color="595959"/>
              <w:right w:val="single" w:sz="4" w:space="0" w:color="000000"/>
            </w:tcBorders>
            <w:shd w:val="clear" w:color="auto" w:fill="auto"/>
            <w:noWrap/>
            <w:vAlign w:val="bottom"/>
            <w:hideMark/>
          </w:tcPr>
          <w:p w14:paraId="487E2B8A"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2027</w:t>
            </w:r>
          </w:p>
        </w:tc>
        <w:tc>
          <w:tcPr>
            <w:tcW w:w="997" w:type="pct"/>
            <w:gridSpan w:val="2"/>
            <w:tcBorders>
              <w:top w:val="single" w:sz="4" w:space="0" w:color="auto"/>
              <w:left w:val="nil"/>
              <w:bottom w:val="single" w:sz="4" w:space="0" w:color="595959"/>
              <w:right w:val="single" w:sz="4" w:space="0" w:color="000000"/>
            </w:tcBorders>
            <w:shd w:val="clear" w:color="auto" w:fill="auto"/>
            <w:noWrap/>
            <w:vAlign w:val="bottom"/>
            <w:hideMark/>
          </w:tcPr>
          <w:p w14:paraId="2B5919A3"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2028</w:t>
            </w:r>
          </w:p>
        </w:tc>
      </w:tr>
      <w:tr w:rsidR="00761800" w:rsidRPr="00761800" w14:paraId="32D13587" w14:textId="77777777" w:rsidTr="00406B4D">
        <w:trPr>
          <w:trHeight w:val="929"/>
          <w:tblHeader/>
        </w:trPr>
        <w:tc>
          <w:tcPr>
            <w:tcW w:w="1013" w:type="pct"/>
            <w:vMerge/>
            <w:tcBorders>
              <w:top w:val="single" w:sz="4" w:space="0" w:color="auto"/>
              <w:left w:val="single" w:sz="4" w:space="0" w:color="auto"/>
              <w:bottom w:val="single" w:sz="4" w:space="0" w:color="000000"/>
              <w:right w:val="nil"/>
            </w:tcBorders>
            <w:vAlign w:val="center"/>
            <w:hideMark/>
          </w:tcPr>
          <w:p w14:paraId="746B5AD6" w14:textId="77777777" w:rsidR="00761800" w:rsidRPr="00761800" w:rsidRDefault="00761800" w:rsidP="00761800">
            <w:pPr>
              <w:rPr>
                <w:rFonts w:ascii="Times New Roman" w:hAnsi="Times New Roman"/>
                <w:b/>
                <w:bCs/>
                <w:sz w:val="16"/>
                <w:szCs w:val="16"/>
                <w:lang w:eastAsia="bg-BG"/>
              </w:rPr>
            </w:pPr>
          </w:p>
        </w:tc>
        <w:tc>
          <w:tcPr>
            <w:tcW w:w="453" w:type="pct"/>
            <w:tcBorders>
              <w:top w:val="nil"/>
              <w:left w:val="single" w:sz="4" w:space="0" w:color="auto"/>
              <w:bottom w:val="single" w:sz="4" w:space="0" w:color="auto"/>
              <w:right w:val="nil"/>
            </w:tcBorders>
            <w:shd w:val="clear" w:color="auto" w:fill="auto"/>
            <w:hideMark/>
          </w:tcPr>
          <w:p w14:paraId="5588C25F"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Базисен сценарий</w:t>
            </w:r>
          </w:p>
        </w:tc>
        <w:tc>
          <w:tcPr>
            <w:tcW w:w="544" w:type="pct"/>
            <w:tcBorders>
              <w:top w:val="nil"/>
              <w:left w:val="nil"/>
              <w:bottom w:val="single" w:sz="4" w:space="0" w:color="auto"/>
              <w:right w:val="single" w:sz="4" w:space="0" w:color="auto"/>
            </w:tcBorders>
            <w:shd w:val="clear" w:color="auto" w:fill="auto"/>
            <w:hideMark/>
          </w:tcPr>
          <w:p w14:paraId="7A958F73"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Изменение спрямо основния сценарий,</w:t>
            </w:r>
            <w:r w:rsidRPr="00761800">
              <w:rPr>
                <w:rFonts w:ascii="Times New Roman" w:hAnsi="Times New Roman"/>
                <w:b/>
                <w:bCs/>
                <w:sz w:val="16"/>
                <w:szCs w:val="16"/>
                <w:lang w:eastAsia="bg-BG"/>
              </w:rPr>
              <w:br/>
              <w:t>%</w:t>
            </w:r>
          </w:p>
        </w:tc>
        <w:tc>
          <w:tcPr>
            <w:tcW w:w="453" w:type="pct"/>
            <w:tcBorders>
              <w:top w:val="nil"/>
              <w:left w:val="nil"/>
              <w:bottom w:val="single" w:sz="4" w:space="0" w:color="auto"/>
              <w:right w:val="nil"/>
            </w:tcBorders>
            <w:shd w:val="clear" w:color="auto" w:fill="auto"/>
            <w:hideMark/>
          </w:tcPr>
          <w:p w14:paraId="56AD1FEB"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Базисен сценарий</w:t>
            </w:r>
          </w:p>
        </w:tc>
        <w:tc>
          <w:tcPr>
            <w:tcW w:w="544" w:type="pct"/>
            <w:tcBorders>
              <w:top w:val="nil"/>
              <w:left w:val="nil"/>
              <w:bottom w:val="single" w:sz="4" w:space="0" w:color="auto"/>
              <w:right w:val="single" w:sz="4" w:space="0" w:color="auto"/>
            </w:tcBorders>
            <w:shd w:val="clear" w:color="auto" w:fill="auto"/>
            <w:hideMark/>
          </w:tcPr>
          <w:p w14:paraId="4AAE5F00"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Изменение спрямо основния сценарий,</w:t>
            </w:r>
            <w:r w:rsidRPr="00761800">
              <w:rPr>
                <w:rFonts w:ascii="Times New Roman" w:hAnsi="Times New Roman"/>
                <w:b/>
                <w:bCs/>
                <w:sz w:val="16"/>
                <w:szCs w:val="16"/>
                <w:lang w:eastAsia="bg-BG"/>
              </w:rPr>
              <w:br/>
              <w:t>%</w:t>
            </w:r>
          </w:p>
        </w:tc>
        <w:tc>
          <w:tcPr>
            <w:tcW w:w="453" w:type="pct"/>
            <w:tcBorders>
              <w:top w:val="nil"/>
              <w:left w:val="nil"/>
              <w:bottom w:val="single" w:sz="4" w:space="0" w:color="auto"/>
              <w:right w:val="nil"/>
            </w:tcBorders>
            <w:shd w:val="clear" w:color="auto" w:fill="auto"/>
            <w:hideMark/>
          </w:tcPr>
          <w:p w14:paraId="1E7F5AAB"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Базисен сценарий</w:t>
            </w:r>
          </w:p>
        </w:tc>
        <w:tc>
          <w:tcPr>
            <w:tcW w:w="544" w:type="pct"/>
            <w:tcBorders>
              <w:top w:val="nil"/>
              <w:left w:val="nil"/>
              <w:bottom w:val="single" w:sz="4" w:space="0" w:color="auto"/>
              <w:right w:val="single" w:sz="4" w:space="0" w:color="auto"/>
            </w:tcBorders>
            <w:shd w:val="clear" w:color="auto" w:fill="auto"/>
            <w:hideMark/>
          </w:tcPr>
          <w:p w14:paraId="16C61988"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Изменение спрямо основния сценарий,</w:t>
            </w:r>
            <w:r w:rsidRPr="00761800">
              <w:rPr>
                <w:rFonts w:ascii="Times New Roman" w:hAnsi="Times New Roman"/>
                <w:b/>
                <w:bCs/>
                <w:sz w:val="16"/>
                <w:szCs w:val="16"/>
                <w:lang w:eastAsia="bg-BG"/>
              </w:rPr>
              <w:br/>
              <w:t>%</w:t>
            </w:r>
          </w:p>
        </w:tc>
        <w:tc>
          <w:tcPr>
            <w:tcW w:w="453" w:type="pct"/>
            <w:tcBorders>
              <w:top w:val="nil"/>
              <w:left w:val="nil"/>
              <w:bottom w:val="single" w:sz="4" w:space="0" w:color="auto"/>
              <w:right w:val="nil"/>
            </w:tcBorders>
            <w:shd w:val="clear" w:color="auto" w:fill="auto"/>
            <w:hideMark/>
          </w:tcPr>
          <w:p w14:paraId="48CE2DDA"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Базисен сценарий</w:t>
            </w:r>
          </w:p>
        </w:tc>
        <w:tc>
          <w:tcPr>
            <w:tcW w:w="544" w:type="pct"/>
            <w:tcBorders>
              <w:top w:val="nil"/>
              <w:left w:val="nil"/>
              <w:bottom w:val="single" w:sz="4" w:space="0" w:color="auto"/>
              <w:right w:val="single" w:sz="4" w:space="0" w:color="auto"/>
            </w:tcBorders>
            <w:shd w:val="clear" w:color="auto" w:fill="auto"/>
            <w:hideMark/>
          </w:tcPr>
          <w:p w14:paraId="28C1EDEC"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Изменение спрямо основния сценарий,</w:t>
            </w:r>
            <w:r w:rsidRPr="00761800">
              <w:rPr>
                <w:rFonts w:ascii="Times New Roman" w:hAnsi="Times New Roman"/>
                <w:b/>
                <w:bCs/>
                <w:sz w:val="16"/>
                <w:szCs w:val="16"/>
                <w:lang w:eastAsia="bg-BG"/>
              </w:rPr>
              <w:br/>
              <w:t>%</w:t>
            </w:r>
          </w:p>
        </w:tc>
      </w:tr>
      <w:tr w:rsidR="00761800" w:rsidRPr="00761800" w14:paraId="7BBAA331" w14:textId="77777777" w:rsidTr="00406B4D">
        <w:trPr>
          <w:trHeight w:val="495"/>
        </w:trPr>
        <w:tc>
          <w:tcPr>
            <w:tcW w:w="1013" w:type="pct"/>
            <w:tcBorders>
              <w:top w:val="nil"/>
              <w:left w:val="single" w:sz="4" w:space="0" w:color="auto"/>
              <w:bottom w:val="nil"/>
              <w:right w:val="nil"/>
            </w:tcBorders>
            <w:shd w:val="clear" w:color="auto" w:fill="auto"/>
            <w:hideMark/>
          </w:tcPr>
          <w:p w14:paraId="1EFF37C3"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1. Данъци върху производството и вноса</w:t>
            </w:r>
          </w:p>
        </w:tc>
        <w:tc>
          <w:tcPr>
            <w:tcW w:w="453" w:type="pct"/>
            <w:tcBorders>
              <w:top w:val="nil"/>
              <w:left w:val="single" w:sz="4" w:space="0" w:color="auto"/>
              <w:bottom w:val="nil"/>
              <w:right w:val="nil"/>
            </w:tcBorders>
            <w:shd w:val="clear" w:color="auto" w:fill="auto"/>
            <w:noWrap/>
            <w:vAlign w:val="bottom"/>
          </w:tcPr>
          <w:p w14:paraId="400B04C3"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16 699,9</w:t>
            </w:r>
          </w:p>
        </w:tc>
        <w:tc>
          <w:tcPr>
            <w:tcW w:w="544" w:type="pct"/>
            <w:tcBorders>
              <w:top w:val="nil"/>
              <w:left w:val="nil"/>
              <w:bottom w:val="nil"/>
              <w:right w:val="single" w:sz="4" w:space="0" w:color="auto"/>
            </w:tcBorders>
            <w:shd w:val="clear" w:color="auto" w:fill="auto"/>
            <w:noWrap/>
            <w:vAlign w:val="bottom"/>
          </w:tcPr>
          <w:p w14:paraId="01C28D47"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8,9%</w:t>
            </w:r>
          </w:p>
        </w:tc>
        <w:tc>
          <w:tcPr>
            <w:tcW w:w="453" w:type="pct"/>
            <w:tcBorders>
              <w:top w:val="nil"/>
              <w:left w:val="nil"/>
              <w:bottom w:val="nil"/>
              <w:right w:val="nil"/>
            </w:tcBorders>
            <w:shd w:val="clear" w:color="auto" w:fill="auto"/>
            <w:noWrap/>
            <w:vAlign w:val="bottom"/>
          </w:tcPr>
          <w:p w14:paraId="1FB28781"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18 634,9</w:t>
            </w:r>
          </w:p>
        </w:tc>
        <w:tc>
          <w:tcPr>
            <w:tcW w:w="544" w:type="pct"/>
            <w:tcBorders>
              <w:top w:val="nil"/>
              <w:left w:val="nil"/>
              <w:bottom w:val="nil"/>
              <w:right w:val="single" w:sz="4" w:space="0" w:color="auto"/>
            </w:tcBorders>
            <w:shd w:val="clear" w:color="auto" w:fill="auto"/>
            <w:noWrap/>
            <w:vAlign w:val="bottom"/>
          </w:tcPr>
          <w:p w14:paraId="1F0527E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11,6%</w:t>
            </w:r>
          </w:p>
        </w:tc>
        <w:tc>
          <w:tcPr>
            <w:tcW w:w="453" w:type="pct"/>
            <w:tcBorders>
              <w:top w:val="nil"/>
              <w:left w:val="nil"/>
              <w:bottom w:val="nil"/>
              <w:right w:val="nil"/>
            </w:tcBorders>
            <w:shd w:val="clear" w:color="auto" w:fill="auto"/>
            <w:noWrap/>
            <w:vAlign w:val="bottom"/>
          </w:tcPr>
          <w:p w14:paraId="23D775D9"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19 644,2</w:t>
            </w:r>
          </w:p>
        </w:tc>
        <w:tc>
          <w:tcPr>
            <w:tcW w:w="544" w:type="pct"/>
            <w:tcBorders>
              <w:top w:val="nil"/>
              <w:left w:val="nil"/>
              <w:bottom w:val="nil"/>
              <w:right w:val="single" w:sz="4" w:space="0" w:color="auto"/>
            </w:tcBorders>
            <w:shd w:val="clear" w:color="auto" w:fill="auto"/>
            <w:noWrap/>
            <w:vAlign w:val="bottom"/>
          </w:tcPr>
          <w:p w14:paraId="1BD0C58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4,0%</w:t>
            </w:r>
          </w:p>
        </w:tc>
        <w:tc>
          <w:tcPr>
            <w:tcW w:w="453" w:type="pct"/>
            <w:tcBorders>
              <w:top w:val="nil"/>
              <w:left w:val="nil"/>
              <w:bottom w:val="nil"/>
              <w:right w:val="nil"/>
            </w:tcBorders>
            <w:shd w:val="clear" w:color="auto" w:fill="auto"/>
            <w:noWrap/>
            <w:vAlign w:val="bottom"/>
          </w:tcPr>
          <w:p w14:paraId="3336684B"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20 881,3</w:t>
            </w:r>
          </w:p>
        </w:tc>
        <w:tc>
          <w:tcPr>
            <w:tcW w:w="544" w:type="pct"/>
            <w:tcBorders>
              <w:top w:val="nil"/>
              <w:left w:val="nil"/>
              <w:bottom w:val="nil"/>
              <w:right w:val="single" w:sz="4" w:space="0" w:color="auto"/>
            </w:tcBorders>
            <w:shd w:val="clear" w:color="auto" w:fill="auto"/>
            <w:noWrap/>
            <w:vAlign w:val="bottom"/>
          </w:tcPr>
          <w:p w14:paraId="494BCB1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4,1%</w:t>
            </w:r>
          </w:p>
        </w:tc>
      </w:tr>
      <w:tr w:rsidR="00761800" w:rsidRPr="00761800" w14:paraId="5591C4AD" w14:textId="77777777" w:rsidTr="00406B4D">
        <w:trPr>
          <w:trHeight w:val="495"/>
        </w:trPr>
        <w:tc>
          <w:tcPr>
            <w:tcW w:w="1013" w:type="pct"/>
            <w:tcBorders>
              <w:top w:val="nil"/>
              <w:left w:val="single" w:sz="4" w:space="0" w:color="auto"/>
              <w:bottom w:val="nil"/>
              <w:right w:val="nil"/>
            </w:tcBorders>
            <w:shd w:val="clear" w:color="auto" w:fill="auto"/>
            <w:hideMark/>
          </w:tcPr>
          <w:p w14:paraId="42138257"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2. Текущи данъци върху доходите, богатството и др.</w:t>
            </w:r>
          </w:p>
        </w:tc>
        <w:tc>
          <w:tcPr>
            <w:tcW w:w="453" w:type="pct"/>
            <w:tcBorders>
              <w:top w:val="nil"/>
              <w:left w:val="single" w:sz="4" w:space="0" w:color="auto"/>
              <w:bottom w:val="nil"/>
              <w:right w:val="nil"/>
            </w:tcBorders>
            <w:shd w:val="clear" w:color="auto" w:fill="auto"/>
            <w:noWrap/>
            <w:vAlign w:val="bottom"/>
          </w:tcPr>
          <w:p w14:paraId="017C210C"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7 528,8</w:t>
            </w:r>
          </w:p>
        </w:tc>
        <w:tc>
          <w:tcPr>
            <w:tcW w:w="544" w:type="pct"/>
            <w:tcBorders>
              <w:top w:val="nil"/>
              <w:left w:val="nil"/>
              <w:bottom w:val="nil"/>
              <w:right w:val="single" w:sz="4" w:space="0" w:color="auto"/>
            </w:tcBorders>
            <w:shd w:val="clear" w:color="auto" w:fill="auto"/>
            <w:noWrap/>
            <w:vAlign w:val="bottom"/>
          </w:tcPr>
          <w:p w14:paraId="120C69E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11,0%</w:t>
            </w:r>
          </w:p>
        </w:tc>
        <w:tc>
          <w:tcPr>
            <w:tcW w:w="453" w:type="pct"/>
            <w:tcBorders>
              <w:top w:val="nil"/>
              <w:left w:val="nil"/>
              <w:bottom w:val="nil"/>
              <w:right w:val="nil"/>
            </w:tcBorders>
            <w:shd w:val="clear" w:color="auto" w:fill="auto"/>
            <w:noWrap/>
            <w:vAlign w:val="bottom"/>
          </w:tcPr>
          <w:p w14:paraId="0146B024"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8 721,6</w:t>
            </w:r>
          </w:p>
        </w:tc>
        <w:tc>
          <w:tcPr>
            <w:tcW w:w="544" w:type="pct"/>
            <w:tcBorders>
              <w:top w:val="nil"/>
              <w:left w:val="nil"/>
              <w:bottom w:val="nil"/>
              <w:right w:val="single" w:sz="4" w:space="0" w:color="auto"/>
            </w:tcBorders>
            <w:shd w:val="clear" w:color="auto" w:fill="auto"/>
            <w:noWrap/>
            <w:vAlign w:val="bottom"/>
          </w:tcPr>
          <w:p w14:paraId="0FDFF41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15,8%</w:t>
            </w:r>
          </w:p>
        </w:tc>
        <w:tc>
          <w:tcPr>
            <w:tcW w:w="453" w:type="pct"/>
            <w:tcBorders>
              <w:top w:val="nil"/>
              <w:left w:val="nil"/>
              <w:bottom w:val="nil"/>
              <w:right w:val="nil"/>
            </w:tcBorders>
            <w:shd w:val="clear" w:color="auto" w:fill="auto"/>
            <w:noWrap/>
            <w:vAlign w:val="bottom"/>
          </w:tcPr>
          <w:p w14:paraId="1DA2D4A2"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9 336,8</w:t>
            </w:r>
          </w:p>
        </w:tc>
        <w:tc>
          <w:tcPr>
            <w:tcW w:w="544" w:type="pct"/>
            <w:tcBorders>
              <w:top w:val="nil"/>
              <w:left w:val="nil"/>
              <w:bottom w:val="nil"/>
              <w:right w:val="single" w:sz="4" w:space="0" w:color="auto"/>
            </w:tcBorders>
            <w:shd w:val="clear" w:color="auto" w:fill="auto"/>
            <w:noWrap/>
            <w:vAlign w:val="bottom"/>
          </w:tcPr>
          <w:p w14:paraId="0AC404C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7,2%</w:t>
            </w:r>
          </w:p>
        </w:tc>
        <w:tc>
          <w:tcPr>
            <w:tcW w:w="453" w:type="pct"/>
            <w:tcBorders>
              <w:top w:val="nil"/>
              <w:left w:val="nil"/>
              <w:bottom w:val="nil"/>
              <w:right w:val="nil"/>
            </w:tcBorders>
            <w:shd w:val="clear" w:color="auto" w:fill="auto"/>
            <w:noWrap/>
            <w:vAlign w:val="bottom"/>
          </w:tcPr>
          <w:p w14:paraId="1CF7E311"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9 931,8</w:t>
            </w:r>
          </w:p>
        </w:tc>
        <w:tc>
          <w:tcPr>
            <w:tcW w:w="544" w:type="pct"/>
            <w:tcBorders>
              <w:top w:val="nil"/>
              <w:left w:val="nil"/>
              <w:bottom w:val="nil"/>
              <w:right w:val="single" w:sz="4" w:space="0" w:color="auto"/>
            </w:tcBorders>
            <w:shd w:val="clear" w:color="auto" w:fill="auto"/>
            <w:noWrap/>
            <w:vAlign w:val="bottom"/>
          </w:tcPr>
          <w:p w14:paraId="6CCED36C"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5,8%</w:t>
            </w:r>
          </w:p>
        </w:tc>
      </w:tr>
      <w:tr w:rsidR="00761800" w:rsidRPr="00761800" w14:paraId="43AECCE2" w14:textId="77777777" w:rsidTr="00406B4D">
        <w:trPr>
          <w:trHeight w:val="495"/>
        </w:trPr>
        <w:tc>
          <w:tcPr>
            <w:tcW w:w="1013" w:type="pct"/>
            <w:tcBorders>
              <w:top w:val="nil"/>
              <w:left w:val="single" w:sz="4" w:space="0" w:color="auto"/>
              <w:bottom w:val="nil"/>
              <w:right w:val="nil"/>
            </w:tcBorders>
            <w:shd w:val="clear" w:color="auto" w:fill="auto"/>
            <w:hideMark/>
          </w:tcPr>
          <w:p w14:paraId="54331729" w14:textId="77777777" w:rsidR="00761800" w:rsidRPr="00761800" w:rsidRDefault="00761800" w:rsidP="00761800">
            <w:pPr>
              <w:rPr>
                <w:rFonts w:ascii="Times New Roman" w:hAnsi="Times New Roman"/>
                <w:i/>
                <w:iCs/>
                <w:sz w:val="16"/>
                <w:szCs w:val="16"/>
                <w:lang w:eastAsia="bg-BG"/>
              </w:rPr>
            </w:pPr>
            <w:r w:rsidRPr="00761800">
              <w:rPr>
                <w:rFonts w:ascii="Times New Roman" w:hAnsi="Times New Roman"/>
                <w:i/>
                <w:iCs/>
                <w:sz w:val="16"/>
                <w:szCs w:val="16"/>
                <w:lang w:eastAsia="bg-BG"/>
              </w:rPr>
              <w:t xml:space="preserve"> 2a. - в т.ч. платени от домакинствата</w:t>
            </w:r>
          </w:p>
        </w:tc>
        <w:tc>
          <w:tcPr>
            <w:tcW w:w="453" w:type="pct"/>
            <w:tcBorders>
              <w:top w:val="nil"/>
              <w:left w:val="single" w:sz="4" w:space="0" w:color="auto"/>
              <w:bottom w:val="nil"/>
              <w:right w:val="nil"/>
            </w:tcBorders>
            <w:shd w:val="clear" w:color="auto" w:fill="auto"/>
            <w:noWrap/>
            <w:vAlign w:val="bottom"/>
          </w:tcPr>
          <w:p w14:paraId="470C5277"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4 404,6</w:t>
            </w:r>
          </w:p>
        </w:tc>
        <w:tc>
          <w:tcPr>
            <w:tcW w:w="544" w:type="pct"/>
            <w:tcBorders>
              <w:top w:val="nil"/>
              <w:left w:val="nil"/>
              <w:bottom w:val="nil"/>
              <w:right w:val="single" w:sz="4" w:space="0" w:color="auto"/>
            </w:tcBorders>
            <w:shd w:val="clear" w:color="auto" w:fill="auto"/>
            <w:noWrap/>
            <w:vAlign w:val="bottom"/>
          </w:tcPr>
          <w:p w14:paraId="3EC47F8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12,0%</w:t>
            </w:r>
          </w:p>
        </w:tc>
        <w:tc>
          <w:tcPr>
            <w:tcW w:w="453" w:type="pct"/>
            <w:tcBorders>
              <w:top w:val="nil"/>
              <w:left w:val="nil"/>
              <w:bottom w:val="nil"/>
              <w:right w:val="nil"/>
            </w:tcBorders>
            <w:shd w:val="clear" w:color="auto" w:fill="auto"/>
            <w:noWrap/>
            <w:vAlign w:val="bottom"/>
          </w:tcPr>
          <w:p w14:paraId="135CAE18"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4 947,3</w:t>
            </w:r>
          </w:p>
        </w:tc>
        <w:tc>
          <w:tcPr>
            <w:tcW w:w="544" w:type="pct"/>
            <w:tcBorders>
              <w:top w:val="nil"/>
              <w:left w:val="nil"/>
              <w:bottom w:val="nil"/>
              <w:right w:val="single" w:sz="4" w:space="0" w:color="auto"/>
            </w:tcBorders>
            <w:shd w:val="clear" w:color="auto" w:fill="auto"/>
            <w:noWrap/>
            <w:vAlign w:val="bottom"/>
          </w:tcPr>
          <w:p w14:paraId="658F789A"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12,3%</w:t>
            </w:r>
          </w:p>
        </w:tc>
        <w:tc>
          <w:tcPr>
            <w:tcW w:w="453" w:type="pct"/>
            <w:tcBorders>
              <w:top w:val="nil"/>
              <w:left w:val="nil"/>
              <w:bottom w:val="nil"/>
              <w:right w:val="nil"/>
            </w:tcBorders>
            <w:shd w:val="clear" w:color="auto" w:fill="auto"/>
            <w:noWrap/>
            <w:vAlign w:val="bottom"/>
          </w:tcPr>
          <w:p w14:paraId="4C129A64"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5 304,2</w:t>
            </w:r>
          </w:p>
        </w:tc>
        <w:tc>
          <w:tcPr>
            <w:tcW w:w="544" w:type="pct"/>
            <w:tcBorders>
              <w:top w:val="nil"/>
              <w:left w:val="nil"/>
              <w:bottom w:val="nil"/>
              <w:right w:val="single" w:sz="4" w:space="0" w:color="auto"/>
            </w:tcBorders>
            <w:shd w:val="clear" w:color="auto" w:fill="auto"/>
            <w:noWrap/>
            <w:vAlign w:val="bottom"/>
          </w:tcPr>
          <w:p w14:paraId="00B9BE2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7,2%</w:t>
            </w:r>
          </w:p>
        </w:tc>
        <w:tc>
          <w:tcPr>
            <w:tcW w:w="453" w:type="pct"/>
            <w:tcBorders>
              <w:top w:val="nil"/>
              <w:left w:val="nil"/>
              <w:bottom w:val="nil"/>
              <w:right w:val="nil"/>
            </w:tcBorders>
            <w:shd w:val="clear" w:color="auto" w:fill="auto"/>
            <w:noWrap/>
            <w:vAlign w:val="bottom"/>
          </w:tcPr>
          <w:p w14:paraId="70BFBC9F"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5 625,8</w:t>
            </w:r>
          </w:p>
        </w:tc>
        <w:tc>
          <w:tcPr>
            <w:tcW w:w="544" w:type="pct"/>
            <w:tcBorders>
              <w:top w:val="nil"/>
              <w:left w:val="nil"/>
              <w:bottom w:val="nil"/>
              <w:right w:val="single" w:sz="4" w:space="0" w:color="auto"/>
            </w:tcBorders>
            <w:shd w:val="clear" w:color="auto" w:fill="auto"/>
            <w:noWrap/>
            <w:vAlign w:val="bottom"/>
          </w:tcPr>
          <w:p w14:paraId="06B4084B"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5,7%</w:t>
            </w:r>
          </w:p>
        </w:tc>
      </w:tr>
      <w:tr w:rsidR="00761800" w:rsidRPr="00761800" w14:paraId="5238DABF" w14:textId="77777777" w:rsidTr="00406B4D">
        <w:trPr>
          <w:trHeight w:val="300"/>
        </w:trPr>
        <w:tc>
          <w:tcPr>
            <w:tcW w:w="1013" w:type="pct"/>
            <w:tcBorders>
              <w:top w:val="nil"/>
              <w:left w:val="single" w:sz="4" w:space="0" w:color="auto"/>
              <w:bottom w:val="nil"/>
              <w:right w:val="nil"/>
            </w:tcBorders>
            <w:shd w:val="clear" w:color="auto" w:fill="auto"/>
            <w:hideMark/>
          </w:tcPr>
          <w:p w14:paraId="23F6D750" w14:textId="77777777" w:rsidR="00761800" w:rsidRPr="00761800" w:rsidRDefault="00761800" w:rsidP="00761800">
            <w:pPr>
              <w:rPr>
                <w:rFonts w:ascii="Times New Roman" w:hAnsi="Times New Roman"/>
                <w:i/>
                <w:iCs/>
                <w:sz w:val="16"/>
                <w:szCs w:val="16"/>
                <w:lang w:eastAsia="bg-BG"/>
              </w:rPr>
            </w:pPr>
            <w:r w:rsidRPr="00761800">
              <w:rPr>
                <w:rFonts w:ascii="Times New Roman" w:hAnsi="Times New Roman"/>
                <w:i/>
                <w:iCs/>
                <w:sz w:val="16"/>
                <w:szCs w:val="16"/>
                <w:lang w:eastAsia="bg-BG"/>
              </w:rPr>
              <w:t xml:space="preserve"> 2b. - в т.ч. платени от фирмите</w:t>
            </w:r>
          </w:p>
        </w:tc>
        <w:tc>
          <w:tcPr>
            <w:tcW w:w="453" w:type="pct"/>
            <w:tcBorders>
              <w:top w:val="nil"/>
              <w:left w:val="single" w:sz="4" w:space="0" w:color="auto"/>
              <w:bottom w:val="nil"/>
              <w:right w:val="nil"/>
            </w:tcBorders>
            <w:shd w:val="clear" w:color="auto" w:fill="auto"/>
            <w:noWrap/>
            <w:vAlign w:val="bottom"/>
          </w:tcPr>
          <w:p w14:paraId="4FAEF067"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3 124,2</w:t>
            </w:r>
          </w:p>
        </w:tc>
        <w:tc>
          <w:tcPr>
            <w:tcW w:w="544" w:type="pct"/>
            <w:tcBorders>
              <w:top w:val="nil"/>
              <w:left w:val="nil"/>
              <w:bottom w:val="nil"/>
              <w:right w:val="single" w:sz="4" w:space="0" w:color="auto"/>
            </w:tcBorders>
            <w:shd w:val="clear" w:color="auto" w:fill="auto"/>
            <w:noWrap/>
            <w:vAlign w:val="bottom"/>
          </w:tcPr>
          <w:p w14:paraId="05497F2E"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9,6%</w:t>
            </w:r>
          </w:p>
        </w:tc>
        <w:tc>
          <w:tcPr>
            <w:tcW w:w="453" w:type="pct"/>
            <w:tcBorders>
              <w:top w:val="nil"/>
              <w:left w:val="nil"/>
              <w:bottom w:val="nil"/>
              <w:right w:val="nil"/>
            </w:tcBorders>
            <w:shd w:val="clear" w:color="auto" w:fill="auto"/>
            <w:noWrap/>
            <w:vAlign w:val="bottom"/>
          </w:tcPr>
          <w:p w14:paraId="6FA0C06E"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3 774,3</w:t>
            </w:r>
          </w:p>
        </w:tc>
        <w:tc>
          <w:tcPr>
            <w:tcW w:w="544" w:type="pct"/>
            <w:tcBorders>
              <w:top w:val="nil"/>
              <w:left w:val="nil"/>
              <w:bottom w:val="nil"/>
              <w:right w:val="single" w:sz="4" w:space="0" w:color="auto"/>
            </w:tcBorders>
            <w:shd w:val="clear" w:color="auto" w:fill="auto"/>
            <w:noWrap/>
            <w:vAlign w:val="bottom"/>
          </w:tcPr>
          <w:p w14:paraId="0503290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20,8%</w:t>
            </w:r>
          </w:p>
        </w:tc>
        <w:tc>
          <w:tcPr>
            <w:tcW w:w="453" w:type="pct"/>
            <w:tcBorders>
              <w:top w:val="nil"/>
              <w:left w:val="nil"/>
              <w:bottom w:val="nil"/>
              <w:right w:val="nil"/>
            </w:tcBorders>
            <w:shd w:val="clear" w:color="auto" w:fill="auto"/>
            <w:noWrap/>
            <w:vAlign w:val="bottom"/>
          </w:tcPr>
          <w:p w14:paraId="654AE9E8"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4 032,6</w:t>
            </w:r>
          </w:p>
        </w:tc>
        <w:tc>
          <w:tcPr>
            <w:tcW w:w="544" w:type="pct"/>
            <w:tcBorders>
              <w:top w:val="nil"/>
              <w:left w:val="nil"/>
              <w:bottom w:val="nil"/>
              <w:right w:val="single" w:sz="4" w:space="0" w:color="auto"/>
            </w:tcBorders>
            <w:shd w:val="clear" w:color="auto" w:fill="auto"/>
            <w:noWrap/>
            <w:vAlign w:val="bottom"/>
          </w:tcPr>
          <w:p w14:paraId="05FC51BC"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7,3%</w:t>
            </w:r>
          </w:p>
        </w:tc>
        <w:tc>
          <w:tcPr>
            <w:tcW w:w="453" w:type="pct"/>
            <w:tcBorders>
              <w:top w:val="nil"/>
              <w:left w:val="nil"/>
              <w:bottom w:val="nil"/>
              <w:right w:val="nil"/>
            </w:tcBorders>
            <w:shd w:val="clear" w:color="auto" w:fill="auto"/>
            <w:noWrap/>
            <w:vAlign w:val="bottom"/>
          </w:tcPr>
          <w:p w14:paraId="3BD854B7"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4 306,0</w:t>
            </w:r>
          </w:p>
        </w:tc>
        <w:tc>
          <w:tcPr>
            <w:tcW w:w="544" w:type="pct"/>
            <w:tcBorders>
              <w:top w:val="nil"/>
              <w:left w:val="nil"/>
              <w:bottom w:val="nil"/>
              <w:right w:val="single" w:sz="4" w:space="0" w:color="auto"/>
            </w:tcBorders>
            <w:shd w:val="clear" w:color="auto" w:fill="auto"/>
            <w:noWrap/>
            <w:vAlign w:val="bottom"/>
          </w:tcPr>
          <w:p w14:paraId="7536CBE4"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5,9%</w:t>
            </w:r>
          </w:p>
        </w:tc>
      </w:tr>
      <w:tr w:rsidR="00761800" w:rsidRPr="00761800" w14:paraId="2FD1BF57" w14:textId="77777777" w:rsidTr="00406B4D">
        <w:trPr>
          <w:trHeight w:val="300"/>
        </w:trPr>
        <w:tc>
          <w:tcPr>
            <w:tcW w:w="1013" w:type="pct"/>
            <w:tcBorders>
              <w:top w:val="nil"/>
              <w:left w:val="single" w:sz="4" w:space="0" w:color="auto"/>
              <w:bottom w:val="nil"/>
              <w:right w:val="nil"/>
            </w:tcBorders>
            <w:shd w:val="clear" w:color="auto" w:fill="auto"/>
            <w:hideMark/>
          </w:tcPr>
          <w:p w14:paraId="6A2CA109"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3. Социално-осигурителни вноски</w:t>
            </w:r>
          </w:p>
        </w:tc>
        <w:tc>
          <w:tcPr>
            <w:tcW w:w="453" w:type="pct"/>
            <w:tcBorders>
              <w:top w:val="nil"/>
              <w:left w:val="single" w:sz="4" w:space="0" w:color="auto"/>
              <w:bottom w:val="nil"/>
              <w:right w:val="nil"/>
            </w:tcBorders>
            <w:shd w:val="clear" w:color="auto" w:fill="auto"/>
            <w:noWrap/>
            <w:vAlign w:val="bottom"/>
          </w:tcPr>
          <w:p w14:paraId="4D2AB354"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10 637,9</w:t>
            </w:r>
          </w:p>
        </w:tc>
        <w:tc>
          <w:tcPr>
            <w:tcW w:w="544" w:type="pct"/>
            <w:tcBorders>
              <w:top w:val="nil"/>
              <w:left w:val="nil"/>
              <w:bottom w:val="nil"/>
              <w:right w:val="single" w:sz="4" w:space="0" w:color="auto"/>
            </w:tcBorders>
            <w:shd w:val="clear" w:color="auto" w:fill="auto"/>
            <w:noWrap/>
            <w:vAlign w:val="bottom"/>
          </w:tcPr>
          <w:p w14:paraId="7A2E8E4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14,6%</w:t>
            </w:r>
          </w:p>
        </w:tc>
        <w:tc>
          <w:tcPr>
            <w:tcW w:w="453" w:type="pct"/>
            <w:tcBorders>
              <w:top w:val="nil"/>
              <w:left w:val="nil"/>
              <w:bottom w:val="nil"/>
              <w:right w:val="nil"/>
            </w:tcBorders>
            <w:shd w:val="clear" w:color="auto" w:fill="auto"/>
            <w:noWrap/>
            <w:vAlign w:val="bottom"/>
          </w:tcPr>
          <w:p w14:paraId="67154828"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11 557,5</w:t>
            </w:r>
          </w:p>
        </w:tc>
        <w:tc>
          <w:tcPr>
            <w:tcW w:w="544" w:type="pct"/>
            <w:tcBorders>
              <w:top w:val="nil"/>
              <w:left w:val="nil"/>
              <w:bottom w:val="nil"/>
              <w:right w:val="single" w:sz="4" w:space="0" w:color="auto"/>
            </w:tcBorders>
            <w:shd w:val="clear" w:color="auto" w:fill="auto"/>
            <w:noWrap/>
            <w:vAlign w:val="bottom"/>
          </w:tcPr>
          <w:p w14:paraId="367E04DE"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8,6%</w:t>
            </w:r>
          </w:p>
        </w:tc>
        <w:tc>
          <w:tcPr>
            <w:tcW w:w="453" w:type="pct"/>
            <w:tcBorders>
              <w:top w:val="nil"/>
              <w:left w:val="nil"/>
              <w:bottom w:val="nil"/>
              <w:right w:val="nil"/>
            </w:tcBorders>
            <w:shd w:val="clear" w:color="auto" w:fill="auto"/>
            <w:noWrap/>
            <w:vAlign w:val="bottom"/>
          </w:tcPr>
          <w:p w14:paraId="1B8D866D"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12 335,4</w:t>
            </w:r>
          </w:p>
        </w:tc>
        <w:tc>
          <w:tcPr>
            <w:tcW w:w="544" w:type="pct"/>
            <w:tcBorders>
              <w:top w:val="nil"/>
              <w:left w:val="nil"/>
              <w:bottom w:val="nil"/>
              <w:right w:val="single" w:sz="4" w:space="0" w:color="auto"/>
            </w:tcBorders>
            <w:shd w:val="clear" w:color="auto" w:fill="auto"/>
            <w:noWrap/>
            <w:vAlign w:val="bottom"/>
          </w:tcPr>
          <w:p w14:paraId="1F6ACBE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5,4%</w:t>
            </w:r>
          </w:p>
        </w:tc>
        <w:tc>
          <w:tcPr>
            <w:tcW w:w="453" w:type="pct"/>
            <w:tcBorders>
              <w:top w:val="nil"/>
              <w:left w:val="nil"/>
              <w:bottom w:val="nil"/>
              <w:right w:val="nil"/>
            </w:tcBorders>
            <w:shd w:val="clear" w:color="auto" w:fill="auto"/>
            <w:noWrap/>
            <w:vAlign w:val="bottom"/>
          </w:tcPr>
          <w:p w14:paraId="5F1D419F"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13 440,5</w:t>
            </w:r>
          </w:p>
        </w:tc>
        <w:tc>
          <w:tcPr>
            <w:tcW w:w="544" w:type="pct"/>
            <w:tcBorders>
              <w:top w:val="nil"/>
              <w:left w:val="nil"/>
              <w:bottom w:val="nil"/>
              <w:right w:val="single" w:sz="4" w:space="0" w:color="auto"/>
            </w:tcBorders>
            <w:shd w:val="clear" w:color="auto" w:fill="auto"/>
            <w:noWrap/>
            <w:vAlign w:val="bottom"/>
          </w:tcPr>
          <w:p w14:paraId="006B4F6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5,5%</w:t>
            </w:r>
          </w:p>
        </w:tc>
      </w:tr>
      <w:tr w:rsidR="00761800" w:rsidRPr="00761800" w14:paraId="3AD5666E" w14:textId="77777777" w:rsidTr="00406B4D">
        <w:trPr>
          <w:trHeight w:val="495"/>
        </w:trPr>
        <w:tc>
          <w:tcPr>
            <w:tcW w:w="1013" w:type="pct"/>
            <w:tcBorders>
              <w:top w:val="nil"/>
              <w:left w:val="single" w:sz="4" w:space="0" w:color="auto"/>
              <w:bottom w:val="nil"/>
              <w:right w:val="nil"/>
            </w:tcBorders>
            <w:shd w:val="clear" w:color="auto" w:fill="auto"/>
            <w:hideMark/>
          </w:tcPr>
          <w:p w14:paraId="1CA64ACB" w14:textId="77777777" w:rsidR="00761800" w:rsidRPr="00761800" w:rsidRDefault="00761800" w:rsidP="00761800">
            <w:pPr>
              <w:rPr>
                <w:rFonts w:ascii="Times New Roman" w:hAnsi="Times New Roman"/>
                <w:i/>
                <w:iCs/>
                <w:sz w:val="16"/>
                <w:szCs w:val="16"/>
                <w:lang w:eastAsia="bg-BG"/>
              </w:rPr>
            </w:pPr>
            <w:r w:rsidRPr="00761800">
              <w:rPr>
                <w:rFonts w:ascii="Times New Roman" w:hAnsi="Times New Roman"/>
                <w:i/>
                <w:iCs/>
                <w:sz w:val="16"/>
                <w:szCs w:val="16"/>
                <w:lang w:eastAsia="bg-BG"/>
              </w:rPr>
              <w:t xml:space="preserve"> 3a. - в т.ч. действително платени вноски</w:t>
            </w:r>
          </w:p>
        </w:tc>
        <w:tc>
          <w:tcPr>
            <w:tcW w:w="453" w:type="pct"/>
            <w:tcBorders>
              <w:top w:val="nil"/>
              <w:left w:val="single" w:sz="4" w:space="0" w:color="auto"/>
              <w:bottom w:val="nil"/>
              <w:right w:val="nil"/>
            </w:tcBorders>
            <w:shd w:val="clear" w:color="auto" w:fill="auto"/>
            <w:noWrap/>
            <w:vAlign w:val="bottom"/>
          </w:tcPr>
          <w:p w14:paraId="32901916"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10 637,9</w:t>
            </w:r>
          </w:p>
        </w:tc>
        <w:tc>
          <w:tcPr>
            <w:tcW w:w="544" w:type="pct"/>
            <w:tcBorders>
              <w:top w:val="nil"/>
              <w:left w:val="nil"/>
              <w:bottom w:val="nil"/>
              <w:right w:val="single" w:sz="4" w:space="0" w:color="auto"/>
            </w:tcBorders>
            <w:shd w:val="clear" w:color="auto" w:fill="auto"/>
            <w:noWrap/>
            <w:vAlign w:val="bottom"/>
          </w:tcPr>
          <w:p w14:paraId="5D1F403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14,6%</w:t>
            </w:r>
          </w:p>
        </w:tc>
        <w:tc>
          <w:tcPr>
            <w:tcW w:w="453" w:type="pct"/>
            <w:tcBorders>
              <w:top w:val="nil"/>
              <w:left w:val="nil"/>
              <w:bottom w:val="nil"/>
              <w:right w:val="nil"/>
            </w:tcBorders>
            <w:shd w:val="clear" w:color="auto" w:fill="auto"/>
            <w:noWrap/>
            <w:vAlign w:val="bottom"/>
          </w:tcPr>
          <w:p w14:paraId="12EE55CF"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11 557,5</w:t>
            </w:r>
          </w:p>
        </w:tc>
        <w:tc>
          <w:tcPr>
            <w:tcW w:w="544" w:type="pct"/>
            <w:tcBorders>
              <w:top w:val="nil"/>
              <w:left w:val="nil"/>
              <w:bottom w:val="nil"/>
              <w:right w:val="single" w:sz="4" w:space="0" w:color="auto"/>
            </w:tcBorders>
            <w:shd w:val="clear" w:color="auto" w:fill="auto"/>
            <w:noWrap/>
            <w:vAlign w:val="bottom"/>
          </w:tcPr>
          <w:p w14:paraId="5C5E9241"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8,6%</w:t>
            </w:r>
          </w:p>
        </w:tc>
        <w:tc>
          <w:tcPr>
            <w:tcW w:w="453" w:type="pct"/>
            <w:tcBorders>
              <w:top w:val="nil"/>
              <w:left w:val="nil"/>
              <w:bottom w:val="nil"/>
              <w:right w:val="nil"/>
            </w:tcBorders>
            <w:shd w:val="clear" w:color="auto" w:fill="auto"/>
            <w:noWrap/>
            <w:vAlign w:val="bottom"/>
          </w:tcPr>
          <w:p w14:paraId="331DC053"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12 335,4</w:t>
            </w:r>
          </w:p>
        </w:tc>
        <w:tc>
          <w:tcPr>
            <w:tcW w:w="544" w:type="pct"/>
            <w:tcBorders>
              <w:top w:val="nil"/>
              <w:left w:val="nil"/>
              <w:bottom w:val="nil"/>
              <w:right w:val="single" w:sz="4" w:space="0" w:color="auto"/>
            </w:tcBorders>
            <w:shd w:val="clear" w:color="auto" w:fill="auto"/>
            <w:noWrap/>
            <w:vAlign w:val="bottom"/>
          </w:tcPr>
          <w:p w14:paraId="1767FB8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5,4%</w:t>
            </w:r>
          </w:p>
        </w:tc>
        <w:tc>
          <w:tcPr>
            <w:tcW w:w="453" w:type="pct"/>
            <w:tcBorders>
              <w:top w:val="nil"/>
              <w:left w:val="nil"/>
              <w:bottom w:val="nil"/>
              <w:right w:val="nil"/>
            </w:tcBorders>
            <w:shd w:val="clear" w:color="auto" w:fill="auto"/>
            <w:noWrap/>
            <w:vAlign w:val="bottom"/>
          </w:tcPr>
          <w:p w14:paraId="0B295FE9"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13 440,5</w:t>
            </w:r>
          </w:p>
        </w:tc>
        <w:tc>
          <w:tcPr>
            <w:tcW w:w="544" w:type="pct"/>
            <w:tcBorders>
              <w:top w:val="nil"/>
              <w:left w:val="nil"/>
              <w:bottom w:val="nil"/>
              <w:right w:val="single" w:sz="4" w:space="0" w:color="auto"/>
            </w:tcBorders>
            <w:shd w:val="clear" w:color="auto" w:fill="auto"/>
            <w:noWrap/>
            <w:vAlign w:val="bottom"/>
          </w:tcPr>
          <w:p w14:paraId="4D511668"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5,5%</w:t>
            </w:r>
          </w:p>
        </w:tc>
      </w:tr>
      <w:tr w:rsidR="00761800" w:rsidRPr="00761800" w14:paraId="2EA37C33" w14:textId="77777777" w:rsidTr="00406B4D">
        <w:trPr>
          <w:trHeight w:val="495"/>
        </w:trPr>
        <w:tc>
          <w:tcPr>
            <w:tcW w:w="1013" w:type="pct"/>
            <w:tcBorders>
              <w:top w:val="nil"/>
              <w:left w:val="single" w:sz="4" w:space="0" w:color="auto"/>
              <w:bottom w:val="nil"/>
              <w:right w:val="nil"/>
            </w:tcBorders>
            <w:shd w:val="clear" w:color="auto" w:fill="auto"/>
            <w:hideMark/>
          </w:tcPr>
          <w:p w14:paraId="27C74ADA"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4. Други приходи, вкл. приходи от продажби</w:t>
            </w:r>
          </w:p>
        </w:tc>
        <w:tc>
          <w:tcPr>
            <w:tcW w:w="453" w:type="pct"/>
            <w:tcBorders>
              <w:top w:val="nil"/>
              <w:left w:val="single" w:sz="4" w:space="0" w:color="auto"/>
              <w:bottom w:val="nil"/>
              <w:right w:val="nil"/>
            </w:tcBorders>
            <w:shd w:val="clear" w:color="auto" w:fill="auto"/>
            <w:noWrap/>
            <w:vAlign w:val="bottom"/>
          </w:tcPr>
          <w:p w14:paraId="238F4C36"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6 096,0</w:t>
            </w:r>
          </w:p>
        </w:tc>
        <w:tc>
          <w:tcPr>
            <w:tcW w:w="544" w:type="pct"/>
            <w:tcBorders>
              <w:top w:val="nil"/>
              <w:left w:val="nil"/>
              <w:bottom w:val="nil"/>
              <w:right w:val="single" w:sz="4" w:space="0" w:color="auto"/>
            </w:tcBorders>
            <w:shd w:val="clear" w:color="auto" w:fill="auto"/>
            <w:noWrap/>
            <w:vAlign w:val="bottom"/>
          </w:tcPr>
          <w:p w14:paraId="4B6B843D"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38,1%</w:t>
            </w:r>
          </w:p>
        </w:tc>
        <w:tc>
          <w:tcPr>
            <w:tcW w:w="453" w:type="pct"/>
            <w:tcBorders>
              <w:top w:val="nil"/>
              <w:left w:val="nil"/>
              <w:bottom w:val="nil"/>
              <w:right w:val="nil"/>
            </w:tcBorders>
            <w:shd w:val="clear" w:color="auto" w:fill="auto"/>
            <w:noWrap/>
            <w:vAlign w:val="bottom"/>
          </w:tcPr>
          <w:p w14:paraId="76BD0314"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6 665,3</w:t>
            </w:r>
          </w:p>
        </w:tc>
        <w:tc>
          <w:tcPr>
            <w:tcW w:w="544" w:type="pct"/>
            <w:tcBorders>
              <w:top w:val="nil"/>
              <w:left w:val="nil"/>
              <w:bottom w:val="nil"/>
              <w:right w:val="single" w:sz="4" w:space="0" w:color="auto"/>
            </w:tcBorders>
            <w:shd w:val="clear" w:color="auto" w:fill="auto"/>
            <w:noWrap/>
            <w:vAlign w:val="bottom"/>
          </w:tcPr>
          <w:p w14:paraId="4C2C1E2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9,3%</w:t>
            </w:r>
          </w:p>
        </w:tc>
        <w:tc>
          <w:tcPr>
            <w:tcW w:w="453" w:type="pct"/>
            <w:tcBorders>
              <w:top w:val="nil"/>
              <w:left w:val="nil"/>
              <w:bottom w:val="nil"/>
              <w:right w:val="nil"/>
            </w:tcBorders>
            <w:shd w:val="clear" w:color="auto" w:fill="auto"/>
            <w:noWrap/>
            <w:vAlign w:val="bottom"/>
          </w:tcPr>
          <w:p w14:paraId="538EDE18"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6 368,8</w:t>
            </w:r>
          </w:p>
        </w:tc>
        <w:tc>
          <w:tcPr>
            <w:tcW w:w="544" w:type="pct"/>
            <w:tcBorders>
              <w:top w:val="nil"/>
              <w:left w:val="nil"/>
              <w:bottom w:val="nil"/>
              <w:right w:val="single" w:sz="4" w:space="0" w:color="auto"/>
            </w:tcBorders>
            <w:shd w:val="clear" w:color="auto" w:fill="auto"/>
            <w:noWrap/>
            <w:vAlign w:val="bottom"/>
          </w:tcPr>
          <w:p w14:paraId="2AEB2393"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-5,8%</w:t>
            </w:r>
          </w:p>
        </w:tc>
        <w:tc>
          <w:tcPr>
            <w:tcW w:w="453" w:type="pct"/>
            <w:tcBorders>
              <w:top w:val="nil"/>
              <w:left w:val="nil"/>
              <w:bottom w:val="nil"/>
              <w:right w:val="nil"/>
            </w:tcBorders>
            <w:shd w:val="clear" w:color="auto" w:fill="auto"/>
            <w:noWrap/>
            <w:vAlign w:val="bottom"/>
          </w:tcPr>
          <w:p w14:paraId="19C0849D"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6 498,4</w:t>
            </w:r>
          </w:p>
        </w:tc>
        <w:tc>
          <w:tcPr>
            <w:tcW w:w="544" w:type="pct"/>
            <w:tcBorders>
              <w:top w:val="nil"/>
              <w:left w:val="nil"/>
              <w:bottom w:val="nil"/>
              <w:right w:val="single" w:sz="4" w:space="0" w:color="auto"/>
            </w:tcBorders>
            <w:shd w:val="clear" w:color="auto" w:fill="auto"/>
            <w:noWrap/>
            <w:vAlign w:val="bottom"/>
          </w:tcPr>
          <w:p w14:paraId="09AC361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-3,5%</w:t>
            </w:r>
          </w:p>
        </w:tc>
      </w:tr>
      <w:tr w:rsidR="00761800" w:rsidRPr="00761800" w14:paraId="166C4A34" w14:textId="77777777" w:rsidTr="00406B4D">
        <w:trPr>
          <w:trHeight w:val="300"/>
        </w:trPr>
        <w:tc>
          <w:tcPr>
            <w:tcW w:w="1013" w:type="pct"/>
            <w:tcBorders>
              <w:top w:val="nil"/>
              <w:left w:val="single" w:sz="4" w:space="0" w:color="auto"/>
              <w:bottom w:val="nil"/>
              <w:right w:val="nil"/>
            </w:tcBorders>
            <w:shd w:val="clear" w:color="auto" w:fill="auto"/>
            <w:hideMark/>
          </w:tcPr>
          <w:p w14:paraId="50E08FB0"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 xml:space="preserve">5. Общо текущи приходи </w:t>
            </w:r>
          </w:p>
        </w:tc>
        <w:tc>
          <w:tcPr>
            <w:tcW w:w="453" w:type="pct"/>
            <w:tcBorders>
              <w:top w:val="nil"/>
              <w:left w:val="single" w:sz="4" w:space="0" w:color="auto"/>
              <w:bottom w:val="nil"/>
              <w:right w:val="nil"/>
            </w:tcBorders>
            <w:shd w:val="clear" w:color="auto" w:fill="auto"/>
            <w:noWrap/>
            <w:vAlign w:val="bottom"/>
          </w:tcPr>
          <w:p w14:paraId="51F520A3"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40 962,7</w:t>
            </w:r>
          </w:p>
        </w:tc>
        <w:tc>
          <w:tcPr>
            <w:tcW w:w="544" w:type="pct"/>
            <w:tcBorders>
              <w:top w:val="nil"/>
              <w:left w:val="nil"/>
              <w:bottom w:val="nil"/>
              <w:right w:val="single" w:sz="4" w:space="0" w:color="auto"/>
            </w:tcBorders>
            <w:shd w:val="clear" w:color="auto" w:fill="auto"/>
            <w:noWrap/>
            <w:vAlign w:val="bottom"/>
          </w:tcPr>
          <w:p w14:paraId="43F1F4EA"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14,3%</w:t>
            </w:r>
          </w:p>
        </w:tc>
        <w:tc>
          <w:tcPr>
            <w:tcW w:w="453" w:type="pct"/>
            <w:tcBorders>
              <w:top w:val="nil"/>
              <w:left w:val="nil"/>
              <w:bottom w:val="nil"/>
              <w:right w:val="nil"/>
            </w:tcBorders>
            <w:shd w:val="clear" w:color="auto" w:fill="auto"/>
            <w:noWrap/>
            <w:vAlign w:val="bottom"/>
          </w:tcPr>
          <w:p w14:paraId="344D9DD5"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45 579,2</w:t>
            </w:r>
          </w:p>
        </w:tc>
        <w:tc>
          <w:tcPr>
            <w:tcW w:w="544" w:type="pct"/>
            <w:tcBorders>
              <w:top w:val="nil"/>
              <w:left w:val="nil"/>
              <w:bottom w:val="nil"/>
              <w:right w:val="single" w:sz="4" w:space="0" w:color="auto"/>
            </w:tcBorders>
            <w:shd w:val="clear" w:color="auto" w:fill="auto"/>
            <w:noWrap/>
            <w:vAlign w:val="bottom"/>
          </w:tcPr>
          <w:p w14:paraId="20ACD2A4"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11,3%</w:t>
            </w:r>
          </w:p>
        </w:tc>
        <w:tc>
          <w:tcPr>
            <w:tcW w:w="453" w:type="pct"/>
            <w:tcBorders>
              <w:top w:val="nil"/>
              <w:left w:val="nil"/>
              <w:bottom w:val="nil"/>
              <w:right w:val="nil"/>
            </w:tcBorders>
            <w:shd w:val="clear" w:color="auto" w:fill="auto"/>
            <w:noWrap/>
            <w:vAlign w:val="bottom"/>
          </w:tcPr>
          <w:p w14:paraId="2119A463"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47 685,3</w:t>
            </w:r>
          </w:p>
        </w:tc>
        <w:tc>
          <w:tcPr>
            <w:tcW w:w="544" w:type="pct"/>
            <w:tcBorders>
              <w:top w:val="nil"/>
              <w:left w:val="nil"/>
              <w:bottom w:val="nil"/>
              <w:right w:val="single" w:sz="4" w:space="0" w:color="auto"/>
            </w:tcBorders>
            <w:shd w:val="clear" w:color="auto" w:fill="auto"/>
            <w:noWrap/>
            <w:vAlign w:val="bottom"/>
          </w:tcPr>
          <w:p w14:paraId="6FC43664"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3,5%</w:t>
            </w:r>
          </w:p>
        </w:tc>
        <w:tc>
          <w:tcPr>
            <w:tcW w:w="453" w:type="pct"/>
            <w:tcBorders>
              <w:top w:val="nil"/>
              <w:left w:val="nil"/>
              <w:bottom w:val="nil"/>
              <w:right w:val="nil"/>
            </w:tcBorders>
            <w:shd w:val="clear" w:color="auto" w:fill="auto"/>
            <w:noWrap/>
            <w:vAlign w:val="bottom"/>
          </w:tcPr>
          <w:p w14:paraId="55677EA8"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50 752,0</w:t>
            </w:r>
          </w:p>
        </w:tc>
        <w:tc>
          <w:tcPr>
            <w:tcW w:w="544" w:type="pct"/>
            <w:tcBorders>
              <w:top w:val="nil"/>
              <w:left w:val="nil"/>
              <w:bottom w:val="nil"/>
              <w:right w:val="single" w:sz="4" w:space="0" w:color="auto"/>
            </w:tcBorders>
            <w:shd w:val="clear" w:color="auto" w:fill="auto"/>
            <w:noWrap/>
            <w:vAlign w:val="bottom"/>
          </w:tcPr>
          <w:p w14:paraId="7E72D542"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3,8%</w:t>
            </w:r>
          </w:p>
        </w:tc>
      </w:tr>
      <w:tr w:rsidR="00761800" w:rsidRPr="00761800" w14:paraId="542E3924" w14:textId="77777777" w:rsidTr="00406B4D">
        <w:trPr>
          <w:trHeight w:val="300"/>
        </w:trPr>
        <w:tc>
          <w:tcPr>
            <w:tcW w:w="1013" w:type="pct"/>
            <w:tcBorders>
              <w:top w:val="nil"/>
              <w:left w:val="single" w:sz="4" w:space="0" w:color="auto"/>
              <w:bottom w:val="nil"/>
              <w:right w:val="nil"/>
            </w:tcBorders>
            <w:shd w:val="clear" w:color="auto" w:fill="auto"/>
            <w:hideMark/>
          </w:tcPr>
          <w:p w14:paraId="53675EDE"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6. Компенсация на наетите лица</w:t>
            </w:r>
          </w:p>
        </w:tc>
        <w:tc>
          <w:tcPr>
            <w:tcW w:w="453" w:type="pct"/>
            <w:tcBorders>
              <w:top w:val="nil"/>
              <w:left w:val="single" w:sz="4" w:space="0" w:color="auto"/>
              <w:bottom w:val="nil"/>
              <w:right w:val="nil"/>
            </w:tcBorders>
            <w:shd w:val="clear" w:color="auto" w:fill="auto"/>
            <w:noWrap/>
            <w:vAlign w:val="bottom"/>
          </w:tcPr>
          <w:p w14:paraId="3FAF4A68"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14 441,6</w:t>
            </w:r>
          </w:p>
        </w:tc>
        <w:tc>
          <w:tcPr>
            <w:tcW w:w="544" w:type="pct"/>
            <w:tcBorders>
              <w:top w:val="nil"/>
              <w:left w:val="nil"/>
              <w:bottom w:val="nil"/>
              <w:right w:val="single" w:sz="4" w:space="0" w:color="auto"/>
            </w:tcBorders>
            <w:shd w:val="clear" w:color="auto" w:fill="auto"/>
            <w:noWrap/>
            <w:vAlign w:val="bottom"/>
          </w:tcPr>
          <w:p w14:paraId="42C656DE"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21,6%</w:t>
            </w:r>
          </w:p>
        </w:tc>
        <w:tc>
          <w:tcPr>
            <w:tcW w:w="453" w:type="pct"/>
            <w:tcBorders>
              <w:top w:val="nil"/>
              <w:left w:val="nil"/>
              <w:bottom w:val="nil"/>
              <w:right w:val="nil"/>
            </w:tcBorders>
            <w:shd w:val="clear" w:color="auto" w:fill="auto"/>
            <w:noWrap/>
            <w:vAlign w:val="bottom"/>
          </w:tcPr>
          <w:p w14:paraId="4DFF4961"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14 270,8</w:t>
            </w:r>
          </w:p>
        </w:tc>
        <w:tc>
          <w:tcPr>
            <w:tcW w:w="544" w:type="pct"/>
            <w:tcBorders>
              <w:top w:val="nil"/>
              <w:left w:val="nil"/>
              <w:bottom w:val="nil"/>
              <w:right w:val="single" w:sz="4" w:space="0" w:color="auto"/>
            </w:tcBorders>
            <w:shd w:val="clear" w:color="auto" w:fill="auto"/>
            <w:noWrap/>
            <w:vAlign w:val="bottom"/>
          </w:tcPr>
          <w:p w14:paraId="55AEFA0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-1,2%</w:t>
            </w:r>
          </w:p>
        </w:tc>
        <w:tc>
          <w:tcPr>
            <w:tcW w:w="453" w:type="pct"/>
            <w:tcBorders>
              <w:top w:val="nil"/>
              <w:left w:val="nil"/>
              <w:bottom w:val="nil"/>
              <w:right w:val="nil"/>
            </w:tcBorders>
            <w:shd w:val="clear" w:color="auto" w:fill="auto"/>
            <w:noWrap/>
            <w:vAlign w:val="bottom"/>
          </w:tcPr>
          <w:p w14:paraId="34BBF9E6"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14 749,4</w:t>
            </w:r>
          </w:p>
        </w:tc>
        <w:tc>
          <w:tcPr>
            <w:tcW w:w="544" w:type="pct"/>
            <w:tcBorders>
              <w:top w:val="nil"/>
              <w:left w:val="nil"/>
              <w:bottom w:val="nil"/>
              <w:right w:val="single" w:sz="4" w:space="0" w:color="auto"/>
            </w:tcBorders>
            <w:shd w:val="clear" w:color="auto" w:fill="auto"/>
            <w:noWrap/>
            <w:vAlign w:val="bottom"/>
          </w:tcPr>
          <w:p w14:paraId="2A6ECE5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0,9%</w:t>
            </w:r>
          </w:p>
        </w:tc>
        <w:tc>
          <w:tcPr>
            <w:tcW w:w="453" w:type="pct"/>
            <w:tcBorders>
              <w:top w:val="nil"/>
              <w:left w:val="nil"/>
              <w:bottom w:val="nil"/>
              <w:right w:val="nil"/>
            </w:tcBorders>
            <w:shd w:val="clear" w:color="auto" w:fill="auto"/>
            <w:noWrap/>
            <w:vAlign w:val="bottom"/>
          </w:tcPr>
          <w:p w14:paraId="77EE94A7"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15 090,3</w:t>
            </w:r>
          </w:p>
        </w:tc>
        <w:tc>
          <w:tcPr>
            <w:tcW w:w="544" w:type="pct"/>
            <w:tcBorders>
              <w:top w:val="nil"/>
              <w:left w:val="nil"/>
              <w:bottom w:val="nil"/>
              <w:right w:val="single" w:sz="4" w:space="0" w:color="auto"/>
            </w:tcBorders>
            <w:shd w:val="clear" w:color="auto" w:fill="auto"/>
            <w:noWrap/>
            <w:vAlign w:val="bottom"/>
          </w:tcPr>
          <w:p w14:paraId="16C9BB9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1,1%</w:t>
            </w:r>
          </w:p>
        </w:tc>
      </w:tr>
      <w:tr w:rsidR="00761800" w:rsidRPr="00761800" w14:paraId="44FBDD79" w14:textId="77777777" w:rsidTr="00406B4D">
        <w:trPr>
          <w:trHeight w:val="300"/>
        </w:trPr>
        <w:tc>
          <w:tcPr>
            <w:tcW w:w="1013" w:type="pct"/>
            <w:tcBorders>
              <w:top w:val="nil"/>
              <w:left w:val="single" w:sz="4" w:space="0" w:color="auto"/>
              <w:bottom w:val="nil"/>
              <w:right w:val="nil"/>
            </w:tcBorders>
            <w:shd w:val="clear" w:color="auto" w:fill="auto"/>
            <w:hideMark/>
          </w:tcPr>
          <w:p w14:paraId="0C52F724"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7. Междинно потребление</w:t>
            </w:r>
          </w:p>
        </w:tc>
        <w:tc>
          <w:tcPr>
            <w:tcW w:w="453" w:type="pct"/>
            <w:tcBorders>
              <w:top w:val="nil"/>
              <w:left w:val="single" w:sz="4" w:space="0" w:color="auto"/>
              <w:bottom w:val="nil"/>
              <w:right w:val="nil"/>
            </w:tcBorders>
            <w:shd w:val="clear" w:color="auto" w:fill="auto"/>
            <w:noWrap/>
            <w:vAlign w:val="bottom"/>
          </w:tcPr>
          <w:p w14:paraId="65DFEA7B"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5 610,4</w:t>
            </w:r>
          </w:p>
        </w:tc>
        <w:tc>
          <w:tcPr>
            <w:tcW w:w="544" w:type="pct"/>
            <w:tcBorders>
              <w:top w:val="nil"/>
              <w:left w:val="nil"/>
              <w:bottom w:val="nil"/>
              <w:right w:val="single" w:sz="4" w:space="0" w:color="auto"/>
            </w:tcBorders>
            <w:shd w:val="clear" w:color="auto" w:fill="auto"/>
            <w:noWrap/>
            <w:vAlign w:val="bottom"/>
          </w:tcPr>
          <w:p w14:paraId="5A3358A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15,1%</w:t>
            </w:r>
          </w:p>
        </w:tc>
        <w:tc>
          <w:tcPr>
            <w:tcW w:w="453" w:type="pct"/>
            <w:tcBorders>
              <w:top w:val="nil"/>
              <w:left w:val="nil"/>
              <w:bottom w:val="nil"/>
              <w:right w:val="nil"/>
            </w:tcBorders>
            <w:shd w:val="clear" w:color="auto" w:fill="auto"/>
            <w:noWrap/>
            <w:vAlign w:val="bottom"/>
          </w:tcPr>
          <w:p w14:paraId="7EDE0FE8"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6 901,4</w:t>
            </w:r>
          </w:p>
        </w:tc>
        <w:tc>
          <w:tcPr>
            <w:tcW w:w="544" w:type="pct"/>
            <w:tcBorders>
              <w:top w:val="nil"/>
              <w:left w:val="nil"/>
              <w:bottom w:val="nil"/>
              <w:right w:val="single" w:sz="4" w:space="0" w:color="auto"/>
            </w:tcBorders>
            <w:shd w:val="clear" w:color="auto" w:fill="auto"/>
            <w:noWrap/>
            <w:vAlign w:val="bottom"/>
          </w:tcPr>
          <w:p w14:paraId="28152B6C"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23,0%</w:t>
            </w:r>
          </w:p>
        </w:tc>
        <w:tc>
          <w:tcPr>
            <w:tcW w:w="453" w:type="pct"/>
            <w:tcBorders>
              <w:top w:val="nil"/>
              <w:left w:val="nil"/>
              <w:bottom w:val="nil"/>
              <w:right w:val="nil"/>
            </w:tcBorders>
            <w:shd w:val="clear" w:color="auto" w:fill="auto"/>
            <w:noWrap/>
            <w:vAlign w:val="bottom"/>
          </w:tcPr>
          <w:p w14:paraId="4F2F96B0"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6 838,7</w:t>
            </w:r>
          </w:p>
        </w:tc>
        <w:tc>
          <w:tcPr>
            <w:tcW w:w="544" w:type="pct"/>
            <w:tcBorders>
              <w:top w:val="nil"/>
              <w:left w:val="nil"/>
              <w:bottom w:val="nil"/>
              <w:right w:val="single" w:sz="4" w:space="0" w:color="auto"/>
            </w:tcBorders>
            <w:shd w:val="clear" w:color="auto" w:fill="auto"/>
            <w:noWrap/>
            <w:vAlign w:val="bottom"/>
          </w:tcPr>
          <w:p w14:paraId="6FB4D093"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-0,9%</w:t>
            </w:r>
          </w:p>
        </w:tc>
        <w:tc>
          <w:tcPr>
            <w:tcW w:w="453" w:type="pct"/>
            <w:tcBorders>
              <w:top w:val="nil"/>
              <w:left w:val="nil"/>
              <w:bottom w:val="nil"/>
              <w:right w:val="nil"/>
            </w:tcBorders>
            <w:shd w:val="clear" w:color="auto" w:fill="auto"/>
            <w:noWrap/>
            <w:vAlign w:val="bottom"/>
          </w:tcPr>
          <w:p w14:paraId="06B29429"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6 811,9</w:t>
            </w:r>
          </w:p>
        </w:tc>
        <w:tc>
          <w:tcPr>
            <w:tcW w:w="544" w:type="pct"/>
            <w:tcBorders>
              <w:top w:val="nil"/>
              <w:left w:val="nil"/>
              <w:bottom w:val="nil"/>
              <w:right w:val="single" w:sz="4" w:space="0" w:color="auto"/>
            </w:tcBorders>
            <w:shd w:val="clear" w:color="auto" w:fill="auto"/>
            <w:noWrap/>
            <w:vAlign w:val="bottom"/>
          </w:tcPr>
          <w:p w14:paraId="0BEAAD0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-0,4%</w:t>
            </w:r>
          </w:p>
        </w:tc>
      </w:tr>
      <w:tr w:rsidR="00761800" w:rsidRPr="00761800" w14:paraId="146A8E85" w14:textId="77777777" w:rsidTr="00406B4D">
        <w:trPr>
          <w:trHeight w:val="300"/>
        </w:trPr>
        <w:tc>
          <w:tcPr>
            <w:tcW w:w="1013" w:type="pct"/>
            <w:tcBorders>
              <w:top w:val="nil"/>
              <w:left w:val="single" w:sz="4" w:space="0" w:color="auto"/>
              <w:bottom w:val="nil"/>
              <w:right w:val="nil"/>
            </w:tcBorders>
            <w:shd w:val="clear" w:color="auto" w:fill="auto"/>
            <w:hideMark/>
          </w:tcPr>
          <w:p w14:paraId="0D6C4A32"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8. Социални трансфери в натура</w:t>
            </w:r>
          </w:p>
        </w:tc>
        <w:tc>
          <w:tcPr>
            <w:tcW w:w="453" w:type="pct"/>
            <w:tcBorders>
              <w:top w:val="nil"/>
              <w:left w:val="single" w:sz="4" w:space="0" w:color="auto"/>
              <w:bottom w:val="nil"/>
              <w:right w:val="nil"/>
            </w:tcBorders>
            <w:shd w:val="clear" w:color="auto" w:fill="auto"/>
            <w:noWrap/>
            <w:vAlign w:val="bottom"/>
          </w:tcPr>
          <w:p w14:paraId="0E670E79"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2 794,1</w:t>
            </w:r>
          </w:p>
        </w:tc>
        <w:tc>
          <w:tcPr>
            <w:tcW w:w="544" w:type="pct"/>
            <w:tcBorders>
              <w:top w:val="nil"/>
              <w:left w:val="nil"/>
              <w:bottom w:val="nil"/>
              <w:right w:val="single" w:sz="4" w:space="0" w:color="auto"/>
            </w:tcBorders>
            <w:shd w:val="clear" w:color="auto" w:fill="auto"/>
            <w:noWrap/>
            <w:vAlign w:val="bottom"/>
          </w:tcPr>
          <w:p w14:paraId="22A2F52D"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14,6%</w:t>
            </w:r>
          </w:p>
        </w:tc>
        <w:tc>
          <w:tcPr>
            <w:tcW w:w="453" w:type="pct"/>
            <w:tcBorders>
              <w:top w:val="nil"/>
              <w:left w:val="nil"/>
              <w:bottom w:val="nil"/>
              <w:right w:val="nil"/>
            </w:tcBorders>
            <w:shd w:val="clear" w:color="auto" w:fill="auto"/>
            <w:noWrap/>
            <w:vAlign w:val="bottom"/>
          </w:tcPr>
          <w:p w14:paraId="60A4822F"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3 844,2</w:t>
            </w:r>
          </w:p>
        </w:tc>
        <w:tc>
          <w:tcPr>
            <w:tcW w:w="544" w:type="pct"/>
            <w:tcBorders>
              <w:top w:val="nil"/>
              <w:left w:val="nil"/>
              <w:bottom w:val="nil"/>
              <w:right w:val="single" w:sz="4" w:space="0" w:color="auto"/>
            </w:tcBorders>
            <w:shd w:val="clear" w:color="auto" w:fill="auto"/>
            <w:noWrap/>
            <w:vAlign w:val="bottom"/>
          </w:tcPr>
          <w:p w14:paraId="22231FD1"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37,6%</w:t>
            </w:r>
          </w:p>
        </w:tc>
        <w:tc>
          <w:tcPr>
            <w:tcW w:w="453" w:type="pct"/>
            <w:tcBorders>
              <w:top w:val="nil"/>
              <w:left w:val="nil"/>
              <w:bottom w:val="nil"/>
              <w:right w:val="nil"/>
            </w:tcBorders>
            <w:shd w:val="clear" w:color="auto" w:fill="auto"/>
            <w:noWrap/>
            <w:vAlign w:val="bottom"/>
          </w:tcPr>
          <w:p w14:paraId="38884721"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4 133,7</w:t>
            </w:r>
          </w:p>
        </w:tc>
        <w:tc>
          <w:tcPr>
            <w:tcW w:w="544" w:type="pct"/>
            <w:tcBorders>
              <w:top w:val="nil"/>
              <w:left w:val="nil"/>
              <w:bottom w:val="nil"/>
              <w:right w:val="single" w:sz="4" w:space="0" w:color="auto"/>
            </w:tcBorders>
            <w:shd w:val="clear" w:color="auto" w:fill="auto"/>
            <w:noWrap/>
            <w:vAlign w:val="bottom"/>
          </w:tcPr>
          <w:p w14:paraId="5F1D8B49"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7,5%</w:t>
            </w:r>
          </w:p>
        </w:tc>
        <w:tc>
          <w:tcPr>
            <w:tcW w:w="453" w:type="pct"/>
            <w:tcBorders>
              <w:top w:val="nil"/>
              <w:left w:val="nil"/>
              <w:bottom w:val="nil"/>
              <w:right w:val="nil"/>
            </w:tcBorders>
            <w:shd w:val="clear" w:color="auto" w:fill="auto"/>
            <w:noWrap/>
            <w:vAlign w:val="bottom"/>
          </w:tcPr>
          <w:p w14:paraId="0B75689B"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4 307,9</w:t>
            </w:r>
          </w:p>
        </w:tc>
        <w:tc>
          <w:tcPr>
            <w:tcW w:w="544" w:type="pct"/>
            <w:tcBorders>
              <w:top w:val="nil"/>
              <w:left w:val="nil"/>
              <w:bottom w:val="nil"/>
              <w:right w:val="single" w:sz="4" w:space="0" w:color="auto"/>
            </w:tcBorders>
            <w:shd w:val="clear" w:color="auto" w:fill="auto"/>
            <w:noWrap/>
            <w:vAlign w:val="bottom"/>
          </w:tcPr>
          <w:p w14:paraId="323ACA2A"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4,2%</w:t>
            </w:r>
          </w:p>
        </w:tc>
      </w:tr>
      <w:tr w:rsidR="00761800" w:rsidRPr="00761800" w14:paraId="219E298A" w14:textId="77777777" w:rsidTr="00406B4D">
        <w:trPr>
          <w:trHeight w:val="495"/>
        </w:trPr>
        <w:tc>
          <w:tcPr>
            <w:tcW w:w="1013" w:type="pct"/>
            <w:tcBorders>
              <w:top w:val="nil"/>
              <w:left w:val="single" w:sz="4" w:space="0" w:color="auto"/>
              <w:bottom w:val="nil"/>
              <w:right w:val="nil"/>
            </w:tcBorders>
            <w:shd w:val="clear" w:color="auto" w:fill="auto"/>
            <w:hideMark/>
          </w:tcPr>
          <w:p w14:paraId="56EA2EF3"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9. Социални трансфери без тези в натура</w:t>
            </w:r>
          </w:p>
        </w:tc>
        <w:tc>
          <w:tcPr>
            <w:tcW w:w="453" w:type="pct"/>
            <w:tcBorders>
              <w:top w:val="nil"/>
              <w:left w:val="single" w:sz="4" w:space="0" w:color="auto"/>
              <w:bottom w:val="nil"/>
              <w:right w:val="nil"/>
            </w:tcBorders>
            <w:shd w:val="clear" w:color="auto" w:fill="auto"/>
            <w:noWrap/>
            <w:vAlign w:val="bottom"/>
          </w:tcPr>
          <w:p w14:paraId="711807AD"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14 909,2</w:t>
            </w:r>
          </w:p>
        </w:tc>
        <w:tc>
          <w:tcPr>
            <w:tcW w:w="544" w:type="pct"/>
            <w:tcBorders>
              <w:top w:val="nil"/>
              <w:left w:val="nil"/>
              <w:bottom w:val="nil"/>
              <w:right w:val="single" w:sz="4" w:space="0" w:color="auto"/>
            </w:tcBorders>
            <w:shd w:val="clear" w:color="auto" w:fill="auto"/>
            <w:noWrap/>
            <w:vAlign w:val="bottom"/>
          </w:tcPr>
          <w:p w14:paraId="41EB6B2A"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11,2%</w:t>
            </w:r>
          </w:p>
        </w:tc>
        <w:tc>
          <w:tcPr>
            <w:tcW w:w="453" w:type="pct"/>
            <w:tcBorders>
              <w:top w:val="nil"/>
              <w:left w:val="nil"/>
              <w:bottom w:val="nil"/>
              <w:right w:val="nil"/>
            </w:tcBorders>
            <w:shd w:val="clear" w:color="auto" w:fill="auto"/>
            <w:noWrap/>
            <w:vAlign w:val="bottom"/>
          </w:tcPr>
          <w:p w14:paraId="7F7AF2B6"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16 240,9</w:t>
            </w:r>
          </w:p>
        </w:tc>
        <w:tc>
          <w:tcPr>
            <w:tcW w:w="544" w:type="pct"/>
            <w:tcBorders>
              <w:top w:val="nil"/>
              <w:left w:val="nil"/>
              <w:bottom w:val="nil"/>
              <w:right w:val="single" w:sz="4" w:space="0" w:color="auto"/>
            </w:tcBorders>
            <w:shd w:val="clear" w:color="auto" w:fill="auto"/>
            <w:noWrap/>
            <w:vAlign w:val="bottom"/>
          </w:tcPr>
          <w:p w14:paraId="2ABE22C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8,9%</w:t>
            </w:r>
          </w:p>
        </w:tc>
        <w:tc>
          <w:tcPr>
            <w:tcW w:w="453" w:type="pct"/>
            <w:tcBorders>
              <w:top w:val="nil"/>
              <w:left w:val="nil"/>
              <w:bottom w:val="nil"/>
              <w:right w:val="nil"/>
            </w:tcBorders>
            <w:shd w:val="clear" w:color="auto" w:fill="auto"/>
            <w:noWrap/>
            <w:vAlign w:val="bottom"/>
          </w:tcPr>
          <w:p w14:paraId="5B484304"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17 225,3</w:t>
            </w:r>
          </w:p>
        </w:tc>
        <w:tc>
          <w:tcPr>
            <w:tcW w:w="544" w:type="pct"/>
            <w:tcBorders>
              <w:top w:val="nil"/>
              <w:left w:val="nil"/>
              <w:bottom w:val="nil"/>
              <w:right w:val="single" w:sz="4" w:space="0" w:color="auto"/>
            </w:tcBorders>
            <w:shd w:val="clear" w:color="auto" w:fill="auto"/>
            <w:noWrap/>
            <w:vAlign w:val="bottom"/>
          </w:tcPr>
          <w:p w14:paraId="7E3FE8C9"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5,9%</w:t>
            </w:r>
          </w:p>
        </w:tc>
        <w:tc>
          <w:tcPr>
            <w:tcW w:w="453" w:type="pct"/>
            <w:tcBorders>
              <w:top w:val="nil"/>
              <w:left w:val="nil"/>
              <w:bottom w:val="nil"/>
              <w:right w:val="nil"/>
            </w:tcBorders>
            <w:shd w:val="clear" w:color="auto" w:fill="auto"/>
            <w:noWrap/>
            <w:vAlign w:val="bottom"/>
          </w:tcPr>
          <w:p w14:paraId="74D25C48"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18 206,5</w:t>
            </w:r>
          </w:p>
        </w:tc>
        <w:tc>
          <w:tcPr>
            <w:tcW w:w="544" w:type="pct"/>
            <w:tcBorders>
              <w:top w:val="nil"/>
              <w:left w:val="nil"/>
              <w:bottom w:val="nil"/>
              <w:right w:val="single" w:sz="4" w:space="0" w:color="auto"/>
            </w:tcBorders>
            <w:shd w:val="clear" w:color="auto" w:fill="auto"/>
            <w:noWrap/>
            <w:vAlign w:val="bottom"/>
          </w:tcPr>
          <w:p w14:paraId="452B1A5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5,5%</w:t>
            </w:r>
          </w:p>
        </w:tc>
      </w:tr>
      <w:tr w:rsidR="00761800" w:rsidRPr="00761800" w14:paraId="6FD5CEFE" w14:textId="77777777" w:rsidTr="00406B4D">
        <w:trPr>
          <w:trHeight w:val="300"/>
        </w:trPr>
        <w:tc>
          <w:tcPr>
            <w:tcW w:w="1013" w:type="pct"/>
            <w:tcBorders>
              <w:top w:val="nil"/>
              <w:left w:val="single" w:sz="4" w:space="0" w:color="auto"/>
              <w:bottom w:val="nil"/>
              <w:right w:val="nil"/>
            </w:tcBorders>
            <w:shd w:val="clear" w:color="auto" w:fill="auto"/>
            <w:hideMark/>
          </w:tcPr>
          <w:p w14:paraId="4BAC53DF"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10. Лихвени разходи</w:t>
            </w:r>
          </w:p>
        </w:tc>
        <w:tc>
          <w:tcPr>
            <w:tcW w:w="453" w:type="pct"/>
            <w:tcBorders>
              <w:top w:val="nil"/>
              <w:left w:val="single" w:sz="4" w:space="0" w:color="auto"/>
              <w:bottom w:val="nil"/>
              <w:right w:val="nil"/>
            </w:tcBorders>
            <w:shd w:val="clear" w:color="auto" w:fill="auto"/>
            <w:noWrap/>
            <w:vAlign w:val="bottom"/>
          </w:tcPr>
          <w:p w14:paraId="2D1A6974"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953,6</w:t>
            </w:r>
          </w:p>
        </w:tc>
        <w:tc>
          <w:tcPr>
            <w:tcW w:w="544" w:type="pct"/>
            <w:tcBorders>
              <w:top w:val="nil"/>
              <w:left w:val="nil"/>
              <w:bottom w:val="nil"/>
              <w:right w:val="single" w:sz="4" w:space="0" w:color="auto"/>
            </w:tcBorders>
            <w:shd w:val="clear" w:color="auto" w:fill="auto"/>
            <w:noWrap/>
            <w:vAlign w:val="bottom"/>
          </w:tcPr>
          <w:p w14:paraId="694C6001"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76,0%</w:t>
            </w:r>
          </w:p>
        </w:tc>
        <w:tc>
          <w:tcPr>
            <w:tcW w:w="453" w:type="pct"/>
            <w:tcBorders>
              <w:top w:val="nil"/>
              <w:left w:val="nil"/>
              <w:bottom w:val="nil"/>
              <w:right w:val="nil"/>
            </w:tcBorders>
            <w:shd w:val="clear" w:color="auto" w:fill="auto"/>
            <w:noWrap/>
            <w:vAlign w:val="bottom"/>
          </w:tcPr>
          <w:p w14:paraId="320BF08A"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1 200,4</w:t>
            </w:r>
          </w:p>
        </w:tc>
        <w:tc>
          <w:tcPr>
            <w:tcW w:w="544" w:type="pct"/>
            <w:tcBorders>
              <w:top w:val="nil"/>
              <w:left w:val="nil"/>
              <w:bottom w:val="nil"/>
              <w:right w:val="single" w:sz="4" w:space="0" w:color="auto"/>
            </w:tcBorders>
            <w:shd w:val="clear" w:color="auto" w:fill="auto"/>
            <w:noWrap/>
            <w:vAlign w:val="bottom"/>
          </w:tcPr>
          <w:p w14:paraId="0F17A05F"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25,9%</w:t>
            </w:r>
          </w:p>
        </w:tc>
        <w:tc>
          <w:tcPr>
            <w:tcW w:w="453" w:type="pct"/>
            <w:tcBorders>
              <w:top w:val="nil"/>
              <w:left w:val="nil"/>
              <w:bottom w:val="nil"/>
              <w:right w:val="nil"/>
            </w:tcBorders>
            <w:shd w:val="clear" w:color="auto" w:fill="auto"/>
            <w:noWrap/>
            <w:vAlign w:val="bottom"/>
          </w:tcPr>
          <w:p w14:paraId="187025DF"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1 565,3</w:t>
            </w:r>
          </w:p>
        </w:tc>
        <w:tc>
          <w:tcPr>
            <w:tcW w:w="544" w:type="pct"/>
            <w:tcBorders>
              <w:top w:val="nil"/>
              <w:left w:val="nil"/>
              <w:bottom w:val="nil"/>
              <w:right w:val="single" w:sz="4" w:space="0" w:color="auto"/>
            </w:tcBorders>
            <w:shd w:val="clear" w:color="auto" w:fill="auto"/>
            <w:noWrap/>
            <w:vAlign w:val="bottom"/>
          </w:tcPr>
          <w:p w14:paraId="216988D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30,4%</w:t>
            </w:r>
          </w:p>
        </w:tc>
        <w:tc>
          <w:tcPr>
            <w:tcW w:w="453" w:type="pct"/>
            <w:tcBorders>
              <w:top w:val="nil"/>
              <w:left w:val="nil"/>
              <w:bottom w:val="nil"/>
              <w:right w:val="nil"/>
            </w:tcBorders>
            <w:shd w:val="clear" w:color="auto" w:fill="auto"/>
            <w:noWrap/>
            <w:vAlign w:val="bottom"/>
          </w:tcPr>
          <w:p w14:paraId="68B2AB97"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1 886,2</w:t>
            </w:r>
          </w:p>
        </w:tc>
        <w:tc>
          <w:tcPr>
            <w:tcW w:w="544" w:type="pct"/>
            <w:tcBorders>
              <w:top w:val="nil"/>
              <w:left w:val="nil"/>
              <w:bottom w:val="nil"/>
              <w:right w:val="single" w:sz="4" w:space="0" w:color="auto"/>
            </w:tcBorders>
            <w:shd w:val="clear" w:color="auto" w:fill="auto"/>
            <w:noWrap/>
            <w:vAlign w:val="bottom"/>
          </w:tcPr>
          <w:p w14:paraId="296DAEC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20,5%</w:t>
            </w:r>
          </w:p>
        </w:tc>
      </w:tr>
      <w:tr w:rsidR="00761800" w:rsidRPr="00761800" w14:paraId="79E11ABF" w14:textId="77777777" w:rsidTr="00406B4D">
        <w:trPr>
          <w:trHeight w:val="274"/>
        </w:trPr>
        <w:tc>
          <w:tcPr>
            <w:tcW w:w="1013" w:type="pct"/>
            <w:tcBorders>
              <w:top w:val="nil"/>
              <w:left w:val="single" w:sz="4" w:space="0" w:color="auto"/>
              <w:bottom w:val="nil"/>
              <w:right w:val="nil"/>
            </w:tcBorders>
            <w:shd w:val="clear" w:color="auto" w:fill="auto"/>
            <w:hideMark/>
          </w:tcPr>
          <w:p w14:paraId="7872DEE8"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11. Субсидии</w:t>
            </w:r>
          </w:p>
        </w:tc>
        <w:tc>
          <w:tcPr>
            <w:tcW w:w="453" w:type="pct"/>
            <w:tcBorders>
              <w:top w:val="nil"/>
              <w:left w:val="single" w:sz="4" w:space="0" w:color="auto"/>
              <w:bottom w:val="nil"/>
              <w:right w:val="nil"/>
            </w:tcBorders>
            <w:shd w:val="clear" w:color="auto" w:fill="auto"/>
            <w:noWrap/>
            <w:vAlign w:val="bottom"/>
          </w:tcPr>
          <w:p w14:paraId="69DE5534"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2 320,0</w:t>
            </w:r>
          </w:p>
        </w:tc>
        <w:tc>
          <w:tcPr>
            <w:tcW w:w="544" w:type="pct"/>
            <w:tcBorders>
              <w:top w:val="nil"/>
              <w:left w:val="nil"/>
              <w:bottom w:val="nil"/>
              <w:right w:val="single" w:sz="4" w:space="0" w:color="auto"/>
            </w:tcBorders>
            <w:shd w:val="clear" w:color="auto" w:fill="auto"/>
            <w:noWrap/>
            <w:vAlign w:val="bottom"/>
          </w:tcPr>
          <w:p w14:paraId="11778D86"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0,4%</w:t>
            </w:r>
          </w:p>
        </w:tc>
        <w:tc>
          <w:tcPr>
            <w:tcW w:w="453" w:type="pct"/>
            <w:tcBorders>
              <w:top w:val="nil"/>
              <w:left w:val="nil"/>
              <w:bottom w:val="nil"/>
              <w:right w:val="nil"/>
            </w:tcBorders>
            <w:shd w:val="clear" w:color="auto" w:fill="auto"/>
            <w:noWrap/>
            <w:vAlign w:val="bottom"/>
          </w:tcPr>
          <w:p w14:paraId="327D1B28"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2 642,2</w:t>
            </w:r>
          </w:p>
        </w:tc>
        <w:tc>
          <w:tcPr>
            <w:tcW w:w="544" w:type="pct"/>
            <w:tcBorders>
              <w:top w:val="nil"/>
              <w:left w:val="nil"/>
              <w:bottom w:val="nil"/>
              <w:right w:val="single" w:sz="4" w:space="0" w:color="auto"/>
            </w:tcBorders>
            <w:shd w:val="clear" w:color="auto" w:fill="auto"/>
            <w:noWrap/>
            <w:vAlign w:val="bottom"/>
          </w:tcPr>
          <w:p w14:paraId="0487A055"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13,9%</w:t>
            </w:r>
          </w:p>
        </w:tc>
        <w:tc>
          <w:tcPr>
            <w:tcW w:w="453" w:type="pct"/>
            <w:tcBorders>
              <w:top w:val="nil"/>
              <w:left w:val="nil"/>
              <w:bottom w:val="nil"/>
              <w:right w:val="nil"/>
            </w:tcBorders>
            <w:shd w:val="clear" w:color="auto" w:fill="auto"/>
            <w:noWrap/>
            <w:vAlign w:val="bottom"/>
          </w:tcPr>
          <w:p w14:paraId="621E8557"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2 005,9</w:t>
            </w:r>
          </w:p>
        </w:tc>
        <w:tc>
          <w:tcPr>
            <w:tcW w:w="544" w:type="pct"/>
            <w:tcBorders>
              <w:top w:val="nil"/>
              <w:left w:val="nil"/>
              <w:bottom w:val="nil"/>
              <w:right w:val="single" w:sz="4" w:space="0" w:color="auto"/>
            </w:tcBorders>
            <w:shd w:val="clear" w:color="auto" w:fill="auto"/>
            <w:noWrap/>
            <w:vAlign w:val="bottom"/>
          </w:tcPr>
          <w:p w14:paraId="47EE37BE"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-30,0%</w:t>
            </w:r>
          </w:p>
        </w:tc>
        <w:tc>
          <w:tcPr>
            <w:tcW w:w="453" w:type="pct"/>
            <w:tcBorders>
              <w:top w:val="nil"/>
              <w:left w:val="nil"/>
              <w:bottom w:val="nil"/>
              <w:right w:val="nil"/>
            </w:tcBorders>
            <w:shd w:val="clear" w:color="auto" w:fill="auto"/>
            <w:noWrap/>
            <w:vAlign w:val="bottom"/>
          </w:tcPr>
          <w:p w14:paraId="18DD4566"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1 996,8</w:t>
            </w:r>
          </w:p>
        </w:tc>
        <w:tc>
          <w:tcPr>
            <w:tcW w:w="544" w:type="pct"/>
            <w:tcBorders>
              <w:top w:val="nil"/>
              <w:left w:val="nil"/>
              <w:bottom w:val="nil"/>
              <w:right w:val="single" w:sz="4" w:space="0" w:color="auto"/>
            </w:tcBorders>
            <w:shd w:val="clear" w:color="auto" w:fill="auto"/>
            <w:noWrap/>
            <w:vAlign w:val="bottom"/>
          </w:tcPr>
          <w:p w14:paraId="7BBC1791"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-10,1%</w:t>
            </w:r>
          </w:p>
        </w:tc>
      </w:tr>
      <w:tr w:rsidR="00761800" w:rsidRPr="00761800" w14:paraId="21481989" w14:textId="77777777" w:rsidTr="00406B4D">
        <w:trPr>
          <w:trHeight w:val="300"/>
        </w:trPr>
        <w:tc>
          <w:tcPr>
            <w:tcW w:w="1013" w:type="pct"/>
            <w:tcBorders>
              <w:top w:val="nil"/>
              <w:left w:val="single" w:sz="4" w:space="0" w:color="auto"/>
              <w:bottom w:val="nil"/>
              <w:right w:val="nil"/>
            </w:tcBorders>
            <w:shd w:val="clear" w:color="auto" w:fill="auto"/>
            <w:hideMark/>
          </w:tcPr>
          <w:p w14:paraId="4BCC0201"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12. Други текущи плащания</w:t>
            </w:r>
          </w:p>
        </w:tc>
        <w:tc>
          <w:tcPr>
            <w:tcW w:w="453" w:type="pct"/>
            <w:tcBorders>
              <w:top w:val="nil"/>
              <w:left w:val="single" w:sz="4" w:space="0" w:color="auto"/>
              <w:bottom w:val="nil"/>
              <w:right w:val="nil"/>
            </w:tcBorders>
            <w:shd w:val="clear" w:color="auto" w:fill="auto"/>
            <w:noWrap/>
            <w:vAlign w:val="bottom"/>
          </w:tcPr>
          <w:p w14:paraId="6C75BA80"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1 334,6</w:t>
            </w:r>
          </w:p>
        </w:tc>
        <w:tc>
          <w:tcPr>
            <w:tcW w:w="544" w:type="pct"/>
            <w:tcBorders>
              <w:top w:val="nil"/>
              <w:left w:val="nil"/>
              <w:bottom w:val="nil"/>
              <w:right w:val="single" w:sz="4" w:space="0" w:color="auto"/>
            </w:tcBorders>
            <w:shd w:val="clear" w:color="auto" w:fill="auto"/>
            <w:noWrap/>
            <w:vAlign w:val="bottom"/>
          </w:tcPr>
          <w:p w14:paraId="7B80AE0B"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-1,7%</w:t>
            </w:r>
          </w:p>
        </w:tc>
        <w:tc>
          <w:tcPr>
            <w:tcW w:w="453" w:type="pct"/>
            <w:tcBorders>
              <w:top w:val="nil"/>
              <w:left w:val="nil"/>
              <w:bottom w:val="nil"/>
              <w:right w:val="nil"/>
            </w:tcBorders>
            <w:shd w:val="clear" w:color="auto" w:fill="auto"/>
            <w:noWrap/>
            <w:vAlign w:val="bottom"/>
          </w:tcPr>
          <w:p w14:paraId="12A1CB6B"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2 166,8</w:t>
            </w:r>
          </w:p>
        </w:tc>
        <w:tc>
          <w:tcPr>
            <w:tcW w:w="544" w:type="pct"/>
            <w:tcBorders>
              <w:top w:val="nil"/>
              <w:left w:val="nil"/>
              <w:bottom w:val="nil"/>
              <w:right w:val="single" w:sz="4" w:space="0" w:color="auto"/>
            </w:tcBorders>
            <w:shd w:val="clear" w:color="auto" w:fill="auto"/>
            <w:noWrap/>
            <w:vAlign w:val="bottom"/>
          </w:tcPr>
          <w:p w14:paraId="64057F3E"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62,4%</w:t>
            </w:r>
          </w:p>
        </w:tc>
        <w:tc>
          <w:tcPr>
            <w:tcW w:w="453" w:type="pct"/>
            <w:tcBorders>
              <w:top w:val="nil"/>
              <w:left w:val="nil"/>
              <w:bottom w:val="nil"/>
              <w:right w:val="nil"/>
            </w:tcBorders>
            <w:shd w:val="clear" w:color="auto" w:fill="auto"/>
            <w:noWrap/>
            <w:vAlign w:val="bottom"/>
          </w:tcPr>
          <w:p w14:paraId="41EF5047"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2 204,9</w:t>
            </w:r>
          </w:p>
        </w:tc>
        <w:tc>
          <w:tcPr>
            <w:tcW w:w="544" w:type="pct"/>
            <w:tcBorders>
              <w:top w:val="nil"/>
              <w:left w:val="nil"/>
              <w:bottom w:val="nil"/>
              <w:right w:val="single" w:sz="4" w:space="0" w:color="auto"/>
            </w:tcBorders>
            <w:shd w:val="clear" w:color="auto" w:fill="auto"/>
            <w:noWrap/>
            <w:vAlign w:val="bottom"/>
          </w:tcPr>
          <w:p w14:paraId="14E79D12"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1,8%</w:t>
            </w:r>
          </w:p>
        </w:tc>
        <w:tc>
          <w:tcPr>
            <w:tcW w:w="453" w:type="pct"/>
            <w:tcBorders>
              <w:top w:val="nil"/>
              <w:left w:val="nil"/>
              <w:bottom w:val="nil"/>
              <w:right w:val="nil"/>
            </w:tcBorders>
            <w:shd w:val="clear" w:color="auto" w:fill="auto"/>
            <w:noWrap/>
            <w:vAlign w:val="bottom"/>
          </w:tcPr>
          <w:p w14:paraId="148176E3"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2 590,9</w:t>
            </w:r>
          </w:p>
        </w:tc>
        <w:tc>
          <w:tcPr>
            <w:tcW w:w="544" w:type="pct"/>
            <w:tcBorders>
              <w:top w:val="nil"/>
              <w:left w:val="nil"/>
              <w:bottom w:val="nil"/>
              <w:right w:val="single" w:sz="4" w:space="0" w:color="auto"/>
            </w:tcBorders>
            <w:shd w:val="clear" w:color="auto" w:fill="auto"/>
            <w:noWrap/>
            <w:vAlign w:val="bottom"/>
          </w:tcPr>
          <w:p w14:paraId="45BA908C"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17,5%</w:t>
            </w:r>
          </w:p>
        </w:tc>
      </w:tr>
      <w:tr w:rsidR="00761800" w:rsidRPr="00761800" w14:paraId="678A337E" w14:textId="77777777" w:rsidTr="00406B4D">
        <w:trPr>
          <w:trHeight w:val="300"/>
        </w:trPr>
        <w:tc>
          <w:tcPr>
            <w:tcW w:w="1013" w:type="pct"/>
            <w:tcBorders>
              <w:top w:val="nil"/>
              <w:left w:val="single" w:sz="4" w:space="0" w:color="auto"/>
              <w:bottom w:val="nil"/>
              <w:right w:val="nil"/>
            </w:tcBorders>
            <w:shd w:val="clear" w:color="auto" w:fill="auto"/>
            <w:hideMark/>
          </w:tcPr>
          <w:p w14:paraId="66086BF7"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 xml:space="preserve">13. Общо текущи разходи </w:t>
            </w:r>
          </w:p>
        </w:tc>
        <w:tc>
          <w:tcPr>
            <w:tcW w:w="453" w:type="pct"/>
            <w:tcBorders>
              <w:top w:val="nil"/>
              <w:left w:val="single" w:sz="4" w:space="0" w:color="auto"/>
              <w:bottom w:val="nil"/>
              <w:right w:val="nil"/>
            </w:tcBorders>
            <w:shd w:val="clear" w:color="auto" w:fill="auto"/>
            <w:noWrap/>
            <w:vAlign w:val="bottom"/>
          </w:tcPr>
          <w:p w14:paraId="6C22E2B5"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42 363,3</w:t>
            </w:r>
          </w:p>
        </w:tc>
        <w:tc>
          <w:tcPr>
            <w:tcW w:w="544" w:type="pct"/>
            <w:tcBorders>
              <w:top w:val="nil"/>
              <w:left w:val="nil"/>
              <w:bottom w:val="nil"/>
              <w:right w:val="single" w:sz="4" w:space="0" w:color="auto"/>
            </w:tcBorders>
            <w:shd w:val="clear" w:color="auto" w:fill="auto"/>
            <w:noWrap/>
            <w:vAlign w:val="bottom"/>
          </w:tcPr>
          <w:p w14:paraId="11601CE3"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15,1%</w:t>
            </w:r>
          </w:p>
        </w:tc>
        <w:tc>
          <w:tcPr>
            <w:tcW w:w="453" w:type="pct"/>
            <w:tcBorders>
              <w:top w:val="nil"/>
              <w:left w:val="nil"/>
              <w:bottom w:val="nil"/>
              <w:right w:val="nil"/>
            </w:tcBorders>
            <w:shd w:val="clear" w:color="auto" w:fill="auto"/>
            <w:noWrap/>
            <w:vAlign w:val="bottom"/>
          </w:tcPr>
          <w:p w14:paraId="2F40EFEE"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47 266,7</w:t>
            </w:r>
          </w:p>
        </w:tc>
        <w:tc>
          <w:tcPr>
            <w:tcW w:w="544" w:type="pct"/>
            <w:tcBorders>
              <w:top w:val="nil"/>
              <w:left w:val="nil"/>
              <w:bottom w:val="nil"/>
              <w:right w:val="single" w:sz="4" w:space="0" w:color="auto"/>
            </w:tcBorders>
            <w:shd w:val="clear" w:color="auto" w:fill="auto"/>
            <w:noWrap/>
            <w:vAlign w:val="bottom"/>
          </w:tcPr>
          <w:p w14:paraId="69415187"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11,6%</w:t>
            </w:r>
          </w:p>
        </w:tc>
        <w:tc>
          <w:tcPr>
            <w:tcW w:w="453" w:type="pct"/>
            <w:tcBorders>
              <w:top w:val="nil"/>
              <w:left w:val="nil"/>
              <w:bottom w:val="nil"/>
              <w:right w:val="nil"/>
            </w:tcBorders>
            <w:shd w:val="clear" w:color="auto" w:fill="auto"/>
            <w:noWrap/>
            <w:vAlign w:val="bottom"/>
          </w:tcPr>
          <w:p w14:paraId="09E1A09B"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48 723,1</w:t>
            </w:r>
          </w:p>
        </w:tc>
        <w:tc>
          <w:tcPr>
            <w:tcW w:w="544" w:type="pct"/>
            <w:tcBorders>
              <w:top w:val="nil"/>
              <w:left w:val="nil"/>
              <w:bottom w:val="nil"/>
              <w:right w:val="single" w:sz="4" w:space="0" w:color="auto"/>
            </w:tcBorders>
            <w:shd w:val="clear" w:color="auto" w:fill="auto"/>
            <w:noWrap/>
            <w:vAlign w:val="bottom"/>
          </w:tcPr>
          <w:p w14:paraId="2FDB17C0"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1,8%</w:t>
            </w:r>
          </w:p>
        </w:tc>
        <w:tc>
          <w:tcPr>
            <w:tcW w:w="453" w:type="pct"/>
            <w:tcBorders>
              <w:top w:val="nil"/>
              <w:left w:val="nil"/>
              <w:bottom w:val="nil"/>
              <w:right w:val="nil"/>
            </w:tcBorders>
            <w:shd w:val="clear" w:color="auto" w:fill="auto"/>
            <w:noWrap/>
            <w:vAlign w:val="bottom"/>
          </w:tcPr>
          <w:p w14:paraId="032AF87F"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50 890,5</w:t>
            </w:r>
          </w:p>
        </w:tc>
        <w:tc>
          <w:tcPr>
            <w:tcW w:w="544" w:type="pct"/>
            <w:tcBorders>
              <w:top w:val="nil"/>
              <w:left w:val="nil"/>
              <w:bottom w:val="nil"/>
              <w:right w:val="single" w:sz="4" w:space="0" w:color="auto"/>
            </w:tcBorders>
            <w:shd w:val="clear" w:color="auto" w:fill="auto"/>
            <w:noWrap/>
            <w:vAlign w:val="bottom"/>
          </w:tcPr>
          <w:p w14:paraId="228BC827"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3,5%</w:t>
            </w:r>
          </w:p>
        </w:tc>
      </w:tr>
      <w:tr w:rsidR="00761800" w:rsidRPr="00761800" w14:paraId="527F9C73" w14:textId="77777777" w:rsidTr="00406B4D">
        <w:trPr>
          <w:trHeight w:val="495"/>
        </w:trPr>
        <w:tc>
          <w:tcPr>
            <w:tcW w:w="1013" w:type="pct"/>
            <w:tcBorders>
              <w:top w:val="nil"/>
              <w:left w:val="single" w:sz="4" w:space="0" w:color="auto"/>
              <w:bottom w:val="nil"/>
              <w:right w:val="nil"/>
            </w:tcBorders>
            <w:shd w:val="clear" w:color="auto" w:fill="auto"/>
            <w:vAlign w:val="bottom"/>
            <w:hideMark/>
          </w:tcPr>
          <w:p w14:paraId="3BE669E0"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14. Капиталови трансфери, получени</w:t>
            </w:r>
          </w:p>
        </w:tc>
        <w:tc>
          <w:tcPr>
            <w:tcW w:w="453" w:type="pct"/>
            <w:tcBorders>
              <w:top w:val="nil"/>
              <w:left w:val="single" w:sz="4" w:space="0" w:color="auto"/>
              <w:bottom w:val="nil"/>
              <w:right w:val="nil"/>
            </w:tcBorders>
            <w:shd w:val="clear" w:color="auto" w:fill="auto"/>
            <w:noWrap/>
            <w:vAlign w:val="bottom"/>
          </w:tcPr>
          <w:p w14:paraId="11788EF2"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3 295,5</w:t>
            </w:r>
          </w:p>
        </w:tc>
        <w:tc>
          <w:tcPr>
            <w:tcW w:w="544" w:type="pct"/>
            <w:tcBorders>
              <w:top w:val="nil"/>
              <w:left w:val="nil"/>
              <w:bottom w:val="nil"/>
              <w:right w:val="single" w:sz="4" w:space="0" w:color="auto"/>
            </w:tcBorders>
            <w:shd w:val="clear" w:color="auto" w:fill="auto"/>
            <w:noWrap/>
            <w:vAlign w:val="bottom"/>
          </w:tcPr>
          <w:p w14:paraId="591081DA"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61,1%</w:t>
            </w:r>
          </w:p>
        </w:tc>
        <w:tc>
          <w:tcPr>
            <w:tcW w:w="453" w:type="pct"/>
            <w:tcBorders>
              <w:top w:val="nil"/>
              <w:left w:val="nil"/>
              <w:bottom w:val="nil"/>
              <w:right w:val="nil"/>
            </w:tcBorders>
            <w:shd w:val="clear" w:color="auto" w:fill="auto"/>
            <w:noWrap/>
            <w:vAlign w:val="bottom"/>
          </w:tcPr>
          <w:p w14:paraId="69525AEA"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3 924,5</w:t>
            </w:r>
          </w:p>
        </w:tc>
        <w:tc>
          <w:tcPr>
            <w:tcW w:w="544" w:type="pct"/>
            <w:tcBorders>
              <w:top w:val="nil"/>
              <w:left w:val="nil"/>
              <w:bottom w:val="nil"/>
              <w:right w:val="single" w:sz="4" w:space="0" w:color="auto"/>
            </w:tcBorders>
            <w:shd w:val="clear" w:color="auto" w:fill="auto"/>
            <w:noWrap/>
            <w:vAlign w:val="bottom"/>
          </w:tcPr>
          <w:p w14:paraId="1776B13B"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19,1%</w:t>
            </w:r>
          </w:p>
        </w:tc>
        <w:tc>
          <w:tcPr>
            <w:tcW w:w="453" w:type="pct"/>
            <w:tcBorders>
              <w:top w:val="nil"/>
              <w:left w:val="nil"/>
              <w:bottom w:val="nil"/>
              <w:right w:val="nil"/>
            </w:tcBorders>
            <w:shd w:val="clear" w:color="auto" w:fill="auto"/>
            <w:noWrap/>
            <w:vAlign w:val="bottom"/>
          </w:tcPr>
          <w:p w14:paraId="3F79DF54"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1 028,7</w:t>
            </w:r>
          </w:p>
        </w:tc>
        <w:tc>
          <w:tcPr>
            <w:tcW w:w="544" w:type="pct"/>
            <w:tcBorders>
              <w:top w:val="nil"/>
              <w:left w:val="nil"/>
              <w:bottom w:val="nil"/>
              <w:right w:val="single" w:sz="4" w:space="0" w:color="auto"/>
            </w:tcBorders>
            <w:shd w:val="clear" w:color="auto" w:fill="auto"/>
            <w:noWrap/>
            <w:vAlign w:val="bottom"/>
          </w:tcPr>
          <w:p w14:paraId="41796A83"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-73,8%</w:t>
            </w:r>
          </w:p>
        </w:tc>
        <w:tc>
          <w:tcPr>
            <w:tcW w:w="453" w:type="pct"/>
            <w:tcBorders>
              <w:top w:val="nil"/>
              <w:left w:val="nil"/>
              <w:bottom w:val="nil"/>
              <w:right w:val="nil"/>
            </w:tcBorders>
            <w:shd w:val="clear" w:color="auto" w:fill="auto"/>
            <w:noWrap/>
            <w:vAlign w:val="bottom"/>
          </w:tcPr>
          <w:p w14:paraId="69F80AFD"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935,7</w:t>
            </w:r>
          </w:p>
        </w:tc>
        <w:tc>
          <w:tcPr>
            <w:tcW w:w="544" w:type="pct"/>
            <w:tcBorders>
              <w:top w:val="nil"/>
              <w:left w:val="nil"/>
              <w:bottom w:val="nil"/>
              <w:right w:val="single" w:sz="4" w:space="0" w:color="auto"/>
            </w:tcBorders>
            <w:shd w:val="clear" w:color="auto" w:fill="auto"/>
            <w:noWrap/>
            <w:vAlign w:val="bottom"/>
          </w:tcPr>
          <w:p w14:paraId="6BCA7F39"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-9,0%</w:t>
            </w:r>
          </w:p>
        </w:tc>
      </w:tr>
      <w:tr w:rsidR="00761800" w:rsidRPr="00761800" w14:paraId="506960EC" w14:textId="77777777" w:rsidTr="00406B4D">
        <w:trPr>
          <w:trHeight w:val="495"/>
        </w:trPr>
        <w:tc>
          <w:tcPr>
            <w:tcW w:w="1013" w:type="pct"/>
            <w:tcBorders>
              <w:top w:val="nil"/>
              <w:left w:val="single" w:sz="4" w:space="0" w:color="auto"/>
              <w:bottom w:val="nil"/>
              <w:right w:val="nil"/>
            </w:tcBorders>
            <w:shd w:val="clear" w:color="auto" w:fill="auto"/>
            <w:vAlign w:val="bottom"/>
            <w:hideMark/>
          </w:tcPr>
          <w:p w14:paraId="04A1D39A"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15. Брутообразуване на основен капитал</w:t>
            </w:r>
          </w:p>
        </w:tc>
        <w:tc>
          <w:tcPr>
            <w:tcW w:w="453" w:type="pct"/>
            <w:tcBorders>
              <w:top w:val="nil"/>
              <w:left w:val="single" w:sz="4" w:space="0" w:color="auto"/>
              <w:bottom w:val="nil"/>
              <w:right w:val="nil"/>
            </w:tcBorders>
            <w:shd w:val="clear" w:color="auto" w:fill="auto"/>
            <w:noWrap/>
            <w:vAlign w:val="bottom"/>
          </w:tcPr>
          <w:p w14:paraId="4F3F7D08"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5 243,5</w:t>
            </w:r>
          </w:p>
        </w:tc>
        <w:tc>
          <w:tcPr>
            <w:tcW w:w="544" w:type="pct"/>
            <w:tcBorders>
              <w:top w:val="nil"/>
              <w:left w:val="nil"/>
              <w:bottom w:val="nil"/>
              <w:right w:val="single" w:sz="4" w:space="0" w:color="auto"/>
            </w:tcBorders>
            <w:shd w:val="clear" w:color="auto" w:fill="auto"/>
            <w:noWrap/>
            <w:vAlign w:val="bottom"/>
          </w:tcPr>
          <w:p w14:paraId="51AC7DB0"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58,4%</w:t>
            </w:r>
          </w:p>
        </w:tc>
        <w:tc>
          <w:tcPr>
            <w:tcW w:w="453" w:type="pct"/>
            <w:tcBorders>
              <w:top w:val="nil"/>
              <w:left w:val="nil"/>
              <w:bottom w:val="nil"/>
              <w:right w:val="nil"/>
            </w:tcBorders>
            <w:shd w:val="clear" w:color="auto" w:fill="auto"/>
            <w:noWrap/>
            <w:vAlign w:val="bottom"/>
          </w:tcPr>
          <w:p w14:paraId="615EA459"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7 321,5</w:t>
            </w:r>
          </w:p>
        </w:tc>
        <w:tc>
          <w:tcPr>
            <w:tcW w:w="544" w:type="pct"/>
            <w:tcBorders>
              <w:top w:val="nil"/>
              <w:left w:val="nil"/>
              <w:bottom w:val="nil"/>
              <w:right w:val="single" w:sz="4" w:space="0" w:color="auto"/>
            </w:tcBorders>
            <w:shd w:val="clear" w:color="auto" w:fill="auto"/>
            <w:noWrap/>
            <w:vAlign w:val="bottom"/>
          </w:tcPr>
          <w:p w14:paraId="06D3DB41"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39,6%</w:t>
            </w:r>
          </w:p>
        </w:tc>
        <w:tc>
          <w:tcPr>
            <w:tcW w:w="453" w:type="pct"/>
            <w:tcBorders>
              <w:top w:val="nil"/>
              <w:left w:val="nil"/>
              <w:bottom w:val="nil"/>
              <w:right w:val="nil"/>
            </w:tcBorders>
            <w:shd w:val="clear" w:color="auto" w:fill="auto"/>
            <w:noWrap/>
            <w:vAlign w:val="bottom"/>
          </w:tcPr>
          <w:p w14:paraId="088EF5D4"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5 550,2</w:t>
            </w:r>
          </w:p>
        </w:tc>
        <w:tc>
          <w:tcPr>
            <w:tcW w:w="544" w:type="pct"/>
            <w:tcBorders>
              <w:top w:val="nil"/>
              <w:left w:val="nil"/>
              <w:bottom w:val="nil"/>
              <w:right w:val="single" w:sz="4" w:space="0" w:color="auto"/>
            </w:tcBorders>
            <w:shd w:val="clear" w:color="auto" w:fill="auto"/>
            <w:noWrap/>
            <w:vAlign w:val="bottom"/>
          </w:tcPr>
          <w:p w14:paraId="6F7975BE"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-24,2%</w:t>
            </w:r>
          </w:p>
        </w:tc>
        <w:tc>
          <w:tcPr>
            <w:tcW w:w="453" w:type="pct"/>
            <w:tcBorders>
              <w:top w:val="nil"/>
              <w:left w:val="nil"/>
              <w:bottom w:val="nil"/>
              <w:right w:val="nil"/>
            </w:tcBorders>
            <w:shd w:val="clear" w:color="auto" w:fill="auto"/>
            <w:noWrap/>
            <w:vAlign w:val="bottom"/>
          </w:tcPr>
          <w:p w14:paraId="21A6EEEA"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5 992,2</w:t>
            </w:r>
          </w:p>
        </w:tc>
        <w:tc>
          <w:tcPr>
            <w:tcW w:w="544" w:type="pct"/>
            <w:tcBorders>
              <w:top w:val="nil"/>
              <w:left w:val="nil"/>
              <w:bottom w:val="nil"/>
              <w:right w:val="single" w:sz="4" w:space="0" w:color="auto"/>
            </w:tcBorders>
            <w:shd w:val="clear" w:color="auto" w:fill="auto"/>
            <w:noWrap/>
            <w:vAlign w:val="bottom"/>
          </w:tcPr>
          <w:p w14:paraId="1C284846"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8,0%</w:t>
            </w:r>
          </w:p>
        </w:tc>
      </w:tr>
      <w:tr w:rsidR="00761800" w:rsidRPr="00761800" w14:paraId="5B78ED64" w14:textId="77777777" w:rsidTr="00406B4D">
        <w:trPr>
          <w:trHeight w:val="300"/>
        </w:trPr>
        <w:tc>
          <w:tcPr>
            <w:tcW w:w="1013" w:type="pct"/>
            <w:tcBorders>
              <w:top w:val="nil"/>
              <w:left w:val="single" w:sz="4" w:space="0" w:color="auto"/>
              <w:bottom w:val="nil"/>
              <w:right w:val="nil"/>
            </w:tcBorders>
            <w:shd w:val="clear" w:color="auto" w:fill="auto"/>
            <w:vAlign w:val="bottom"/>
            <w:hideMark/>
          </w:tcPr>
          <w:p w14:paraId="75B8201D"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lastRenderedPageBreak/>
              <w:t>16. Други капиталови разходи</w:t>
            </w:r>
          </w:p>
        </w:tc>
        <w:tc>
          <w:tcPr>
            <w:tcW w:w="453" w:type="pct"/>
            <w:tcBorders>
              <w:top w:val="nil"/>
              <w:left w:val="single" w:sz="4" w:space="0" w:color="auto"/>
              <w:bottom w:val="nil"/>
              <w:right w:val="nil"/>
            </w:tcBorders>
            <w:shd w:val="clear" w:color="auto" w:fill="auto"/>
            <w:noWrap/>
            <w:vAlign w:val="bottom"/>
          </w:tcPr>
          <w:p w14:paraId="33B4E555"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763,9</w:t>
            </w:r>
          </w:p>
        </w:tc>
        <w:tc>
          <w:tcPr>
            <w:tcW w:w="544" w:type="pct"/>
            <w:tcBorders>
              <w:top w:val="nil"/>
              <w:left w:val="nil"/>
              <w:bottom w:val="nil"/>
              <w:right w:val="single" w:sz="4" w:space="0" w:color="auto"/>
            </w:tcBorders>
            <w:shd w:val="clear" w:color="auto" w:fill="auto"/>
            <w:noWrap/>
            <w:vAlign w:val="bottom"/>
          </w:tcPr>
          <w:p w14:paraId="3DCEBDD4"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-18,6%</w:t>
            </w:r>
          </w:p>
        </w:tc>
        <w:tc>
          <w:tcPr>
            <w:tcW w:w="453" w:type="pct"/>
            <w:tcBorders>
              <w:top w:val="nil"/>
              <w:left w:val="nil"/>
              <w:bottom w:val="nil"/>
              <w:right w:val="nil"/>
            </w:tcBorders>
            <w:shd w:val="clear" w:color="auto" w:fill="auto"/>
            <w:noWrap/>
            <w:vAlign w:val="bottom"/>
          </w:tcPr>
          <w:p w14:paraId="3F554096"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1 544,4</w:t>
            </w:r>
          </w:p>
        </w:tc>
        <w:tc>
          <w:tcPr>
            <w:tcW w:w="544" w:type="pct"/>
            <w:tcBorders>
              <w:top w:val="nil"/>
              <w:left w:val="nil"/>
              <w:bottom w:val="nil"/>
              <w:right w:val="single" w:sz="4" w:space="0" w:color="auto"/>
            </w:tcBorders>
            <w:shd w:val="clear" w:color="auto" w:fill="auto"/>
            <w:noWrap/>
            <w:vAlign w:val="bottom"/>
          </w:tcPr>
          <w:p w14:paraId="449B9AC6"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102,2%</w:t>
            </w:r>
          </w:p>
        </w:tc>
        <w:tc>
          <w:tcPr>
            <w:tcW w:w="453" w:type="pct"/>
            <w:tcBorders>
              <w:top w:val="nil"/>
              <w:left w:val="nil"/>
              <w:bottom w:val="nil"/>
              <w:right w:val="nil"/>
            </w:tcBorders>
            <w:shd w:val="clear" w:color="auto" w:fill="auto"/>
            <w:noWrap/>
            <w:vAlign w:val="bottom"/>
          </w:tcPr>
          <w:p w14:paraId="208D876E"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452,2</w:t>
            </w:r>
          </w:p>
        </w:tc>
        <w:tc>
          <w:tcPr>
            <w:tcW w:w="544" w:type="pct"/>
            <w:tcBorders>
              <w:top w:val="nil"/>
              <w:left w:val="nil"/>
              <w:bottom w:val="nil"/>
              <w:right w:val="single" w:sz="4" w:space="0" w:color="auto"/>
            </w:tcBorders>
            <w:shd w:val="clear" w:color="auto" w:fill="auto"/>
            <w:noWrap/>
            <w:vAlign w:val="bottom"/>
          </w:tcPr>
          <w:p w14:paraId="70915735"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-70,7%</w:t>
            </w:r>
          </w:p>
        </w:tc>
        <w:tc>
          <w:tcPr>
            <w:tcW w:w="453" w:type="pct"/>
            <w:tcBorders>
              <w:top w:val="nil"/>
              <w:left w:val="nil"/>
              <w:bottom w:val="nil"/>
              <w:right w:val="nil"/>
            </w:tcBorders>
            <w:shd w:val="clear" w:color="auto" w:fill="auto"/>
            <w:noWrap/>
            <w:vAlign w:val="bottom"/>
          </w:tcPr>
          <w:p w14:paraId="12CB7AB4"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509,5</w:t>
            </w:r>
          </w:p>
        </w:tc>
        <w:tc>
          <w:tcPr>
            <w:tcW w:w="544" w:type="pct"/>
            <w:tcBorders>
              <w:top w:val="nil"/>
              <w:left w:val="nil"/>
              <w:bottom w:val="nil"/>
              <w:right w:val="single" w:sz="4" w:space="0" w:color="auto"/>
            </w:tcBorders>
            <w:shd w:val="clear" w:color="auto" w:fill="auto"/>
            <w:noWrap/>
            <w:vAlign w:val="bottom"/>
          </w:tcPr>
          <w:p w14:paraId="232EF4FA" w14:textId="77777777" w:rsidR="00761800" w:rsidRPr="00761800" w:rsidRDefault="00761800" w:rsidP="00761800">
            <w:pPr>
              <w:spacing w:after="200"/>
              <w:jc w:val="right"/>
              <w:rPr>
                <w:rFonts w:ascii="Times New Roman" w:hAnsi="Times New Roman"/>
                <w:b/>
                <w:bCs/>
                <w:sz w:val="16"/>
                <w:szCs w:val="18"/>
                <w:lang w:eastAsia="bg-BG"/>
              </w:rPr>
            </w:pPr>
            <w:r w:rsidRPr="00761800">
              <w:rPr>
                <w:rFonts w:ascii="Times New Roman" w:hAnsi="Times New Roman"/>
                <w:b/>
                <w:bCs/>
                <w:sz w:val="16"/>
                <w:szCs w:val="18"/>
                <w:lang w:eastAsia="bg-BG"/>
              </w:rPr>
              <w:t>12,7%</w:t>
            </w:r>
          </w:p>
        </w:tc>
      </w:tr>
      <w:tr w:rsidR="00761800" w:rsidRPr="00761800" w14:paraId="0567D4BF" w14:textId="77777777" w:rsidTr="00406B4D">
        <w:trPr>
          <w:trHeight w:val="270"/>
        </w:trPr>
        <w:tc>
          <w:tcPr>
            <w:tcW w:w="1013" w:type="pct"/>
            <w:tcBorders>
              <w:top w:val="nil"/>
              <w:left w:val="single" w:sz="4" w:space="0" w:color="auto"/>
              <w:bottom w:val="single" w:sz="4" w:space="0" w:color="auto"/>
              <w:right w:val="nil"/>
            </w:tcBorders>
            <w:shd w:val="clear" w:color="auto" w:fill="auto"/>
            <w:vAlign w:val="bottom"/>
            <w:hideMark/>
          </w:tcPr>
          <w:p w14:paraId="4937F59C"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 </w:t>
            </w:r>
          </w:p>
        </w:tc>
        <w:tc>
          <w:tcPr>
            <w:tcW w:w="453" w:type="pct"/>
            <w:tcBorders>
              <w:top w:val="nil"/>
              <w:left w:val="single" w:sz="4" w:space="0" w:color="auto"/>
              <w:bottom w:val="nil"/>
              <w:right w:val="nil"/>
            </w:tcBorders>
            <w:shd w:val="clear" w:color="auto" w:fill="auto"/>
            <w:noWrap/>
            <w:vAlign w:val="center"/>
          </w:tcPr>
          <w:p w14:paraId="02D64B2D" w14:textId="77777777" w:rsidR="00761800" w:rsidRPr="00761800" w:rsidRDefault="00761800" w:rsidP="00761800">
            <w:pPr>
              <w:spacing w:after="200"/>
              <w:jc w:val="right"/>
              <w:rPr>
                <w:rFonts w:ascii="Times New Roman" w:hAnsi="Times New Roman"/>
                <w:sz w:val="18"/>
                <w:szCs w:val="18"/>
                <w:lang w:eastAsia="bg-BG"/>
              </w:rPr>
            </w:pPr>
          </w:p>
        </w:tc>
        <w:tc>
          <w:tcPr>
            <w:tcW w:w="544" w:type="pct"/>
            <w:tcBorders>
              <w:top w:val="nil"/>
              <w:left w:val="nil"/>
              <w:bottom w:val="nil"/>
              <w:right w:val="single" w:sz="4" w:space="0" w:color="auto"/>
            </w:tcBorders>
            <w:shd w:val="clear" w:color="auto" w:fill="auto"/>
            <w:noWrap/>
            <w:vAlign w:val="center"/>
          </w:tcPr>
          <w:p w14:paraId="720EA73B" w14:textId="77777777" w:rsidR="00761800" w:rsidRPr="00761800" w:rsidRDefault="00761800" w:rsidP="00761800">
            <w:pPr>
              <w:spacing w:after="200"/>
              <w:jc w:val="right"/>
              <w:rPr>
                <w:rFonts w:ascii="Times New Roman" w:hAnsi="Times New Roman"/>
                <w:b/>
                <w:i/>
                <w:sz w:val="18"/>
                <w:szCs w:val="18"/>
                <w:lang w:eastAsia="bg-BG"/>
              </w:rPr>
            </w:pPr>
            <w:r w:rsidRPr="00761800">
              <w:rPr>
                <w:rFonts w:ascii="Times New Roman" w:hAnsi="Times New Roman"/>
                <w:b/>
                <w:i/>
                <w:sz w:val="18"/>
                <w:szCs w:val="18"/>
                <w:lang w:eastAsia="bg-BG"/>
              </w:rPr>
              <w:t>% от БВП</w:t>
            </w:r>
          </w:p>
        </w:tc>
        <w:tc>
          <w:tcPr>
            <w:tcW w:w="453" w:type="pct"/>
            <w:tcBorders>
              <w:top w:val="nil"/>
              <w:left w:val="nil"/>
              <w:bottom w:val="nil"/>
              <w:right w:val="nil"/>
            </w:tcBorders>
            <w:shd w:val="clear" w:color="auto" w:fill="auto"/>
            <w:noWrap/>
            <w:vAlign w:val="center"/>
          </w:tcPr>
          <w:p w14:paraId="373270E2" w14:textId="77777777" w:rsidR="00761800" w:rsidRPr="00761800" w:rsidRDefault="00761800" w:rsidP="00761800">
            <w:pPr>
              <w:spacing w:after="200"/>
              <w:jc w:val="right"/>
              <w:rPr>
                <w:rFonts w:ascii="Times New Roman" w:hAnsi="Times New Roman"/>
                <w:b/>
                <w:i/>
                <w:sz w:val="18"/>
                <w:szCs w:val="18"/>
                <w:lang w:eastAsia="bg-BG"/>
              </w:rPr>
            </w:pPr>
          </w:p>
        </w:tc>
        <w:tc>
          <w:tcPr>
            <w:tcW w:w="544" w:type="pct"/>
            <w:tcBorders>
              <w:top w:val="nil"/>
              <w:left w:val="nil"/>
              <w:bottom w:val="nil"/>
              <w:right w:val="single" w:sz="4" w:space="0" w:color="auto"/>
            </w:tcBorders>
            <w:shd w:val="clear" w:color="auto" w:fill="auto"/>
            <w:noWrap/>
            <w:vAlign w:val="center"/>
          </w:tcPr>
          <w:p w14:paraId="25214E9E" w14:textId="77777777" w:rsidR="00761800" w:rsidRPr="00761800" w:rsidRDefault="00761800" w:rsidP="00761800">
            <w:pPr>
              <w:spacing w:after="200"/>
              <w:jc w:val="right"/>
              <w:rPr>
                <w:rFonts w:ascii="Times New Roman" w:hAnsi="Times New Roman"/>
                <w:b/>
                <w:i/>
                <w:sz w:val="18"/>
                <w:szCs w:val="18"/>
                <w:lang w:eastAsia="bg-BG"/>
              </w:rPr>
            </w:pPr>
            <w:r w:rsidRPr="00761800">
              <w:rPr>
                <w:rFonts w:ascii="Times New Roman" w:hAnsi="Times New Roman"/>
                <w:b/>
                <w:i/>
                <w:sz w:val="18"/>
                <w:szCs w:val="18"/>
                <w:lang w:eastAsia="bg-BG"/>
              </w:rPr>
              <w:t>% от БВП</w:t>
            </w:r>
          </w:p>
        </w:tc>
        <w:tc>
          <w:tcPr>
            <w:tcW w:w="453" w:type="pct"/>
            <w:tcBorders>
              <w:top w:val="nil"/>
              <w:left w:val="nil"/>
              <w:bottom w:val="nil"/>
              <w:right w:val="nil"/>
            </w:tcBorders>
            <w:shd w:val="clear" w:color="auto" w:fill="auto"/>
            <w:noWrap/>
            <w:vAlign w:val="center"/>
          </w:tcPr>
          <w:p w14:paraId="09D1C5F0" w14:textId="77777777" w:rsidR="00761800" w:rsidRPr="00761800" w:rsidRDefault="00761800" w:rsidP="00761800">
            <w:pPr>
              <w:spacing w:after="200"/>
              <w:jc w:val="right"/>
              <w:rPr>
                <w:rFonts w:ascii="Times New Roman" w:hAnsi="Times New Roman"/>
                <w:b/>
                <w:i/>
                <w:sz w:val="18"/>
                <w:szCs w:val="18"/>
                <w:lang w:eastAsia="bg-BG"/>
              </w:rPr>
            </w:pPr>
          </w:p>
        </w:tc>
        <w:tc>
          <w:tcPr>
            <w:tcW w:w="544" w:type="pct"/>
            <w:tcBorders>
              <w:top w:val="nil"/>
              <w:left w:val="nil"/>
              <w:bottom w:val="nil"/>
              <w:right w:val="single" w:sz="4" w:space="0" w:color="auto"/>
            </w:tcBorders>
            <w:shd w:val="clear" w:color="auto" w:fill="auto"/>
            <w:noWrap/>
            <w:vAlign w:val="center"/>
          </w:tcPr>
          <w:p w14:paraId="4FA3470D" w14:textId="77777777" w:rsidR="00761800" w:rsidRPr="00761800" w:rsidRDefault="00761800" w:rsidP="00761800">
            <w:pPr>
              <w:spacing w:after="200"/>
              <w:jc w:val="right"/>
              <w:rPr>
                <w:rFonts w:ascii="Times New Roman" w:hAnsi="Times New Roman"/>
                <w:b/>
                <w:i/>
                <w:sz w:val="18"/>
                <w:szCs w:val="18"/>
                <w:lang w:eastAsia="bg-BG"/>
              </w:rPr>
            </w:pPr>
            <w:r w:rsidRPr="00761800">
              <w:rPr>
                <w:rFonts w:ascii="Times New Roman" w:hAnsi="Times New Roman"/>
                <w:b/>
                <w:i/>
                <w:sz w:val="18"/>
                <w:szCs w:val="18"/>
                <w:lang w:eastAsia="bg-BG"/>
              </w:rPr>
              <w:t>% от БВП</w:t>
            </w:r>
          </w:p>
        </w:tc>
        <w:tc>
          <w:tcPr>
            <w:tcW w:w="453" w:type="pct"/>
            <w:tcBorders>
              <w:top w:val="nil"/>
              <w:left w:val="nil"/>
              <w:bottom w:val="nil"/>
              <w:right w:val="nil"/>
            </w:tcBorders>
            <w:shd w:val="clear" w:color="auto" w:fill="auto"/>
            <w:noWrap/>
            <w:vAlign w:val="center"/>
          </w:tcPr>
          <w:p w14:paraId="45E9A6C6" w14:textId="77777777" w:rsidR="00761800" w:rsidRPr="00761800" w:rsidRDefault="00761800" w:rsidP="00761800">
            <w:pPr>
              <w:spacing w:after="200"/>
              <w:jc w:val="right"/>
              <w:rPr>
                <w:rFonts w:ascii="Times New Roman" w:hAnsi="Times New Roman"/>
                <w:b/>
                <w:i/>
                <w:sz w:val="18"/>
                <w:szCs w:val="18"/>
                <w:lang w:eastAsia="bg-BG"/>
              </w:rPr>
            </w:pPr>
          </w:p>
        </w:tc>
        <w:tc>
          <w:tcPr>
            <w:tcW w:w="544" w:type="pct"/>
            <w:tcBorders>
              <w:top w:val="nil"/>
              <w:left w:val="nil"/>
              <w:bottom w:val="nil"/>
              <w:right w:val="single" w:sz="4" w:space="0" w:color="auto"/>
            </w:tcBorders>
            <w:shd w:val="clear" w:color="auto" w:fill="auto"/>
            <w:noWrap/>
            <w:vAlign w:val="center"/>
          </w:tcPr>
          <w:p w14:paraId="2FAFC6BC" w14:textId="77777777" w:rsidR="00761800" w:rsidRPr="00761800" w:rsidRDefault="00761800" w:rsidP="00761800">
            <w:pPr>
              <w:spacing w:after="200"/>
              <w:jc w:val="right"/>
              <w:rPr>
                <w:rFonts w:ascii="Times New Roman" w:hAnsi="Times New Roman"/>
                <w:b/>
                <w:i/>
                <w:sz w:val="18"/>
                <w:szCs w:val="18"/>
                <w:lang w:eastAsia="bg-BG"/>
              </w:rPr>
            </w:pPr>
            <w:r w:rsidRPr="00761800">
              <w:rPr>
                <w:rFonts w:ascii="Times New Roman" w:hAnsi="Times New Roman"/>
                <w:b/>
                <w:i/>
                <w:sz w:val="18"/>
                <w:szCs w:val="18"/>
                <w:lang w:eastAsia="bg-BG"/>
              </w:rPr>
              <w:t>% от БВП</w:t>
            </w:r>
          </w:p>
        </w:tc>
      </w:tr>
      <w:tr w:rsidR="00761800" w:rsidRPr="00761800" w14:paraId="1626BC5C" w14:textId="77777777" w:rsidTr="00406B4D">
        <w:trPr>
          <w:trHeight w:val="300"/>
        </w:trPr>
        <w:tc>
          <w:tcPr>
            <w:tcW w:w="1013" w:type="pct"/>
            <w:tcBorders>
              <w:top w:val="nil"/>
              <w:left w:val="single" w:sz="4" w:space="0" w:color="auto"/>
              <w:bottom w:val="nil"/>
              <w:right w:val="nil"/>
            </w:tcBorders>
            <w:shd w:val="clear" w:color="auto" w:fill="auto"/>
            <w:vAlign w:val="bottom"/>
            <w:hideMark/>
          </w:tcPr>
          <w:p w14:paraId="7B594A92"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17. Общи правителствени приходи</w:t>
            </w:r>
          </w:p>
        </w:tc>
        <w:tc>
          <w:tcPr>
            <w:tcW w:w="453" w:type="pct"/>
            <w:tcBorders>
              <w:top w:val="single" w:sz="4" w:space="0" w:color="auto"/>
              <w:left w:val="single" w:sz="4" w:space="0" w:color="auto"/>
              <w:bottom w:val="nil"/>
              <w:right w:val="nil"/>
            </w:tcBorders>
            <w:shd w:val="clear" w:color="auto" w:fill="auto"/>
            <w:noWrap/>
            <w:vAlign w:val="bottom"/>
          </w:tcPr>
          <w:p w14:paraId="2B8EC32B"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44 258,1</w:t>
            </w:r>
          </w:p>
        </w:tc>
        <w:tc>
          <w:tcPr>
            <w:tcW w:w="544" w:type="pct"/>
            <w:tcBorders>
              <w:top w:val="single" w:sz="4" w:space="0" w:color="auto"/>
              <w:left w:val="nil"/>
              <w:bottom w:val="nil"/>
              <w:right w:val="single" w:sz="4" w:space="0" w:color="auto"/>
            </w:tcBorders>
            <w:shd w:val="clear" w:color="auto" w:fill="auto"/>
            <w:noWrap/>
            <w:vAlign w:val="bottom"/>
          </w:tcPr>
          <w:p w14:paraId="1EE2137A"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38,1%</w:t>
            </w:r>
          </w:p>
        </w:tc>
        <w:tc>
          <w:tcPr>
            <w:tcW w:w="453" w:type="pct"/>
            <w:tcBorders>
              <w:top w:val="single" w:sz="4" w:space="0" w:color="auto"/>
              <w:left w:val="nil"/>
              <w:bottom w:val="nil"/>
              <w:right w:val="nil"/>
            </w:tcBorders>
            <w:shd w:val="clear" w:color="auto" w:fill="auto"/>
            <w:noWrap/>
            <w:vAlign w:val="bottom"/>
          </w:tcPr>
          <w:p w14:paraId="6211F467"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49 503,7</w:t>
            </w:r>
          </w:p>
        </w:tc>
        <w:tc>
          <w:tcPr>
            <w:tcW w:w="544" w:type="pct"/>
            <w:tcBorders>
              <w:top w:val="single" w:sz="4" w:space="0" w:color="auto"/>
              <w:left w:val="nil"/>
              <w:bottom w:val="nil"/>
              <w:right w:val="single" w:sz="4" w:space="0" w:color="auto"/>
            </w:tcBorders>
            <w:shd w:val="clear" w:color="auto" w:fill="auto"/>
            <w:noWrap/>
            <w:vAlign w:val="bottom"/>
          </w:tcPr>
          <w:p w14:paraId="65D9FF63"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39,5%</w:t>
            </w:r>
          </w:p>
        </w:tc>
        <w:tc>
          <w:tcPr>
            <w:tcW w:w="453" w:type="pct"/>
            <w:tcBorders>
              <w:top w:val="single" w:sz="4" w:space="0" w:color="auto"/>
              <w:left w:val="nil"/>
              <w:bottom w:val="nil"/>
              <w:right w:val="nil"/>
            </w:tcBorders>
            <w:shd w:val="clear" w:color="auto" w:fill="auto"/>
            <w:noWrap/>
            <w:vAlign w:val="bottom"/>
          </w:tcPr>
          <w:p w14:paraId="77276F59"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48 714,0</w:t>
            </w:r>
          </w:p>
        </w:tc>
        <w:tc>
          <w:tcPr>
            <w:tcW w:w="544" w:type="pct"/>
            <w:tcBorders>
              <w:top w:val="single" w:sz="4" w:space="0" w:color="auto"/>
              <w:left w:val="nil"/>
              <w:bottom w:val="nil"/>
              <w:right w:val="single" w:sz="4" w:space="0" w:color="auto"/>
            </w:tcBorders>
            <w:shd w:val="clear" w:color="auto" w:fill="auto"/>
            <w:noWrap/>
            <w:vAlign w:val="bottom"/>
          </w:tcPr>
          <w:p w14:paraId="3EE7A93C"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36,2%</w:t>
            </w:r>
          </w:p>
        </w:tc>
        <w:tc>
          <w:tcPr>
            <w:tcW w:w="453" w:type="pct"/>
            <w:tcBorders>
              <w:top w:val="single" w:sz="4" w:space="0" w:color="auto"/>
              <w:left w:val="nil"/>
              <w:bottom w:val="nil"/>
              <w:right w:val="nil"/>
            </w:tcBorders>
            <w:shd w:val="clear" w:color="auto" w:fill="auto"/>
            <w:noWrap/>
            <w:vAlign w:val="bottom"/>
          </w:tcPr>
          <w:p w14:paraId="58543F08"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51 687,6</w:t>
            </w:r>
          </w:p>
        </w:tc>
        <w:tc>
          <w:tcPr>
            <w:tcW w:w="544" w:type="pct"/>
            <w:tcBorders>
              <w:top w:val="single" w:sz="4" w:space="0" w:color="auto"/>
              <w:left w:val="nil"/>
              <w:bottom w:val="nil"/>
              <w:right w:val="single" w:sz="4" w:space="0" w:color="auto"/>
            </w:tcBorders>
            <w:shd w:val="clear" w:color="auto" w:fill="auto"/>
            <w:noWrap/>
            <w:vAlign w:val="bottom"/>
          </w:tcPr>
          <w:p w14:paraId="330306C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36,1%</w:t>
            </w:r>
          </w:p>
        </w:tc>
      </w:tr>
      <w:tr w:rsidR="00761800" w:rsidRPr="00761800" w14:paraId="6EC6CF49" w14:textId="77777777" w:rsidTr="00406B4D">
        <w:trPr>
          <w:trHeight w:val="300"/>
        </w:trPr>
        <w:tc>
          <w:tcPr>
            <w:tcW w:w="1013" w:type="pct"/>
            <w:tcBorders>
              <w:top w:val="nil"/>
              <w:left w:val="single" w:sz="4" w:space="0" w:color="auto"/>
              <w:bottom w:val="single" w:sz="4" w:space="0" w:color="auto"/>
              <w:right w:val="nil"/>
            </w:tcBorders>
            <w:shd w:val="clear" w:color="auto" w:fill="auto"/>
            <w:vAlign w:val="bottom"/>
            <w:hideMark/>
          </w:tcPr>
          <w:p w14:paraId="6714C945" w14:textId="77777777" w:rsidR="00761800" w:rsidRPr="00761800" w:rsidRDefault="00761800" w:rsidP="00761800">
            <w:pPr>
              <w:rPr>
                <w:rFonts w:ascii="Times New Roman" w:hAnsi="Times New Roman"/>
                <w:b/>
                <w:bCs/>
                <w:sz w:val="16"/>
                <w:szCs w:val="16"/>
                <w:lang w:eastAsia="bg-BG"/>
              </w:rPr>
            </w:pPr>
            <w:r w:rsidRPr="00761800">
              <w:rPr>
                <w:rFonts w:ascii="Times New Roman" w:hAnsi="Times New Roman"/>
                <w:b/>
                <w:bCs/>
                <w:sz w:val="16"/>
                <w:szCs w:val="16"/>
                <w:lang w:eastAsia="bg-BG"/>
              </w:rPr>
              <w:t>18. Общи правителствени разходи</w:t>
            </w:r>
          </w:p>
        </w:tc>
        <w:tc>
          <w:tcPr>
            <w:tcW w:w="453" w:type="pct"/>
            <w:tcBorders>
              <w:top w:val="nil"/>
              <w:left w:val="single" w:sz="4" w:space="0" w:color="auto"/>
              <w:bottom w:val="single" w:sz="4" w:space="0" w:color="auto"/>
              <w:right w:val="nil"/>
            </w:tcBorders>
            <w:shd w:val="clear" w:color="auto" w:fill="auto"/>
            <w:noWrap/>
            <w:vAlign w:val="bottom"/>
          </w:tcPr>
          <w:p w14:paraId="237A5095"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48 370,7</w:t>
            </w:r>
          </w:p>
        </w:tc>
        <w:tc>
          <w:tcPr>
            <w:tcW w:w="544" w:type="pct"/>
            <w:tcBorders>
              <w:top w:val="nil"/>
              <w:left w:val="nil"/>
              <w:bottom w:val="single" w:sz="4" w:space="0" w:color="auto"/>
              <w:right w:val="single" w:sz="4" w:space="0" w:color="auto"/>
            </w:tcBorders>
            <w:shd w:val="clear" w:color="auto" w:fill="auto"/>
            <w:noWrap/>
            <w:vAlign w:val="bottom"/>
          </w:tcPr>
          <w:p w14:paraId="267228EA"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41,7%</w:t>
            </w:r>
          </w:p>
        </w:tc>
        <w:tc>
          <w:tcPr>
            <w:tcW w:w="453" w:type="pct"/>
            <w:tcBorders>
              <w:top w:val="nil"/>
              <w:left w:val="nil"/>
              <w:bottom w:val="single" w:sz="4" w:space="0" w:color="auto"/>
              <w:right w:val="nil"/>
            </w:tcBorders>
            <w:shd w:val="clear" w:color="auto" w:fill="auto"/>
            <w:noWrap/>
            <w:vAlign w:val="bottom"/>
          </w:tcPr>
          <w:p w14:paraId="0498691C"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56 132,6</w:t>
            </w:r>
          </w:p>
        </w:tc>
        <w:tc>
          <w:tcPr>
            <w:tcW w:w="544" w:type="pct"/>
            <w:tcBorders>
              <w:top w:val="nil"/>
              <w:left w:val="nil"/>
              <w:bottom w:val="single" w:sz="4" w:space="0" w:color="auto"/>
              <w:right w:val="single" w:sz="4" w:space="0" w:color="auto"/>
            </w:tcBorders>
            <w:shd w:val="clear" w:color="auto" w:fill="auto"/>
            <w:noWrap/>
            <w:vAlign w:val="bottom"/>
          </w:tcPr>
          <w:p w14:paraId="66051150"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44,8%</w:t>
            </w:r>
          </w:p>
        </w:tc>
        <w:tc>
          <w:tcPr>
            <w:tcW w:w="453" w:type="pct"/>
            <w:tcBorders>
              <w:top w:val="nil"/>
              <w:left w:val="nil"/>
              <w:bottom w:val="single" w:sz="4" w:space="0" w:color="auto"/>
              <w:right w:val="nil"/>
            </w:tcBorders>
            <w:shd w:val="clear" w:color="auto" w:fill="auto"/>
            <w:noWrap/>
            <w:vAlign w:val="bottom"/>
          </w:tcPr>
          <w:p w14:paraId="6B762877"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54 725,6</w:t>
            </w:r>
          </w:p>
        </w:tc>
        <w:tc>
          <w:tcPr>
            <w:tcW w:w="544" w:type="pct"/>
            <w:tcBorders>
              <w:top w:val="nil"/>
              <w:left w:val="nil"/>
              <w:bottom w:val="single" w:sz="4" w:space="0" w:color="auto"/>
              <w:right w:val="single" w:sz="4" w:space="0" w:color="auto"/>
            </w:tcBorders>
            <w:shd w:val="clear" w:color="auto" w:fill="auto"/>
            <w:noWrap/>
            <w:vAlign w:val="bottom"/>
          </w:tcPr>
          <w:p w14:paraId="2EFB477B"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40,7%</w:t>
            </w:r>
          </w:p>
        </w:tc>
        <w:tc>
          <w:tcPr>
            <w:tcW w:w="453" w:type="pct"/>
            <w:tcBorders>
              <w:top w:val="nil"/>
              <w:left w:val="nil"/>
              <w:bottom w:val="single" w:sz="4" w:space="0" w:color="auto"/>
              <w:right w:val="nil"/>
            </w:tcBorders>
            <w:shd w:val="clear" w:color="auto" w:fill="auto"/>
            <w:noWrap/>
            <w:vAlign w:val="bottom"/>
          </w:tcPr>
          <w:p w14:paraId="78F20309" w14:textId="77777777" w:rsidR="00761800" w:rsidRPr="00761800" w:rsidRDefault="00761800" w:rsidP="00761800">
            <w:pPr>
              <w:spacing w:after="200"/>
              <w:jc w:val="right"/>
              <w:rPr>
                <w:rFonts w:ascii="Times New Roman" w:hAnsi="Times New Roman"/>
                <w:color w:val="000000"/>
                <w:sz w:val="16"/>
                <w:szCs w:val="18"/>
                <w:lang w:eastAsia="bg-BG"/>
              </w:rPr>
            </w:pPr>
            <w:r w:rsidRPr="00761800">
              <w:rPr>
                <w:rFonts w:ascii="Times New Roman" w:hAnsi="Times New Roman"/>
                <w:color w:val="000000"/>
                <w:sz w:val="16"/>
                <w:szCs w:val="18"/>
                <w:lang w:eastAsia="bg-BG"/>
              </w:rPr>
              <w:t>57 392,1</w:t>
            </w:r>
          </w:p>
        </w:tc>
        <w:tc>
          <w:tcPr>
            <w:tcW w:w="544" w:type="pct"/>
            <w:tcBorders>
              <w:top w:val="nil"/>
              <w:left w:val="nil"/>
              <w:bottom w:val="single" w:sz="4" w:space="0" w:color="auto"/>
              <w:right w:val="single" w:sz="4" w:space="0" w:color="auto"/>
            </w:tcBorders>
            <w:shd w:val="clear" w:color="auto" w:fill="auto"/>
            <w:noWrap/>
            <w:vAlign w:val="bottom"/>
          </w:tcPr>
          <w:p w14:paraId="776B69CD" w14:textId="77777777" w:rsidR="00761800" w:rsidRPr="00761800" w:rsidRDefault="00761800" w:rsidP="00761800">
            <w:pPr>
              <w:spacing w:after="200"/>
              <w:jc w:val="right"/>
              <w:rPr>
                <w:rFonts w:ascii="Times New Roman" w:hAnsi="Times New Roman"/>
                <w:sz w:val="16"/>
                <w:szCs w:val="18"/>
                <w:lang w:eastAsia="bg-BG"/>
              </w:rPr>
            </w:pPr>
            <w:r w:rsidRPr="00761800">
              <w:rPr>
                <w:rFonts w:ascii="Times New Roman" w:hAnsi="Times New Roman"/>
                <w:sz w:val="16"/>
                <w:szCs w:val="18"/>
                <w:lang w:eastAsia="bg-BG"/>
              </w:rPr>
              <w:t>40,1%</w:t>
            </w:r>
          </w:p>
        </w:tc>
      </w:tr>
    </w:tbl>
    <w:p w14:paraId="5C0B206C" w14:textId="77777777" w:rsidR="00761800" w:rsidRPr="00761800" w:rsidRDefault="00761800" w:rsidP="00761800">
      <w:pPr>
        <w:spacing w:before="120" w:after="200"/>
        <w:jc w:val="right"/>
        <w:rPr>
          <w:rFonts w:ascii="Times New Roman" w:hAnsi="Times New Roman"/>
          <w:sz w:val="18"/>
          <w:szCs w:val="18"/>
          <w:lang w:eastAsia="bg-BG"/>
        </w:rPr>
      </w:pPr>
      <w:r w:rsidRPr="00761800">
        <w:rPr>
          <w:rFonts w:ascii="Times New Roman" w:hAnsi="Times New Roman"/>
          <w:sz w:val="18"/>
          <w:szCs w:val="18"/>
          <w:lang w:eastAsia="bg-BG"/>
        </w:rPr>
        <w:t>Източник: МФ</w:t>
      </w:r>
    </w:p>
    <w:p w14:paraId="31E7C7A5"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Дискреционни мерки и фискални ефекти на начислена основа</w:t>
      </w:r>
    </w:p>
    <w:p w14:paraId="23E2DAD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Дискреционни мерки са всички нови мерки и политики на правителството – приети или планирани, които имат пряко въздействие върху бюджетните параметри и основните фискални показатели. Те представляват мерки, предприети по преценка и решение на правителството, с цел постигането на определени приоритети (напр. повишаване събираемостта на приходите). Отнасят се до промяна в политиката на приходите (данъчната база и/или ставка) или промяна в разходните политики и трансферите от страна на правителството с цел стимулиране на  икономиката и увеличаване на доходите. </w:t>
      </w:r>
    </w:p>
    <w:p w14:paraId="50F1172F"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бюджетната прогноза са оценени всички приходни и разходни дискреционни мерки, които са приети през предходните години и имат бюджетен ефект през прогнозния период 2026-2028 г., като е отразено допълнителното им въздействие за съответната година спрямо предходната.</w:t>
      </w:r>
    </w:p>
    <w:p w14:paraId="4C1333B3" w14:textId="77777777" w:rsidR="00761800" w:rsidRPr="00761800" w:rsidRDefault="00761800" w:rsidP="00761800">
      <w:pPr>
        <w:keepNext/>
        <w:spacing w:after="200"/>
        <w:jc w:val="both"/>
        <w:rPr>
          <w:rFonts w:ascii="Times New Roman" w:hAnsi="Times New Roman"/>
          <w:b/>
          <w:color w:val="852010"/>
          <w:szCs w:val="22"/>
          <w:lang w:eastAsia="bg-BG"/>
        </w:rPr>
      </w:pPr>
      <w:r w:rsidRPr="00761800">
        <w:rPr>
          <w:rFonts w:ascii="Times New Roman" w:hAnsi="Times New Roman"/>
          <w:b/>
          <w:color w:val="852010"/>
          <w:szCs w:val="22"/>
          <w:lang w:eastAsia="bg-BG"/>
        </w:rPr>
        <w:t>Приходни дискреционни мерки</w:t>
      </w:r>
    </w:p>
    <w:p w14:paraId="17B33AC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Приходните дискреционни мерки се очаква да доведат до общо увеличение на приходите в размер на 1 283,9 млн. евро за периода 2026-2028 г. През 2026 г. се очаква увеличение на приходите с 482,0 млн. евро или 0,38% от БВП, през 2027 г. – увеличение на приходите със 747,7 млн. евро или 0,56% от БВП, а през 2028 г. – увеличение на приходите с 54,1 млн. евро или 0,04% от БВП. </w:t>
      </w:r>
    </w:p>
    <w:p w14:paraId="51E2116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С най-голям бюджетен ефект в приходната част през 2026 г. са мерките, свързани с повишаването на акцизната ставка на тютюна и всички тютюневи изделия – допълнителни приходи от ДДС и акциз в размер на 155,9 млн. евро за 2026 г. и общо 341,4 млн. евро за целия прогнозен период. </w:t>
      </w:r>
    </w:p>
    <w:p w14:paraId="68C33A1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Изпреварващото реализиране на акцизния календар по Закона за акцизите и данъчните складове за увеличаване на акцизните ставки за всички тютюневи изделия (от 01.08.2026 г., 01.03.2027 г. и 01.01.2028 г.) се очаква да доведе до допълнителни приходи от ДДС и акциз в размер на 41,9 млн. евро за 2026 г. и общо 115,6 млн. евро за тригодишния прогнозен период. </w:t>
      </w:r>
    </w:p>
    <w:p w14:paraId="2499819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Пакетът от мерки в областта на хазартната дейност се прогнозира да доведе до допълнителни приходи от 100,0 млн. евро през 2026 г. и 150,0 млн. евро през 2027 г. </w:t>
      </w:r>
    </w:p>
    <w:p w14:paraId="300D5EE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lastRenderedPageBreak/>
        <w:t xml:space="preserve">Очакваният положителен ефект от пакета от мерки за повишаване на събираемостта на данъчните приходи (от корпоративен данък, данък върху доходите на физическите лица и данък върху добавената стойност) е в размер на 17,0 млн. евро през 2026 г. и 161,7 млн. евро през 2027 г. </w:t>
      </w:r>
    </w:p>
    <w:p w14:paraId="0BFE0CE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Допълнителните приходи от осигурителни вноски в резултат на увеличението на максималния осигурителен доход (2 300 евро за периода от 1 август 2026 г. до 2028 г.) са в размер на 90,8 млн. евро за 2026 г. и 168,3 млн. евро за 2027 г. </w:t>
      </w:r>
    </w:p>
    <w:p w14:paraId="2C42872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Изменението на минималните осигурителни прагове по икономически дейности служебно над минималната работна заплата, считано от 01.08.2026 г., се очаква да генерира допълнителни приходи в размер на 50,9 млн. евро през 2026 г. и 95,3 млн. евро през 2027 г. </w:t>
      </w:r>
    </w:p>
    <w:p w14:paraId="0F47158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Очаква се повишаване на приходите от опериране на тол системата, като за 2026 г. е отразен ефектът от поетапното увеличение на тол таксите на два пъти през 2025 г. – с ефект  от 28,7 млн. евро,  и е предвидено увеличение на винетните такси с 30% – считано от 01.08.2026 г. – с ефект от 24,6 млн. евро. Общият очакван положителен бюджетен ефект в приходите за 2026 г. по тази мярка е разчетен в размер на 53,3 млн. евро и и 31,7 млн. евро през 2027 г.</w:t>
      </w:r>
    </w:p>
    <w:p w14:paraId="3512487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Допълнителните очаквани приходи, свързани с диференциране на тол таксите в зависимост от въглеродните емисии на пътните превозни средства, са в размер на 63,8 млн. евро през 2026 г. и 45,5 млн. евро през 2027 г. Тези допълнителни приходи са в изпълнение на чл. 10б, ал. 6 от Закона за пътищата, съгласно който се предвижда и диференциране на тол таксите в зависимост от клас емисии СО2</w:t>
      </w:r>
      <w:r w:rsidRPr="00761800">
        <w:rPr>
          <w:rFonts w:ascii="Times New Roman" w:hAnsi="Times New Roman"/>
          <w:position w:val="2"/>
          <w:sz w:val="18"/>
          <w:szCs w:val="22"/>
          <w:vertAlign w:val="superscript"/>
        </w:rPr>
        <w:footnoteReference w:id="36"/>
      </w:r>
      <w:r w:rsidRPr="00761800">
        <w:rPr>
          <w:rFonts w:ascii="Times New Roman" w:hAnsi="Times New Roman"/>
          <w:szCs w:val="22"/>
          <w:lang w:eastAsia="bg-BG"/>
        </w:rPr>
        <w:t xml:space="preserve"> и специфични емисии СО2 на пътните превозни средства.</w:t>
      </w:r>
    </w:p>
    <w:p w14:paraId="1971F3D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Актуализацията на концесионните възнаграждения при добив на подземни богатства, свързана с промените в Закона за подземните богатства, с които се повишават размерите на концесионните възнаграждения при добив, се очаква да започне да се прилага за всички сключени концесионни договори от 2027 г. и да генерира допълнителни приходи от 42,4 млн. евро. </w:t>
      </w:r>
    </w:p>
    <w:p w14:paraId="43A3477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Еднократната допълнителна отстъпка за 2026 г. по схемата за държавна помощ „Помощ под формата на отстъпка от стойността на акциза върху газьола, използван в първичното селскостопанско производство” ще доведе до намаление на приходите от акциз с 21,5 млн. евро през 2026 г. Тъй като мярката е еднократна, тя е отразена със същата стойност, но с обратен знак в следващата година. </w:t>
      </w:r>
    </w:p>
    <w:p w14:paraId="69F925A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Въвеждането в ЗКПО на по-благоприятен режим за амортизиране за данъчни цели на електрическите автомобили, като годишната данъчна амортизационна норма се увеличава от 25 на сто на 50 на сто, се очаква да доведе до намаление на данъчните приходи с 8,1 млн. евро през 2026 г.</w:t>
      </w:r>
    </w:p>
    <w:p w14:paraId="162547F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Въвеждането на данъчно облекчение при извършване на научноизследователска и развойна дейност (НИРД), при което на данъчно задължените лица ще бъдат признати за данъчни цели допълнително 25 на сто от разходите им за НИРД,  се очаква да доведе до намаление на данъчните приходи с 12,0 млн. евро през 2026 г.</w:t>
      </w:r>
    </w:p>
    <w:p w14:paraId="2F46843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Във връзка с продължаване на действието на програмите и мерките за смекчаване на икономическите последици от нестабилността на цените на електрическата енергия за </w:t>
      </w:r>
      <w:r w:rsidRPr="00761800">
        <w:rPr>
          <w:rFonts w:ascii="Times New Roman" w:hAnsi="Times New Roman"/>
          <w:szCs w:val="22"/>
          <w:lang w:eastAsia="bg-BG"/>
        </w:rPr>
        <w:lastRenderedPageBreak/>
        <w:t>небитови крайни клиенти и на операторите на електропреносната и на електроразпределителните мрежи за закупуване на количествата електрическа енергия, потребена за технологични разходи, за предоставяне на компенсации чрез крайния снабдител, покриващи част от разходите за електрическа енергия на битовите крайни клиенти и за предоставяне на помощ чрез компенсации за временно облекчение на цените на електрическата енергия за енергоемките потребители, са предвидени през 2026 г. да постъпят приходи от целеви вноски от производителите и търговците на ел. енергия,  в размер на 392,5 млн. евро, съгласно §2 от преходните и заключителните разпоредби на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което е отразено в приходите по бюджета на фонд „Сигурност на електроенергийната система“. Ефектът в приходите от целеви вноски от производители и търговци на ел. енергия за финансиране на програмите и мерките в областта на енергетиката за смекчаване на икономическите последици от нестабилността на цените на електрическата енергия e оценен като увеличение в приходите със 73,0 млн. евро през 2026 г. спрямо 2025 г.</w:t>
      </w:r>
    </w:p>
    <w:p w14:paraId="3F4B996F"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Изменението на параметрите на политиката по дивидентите през 2026 г., изразяваща се в намаляване от 100% на 70% на размера на отчисления от печалбата/дивидента на дъщерните дружества на държавните предприятия и търговските дружества с над 50 на сто държавно участие в капитала, се очаква да доведе до намаление на приходите със 123,0 млн. евро през годината. През 2027 г. и 2028 г. се предвижда запазване на обхвата и ставката на дивидента.</w:t>
      </w:r>
    </w:p>
    <w:p w14:paraId="524A1489" w14:textId="475049EA" w:rsidR="00761800" w:rsidRPr="00761800" w:rsidRDefault="00761800" w:rsidP="00761800">
      <w:pPr>
        <w:spacing w:after="200"/>
        <w:ind w:left="1418" w:hanging="1418"/>
        <w:rPr>
          <w:rFonts w:ascii="Times New Roman" w:hAnsi="Times New Roman"/>
          <w:b/>
          <w:bCs/>
          <w:szCs w:val="18"/>
          <w:lang w:eastAsia="bg-BG"/>
        </w:rPr>
      </w:pPr>
      <w:bookmarkStart w:id="225" w:name="_Toc233185130"/>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12</w:t>
      </w:r>
      <w:r w:rsidRPr="00761800">
        <w:rPr>
          <w:rFonts w:ascii="Times New Roman" w:hAnsi="Times New Roman"/>
          <w:b/>
          <w:bCs/>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Дискреционни приходни мерки на начислена основа, млн. евро</w:t>
      </w:r>
      <w:bookmarkEnd w:id="225"/>
    </w:p>
    <w:tbl>
      <w:tblPr>
        <w:tblW w:w="9072" w:type="dxa"/>
        <w:tblCellMar>
          <w:left w:w="70" w:type="dxa"/>
          <w:right w:w="70" w:type="dxa"/>
        </w:tblCellMar>
        <w:tblLook w:val="04A0" w:firstRow="1" w:lastRow="0" w:firstColumn="1" w:lastColumn="0" w:noHBand="0" w:noVBand="1"/>
      </w:tblPr>
      <w:tblGrid>
        <w:gridCol w:w="6332"/>
        <w:gridCol w:w="1100"/>
        <w:gridCol w:w="790"/>
        <w:gridCol w:w="850"/>
      </w:tblGrid>
      <w:tr w:rsidR="00761800" w:rsidRPr="00761800" w14:paraId="5B9B4775" w14:textId="77777777" w:rsidTr="00406B4D">
        <w:trPr>
          <w:trHeight w:val="585"/>
          <w:tblHeader/>
        </w:trPr>
        <w:tc>
          <w:tcPr>
            <w:tcW w:w="6332" w:type="dxa"/>
            <w:tcBorders>
              <w:top w:val="single" w:sz="4" w:space="0" w:color="595959"/>
              <w:left w:val="nil"/>
              <w:bottom w:val="single" w:sz="4" w:space="0" w:color="auto"/>
              <w:right w:val="nil"/>
            </w:tcBorders>
            <w:shd w:val="clear" w:color="000000" w:fill="D9D9D9"/>
            <w:vAlign w:val="center"/>
            <w:hideMark/>
          </w:tcPr>
          <w:p w14:paraId="7F02A41B" w14:textId="77777777" w:rsidR="00761800" w:rsidRPr="00761800" w:rsidRDefault="00761800" w:rsidP="00761800">
            <w:pPr>
              <w:jc w:val="both"/>
              <w:rPr>
                <w:rFonts w:ascii="Times New Roman" w:hAnsi="Times New Roman"/>
                <w:b/>
                <w:bCs/>
                <w:color w:val="000000"/>
                <w:sz w:val="20"/>
                <w:lang w:eastAsia="bg-BG"/>
              </w:rPr>
            </w:pPr>
            <w:r w:rsidRPr="00761800">
              <w:rPr>
                <w:rFonts w:ascii="Times New Roman" w:hAnsi="Times New Roman"/>
                <w:b/>
                <w:bCs/>
                <w:color w:val="000000"/>
                <w:sz w:val="20"/>
                <w:lang w:eastAsia="bg-BG"/>
              </w:rPr>
              <w:t>Приходни мерки - изменение спрямо предходна година</w:t>
            </w:r>
          </w:p>
        </w:tc>
        <w:tc>
          <w:tcPr>
            <w:tcW w:w="1100" w:type="dxa"/>
            <w:tcBorders>
              <w:top w:val="single" w:sz="4" w:space="0" w:color="595959"/>
              <w:left w:val="nil"/>
              <w:bottom w:val="single" w:sz="4" w:space="0" w:color="auto"/>
              <w:right w:val="nil"/>
            </w:tcBorders>
            <w:shd w:val="clear" w:color="000000" w:fill="D9D9D9"/>
            <w:noWrap/>
            <w:vAlign w:val="center"/>
            <w:hideMark/>
          </w:tcPr>
          <w:p w14:paraId="235EA5EF"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2026 г.</w:t>
            </w:r>
          </w:p>
        </w:tc>
        <w:tc>
          <w:tcPr>
            <w:tcW w:w="790" w:type="dxa"/>
            <w:tcBorders>
              <w:top w:val="single" w:sz="4" w:space="0" w:color="595959"/>
              <w:left w:val="nil"/>
              <w:bottom w:val="single" w:sz="4" w:space="0" w:color="auto"/>
              <w:right w:val="nil"/>
            </w:tcBorders>
            <w:shd w:val="clear" w:color="000000" w:fill="D9D9D9"/>
            <w:noWrap/>
            <w:vAlign w:val="center"/>
            <w:hideMark/>
          </w:tcPr>
          <w:p w14:paraId="01107AB3"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2027 г.</w:t>
            </w:r>
          </w:p>
        </w:tc>
        <w:tc>
          <w:tcPr>
            <w:tcW w:w="850" w:type="dxa"/>
            <w:tcBorders>
              <w:top w:val="single" w:sz="4" w:space="0" w:color="595959"/>
              <w:left w:val="nil"/>
              <w:bottom w:val="single" w:sz="4" w:space="0" w:color="auto"/>
              <w:right w:val="nil"/>
            </w:tcBorders>
            <w:shd w:val="clear" w:color="000000" w:fill="D9D9D9"/>
            <w:noWrap/>
            <w:vAlign w:val="center"/>
            <w:hideMark/>
          </w:tcPr>
          <w:p w14:paraId="703FD355"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2028 г.</w:t>
            </w:r>
          </w:p>
        </w:tc>
      </w:tr>
      <w:tr w:rsidR="00761800" w:rsidRPr="00761800" w14:paraId="7C546C28" w14:textId="77777777" w:rsidTr="00406B4D">
        <w:trPr>
          <w:trHeight w:val="510"/>
        </w:trPr>
        <w:tc>
          <w:tcPr>
            <w:tcW w:w="6332" w:type="dxa"/>
            <w:tcBorders>
              <w:top w:val="single" w:sz="4" w:space="0" w:color="auto"/>
              <w:left w:val="nil"/>
              <w:bottom w:val="nil"/>
              <w:right w:val="nil"/>
            </w:tcBorders>
            <w:shd w:val="clear" w:color="auto" w:fill="auto"/>
            <w:vAlign w:val="center"/>
            <w:hideMark/>
          </w:tcPr>
          <w:p w14:paraId="6F11485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Приходи от ДДС и акциз от повишаването на акцизната ставка на тютюна и всички тютюневи изделия </w:t>
            </w:r>
          </w:p>
        </w:tc>
        <w:tc>
          <w:tcPr>
            <w:tcW w:w="1100" w:type="dxa"/>
            <w:tcBorders>
              <w:top w:val="single" w:sz="4" w:space="0" w:color="auto"/>
              <w:left w:val="nil"/>
              <w:bottom w:val="nil"/>
              <w:right w:val="nil"/>
            </w:tcBorders>
            <w:shd w:val="clear" w:color="auto" w:fill="auto"/>
            <w:vAlign w:val="center"/>
            <w:hideMark/>
          </w:tcPr>
          <w:p w14:paraId="05102C16"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155,9</w:t>
            </w:r>
          </w:p>
        </w:tc>
        <w:tc>
          <w:tcPr>
            <w:tcW w:w="790" w:type="dxa"/>
            <w:tcBorders>
              <w:top w:val="single" w:sz="4" w:space="0" w:color="auto"/>
              <w:left w:val="nil"/>
              <w:bottom w:val="nil"/>
              <w:right w:val="nil"/>
            </w:tcBorders>
            <w:shd w:val="clear" w:color="auto" w:fill="auto"/>
            <w:vAlign w:val="center"/>
            <w:hideMark/>
          </w:tcPr>
          <w:p w14:paraId="587807C1"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99,1</w:t>
            </w:r>
          </w:p>
        </w:tc>
        <w:tc>
          <w:tcPr>
            <w:tcW w:w="850" w:type="dxa"/>
            <w:tcBorders>
              <w:top w:val="single" w:sz="4" w:space="0" w:color="auto"/>
              <w:left w:val="nil"/>
              <w:bottom w:val="nil"/>
              <w:right w:val="nil"/>
            </w:tcBorders>
            <w:shd w:val="clear" w:color="auto" w:fill="auto"/>
            <w:vAlign w:val="center"/>
            <w:hideMark/>
          </w:tcPr>
          <w:p w14:paraId="0FCE670F"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86,4</w:t>
            </w:r>
          </w:p>
        </w:tc>
      </w:tr>
      <w:tr w:rsidR="00761800" w:rsidRPr="00761800" w14:paraId="2C6C9DA4" w14:textId="77777777" w:rsidTr="00406B4D">
        <w:trPr>
          <w:trHeight w:val="510"/>
        </w:trPr>
        <w:tc>
          <w:tcPr>
            <w:tcW w:w="6332" w:type="dxa"/>
            <w:tcBorders>
              <w:top w:val="nil"/>
              <w:left w:val="nil"/>
              <w:bottom w:val="nil"/>
              <w:right w:val="nil"/>
            </w:tcBorders>
            <w:shd w:val="clear" w:color="auto" w:fill="auto"/>
            <w:vAlign w:val="center"/>
            <w:hideMark/>
          </w:tcPr>
          <w:p w14:paraId="4DC6463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Приходи от ДДС и акциз от изпреварващо реализиране на акцизния календар по Закона за акцизите и данъчните складове </w:t>
            </w:r>
          </w:p>
        </w:tc>
        <w:tc>
          <w:tcPr>
            <w:tcW w:w="1100" w:type="dxa"/>
            <w:tcBorders>
              <w:top w:val="nil"/>
              <w:left w:val="nil"/>
              <w:bottom w:val="nil"/>
              <w:right w:val="nil"/>
            </w:tcBorders>
            <w:shd w:val="clear" w:color="auto" w:fill="auto"/>
            <w:vAlign w:val="center"/>
            <w:hideMark/>
          </w:tcPr>
          <w:p w14:paraId="4A7FDC2E"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41,9</w:t>
            </w:r>
          </w:p>
        </w:tc>
        <w:tc>
          <w:tcPr>
            <w:tcW w:w="790" w:type="dxa"/>
            <w:tcBorders>
              <w:top w:val="nil"/>
              <w:left w:val="nil"/>
              <w:bottom w:val="nil"/>
              <w:right w:val="nil"/>
            </w:tcBorders>
            <w:shd w:val="clear" w:color="auto" w:fill="auto"/>
            <w:vAlign w:val="center"/>
            <w:hideMark/>
          </w:tcPr>
          <w:p w14:paraId="262EBFC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30,7</w:t>
            </w:r>
          </w:p>
        </w:tc>
        <w:tc>
          <w:tcPr>
            <w:tcW w:w="850" w:type="dxa"/>
            <w:tcBorders>
              <w:top w:val="nil"/>
              <w:left w:val="nil"/>
              <w:bottom w:val="nil"/>
              <w:right w:val="nil"/>
            </w:tcBorders>
            <w:shd w:val="clear" w:color="auto" w:fill="auto"/>
            <w:vAlign w:val="center"/>
            <w:hideMark/>
          </w:tcPr>
          <w:p w14:paraId="6A7F304B"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43,0</w:t>
            </w:r>
          </w:p>
        </w:tc>
      </w:tr>
      <w:tr w:rsidR="00761800" w:rsidRPr="00761800" w14:paraId="3839D736" w14:textId="77777777" w:rsidTr="00406B4D">
        <w:trPr>
          <w:trHeight w:val="300"/>
        </w:trPr>
        <w:tc>
          <w:tcPr>
            <w:tcW w:w="6332" w:type="dxa"/>
            <w:tcBorders>
              <w:top w:val="nil"/>
              <w:left w:val="nil"/>
              <w:bottom w:val="nil"/>
              <w:right w:val="nil"/>
            </w:tcBorders>
            <w:shd w:val="clear" w:color="auto" w:fill="auto"/>
            <w:vAlign w:val="center"/>
            <w:hideMark/>
          </w:tcPr>
          <w:p w14:paraId="5DE861B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Пакет от мерки в областта на хазартната дейност</w:t>
            </w:r>
          </w:p>
        </w:tc>
        <w:tc>
          <w:tcPr>
            <w:tcW w:w="1100" w:type="dxa"/>
            <w:tcBorders>
              <w:top w:val="nil"/>
              <w:left w:val="nil"/>
              <w:bottom w:val="nil"/>
              <w:right w:val="nil"/>
            </w:tcBorders>
            <w:shd w:val="clear" w:color="auto" w:fill="auto"/>
            <w:vAlign w:val="center"/>
            <w:hideMark/>
          </w:tcPr>
          <w:p w14:paraId="36FA5C3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100,0</w:t>
            </w:r>
          </w:p>
        </w:tc>
        <w:tc>
          <w:tcPr>
            <w:tcW w:w="790" w:type="dxa"/>
            <w:tcBorders>
              <w:top w:val="nil"/>
              <w:left w:val="nil"/>
              <w:bottom w:val="nil"/>
              <w:right w:val="nil"/>
            </w:tcBorders>
            <w:shd w:val="clear" w:color="auto" w:fill="auto"/>
            <w:vAlign w:val="center"/>
            <w:hideMark/>
          </w:tcPr>
          <w:p w14:paraId="3DB15C10"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150,0</w:t>
            </w:r>
          </w:p>
        </w:tc>
        <w:tc>
          <w:tcPr>
            <w:tcW w:w="850" w:type="dxa"/>
            <w:tcBorders>
              <w:top w:val="nil"/>
              <w:left w:val="nil"/>
              <w:bottom w:val="nil"/>
              <w:right w:val="nil"/>
            </w:tcBorders>
            <w:shd w:val="clear" w:color="auto" w:fill="auto"/>
            <w:vAlign w:val="center"/>
            <w:hideMark/>
          </w:tcPr>
          <w:p w14:paraId="5825ABBA"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1FD03BB6" w14:textId="77777777" w:rsidTr="00406B4D">
        <w:trPr>
          <w:trHeight w:val="300"/>
        </w:trPr>
        <w:tc>
          <w:tcPr>
            <w:tcW w:w="6332" w:type="dxa"/>
            <w:tcBorders>
              <w:top w:val="nil"/>
              <w:left w:val="nil"/>
              <w:bottom w:val="nil"/>
              <w:right w:val="nil"/>
            </w:tcBorders>
            <w:shd w:val="clear" w:color="auto" w:fill="auto"/>
            <w:vAlign w:val="center"/>
            <w:hideMark/>
          </w:tcPr>
          <w:p w14:paraId="1E0207E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Повишаване събираемостта на данъчните приходи </w:t>
            </w:r>
          </w:p>
        </w:tc>
        <w:tc>
          <w:tcPr>
            <w:tcW w:w="1100" w:type="dxa"/>
            <w:tcBorders>
              <w:top w:val="nil"/>
              <w:left w:val="nil"/>
              <w:bottom w:val="nil"/>
              <w:right w:val="nil"/>
            </w:tcBorders>
            <w:shd w:val="clear" w:color="auto" w:fill="auto"/>
            <w:vAlign w:val="center"/>
            <w:hideMark/>
          </w:tcPr>
          <w:p w14:paraId="4EF55E10"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17,0</w:t>
            </w:r>
          </w:p>
        </w:tc>
        <w:tc>
          <w:tcPr>
            <w:tcW w:w="790" w:type="dxa"/>
            <w:tcBorders>
              <w:top w:val="nil"/>
              <w:left w:val="nil"/>
              <w:bottom w:val="nil"/>
              <w:right w:val="nil"/>
            </w:tcBorders>
            <w:shd w:val="clear" w:color="auto" w:fill="auto"/>
            <w:vAlign w:val="center"/>
            <w:hideMark/>
          </w:tcPr>
          <w:p w14:paraId="36267A68"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161,7</w:t>
            </w:r>
          </w:p>
        </w:tc>
        <w:tc>
          <w:tcPr>
            <w:tcW w:w="850" w:type="dxa"/>
            <w:tcBorders>
              <w:top w:val="nil"/>
              <w:left w:val="nil"/>
              <w:bottom w:val="nil"/>
              <w:right w:val="nil"/>
            </w:tcBorders>
            <w:shd w:val="clear" w:color="auto" w:fill="auto"/>
            <w:vAlign w:val="center"/>
            <w:hideMark/>
          </w:tcPr>
          <w:p w14:paraId="7D32C583"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7C2CD78A" w14:textId="77777777" w:rsidTr="00406B4D">
        <w:trPr>
          <w:trHeight w:val="510"/>
        </w:trPr>
        <w:tc>
          <w:tcPr>
            <w:tcW w:w="6332" w:type="dxa"/>
            <w:tcBorders>
              <w:top w:val="nil"/>
              <w:left w:val="nil"/>
              <w:bottom w:val="nil"/>
              <w:right w:val="nil"/>
            </w:tcBorders>
            <w:shd w:val="clear" w:color="auto" w:fill="auto"/>
            <w:vAlign w:val="center"/>
            <w:hideMark/>
          </w:tcPr>
          <w:p w14:paraId="128F782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Приходи от осигурителни вноски в резултат на увеличение на максималния осигурителен доход </w:t>
            </w:r>
          </w:p>
        </w:tc>
        <w:tc>
          <w:tcPr>
            <w:tcW w:w="1100" w:type="dxa"/>
            <w:tcBorders>
              <w:top w:val="nil"/>
              <w:left w:val="nil"/>
              <w:bottom w:val="nil"/>
              <w:right w:val="nil"/>
            </w:tcBorders>
            <w:shd w:val="clear" w:color="auto" w:fill="auto"/>
            <w:vAlign w:val="center"/>
            <w:hideMark/>
          </w:tcPr>
          <w:p w14:paraId="250245FE"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90,8</w:t>
            </w:r>
          </w:p>
        </w:tc>
        <w:tc>
          <w:tcPr>
            <w:tcW w:w="790" w:type="dxa"/>
            <w:tcBorders>
              <w:top w:val="nil"/>
              <w:left w:val="nil"/>
              <w:bottom w:val="nil"/>
              <w:right w:val="nil"/>
            </w:tcBorders>
            <w:shd w:val="clear" w:color="auto" w:fill="auto"/>
            <w:vAlign w:val="center"/>
            <w:hideMark/>
          </w:tcPr>
          <w:p w14:paraId="6343ED7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168,3</w:t>
            </w:r>
          </w:p>
        </w:tc>
        <w:tc>
          <w:tcPr>
            <w:tcW w:w="850" w:type="dxa"/>
            <w:tcBorders>
              <w:top w:val="nil"/>
              <w:left w:val="nil"/>
              <w:bottom w:val="nil"/>
              <w:right w:val="nil"/>
            </w:tcBorders>
            <w:shd w:val="clear" w:color="auto" w:fill="auto"/>
            <w:vAlign w:val="center"/>
            <w:hideMark/>
          </w:tcPr>
          <w:p w14:paraId="3FFA30BF"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55FB29ED" w14:textId="77777777" w:rsidTr="00406B4D">
        <w:trPr>
          <w:trHeight w:val="510"/>
        </w:trPr>
        <w:tc>
          <w:tcPr>
            <w:tcW w:w="6332" w:type="dxa"/>
            <w:tcBorders>
              <w:top w:val="nil"/>
              <w:left w:val="nil"/>
              <w:bottom w:val="nil"/>
              <w:right w:val="nil"/>
            </w:tcBorders>
            <w:shd w:val="clear" w:color="auto" w:fill="auto"/>
            <w:vAlign w:val="center"/>
            <w:hideMark/>
          </w:tcPr>
          <w:p w14:paraId="5F55C64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Изменение на минималните осигурителни прагове по икономически дейности над МРЗ, считано от 01.08.2026 г.</w:t>
            </w:r>
          </w:p>
        </w:tc>
        <w:tc>
          <w:tcPr>
            <w:tcW w:w="1100" w:type="dxa"/>
            <w:tcBorders>
              <w:top w:val="nil"/>
              <w:left w:val="nil"/>
              <w:bottom w:val="nil"/>
              <w:right w:val="nil"/>
            </w:tcBorders>
            <w:shd w:val="clear" w:color="auto" w:fill="auto"/>
            <w:vAlign w:val="center"/>
            <w:hideMark/>
          </w:tcPr>
          <w:p w14:paraId="78A3DF5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50,9</w:t>
            </w:r>
          </w:p>
        </w:tc>
        <w:tc>
          <w:tcPr>
            <w:tcW w:w="790" w:type="dxa"/>
            <w:tcBorders>
              <w:top w:val="nil"/>
              <w:left w:val="nil"/>
              <w:bottom w:val="nil"/>
              <w:right w:val="nil"/>
            </w:tcBorders>
            <w:shd w:val="clear" w:color="auto" w:fill="auto"/>
            <w:vAlign w:val="center"/>
            <w:hideMark/>
          </w:tcPr>
          <w:p w14:paraId="41BCE99F"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95,3</w:t>
            </w:r>
          </w:p>
        </w:tc>
        <w:tc>
          <w:tcPr>
            <w:tcW w:w="850" w:type="dxa"/>
            <w:tcBorders>
              <w:top w:val="nil"/>
              <w:left w:val="nil"/>
              <w:bottom w:val="nil"/>
              <w:right w:val="nil"/>
            </w:tcBorders>
            <w:shd w:val="clear" w:color="auto" w:fill="auto"/>
            <w:vAlign w:val="center"/>
            <w:hideMark/>
          </w:tcPr>
          <w:p w14:paraId="075B55E7"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606E4014" w14:textId="77777777" w:rsidTr="00406B4D">
        <w:trPr>
          <w:trHeight w:val="300"/>
        </w:trPr>
        <w:tc>
          <w:tcPr>
            <w:tcW w:w="6332" w:type="dxa"/>
            <w:tcBorders>
              <w:top w:val="nil"/>
              <w:left w:val="nil"/>
              <w:bottom w:val="nil"/>
              <w:right w:val="nil"/>
            </w:tcBorders>
            <w:shd w:val="clear" w:color="auto" w:fill="auto"/>
            <w:vAlign w:val="center"/>
            <w:hideMark/>
          </w:tcPr>
          <w:p w14:paraId="1F844CF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Актуализиране на размерите на тол таксите и електронна винетка</w:t>
            </w:r>
          </w:p>
        </w:tc>
        <w:tc>
          <w:tcPr>
            <w:tcW w:w="1100" w:type="dxa"/>
            <w:tcBorders>
              <w:top w:val="nil"/>
              <w:left w:val="nil"/>
              <w:bottom w:val="nil"/>
              <w:right w:val="nil"/>
            </w:tcBorders>
            <w:shd w:val="clear" w:color="auto" w:fill="auto"/>
            <w:vAlign w:val="center"/>
            <w:hideMark/>
          </w:tcPr>
          <w:p w14:paraId="3189F188"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53,3</w:t>
            </w:r>
          </w:p>
        </w:tc>
        <w:tc>
          <w:tcPr>
            <w:tcW w:w="790" w:type="dxa"/>
            <w:tcBorders>
              <w:top w:val="nil"/>
              <w:left w:val="nil"/>
              <w:bottom w:val="nil"/>
              <w:right w:val="nil"/>
            </w:tcBorders>
            <w:shd w:val="clear" w:color="auto" w:fill="auto"/>
            <w:vAlign w:val="center"/>
            <w:hideMark/>
          </w:tcPr>
          <w:p w14:paraId="1403B8A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31,7</w:t>
            </w:r>
          </w:p>
        </w:tc>
        <w:tc>
          <w:tcPr>
            <w:tcW w:w="850" w:type="dxa"/>
            <w:tcBorders>
              <w:top w:val="nil"/>
              <w:left w:val="nil"/>
              <w:bottom w:val="nil"/>
              <w:right w:val="nil"/>
            </w:tcBorders>
            <w:shd w:val="clear" w:color="auto" w:fill="auto"/>
            <w:vAlign w:val="center"/>
            <w:hideMark/>
          </w:tcPr>
          <w:p w14:paraId="6DD00575"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6B289F0C" w14:textId="77777777" w:rsidTr="00406B4D">
        <w:trPr>
          <w:trHeight w:val="510"/>
        </w:trPr>
        <w:tc>
          <w:tcPr>
            <w:tcW w:w="6332" w:type="dxa"/>
            <w:tcBorders>
              <w:top w:val="nil"/>
              <w:left w:val="nil"/>
              <w:bottom w:val="nil"/>
              <w:right w:val="nil"/>
            </w:tcBorders>
            <w:shd w:val="clear" w:color="auto" w:fill="auto"/>
            <w:vAlign w:val="center"/>
            <w:hideMark/>
          </w:tcPr>
          <w:p w14:paraId="009D32B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Диференциране на тол таксите в зависимост от въглеродните емисии на пътните превозни средства</w:t>
            </w:r>
          </w:p>
        </w:tc>
        <w:tc>
          <w:tcPr>
            <w:tcW w:w="1100" w:type="dxa"/>
            <w:tcBorders>
              <w:top w:val="nil"/>
              <w:left w:val="nil"/>
              <w:bottom w:val="nil"/>
              <w:right w:val="nil"/>
            </w:tcBorders>
            <w:shd w:val="clear" w:color="auto" w:fill="auto"/>
            <w:vAlign w:val="center"/>
            <w:hideMark/>
          </w:tcPr>
          <w:p w14:paraId="29B00641"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63,8</w:t>
            </w:r>
          </w:p>
        </w:tc>
        <w:tc>
          <w:tcPr>
            <w:tcW w:w="790" w:type="dxa"/>
            <w:tcBorders>
              <w:top w:val="nil"/>
              <w:left w:val="nil"/>
              <w:bottom w:val="nil"/>
              <w:right w:val="nil"/>
            </w:tcBorders>
            <w:shd w:val="clear" w:color="auto" w:fill="auto"/>
            <w:vAlign w:val="center"/>
            <w:hideMark/>
          </w:tcPr>
          <w:p w14:paraId="60ECA8AE"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45,5</w:t>
            </w:r>
          </w:p>
        </w:tc>
        <w:tc>
          <w:tcPr>
            <w:tcW w:w="850" w:type="dxa"/>
            <w:tcBorders>
              <w:top w:val="nil"/>
              <w:left w:val="nil"/>
              <w:bottom w:val="nil"/>
              <w:right w:val="nil"/>
            </w:tcBorders>
            <w:shd w:val="clear" w:color="auto" w:fill="auto"/>
            <w:vAlign w:val="center"/>
            <w:hideMark/>
          </w:tcPr>
          <w:p w14:paraId="721001F9"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40D22FE9" w14:textId="77777777" w:rsidTr="00406B4D">
        <w:trPr>
          <w:trHeight w:val="300"/>
        </w:trPr>
        <w:tc>
          <w:tcPr>
            <w:tcW w:w="6332" w:type="dxa"/>
            <w:tcBorders>
              <w:top w:val="nil"/>
              <w:left w:val="nil"/>
              <w:bottom w:val="nil"/>
              <w:right w:val="nil"/>
            </w:tcBorders>
            <w:shd w:val="clear" w:color="auto" w:fill="auto"/>
            <w:vAlign w:val="center"/>
            <w:hideMark/>
          </w:tcPr>
          <w:p w14:paraId="106A774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Актуализация на концесионните възнаграждения при добив на подземни богатства</w:t>
            </w:r>
          </w:p>
        </w:tc>
        <w:tc>
          <w:tcPr>
            <w:tcW w:w="1100" w:type="dxa"/>
            <w:tcBorders>
              <w:top w:val="nil"/>
              <w:left w:val="nil"/>
              <w:bottom w:val="nil"/>
              <w:right w:val="nil"/>
            </w:tcBorders>
            <w:shd w:val="clear" w:color="auto" w:fill="auto"/>
            <w:vAlign w:val="center"/>
            <w:hideMark/>
          </w:tcPr>
          <w:p w14:paraId="5F6F02F6" w14:textId="77777777" w:rsidR="00761800" w:rsidRPr="00761800" w:rsidRDefault="00761800" w:rsidP="00761800">
            <w:pPr>
              <w:rPr>
                <w:rFonts w:ascii="Times New Roman" w:hAnsi="Times New Roman"/>
                <w:sz w:val="20"/>
                <w:lang w:eastAsia="bg-BG"/>
              </w:rPr>
            </w:pPr>
          </w:p>
        </w:tc>
        <w:tc>
          <w:tcPr>
            <w:tcW w:w="790" w:type="dxa"/>
            <w:tcBorders>
              <w:top w:val="nil"/>
              <w:left w:val="nil"/>
              <w:bottom w:val="nil"/>
              <w:right w:val="nil"/>
            </w:tcBorders>
            <w:shd w:val="clear" w:color="auto" w:fill="auto"/>
            <w:vAlign w:val="center"/>
            <w:hideMark/>
          </w:tcPr>
          <w:p w14:paraId="40D1703B"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42,4</w:t>
            </w:r>
          </w:p>
        </w:tc>
        <w:tc>
          <w:tcPr>
            <w:tcW w:w="850" w:type="dxa"/>
            <w:tcBorders>
              <w:top w:val="nil"/>
              <w:left w:val="nil"/>
              <w:bottom w:val="nil"/>
              <w:right w:val="nil"/>
            </w:tcBorders>
            <w:shd w:val="clear" w:color="auto" w:fill="auto"/>
            <w:vAlign w:val="center"/>
            <w:hideMark/>
          </w:tcPr>
          <w:p w14:paraId="3DCB719C"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14C209C2" w14:textId="77777777" w:rsidTr="00406B4D">
        <w:trPr>
          <w:trHeight w:val="510"/>
        </w:trPr>
        <w:tc>
          <w:tcPr>
            <w:tcW w:w="6332" w:type="dxa"/>
            <w:tcBorders>
              <w:top w:val="nil"/>
              <w:left w:val="nil"/>
              <w:bottom w:val="nil"/>
              <w:right w:val="nil"/>
            </w:tcBorders>
            <w:shd w:val="clear" w:color="auto" w:fill="auto"/>
            <w:vAlign w:val="center"/>
            <w:hideMark/>
          </w:tcPr>
          <w:p w14:paraId="5A84C6F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Еднократна допълнителна отстъпка от стойността на акциза, използван в селското стопанство</w:t>
            </w:r>
          </w:p>
        </w:tc>
        <w:tc>
          <w:tcPr>
            <w:tcW w:w="1100" w:type="dxa"/>
            <w:tcBorders>
              <w:top w:val="nil"/>
              <w:left w:val="nil"/>
              <w:bottom w:val="nil"/>
              <w:right w:val="nil"/>
            </w:tcBorders>
            <w:shd w:val="clear" w:color="auto" w:fill="auto"/>
            <w:vAlign w:val="center"/>
            <w:hideMark/>
          </w:tcPr>
          <w:p w14:paraId="32D31E2C"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-21,5</w:t>
            </w:r>
          </w:p>
        </w:tc>
        <w:tc>
          <w:tcPr>
            <w:tcW w:w="790" w:type="dxa"/>
            <w:tcBorders>
              <w:top w:val="nil"/>
              <w:left w:val="nil"/>
              <w:bottom w:val="nil"/>
              <w:right w:val="nil"/>
            </w:tcBorders>
            <w:shd w:val="clear" w:color="auto" w:fill="auto"/>
            <w:vAlign w:val="center"/>
            <w:hideMark/>
          </w:tcPr>
          <w:p w14:paraId="6839494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21,5</w:t>
            </w:r>
          </w:p>
        </w:tc>
        <w:tc>
          <w:tcPr>
            <w:tcW w:w="850" w:type="dxa"/>
            <w:tcBorders>
              <w:top w:val="nil"/>
              <w:left w:val="nil"/>
              <w:bottom w:val="nil"/>
              <w:right w:val="nil"/>
            </w:tcBorders>
            <w:shd w:val="clear" w:color="auto" w:fill="auto"/>
            <w:vAlign w:val="center"/>
            <w:hideMark/>
          </w:tcPr>
          <w:p w14:paraId="78BD6469"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4E8DFEA7" w14:textId="77777777" w:rsidTr="00406B4D">
        <w:trPr>
          <w:trHeight w:val="510"/>
        </w:trPr>
        <w:tc>
          <w:tcPr>
            <w:tcW w:w="6332" w:type="dxa"/>
            <w:tcBorders>
              <w:top w:val="nil"/>
              <w:left w:val="nil"/>
              <w:bottom w:val="nil"/>
              <w:right w:val="nil"/>
            </w:tcBorders>
            <w:shd w:val="clear" w:color="auto" w:fill="auto"/>
            <w:vAlign w:val="center"/>
            <w:hideMark/>
          </w:tcPr>
          <w:p w14:paraId="72FD037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Данъчно облекчение за електрически автомобили - увеличение на годишната данъчна амортизационна норма от 25 на сто на 50 на сто</w:t>
            </w:r>
          </w:p>
        </w:tc>
        <w:tc>
          <w:tcPr>
            <w:tcW w:w="1100" w:type="dxa"/>
            <w:tcBorders>
              <w:top w:val="nil"/>
              <w:left w:val="nil"/>
              <w:bottom w:val="nil"/>
              <w:right w:val="nil"/>
            </w:tcBorders>
            <w:shd w:val="clear" w:color="auto" w:fill="auto"/>
            <w:vAlign w:val="center"/>
            <w:hideMark/>
          </w:tcPr>
          <w:p w14:paraId="6F7A913E"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-8,1</w:t>
            </w:r>
          </w:p>
        </w:tc>
        <w:tc>
          <w:tcPr>
            <w:tcW w:w="790" w:type="dxa"/>
            <w:tcBorders>
              <w:top w:val="nil"/>
              <w:left w:val="nil"/>
              <w:bottom w:val="nil"/>
              <w:right w:val="nil"/>
            </w:tcBorders>
            <w:shd w:val="clear" w:color="auto" w:fill="auto"/>
            <w:vAlign w:val="center"/>
            <w:hideMark/>
          </w:tcPr>
          <w:p w14:paraId="4C22ED89" w14:textId="77777777" w:rsidR="00761800" w:rsidRPr="00761800" w:rsidRDefault="00761800" w:rsidP="00761800">
            <w:pPr>
              <w:ind w:firstLineChars="100" w:firstLine="200"/>
              <w:jc w:val="right"/>
              <w:rPr>
                <w:rFonts w:ascii="Times New Roman" w:hAnsi="Times New Roman"/>
                <w:sz w:val="20"/>
                <w:lang w:eastAsia="bg-BG"/>
              </w:rPr>
            </w:pPr>
          </w:p>
        </w:tc>
        <w:tc>
          <w:tcPr>
            <w:tcW w:w="850" w:type="dxa"/>
            <w:tcBorders>
              <w:top w:val="nil"/>
              <w:left w:val="nil"/>
              <w:bottom w:val="nil"/>
              <w:right w:val="nil"/>
            </w:tcBorders>
            <w:shd w:val="clear" w:color="auto" w:fill="auto"/>
            <w:vAlign w:val="center"/>
            <w:hideMark/>
          </w:tcPr>
          <w:p w14:paraId="72FF7DE7"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32437704" w14:textId="77777777" w:rsidTr="00406B4D">
        <w:trPr>
          <w:trHeight w:val="765"/>
        </w:trPr>
        <w:tc>
          <w:tcPr>
            <w:tcW w:w="6332" w:type="dxa"/>
            <w:tcBorders>
              <w:top w:val="nil"/>
              <w:left w:val="nil"/>
              <w:bottom w:val="nil"/>
              <w:right w:val="nil"/>
            </w:tcBorders>
            <w:shd w:val="clear" w:color="auto" w:fill="auto"/>
            <w:vAlign w:val="center"/>
            <w:hideMark/>
          </w:tcPr>
          <w:p w14:paraId="386F30B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Данъчно облекчение при извършване на научноизследователска и развойна дейност (НИРД) - на данъчно задължените лица се признават за данъчни цели допълнително 25 на сто от разходите им за НИРД</w:t>
            </w:r>
          </w:p>
        </w:tc>
        <w:tc>
          <w:tcPr>
            <w:tcW w:w="1100" w:type="dxa"/>
            <w:tcBorders>
              <w:top w:val="nil"/>
              <w:left w:val="nil"/>
              <w:bottom w:val="nil"/>
              <w:right w:val="nil"/>
            </w:tcBorders>
            <w:shd w:val="clear" w:color="auto" w:fill="auto"/>
            <w:vAlign w:val="center"/>
            <w:hideMark/>
          </w:tcPr>
          <w:p w14:paraId="1CAC0950"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-12,0</w:t>
            </w:r>
          </w:p>
        </w:tc>
        <w:tc>
          <w:tcPr>
            <w:tcW w:w="790" w:type="dxa"/>
            <w:tcBorders>
              <w:top w:val="nil"/>
              <w:left w:val="nil"/>
              <w:bottom w:val="nil"/>
              <w:right w:val="nil"/>
            </w:tcBorders>
            <w:shd w:val="clear" w:color="auto" w:fill="auto"/>
            <w:vAlign w:val="center"/>
            <w:hideMark/>
          </w:tcPr>
          <w:p w14:paraId="0EEE0414" w14:textId="77777777" w:rsidR="00761800" w:rsidRPr="00761800" w:rsidRDefault="00761800" w:rsidP="00761800">
            <w:pPr>
              <w:ind w:firstLineChars="100" w:firstLine="200"/>
              <w:jc w:val="right"/>
              <w:rPr>
                <w:rFonts w:ascii="Times New Roman" w:hAnsi="Times New Roman"/>
                <w:sz w:val="20"/>
                <w:lang w:eastAsia="bg-BG"/>
              </w:rPr>
            </w:pPr>
          </w:p>
        </w:tc>
        <w:tc>
          <w:tcPr>
            <w:tcW w:w="850" w:type="dxa"/>
            <w:tcBorders>
              <w:top w:val="nil"/>
              <w:left w:val="nil"/>
              <w:bottom w:val="nil"/>
              <w:right w:val="nil"/>
            </w:tcBorders>
            <w:shd w:val="clear" w:color="auto" w:fill="auto"/>
            <w:vAlign w:val="center"/>
            <w:hideMark/>
          </w:tcPr>
          <w:p w14:paraId="5C1F27B7"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431BF2CF" w14:textId="77777777" w:rsidTr="00406B4D">
        <w:trPr>
          <w:trHeight w:val="300"/>
        </w:trPr>
        <w:tc>
          <w:tcPr>
            <w:tcW w:w="6332" w:type="dxa"/>
            <w:tcBorders>
              <w:top w:val="nil"/>
              <w:left w:val="nil"/>
              <w:bottom w:val="nil"/>
              <w:right w:val="nil"/>
            </w:tcBorders>
            <w:shd w:val="clear" w:color="auto" w:fill="auto"/>
            <w:vAlign w:val="center"/>
            <w:hideMark/>
          </w:tcPr>
          <w:p w14:paraId="61399EA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Приходи от целеви вноски от производители и търговци на ел. енергия</w:t>
            </w:r>
          </w:p>
        </w:tc>
        <w:tc>
          <w:tcPr>
            <w:tcW w:w="1100" w:type="dxa"/>
            <w:tcBorders>
              <w:top w:val="nil"/>
              <w:left w:val="nil"/>
              <w:bottom w:val="nil"/>
              <w:right w:val="nil"/>
            </w:tcBorders>
            <w:shd w:val="clear" w:color="auto" w:fill="auto"/>
            <w:vAlign w:val="center"/>
            <w:hideMark/>
          </w:tcPr>
          <w:p w14:paraId="7A877FF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73,0</w:t>
            </w:r>
          </w:p>
        </w:tc>
        <w:tc>
          <w:tcPr>
            <w:tcW w:w="790" w:type="dxa"/>
            <w:tcBorders>
              <w:top w:val="nil"/>
              <w:left w:val="nil"/>
              <w:bottom w:val="nil"/>
              <w:right w:val="nil"/>
            </w:tcBorders>
            <w:shd w:val="clear" w:color="auto" w:fill="auto"/>
            <w:vAlign w:val="center"/>
            <w:hideMark/>
          </w:tcPr>
          <w:p w14:paraId="3B44519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-98,5</w:t>
            </w:r>
          </w:p>
        </w:tc>
        <w:tc>
          <w:tcPr>
            <w:tcW w:w="850" w:type="dxa"/>
            <w:tcBorders>
              <w:top w:val="nil"/>
              <w:left w:val="nil"/>
              <w:bottom w:val="nil"/>
              <w:right w:val="nil"/>
            </w:tcBorders>
            <w:shd w:val="clear" w:color="auto" w:fill="auto"/>
            <w:vAlign w:val="center"/>
            <w:hideMark/>
          </w:tcPr>
          <w:p w14:paraId="46FBC0B0"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-75,2</w:t>
            </w:r>
          </w:p>
        </w:tc>
      </w:tr>
      <w:tr w:rsidR="00761800" w:rsidRPr="00761800" w14:paraId="08CC07F1" w14:textId="77777777" w:rsidTr="00406B4D">
        <w:trPr>
          <w:trHeight w:val="300"/>
        </w:trPr>
        <w:tc>
          <w:tcPr>
            <w:tcW w:w="6332" w:type="dxa"/>
            <w:tcBorders>
              <w:top w:val="nil"/>
              <w:left w:val="nil"/>
              <w:right w:val="nil"/>
            </w:tcBorders>
            <w:shd w:val="clear" w:color="auto" w:fill="auto"/>
            <w:vAlign w:val="center"/>
            <w:hideMark/>
          </w:tcPr>
          <w:p w14:paraId="223EC4F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Изменение на параметрите на политиката по дивидентите </w:t>
            </w:r>
          </w:p>
        </w:tc>
        <w:tc>
          <w:tcPr>
            <w:tcW w:w="1100" w:type="dxa"/>
            <w:tcBorders>
              <w:top w:val="nil"/>
              <w:left w:val="nil"/>
              <w:right w:val="nil"/>
            </w:tcBorders>
            <w:shd w:val="clear" w:color="auto" w:fill="auto"/>
            <w:vAlign w:val="center"/>
            <w:hideMark/>
          </w:tcPr>
          <w:p w14:paraId="5D181D4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-123,0</w:t>
            </w:r>
          </w:p>
        </w:tc>
        <w:tc>
          <w:tcPr>
            <w:tcW w:w="790" w:type="dxa"/>
            <w:tcBorders>
              <w:top w:val="nil"/>
              <w:left w:val="nil"/>
              <w:right w:val="nil"/>
            </w:tcBorders>
            <w:shd w:val="clear" w:color="auto" w:fill="auto"/>
            <w:vAlign w:val="center"/>
            <w:hideMark/>
          </w:tcPr>
          <w:p w14:paraId="012871A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 </w:t>
            </w:r>
          </w:p>
        </w:tc>
        <w:tc>
          <w:tcPr>
            <w:tcW w:w="850" w:type="dxa"/>
            <w:tcBorders>
              <w:top w:val="nil"/>
              <w:left w:val="nil"/>
              <w:right w:val="nil"/>
            </w:tcBorders>
            <w:shd w:val="clear" w:color="auto" w:fill="auto"/>
            <w:vAlign w:val="center"/>
            <w:hideMark/>
          </w:tcPr>
          <w:p w14:paraId="079C0DD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 </w:t>
            </w:r>
          </w:p>
        </w:tc>
      </w:tr>
      <w:tr w:rsidR="00761800" w:rsidRPr="00761800" w14:paraId="3C27E00A" w14:textId="77777777" w:rsidTr="00406B4D">
        <w:trPr>
          <w:trHeight w:val="300"/>
        </w:trPr>
        <w:tc>
          <w:tcPr>
            <w:tcW w:w="6332" w:type="dxa"/>
            <w:tcBorders>
              <w:left w:val="nil"/>
              <w:bottom w:val="single" w:sz="4" w:space="0" w:color="auto"/>
              <w:right w:val="nil"/>
            </w:tcBorders>
            <w:shd w:val="clear" w:color="auto" w:fill="auto"/>
            <w:vAlign w:val="center"/>
            <w:hideMark/>
          </w:tcPr>
          <w:p w14:paraId="165959D2" w14:textId="77777777" w:rsidR="00761800" w:rsidRPr="00761800" w:rsidRDefault="00761800" w:rsidP="00761800">
            <w:pPr>
              <w:rPr>
                <w:rFonts w:ascii="Times New Roman" w:hAnsi="Times New Roman"/>
                <w:b/>
                <w:bCs/>
                <w:color w:val="000000"/>
                <w:sz w:val="20"/>
                <w:lang w:eastAsia="bg-BG"/>
              </w:rPr>
            </w:pPr>
            <w:r w:rsidRPr="00761800">
              <w:rPr>
                <w:rFonts w:ascii="Times New Roman" w:hAnsi="Times New Roman"/>
                <w:b/>
                <w:bCs/>
                <w:color w:val="000000"/>
                <w:sz w:val="20"/>
                <w:lang w:eastAsia="bg-BG"/>
              </w:rPr>
              <w:lastRenderedPageBreak/>
              <w:t>Общо:</w:t>
            </w:r>
          </w:p>
        </w:tc>
        <w:tc>
          <w:tcPr>
            <w:tcW w:w="1100" w:type="dxa"/>
            <w:tcBorders>
              <w:left w:val="nil"/>
              <w:bottom w:val="single" w:sz="4" w:space="0" w:color="auto"/>
              <w:right w:val="nil"/>
            </w:tcBorders>
            <w:shd w:val="clear" w:color="auto" w:fill="auto"/>
            <w:noWrap/>
            <w:vAlign w:val="center"/>
            <w:hideMark/>
          </w:tcPr>
          <w:p w14:paraId="7CD77E07"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482,0</w:t>
            </w:r>
          </w:p>
        </w:tc>
        <w:tc>
          <w:tcPr>
            <w:tcW w:w="790" w:type="dxa"/>
            <w:tcBorders>
              <w:left w:val="nil"/>
              <w:bottom w:val="single" w:sz="4" w:space="0" w:color="auto"/>
              <w:right w:val="nil"/>
            </w:tcBorders>
            <w:shd w:val="clear" w:color="auto" w:fill="auto"/>
            <w:noWrap/>
            <w:vAlign w:val="center"/>
            <w:hideMark/>
          </w:tcPr>
          <w:p w14:paraId="720AC598"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747,7</w:t>
            </w:r>
          </w:p>
        </w:tc>
        <w:tc>
          <w:tcPr>
            <w:tcW w:w="850" w:type="dxa"/>
            <w:tcBorders>
              <w:left w:val="nil"/>
              <w:bottom w:val="single" w:sz="4" w:space="0" w:color="auto"/>
              <w:right w:val="nil"/>
            </w:tcBorders>
            <w:shd w:val="clear" w:color="auto" w:fill="auto"/>
            <w:noWrap/>
            <w:vAlign w:val="center"/>
            <w:hideMark/>
          </w:tcPr>
          <w:p w14:paraId="224B41CB"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54,1</w:t>
            </w:r>
          </w:p>
        </w:tc>
      </w:tr>
    </w:tbl>
    <w:p w14:paraId="60CAAA8F" w14:textId="77777777" w:rsidR="00761800" w:rsidRPr="00761800" w:rsidRDefault="00761800" w:rsidP="00761800">
      <w:pPr>
        <w:spacing w:before="120" w:after="200"/>
        <w:ind w:firstLine="850"/>
        <w:jc w:val="right"/>
        <w:rPr>
          <w:rFonts w:ascii="Times New Roman" w:hAnsi="Times New Roman"/>
          <w:b/>
          <w:bCs/>
          <w:iCs/>
          <w:color w:val="C00000"/>
          <w:sz w:val="18"/>
          <w:szCs w:val="18"/>
          <w:lang w:eastAsia="bg-BG"/>
        </w:rPr>
      </w:pPr>
      <w:r w:rsidRPr="00761800">
        <w:rPr>
          <w:rFonts w:ascii="Times New Roman" w:eastAsia="Batang" w:hAnsi="Times New Roman"/>
          <w:sz w:val="18"/>
          <w:szCs w:val="18"/>
          <w:lang w:eastAsia="bg-BG"/>
        </w:rPr>
        <w:t>Източник: МФ</w:t>
      </w:r>
    </w:p>
    <w:p w14:paraId="59FE225D" w14:textId="77777777" w:rsidR="00761800" w:rsidRPr="00761800" w:rsidRDefault="00761800" w:rsidP="00761800">
      <w:pPr>
        <w:keepNext/>
        <w:spacing w:after="200"/>
        <w:jc w:val="both"/>
        <w:rPr>
          <w:rFonts w:ascii="Times New Roman" w:hAnsi="Times New Roman"/>
          <w:b/>
          <w:color w:val="852010"/>
          <w:szCs w:val="22"/>
          <w:lang w:eastAsia="bg-BG"/>
        </w:rPr>
      </w:pPr>
      <w:r w:rsidRPr="00761800">
        <w:rPr>
          <w:rFonts w:ascii="Times New Roman" w:hAnsi="Times New Roman"/>
          <w:b/>
          <w:color w:val="852010"/>
          <w:szCs w:val="22"/>
          <w:lang w:eastAsia="bg-BG"/>
        </w:rPr>
        <w:t xml:space="preserve">Разходни дискреционни мерки </w:t>
      </w:r>
    </w:p>
    <w:p w14:paraId="057931A4" w14:textId="77777777" w:rsidR="00761800" w:rsidRPr="00761800" w:rsidRDefault="00761800" w:rsidP="00761800">
      <w:pPr>
        <w:spacing w:after="120"/>
        <w:jc w:val="both"/>
        <w:rPr>
          <w:rFonts w:ascii="Times New Roman" w:hAnsi="Times New Roman"/>
          <w:szCs w:val="22"/>
          <w:lang w:eastAsia="bg-BG"/>
        </w:rPr>
      </w:pPr>
      <w:r w:rsidRPr="00761800">
        <w:rPr>
          <w:rFonts w:ascii="Times New Roman" w:hAnsi="Times New Roman"/>
          <w:szCs w:val="22"/>
          <w:lang w:eastAsia="bg-BG"/>
        </w:rPr>
        <w:t>Разходните дискреционни мерки се очаква да доведат до общо нетно увеличение на разходите с 278,7 млн. евро за периода 2026-2028 г. През 2026 г. се очаква увеличение на разходите с 604,4 млн. евро или 0,48% от БВП, през 2027 г. – намаление на разходите със 165,6 млн. евро или 0,12% от БВП, а през 2028 г. – намаление на разходите със 160,1 млн. евро или 0,11% от БВП.</w:t>
      </w:r>
    </w:p>
    <w:p w14:paraId="15720A9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С най-голям бюджетен ефект в разходната част на дискреционните мерки за 2026 г. е политиката по доходите – еднократна индексация на основните месечни заплати към 31.12.2025 г. в бюджетните организации с размера на натрупаната годишна инфлация (5% по данни на НСИ), вкл. заплати и осигурителни вноски, която се очаква да доведе до допълнителни разходи от 439,0 млн. евро през 2026 г. </w:t>
      </w:r>
    </w:p>
    <w:p w14:paraId="530DFF0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Намалението на разходите за персонал в бюджетната сфера с 10%, вкл. заплати и осигурителни вноски, считано от 01.09.2026 г., е с допълнителен ефект от 85,0 млн. евро спестени средства през 2026 г. и 170,7 млн. евро през 2027 г.</w:t>
      </w:r>
    </w:p>
    <w:p w14:paraId="5AFE83A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Въвеждането на нова целева помощ по чл. 12а от Закона за социално подпомагане за покриване на разходи за великденските и коледните празници (предоставяна съответно през март и ноември) ще доведе до допълнителни разходи в размер на 30,0 млн. евро за 2026 г. и още 30,0 млн. евро за 2027 г.</w:t>
      </w:r>
    </w:p>
    <w:p w14:paraId="710D165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Разходите във връзка с мерките и програмите в областта на енергетиката за компенсиране на високите цени на електроенергията, изпълнявани през 2025 г., са в размер на 394,8 млн. евро, като действието на тези мерки и програми продължава и през 2026 г. Като дискреционна разходна мярка за 2026 г. е отразен ефектът от действието на програмите и мерките за смекчаване на икономическите последици от нестабилността на цените на електрическата енергия за небитови крайни клиенти и на операторите на електропреносната и на електроразпределителните мрежи за закупуване на количествата електрическа енергия, потребена за технологични разходи, за предоставяне на компенсации чрез крайния снабдител, покриващи част от разходите за електрическа енергия на битовите крайни клиенти и за предоставяне на помощ чрез компенсации за временно облекчение на цените на електрическата енергия за енергоемките потребители  - допълнителни разходи от 225,4 млн. евро за 2026 г. спрямо 2025 г.</w:t>
      </w:r>
    </w:p>
    <w:p w14:paraId="1E1E4FA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Ефектът от намалението на размера на субсидиите за финансиране на политическите партии и коалиции по Закона за политическите партии от 4,09 евро на 3 евро за един получен действителен глас е намаление на разходите с 2,1 млн. евро през 2026 г. и с 1 млн. евро през 2027 г. </w:t>
      </w:r>
    </w:p>
    <w:p w14:paraId="0BE1DFD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Отпадането на ковид добавката за новоотпуснатите пенсии се очаква да доведе до намаление на разходите с 2,9 млн. евро през 2026 г. и общо 40,6 млн. евро за тригодишния прогнозен период.</w:t>
      </w:r>
    </w:p>
    <w:p w14:paraId="7354AA05" w14:textId="5F4B6828" w:rsidR="00761800" w:rsidRPr="00761800" w:rsidRDefault="00761800" w:rsidP="00761800">
      <w:pPr>
        <w:spacing w:after="200"/>
        <w:ind w:left="1418" w:hanging="1418"/>
        <w:rPr>
          <w:rFonts w:ascii="Times New Roman" w:hAnsi="Times New Roman"/>
          <w:b/>
          <w:bCs/>
          <w:szCs w:val="18"/>
          <w:lang w:eastAsia="bg-BG"/>
        </w:rPr>
      </w:pPr>
      <w:bookmarkStart w:id="226" w:name="_Toc233185131"/>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13</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Дискреционни разходни мерки на начислена основа, млн. евро</w:t>
      </w:r>
      <w:bookmarkEnd w:id="226"/>
    </w:p>
    <w:tbl>
      <w:tblPr>
        <w:tblW w:w="9072" w:type="dxa"/>
        <w:tblCellMar>
          <w:left w:w="70" w:type="dxa"/>
          <w:right w:w="70" w:type="dxa"/>
        </w:tblCellMar>
        <w:tblLook w:val="04A0" w:firstRow="1" w:lastRow="0" w:firstColumn="1" w:lastColumn="0" w:noHBand="0" w:noVBand="1"/>
      </w:tblPr>
      <w:tblGrid>
        <w:gridCol w:w="6237"/>
        <w:gridCol w:w="960"/>
        <w:gridCol w:w="932"/>
        <w:gridCol w:w="943"/>
      </w:tblGrid>
      <w:tr w:rsidR="00761800" w:rsidRPr="00761800" w14:paraId="3E436DC2" w14:textId="77777777" w:rsidTr="00406B4D">
        <w:trPr>
          <w:trHeight w:val="705"/>
        </w:trPr>
        <w:tc>
          <w:tcPr>
            <w:tcW w:w="6237" w:type="dxa"/>
            <w:tcBorders>
              <w:top w:val="single" w:sz="4" w:space="0" w:color="595959"/>
              <w:left w:val="nil"/>
              <w:bottom w:val="nil"/>
              <w:right w:val="nil"/>
            </w:tcBorders>
            <w:shd w:val="clear" w:color="000000" w:fill="D9D9D9"/>
            <w:vAlign w:val="center"/>
            <w:hideMark/>
          </w:tcPr>
          <w:p w14:paraId="120B7223" w14:textId="77777777" w:rsidR="00761800" w:rsidRPr="00761800" w:rsidRDefault="00761800" w:rsidP="00761800">
            <w:pPr>
              <w:jc w:val="both"/>
              <w:rPr>
                <w:rFonts w:ascii="Times New Roman" w:hAnsi="Times New Roman"/>
                <w:b/>
                <w:bCs/>
                <w:color w:val="000000"/>
                <w:sz w:val="20"/>
                <w:lang w:eastAsia="bg-BG"/>
              </w:rPr>
            </w:pPr>
            <w:r w:rsidRPr="00761800">
              <w:rPr>
                <w:rFonts w:ascii="Times New Roman" w:hAnsi="Times New Roman"/>
                <w:b/>
                <w:bCs/>
                <w:color w:val="000000"/>
                <w:sz w:val="20"/>
                <w:lang w:eastAsia="bg-BG"/>
              </w:rPr>
              <w:lastRenderedPageBreak/>
              <w:t>Разходни мерки - изменение спрямо предходна година</w:t>
            </w:r>
          </w:p>
        </w:tc>
        <w:tc>
          <w:tcPr>
            <w:tcW w:w="960" w:type="dxa"/>
            <w:tcBorders>
              <w:top w:val="single" w:sz="4" w:space="0" w:color="595959"/>
              <w:left w:val="nil"/>
              <w:bottom w:val="nil"/>
              <w:right w:val="nil"/>
            </w:tcBorders>
            <w:shd w:val="clear" w:color="000000" w:fill="D9D9D9"/>
            <w:noWrap/>
            <w:vAlign w:val="center"/>
            <w:hideMark/>
          </w:tcPr>
          <w:p w14:paraId="5C2666FB"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2026 г.</w:t>
            </w:r>
          </w:p>
        </w:tc>
        <w:tc>
          <w:tcPr>
            <w:tcW w:w="932" w:type="dxa"/>
            <w:tcBorders>
              <w:top w:val="single" w:sz="4" w:space="0" w:color="595959"/>
              <w:left w:val="nil"/>
              <w:bottom w:val="nil"/>
              <w:right w:val="nil"/>
            </w:tcBorders>
            <w:shd w:val="clear" w:color="000000" w:fill="D9D9D9"/>
            <w:noWrap/>
            <w:vAlign w:val="center"/>
            <w:hideMark/>
          </w:tcPr>
          <w:p w14:paraId="484982D9"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2027 г.</w:t>
            </w:r>
          </w:p>
        </w:tc>
        <w:tc>
          <w:tcPr>
            <w:tcW w:w="943" w:type="dxa"/>
            <w:tcBorders>
              <w:top w:val="single" w:sz="4" w:space="0" w:color="595959"/>
              <w:left w:val="nil"/>
              <w:bottom w:val="nil"/>
              <w:right w:val="nil"/>
            </w:tcBorders>
            <w:shd w:val="clear" w:color="000000" w:fill="D9D9D9"/>
            <w:noWrap/>
            <w:vAlign w:val="center"/>
            <w:hideMark/>
          </w:tcPr>
          <w:p w14:paraId="472DAC9A"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2028 г.</w:t>
            </w:r>
          </w:p>
        </w:tc>
      </w:tr>
      <w:tr w:rsidR="00761800" w:rsidRPr="00761800" w14:paraId="703E5A20" w14:textId="77777777" w:rsidTr="00406B4D">
        <w:trPr>
          <w:trHeight w:val="1013"/>
        </w:trPr>
        <w:tc>
          <w:tcPr>
            <w:tcW w:w="6237" w:type="dxa"/>
            <w:tcBorders>
              <w:top w:val="nil"/>
              <w:left w:val="nil"/>
              <w:bottom w:val="nil"/>
              <w:right w:val="nil"/>
            </w:tcBorders>
            <w:shd w:val="clear" w:color="auto" w:fill="auto"/>
            <w:vAlign w:val="center"/>
            <w:hideMark/>
          </w:tcPr>
          <w:p w14:paraId="3BD66ED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Политика по доходите -  еднократна индексация на основните месечни заплати, достигнати към 31.12.2025 г. в бюджетните организации, с размера на натрупаната годишна инфлация (5% по данни на НСИ), вкл. заплати и осигурителни вноски</w:t>
            </w:r>
          </w:p>
        </w:tc>
        <w:tc>
          <w:tcPr>
            <w:tcW w:w="960" w:type="dxa"/>
            <w:tcBorders>
              <w:top w:val="nil"/>
              <w:left w:val="nil"/>
              <w:bottom w:val="nil"/>
              <w:right w:val="nil"/>
            </w:tcBorders>
            <w:shd w:val="clear" w:color="auto" w:fill="auto"/>
            <w:vAlign w:val="center"/>
            <w:hideMark/>
          </w:tcPr>
          <w:p w14:paraId="2C66ECE6"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439,0</w:t>
            </w:r>
          </w:p>
        </w:tc>
        <w:tc>
          <w:tcPr>
            <w:tcW w:w="932" w:type="dxa"/>
            <w:tcBorders>
              <w:top w:val="nil"/>
              <w:left w:val="nil"/>
              <w:bottom w:val="nil"/>
              <w:right w:val="nil"/>
            </w:tcBorders>
            <w:shd w:val="clear" w:color="auto" w:fill="auto"/>
            <w:vAlign w:val="center"/>
            <w:hideMark/>
          </w:tcPr>
          <w:p w14:paraId="039AEF47" w14:textId="77777777" w:rsidR="00761800" w:rsidRPr="00761800" w:rsidRDefault="00761800" w:rsidP="00761800">
            <w:pPr>
              <w:ind w:firstLineChars="100" w:firstLine="200"/>
              <w:jc w:val="right"/>
              <w:rPr>
                <w:rFonts w:ascii="Times New Roman" w:hAnsi="Times New Roman"/>
                <w:sz w:val="20"/>
                <w:lang w:eastAsia="bg-BG"/>
              </w:rPr>
            </w:pPr>
          </w:p>
        </w:tc>
        <w:tc>
          <w:tcPr>
            <w:tcW w:w="943" w:type="dxa"/>
            <w:tcBorders>
              <w:top w:val="nil"/>
              <w:left w:val="nil"/>
              <w:bottom w:val="nil"/>
              <w:right w:val="nil"/>
            </w:tcBorders>
            <w:shd w:val="clear" w:color="auto" w:fill="auto"/>
            <w:vAlign w:val="center"/>
            <w:hideMark/>
          </w:tcPr>
          <w:p w14:paraId="69DA215A"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06458703" w14:textId="77777777" w:rsidTr="00406B4D">
        <w:trPr>
          <w:trHeight w:val="716"/>
        </w:trPr>
        <w:tc>
          <w:tcPr>
            <w:tcW w:w="6237" w:type="dxa"/>
            <w:tcBorders>
              <w:top w:val="nil"/>
              <w:left w:val="nil"/>
              <w:bottom w:val="nil"/>
              <w:right w:val="nil"/>
            </w:tcBorders>
            <w:shd w:val="clear" w:color="auto" w:fill="auto"/>
            <w:vAlign w:val="center"/>
            <w:hideMark/>
          </w:tcPr>
          <w:p w14:paraId="2314751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Намаление на разходите за персонал в бюджетната сфера с 10%, вкл. заплати и осигурителни вноски, считано от 01.09.2026 г. - ефект спрямо 2025 г. </w:t>
            </w:r>
          </w:p>
        </w:tc>
        <w:tc>
          <w:tcPr>
            <w:tcW w:w="960" w:type="dxa"/>
            <w:tcBorders>
              <w:top w:val="nil"/>
              <w:left w:val="nil"/>
              <w:bottom w:val="nil"/>
              <w:right w:val="nil"/>
            </w:tcBorders>
            <w:shd w:val="clear" w:color="auto" w:fill="auto"/>
            <w:vAlign w:val="center"/>
            <w:hideMark/>
          </w:tcPr>
          <w:p w14:paraId="62DBAEF7"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-85,0</w:t>
            </w:r>
          </w:p>
        </w:tc>
        <w:tc>
          <w:tcPr>
            <w:tcW w:w="932" w:type="dxa"/>
            <w:tcBorders>
              <w:top w:val="nil"/>
              <w:left w:val="nil"/>
              <w:bottom w:val="nil"/>
              <w:right w:val="nil"/>
            </w:tcBorders>
            <w:shd w:val="clear" w:color="auto" w:fill="auto"/>
            <w:vAlign w:val="center"/>
            <w:hideMark/>
          </w:tcPr>
          <w:p w14:paraId="20D436D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-170,7</w:t>
            </w:r>
          </w:p>
        </w:tc>
        <w:tc>
          <w:tcPr>
            <w:tcW w:w="943" w:type="dxa"/>
            <w:tcBorders>
              <w:top w:val="nil"/>
              <w:left w:val="nil"/>
              <w:bottom w:val="nil"/>
              <w:right w:val="nil"/>
            </w:tcBorders>
            <w:shd w:val="clear" w:color="auto" w:fill="auto"/>
            <w:vAlign w:val="center"/>
            <w:hideMark/>
          </w:tcPr>
          <w:p w14:paraId="08497CCD"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4236FD2A" w14:textId="77777777" w:rsidTr="00406B4D">
        <w:trPr>
          <w:trHeight w:val="510"/>
        </w:trPr>
        <w:tc>
          <w:tcPr>
            <w:tcW w:w="6237" w:type="dxa"/>
            <w:tcBorders>
              <w:top w:val="nil"/>
              <w:left w:val="nil"/>
              <w:bottom w:val="nil"/>
              <w:right w:val="nil"/>
            </w:tcBorders>
            <w:shd w:val="clear" w:color="auto" w:fill="auto"/>
          </w:tcPr>
          <w:p w14:paraId="34593CF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Предоставяне на целева помощ по Закона за социално подпомагане за посрещане на великденските и коледните празници - през месец март и месец ноември</w:t>
            </w:r>
            <w:r w:rsidRPr="00761800">
              <w:rPr>
                <w:rFonts w:ascii="Times New Roman" w:hAnsi="Times New Roman"/>
                <w:szCs w:val="22"/>
                <w:lang w:eastAsia="bg-BG"/>
              </w:rPr>
              <w:t xml:space="preserve"> </w:t>
            </w:r>
          </w:p>
        </w:tc>
        <w:tc>
          <w:tcPr>
            <w:tcW w:w="960" w:type="dxa"/>
            <w:tcBorders>
              <w:top w:val="nil"/>
              <w:left w:val="nil"/>
              <w:bottom w:val="nil"/>
              <w:right w:val="nil"/>
            </w:tcBorders>
            <w:shd w:val="clear" w:color="auto" w:fill="auto"/>
          </w:tcPr>
          <w:p w14:paraId="5E8445B0"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30,0</w:t>
            </w:r>
          </w:p>
        </w:tc>
        <w:tc>
          <w:tcPr>
            <w:tcW w:w="932" w:type="dxa"/>
            <w:tcBorders>
              <w:top w:val="nil"/>
              <w:left w:val="nil"/>
              <w:bottom w:val="nil"/>
              <w:right w:val="nil"/>
            </w:tcBorders>
            <w:shd w:val="clear" w:color="auto" w:fill="auto"/>
          </w:tcPr>
          <w:p w14:paraId="1372641B"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30,0</w:t>
            </w:r>
          </w:p>
        </w:tc>
        <w:tc>
          <w:tcPr>
            <w:tcW w:w="943" w:type="dxa"/>
            <w:tcBorders>
              <w:top w:val="nil"/>
              <w:left w:val="nil"/>
              <w:bottom w:val="nil"/>
              <w:right w:val="nil"/>
            </w:tcBorders>
            <w:shd w:val="clear" w:color="auto" w:fill="auto"/>
          </w:tcPr>
          <w:p w14:paraId="26771A41"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149608BE" w14:textId="77777777" w:rsidTr="00406B4D">
        <w:trPr>
          <w:trHeight w:val="510"/>
        </w:trPr>
        <w:tc>
          <w:tcPr>
            <w:tcW w:w="6237" w:type="dxa"/>
            <w:tcBorders>
              <w:top w:val="nil"/>
              <w:left w:val="nil"/>
              <w:bottom w:val="nil"/>
              <w:right w:val="nil"/>
            </w:tcBorders>
            <w:shd w:val="clear" w:color="auto" w:fill="auto"/>
            <w:vAlign w:val="center"/>
            <w:hideMark/>
          </w:tcPr>
          <w:p w14:paraId="529B0E0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Програми и мерки за смекчаване на икономическите последици от нестабилността на цените на електрическата енергия и природния газ</w:t>
            </w:r>
          </w:p>
        </w:tc>
        <w:tc>
          <w:tcPr>
            <w:tcW w:w="960" w:type="dxa"/>
            <w:tcBorders>
              <w:top w:val="nil"/>
              <w:left w:val="nil"/>
              <w:bottom w:val="nil"/>
              <w:right w:val="nil"/>
            </w:tcBorders>
            <w:shd w:val="clear" w:color="auto" w:fill="auto"/>
            <w:vAlign w:val="center"/>
            <w:hideMark/>
          </w:tcPr>
          <w:p w14:paraId="2175C6E3"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225,4</w:t>
            </w:r>
          </w:p>
        </w:tc>
        <w:tc>
          <w:tcPr>
            <w:tcW w:w="932" w:type="dxa"/>
            <w:tcBorders>
              <w:top w:val="nil"/>
              <w:left w:val="nil"/>
              <w:bottom w:val="nil"/>
              <w:right w:val="nil"/>
            </w:tcBorders>
            <w:shd w:val="clear" w:color="auto" w:fill="auto"/>
            <w:vAlign w:val="center"/>
            <w:hideMark/>
          </w:tcPr>
          <w:p w14:paraId="3E5BA99D"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-6,1</w:t>
            </w:r>
          </w:p>
        </w:tc>
        <w:tc>
          <w:tcPr>
            <w:tcW w:w="943" w:type="dxa"/>
            <w:tcBorders>
              <w:top w:val="nil"/>
              <w:left w:val="nil"/>
              <w:bottom w:val="nil"/>
              <w:right w:val="nil"/>
            </w:tcBorders>
            <w:shd w:val="clear" w:color="auto" w:fill="auto"/>
            <w:vAlign w:val="center"/>
            <w:hideMark/>
          </w:tcPr>
          <w:p w14:paraId="5D86B9E2"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-140,2</w:t>
            </w:r>
          </w:p>
        </w:tc>
      </w:tr>
      <w:tr w:rsidR="00761800" w:rsidRPr="00761800" w14:paraId="2F2D2248" w14:textId="77777777" w:rsidTr="00406B4D">
        <w:trPr>
          <w:trHeight w:val="765"/>
        </w:trPr>
        <w:tc>
          <w:tcPr>
            <w:tcW w:w="6237" w:type="dxa"/>
            <w:tcBorders>
              <w:top w:val="nil"/>
              <w:left w:val="nil"/>
              <w:bottom w:val="nil"/>
              <w:right w:val="nil"/>
            </w:tcBorders>
            <w:shd w:val="clear" w:color="auto" w:fill="auto"/>
            <w:vAlign w:val="center"/>
            <w:hideMark/>
          </w:tcPr>
          <w:p w14:paraId="5ADA1B3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Намаление на размера на субсидиите за финансиране на политическите партии и коалиции по Закона за политическите партии от 4,09 евро на 3 евро за един получен действителен глас</w:t>
            </w:r>
          </w:p>
        </w:tc>
        <w:tc>
          <w:tcPr>
            <w:tcW w:w="960" w:type="dxa"/>
            <w:tcBorders>
              <w:top w:val="nil"/>
              <w:left w:val="nil"/>
              <w:bottom w:val="nil"/>
              <w:right w:val="nil"/>
            </w:tcBorders>
            <w:shd w:val="clear" w:color="auto" w:fill="auto"/>
            <w:vAlign w:val="center"/>
            <w:hideMark/>
          </w:tcPr>
          <w:p w14:paraId="7C53F887"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-2,1</w:t>
            </w:r>
          </w:p>
        </w:tc>
        <w:tc>
          <w:tcPr>
            <w:tcW w:w="932" w:type="dxa"/>
            <w:tcBorders>
              <w:top w:val="nil"/>
              <w:left w:val="nil"/>
              <w:bottom w:val="nil"/>
              <w:right w:val="nil"/>
            </w:tcBorders>
            <w:shd w:val="clear" w:color="auto" w:fill="auto"/>
            <w:vAlign w:val="center"/>
            <w:hideMark/>
          </w:tcPr>
          <w:p w14:paraId="3C725F89"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-1,0</w:t>
            </w:r>
          </w:p>
        </w:tc>
        <w:tc>
          <w:tcPr>
            <w:tcW w:w="943" w:type="dxa"/>
            <w:tcBorders>
              <w:top w:val="nil"/>
              <w:left w:val="nil"/>
              <w:bottom w:val="nil"/>
              <w:right w:val="nil"/>
            </w:tcBorders>
            <w:shd w:val="clear" w:color="auto" w:fill="auto"/>
            <w:vAlign w:val="center"/>
            <w:hideMark/>
          </w:tcPr>
          <w:p w14:paraId="0AC7D46D" w14:textId="77777777" w:rsidR="00761800" w:rsidRPr="00761800" w:rsidRDefault="00761800" w:rsidP="00761800">
            <w:pPr>
              <w:ind w:firstLineChars="100" w:firstLine="200"/>
              <w:jc w:val="right"/>
              <w:rPr>
                <w:rFonts w:ascii="Times New Roman" w:hAnsi="Times New Roman"/>
                <w:sz w:val="20"/>
                <w:lang w:eastAsia="bg-BG"/>
              </w:rPr>
            </w:pPr>
          </w:p>
        </w:tc>
      </w:tr>
      <w:tr w:rsidR="00761800" w:rsidRPr="00761800" w14:paraId="5EA0FA1E" w14:textId="77777777" w:rsidTr="00406B4D">
        <w:trPr>
          <w:trHeight w:val="300"/>
        </w:trPr>
        <w:tc>
          <w:tcPr>
            <w:tcW w:w="6237" w:type="dxa"/>
            <w:tcBorders>
              <w:top w:val="nil"/>
              <w:left w:val="nil"/>
              <w:bottom w:val="nil"/>
              <w:right w:val="nil"/>
            </w:tcBorders>
            <w:shd w:val="clear" w:color="auto" w:fill="auto"/>
            <w:vAlign w:val="center"/>
            <w:hideMark/>
          </w:tcPr>
          <w:p w14:paraId="7188DEF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Отпадане на ковид добавката за новоотпуснатите пенсии</w:t>
            </w:r>
          </w:p>
        </w:tc>
        <w:tc>
          <w:tcPr>
            <w:tcW w:w="960" w:type="dxa"/>
            <w:tcBorders>
              <w:top w:val="nil"/>
              <w:left w:val="nil"/>
              <w:bottom w:val="nil"/>
              <w:right w:val="nil"/>
            </w:tcBorders>
            <w:shd w:val="clear" w:color="auto" w:fill="auto"/>
            <w:vAlign w:val="center"/>
            <w:hideMark/>
          </w:tcPr>
          <w:p w14:paraId="2ADEE6DA"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-2,9</w:t>
            </w:r>
          </w:p>
        </w:tc>
        <w:tc>
          <w:tcPr>
            <w:tcW w:w="932" w:type="dxa"/>
            <w:tcBorders>
              <w:top w:val="nil"/>
              <w:left w:val="nil"/>
              <w:bottom w:val="nil"/>
              <w:right w:val="nil"/>
            </w:tcBorders>
            <w:shd w:val="clear" w:color="auto" w:fill="auto"/>
            <w:vAlign w:val="center"/>
            <w:hideMark/>
          </w:tcPr>
          <w:p w14:paraId="444AFE5B"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-17,8</w:t>
            </w:r>
          </w:p>
        </w:tc>
        <w:tc>
          <w:tcPr>
            <w:tcW w:w="943" w:type="dxa"/>
            <w:tcBorders>
              <w:top w:val="nil"/>
              <w:left w:val="nil"/>
              <w:bottom w:val="nil"/>
              <w:right w:val="nil"/>
            </w:tcBorders>
            <w:shd w:val="clear" w:color="auto" w:fill="auto"/>
            <w:vAlign w:val="center"/>
            <w:hideMark/>
          </w:tcPr>
          <w:p w14:paraId="0C0CB5A4" w14:textId="77777777" w:rsidR="00761800" w:rsidRPr="00761800" w:rsidRDefault="00761800" w:rsidP="00761800">
            <w:pPr>
              <w:ind w:firstLineChars="100" w:firstLine="200"/>
              <w:jc w:val="right"/>
              <w:rPr>
                <w:rFonts w:ascii="Times New Roman" w:hAnsi="Times New Roman"/>
                <w:sz w:val="20"/>
                <w:lang w:eastAsia="bg-BG"/>
              </w:rPr>
            </w:pPr>
            <w:r w:rsidRPr="00761800">
              <w:rPr>
                <w:rFonts w:ascii="Times New Roman" w:hAnsi="Times New Roman"/>
                <w:sz w:val="20"/>
                <w:lang w:eastAsia="bg-BG"/>
              </w:rPr>
              <w:t>-19,9</w:t>
            </w:r>
          </w:p>
        </w:tc>
      </w:tr>
      <w:tr w:rsidR="00761800" w:rsidRPr="00761800" w14:paraId="2792155F" w14:textId="77777777" w:rsidTr="00406B4D">
        <w:trPr>
          <w:trHeight w:val="300"/>
        </w:trPr>
        <w:tc>
          <w:tcPr>
            <w:tcW w:w="6237" w:type="dxa"/>
            <w:tcBorders>
              <w:top w:val="nil"/>
              <w:left w:val="nil"/>
              <w:bottom w:val="single" w:sz="4" w:space="0" w:color="595959"/>
              <w:right w:val="nil"/>
            </w:tcBorders>
            <w:shd w:val="clear" w:color="auto" w:fill="auto"/>
            <w:vAlign w:val="center"/>
            <w:hideMark/>
          </w:tcPr>
          <w:p w14:paraId="60A82AD0" w14:textId="77777777" w:rsidR="00761800" w:rsidRPr="00761800" w:rsidRDefault="00761800" w:rsidP="00761800">
            <w:pPr>
              <w:rPr>
                <w:rFonts w:ascii="Times New Roman" w:hAnsi="Times New Roman"/>
                <w:b/>
                <w:bCs/>
                <w:color w:val="000000"/>
                <w:sz w:val="20"/>
                <w:lang w:eastAsia="bg-BG"/>
              </w:rPr>
            </w:pPr>
            <w:r w:rsidRPr="00761800">
              <w:rPr>
                <w:rFonts w:ascii="Times New Roman" w:hAnsi="Times New Roman"/>
                <w:b/>
                <w:bCs/>
                <w:color w:val="000000"/>
                <w:sz w:val="20"/>
                <w:lang w:eastAsia="bg-BG"/>
              </w:rPr>
              <w:t>Общо:</w:t>
            </w:r>
          </w:p>
        </w:tc>
        <w:tc>
          <w:tcPr>
            <w:tcW w:w="960" w:type="dxa"/>
            <w:tcBorders>
              <w:top w:val="nil"/>
              <w:left w:val="nil"/>
              <w:bottom w:val="single" w:sz="4" w:space="0" w:color="595959"/>
              <w:right w:val="nil"/>
            </w:tcBorders>
            <w:shd w:val="clear" w:color="auto" w:fill="auto"/>
            <w:noWrap/>
            <w:vAlign w:val="center"/>
            <w:hideMark/>
          </w:tcPr>
          <w:p w14:paraId="2E7F4634"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604,4</w:t>
            </w:r>
          </w:p>
        </w:tc>
        <w:tc>
          <w:tcPr>
            <w:tcW w:w="932" w:type="dxa"/>
            <w:tcBorders>
              <w:top w:val="nil"/>
              <w:left w:val="nil"/>
              <w:bottom w:val="single" w:sz="4" w:space="0" w:color="595959"/>
              <w:right w:val="nil"/>
            </w:tcBorders>
            <w:shd w:val="clear" w:color="auto" w:fill="auto"/>
            <w:noWrap/>
            <w:vAlign w:val="center"/>
            <w:hideMark/>
          </w:tcPr>
          <w:p w14:paraId="63B50E28"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-165,6</w:t>
            </w:r>
          </w:p>
        </w:tc>
        <w:tc>
          <w:tcPr>
            <w:tcW w:w="943" w:type="dxa"/>
            <w:tcBorders>
              <w:top w:val="nil"/>
              <w:left w:val="nil"/>
              <w:bottom w:val="single" w:sz="4" w:space="0" w:color="595959"/>
              <w:right w:val="nil"/>
            </w:tcBorders>
            <w:shd w:val="clear" w:color="auto" w:fill="auto"/>
            <w:noWrap/>
            <w:vAlign w:val="center"/>
            <w:hideMark/>
          </w:tcPr>
          <w:p w14:paraId="33ED097F"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-160,1</w:t>
            </w:r>
          </w:p>
        </w:tc>
      </w:tr>
    </w:tbl>
    <w:p w14:paraId="2A4A94E3" w14:textId="77777777" w:rsidR="00761800" w:rsidRPr="00761800" w:rsidRDefault="00761800" w:rsidP="00761800">
      <w:pPr>
        <w:spacing w:before="120" w:after="200"/>
        <w:ind w:firstLine="850"/>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Източник: МФ</w:t>
      </w:r>
    </w:p>
    <w:p w14:paraId="0A3E84DC"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Съпоставка на прогнозата за сектор „Държавно управление“ с тази на европейската комисия</w:t>
      </w:r>
    </w:p>
    <w:p w14:paraId="1B7BAED6" w14:textId="77777777" w:rsidR="00761800" w:rsidRPr="00761800" w:rsidRDefault="00761800" w:rsidP="00761800">
      <w:pPr>
        <w:spacing w:after="200"/>
        <w:jc w:val="both"/>
        <w:rPr>
          <w:rFonts w:ascii="Times New Roman" w:hAnsi="Times New Roman"/>
          <w:szCs w:val="22"/>
          <w:lang w:eastAsia="bg-BG"/>
        </w:rPr>
      </w:pPr>
      <w:bookmarkStart w:id="227" w:name="_Toc464737643"/>
      <w:bookmarkStart w:id="228" w:name="_Toc465239625"/>
      <w:r w:rsidRPr="00761800">
        <w:rPr>
          <w:rFonts w:ascii="Times New Roman" w:hAnsi="Times New Roman"/>
          <w:szCs w:val="22"/>
          <w:lang w:eastAsia="bg-BG"/>
        </w:rPr>
        <w:t xml:space="preserve">В тази част се прави съпоставка на средносрочната прогноза за сектор „Държавно управление“ на Министерството на финансите спрямо последната фискална прогноза на Европейската комисия от пролетта на 2026 г., която обхваща периода 2026-2027 г. Следва да се имат предвид различните бази и изменения в макроикономическите сценарии на двете институции, които обуславят различията по отношение на очакваните фискални резултати. </w:t>
      </w:r>
    </w:p>
    <w:p w14:paraId="72EF031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Прогнозата на ЕК е за по-нисък дефицит на сектор „Държавно управление“ за 2026 г. в сравнение с прогнозата на МФ – съответно 4,1% на ЕК спрямо 5,4% на МФ за 2026 г., а за 2027 г. прогнозата на МФ е за спад на дефицита до 3,9%, докато прогнозата на ЕК е за нарастване на дефицита до 4,3%. </w:t>
      </w:r>
    </w:p>
    <w:p w14:paraId="5656376F"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Бюджетното салдо за 2026 г. в прогнозата на ЕК се постига при по-ниски приходи – с 0,5 пр.п. и по-ниски разходи – с 1,8 пр.п. в сравнение с прогнозата на МФ. За 2027 г. бюджетните приходи в прогнозата на ЕК са по-високи с 1,1 пр.п. в сравнение с прогнозата на МФ, а разходите съответно с 1,5 пр.п. ЕК планира лихвени разходи за 2026 г. с 0,2 пр.п. и за 2027 г. с 0,1 по-високи в сравнение с МФ.</w:t>
      </w:r>
    </w:p>
    <w:p w14:paraId="4499927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За 2026 г. МФ и ЕК прогнозират инвестиции в брутообразуване на основен капитал в размер съответно на 5,8% и 4,4% от БВП. За 2027 г. се очаква спад до 4,1% от БВП в прогнозата на МФ и до 4,0% от БВП според прогнозата на ЕК.</w:t>
      </w:r>
    </w:p>
    <w:p w14:paraId="5293A8DB" w14:textId="5F76B489" w:rsidR="00761800" w:rsidRPr="00761800" w:rsidRDefault="00761800" w:rsidP="00761800">
      <w:pPr>
        <w:spacing w:after="120"/>
        <w:rPr>
          <w:rFonts w:ascii="Times New Roman" w:hAnsi="Times New Roman"/>
          <w:b/>
          <w:bCs/>
          <w:szCs w:val="18"/>
          <w:lang w:eastAsia="bg-BG"/>
        </w:rPr>
      </w:pPr>
      <w:bookmarkStart w:id="229" w:name="_Toc233185132"/>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14</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bookmarkEnd w:id="227"/>
      <w:bookmarkEnd w:id="228"/>
      <w:r w:rsidRPr="00761800">
        <w:rPr>
          <w:rFonts w:ascii="Times New Roman" w:hAnsi="Times New Roman"/>
          <w:b/>
          <w:bCs/>
          <w:szCs w:val="18"/>
          <w:lang w:eastAsia="bg-BG"/>
        </w:rPr>
        <w:tab/>
        <w:t>Сравнение на бюджетната прогноза на МФ с прогнозата на ЕК</w:t>
      </w:r>
      <w:bookmarkEnd w:id="229"/>
    </w:p>
    <w:tbl>
      <w:tblPr>
        <w:tblW w:w="4922" w:type="pct"/>
        <w:tblCellMar>
          <w:left w:w="70" w:type="dxa"/>
          <w:right w:w="70" w:type="dxa"/>
        </w:tblCellMar>
        <w:tblLook w:val="04A0" w:firstRow="1" w:lastRow="0" w:firstColumn="1" w:lastColumn="0" w:noHBand="0" w:noVBand="1"/>
      </w:tblPr>
      <w:tblGrid>
        <w:gridCol w:w="2885"/>
        <w:gridCol w:w="1102"/>
        <w:gridCol w:w="1234"/>
        <w:gridCol w:w="1236"/>
        <w:gridCol w:w="1234"/>
        <w:gridCol w:w="1238"/>
      </w:tblGrid>
      <w:tr w:rsidR="00761800" w:rsidRPr="00761800" w14:paraId="71F7E370" w14:textId="77777777" w:rsidTr="00761800">
        <w:trPr>
          <w:trHeight w:val="215"/>
          <w:tblHeader/>
        </w:trPr>
        <w:tc>
          <w:tcPr>
            <w:tcW w:w="1616" w:type="pct"/>
            <w:vMerge w:val="restart"/>
            <w:tcBorders>
              <w:top w:val="single" w:sz="4" w:space="0" w:color="auto"/>
            </w:tcBorders>
            <w:shd w:val="clear" w:color="auto" w:fill="E3E4E6"/>
            <w:vAlign w:val="center"/>
            <w:hideMark/>
          </w:tcPr>
          <w:p w14:paraId="05C1AF0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Показатели,</w:t>
            </w:r>
            <w:r w:rsidRPr="00761800">
              <w:rPr>
                <w:rFonts w:ascii="Times New Roman" w:hAnsi="Times New Roman"/>
                <w:b/>
                <w:bCs/>
                <w:sz w:val="20"/>
                <w:lang w:eastAsia="bg-BG"/>
              </w:rPr>
              <w:br/>
              <w:t>% от БВП</w:t>
            </w:r>
          </w:p>
        </w:tc>
        <w:tc>
          <w:tcPr>
            <w:tcW w:w="617" w:type="pct"/>
            <w:tcBorders>
              <w:top w:val="single" w:sz="4" w:space="0" w:color="auto"/>
            </w:tcBorders>
            <w:shd w:val="clear" w:color="auto" w:fill="E3E4E6"/>
            <w:vAlign w:val="center"/>
            <w:hideMark/>
          </w:tcPr>
          <w:p w14:paraId="7265693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2025</w:t>
            </w:r>
          </w:p>
        </w:tc>
        <w:tc>
          <w:tcPr>
            <w:tcW w:w="1383" w:type="pct"/>
            <w:gridSpan w:val="2"/>
            <w:tcBorders>
              <w:top w:val="single" w:sz="4" w:space="0" w:color="auto"/>
            </w:tcBorders>
            <w:shd w:val="clear" w:color="auto" w:fill="E3E4E6"/>
            <w:vAlign w:val="center"/>
            <w:hideMark/>
          </w:tcPr>
          <w:p w14:paraId="3782B84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2026</w:t>
            </w:r>
          </w:p>
        </w:tc>
        <w:tc>
          <w:tcPr>
            <w:tcW w:w="1384" w:type="pct"/>
            <w:gridSpan w:val="2"/>
            <w:tcBorders>
              <w:top w:val="single" w:sz="4" w:space="0" w:color="auto"/>
            </w:tcBorders>
            <w:shd w:val="clear" w:color="auto" w:fill="E3E4E6"/>
            <w:vAlign w:val="center"/>
            <w:hideMark/>
          </w:tcPr>
          <w:p w14:paraId="2CE540E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2027</w:t>
            </w:r>
          </w:p>
        </w:tc>
      </w:tr>
      <w:tr w:rsidR="00761800" w:rsidRPr="00761800" w14:paraId="51102F65" w14:textId="77777777" w:rsidTr="00761800">
        <w:trPr>
          <w:trHeight w:val="367"/>
          <w:tblHeader/>
        </w:trPr>
        <w:tc>
          <w:tcPr>
            <w:tcW w:w="1616" w:type="pct"/>
            <w:vMerge/>
            <w:tcBorders>
              <w:bottom w:val="single" w:sz="4" w:space="0" w:color="auto"/>
            </w:tcBorders>
            <w:shd w:val="clear" w:color="auto" w:fill="E3E4E6"/>
            <w:vAlign w:val="center"/>
            <w:hideMark/>
          </w:tcPr>
          <w:p w14:paraId="4DDD33C0" w14:textId="77777777" w:rsidR="00761800" w:rsidRPr="00761800" w:rsidRDefault="00761800" w:rsidP="00761800">
            <w:pPr>
              <w:rPr>
                <w:rFonts w:ascii="Times New Roman" w:hAnsi="Times New Roman"/>
                <w:b/>
                <w:bCs/>
                <w:sz w:val="20"/>
                <w:lang w:eastAsia="bg-BG"/>
              </w:rPr>
            </w:pPr>
          </w:p>
        </w:tc>
        <w:tc>
          <w:tcPr>
            <w:tcW w:w="617" w:type="pct"/>
            <w:tcBorders>
              <w:bottom w:val="single" w:sz="4" w:space="0" w:color="auto"/>
            </w:tcBorders>
            <w:shd w:val="clear" w:color="auto" w:fill="E3E4E6"/>
            <w:vAlign w:val="center"/>
            <w:hideMark/>
          </w:tcPr>
          <w:p w14:paraId="3A17348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МФ</w:t>
            </w:r>
            <w:r w:rsidRPr="00761800">
              <w:rPr>
                <w:rFonts w:ascii="Times New Roman" w:hAnsi="Times New Roman"/>
                <w:b/>
                <w:bCs/>
                <w:sz w:val="20"/>
                <w:lang w:eastAsia="bg-BG"/>
              </w:rPr>
              <w:br/>
              <w:t>% от БВП</w:t>
            </w:r>
          </w:p>
        </w:tc>
        <w:tc>
          <w:tcPr>
            <w:tcW w:w="691" w:type="pct"/>
            <w:tcBorders>
              <w:bottom w:val="single" w:sz="4" w:space="0" w:color="auto"/>
            </w:tcBorders>
            <w:shd w:val="clear" w:color="auto" w:fill="E3E4E6"/>
            <w:vAlign w:val="center"/>
            <w:hideMark/>
          </w:tcPr>
          <w:p w14:paraId="2746E87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МФ</w:t>
            </w:r>
            <w:r w:rsidRPr="00761800">
              <w:rPr>
                <w:rFonts w:ascii="Times New Roman" w:hAnsi="Times New Roman"/>
                <w:b/>
                <w:bCs/>
                <w:sz w:val="20"/>
                <w:lang w:eastAsia="bg-BG"/>
              </w:rPr>
              <w:br/>
              <w:t>% от БВП</w:t>
            </w:r>
          </w:p>
        </w:tc>
        <w:tc>
          <w:tcPr>
            <w:tcW w:w="692" w:type="pct"/>
            <w:tcBorders>
              <w:bottom w:val="single" w:sz="4" w:space="0" w:color="auto"/>
            </w:tcBorders>
            <w:shd w:val="clear" w:color="auto" w:fill="E3E4E6"/>
            <w:vAlign w:val="center"/>
            <w:hideMark/>
          </w:tcPr>
          <w:p w14:paraId="6651441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ЕК</w:t>
            </w:r>
            <w:r w:rsidRPr="00761800">
              <w:rPr>
                <w:rFonts w:ascii="Times New Roman" w:hAnsi="Times New Roman"/>
                <w:b/>
                <w:bCs/>
                <w:sz w:val="20"/>
                <w:lang w:eastAsia="bg-BG"/>
              </w:rPr>
              <w:br/>
              <w:t>% от БВП</w:t>
            </w:r>
          </w:p>
        </w:tc>
        <w:tc>
          <w:tcPr>
            <w:tcW w:w="691" w:type="pct"/>
            <w:tcBorders>
              <w:bottom w:val="single" w:sz="4" w:space="0" w:color="auto"/>
            </w:tcBorders>
            <w:shd w:val="clear" w:color="auto" w:fill="E3E4E6"/>
            <w:vAlign w:val="center"/>
            <w:hideMark/>
          </w:tcPr>
          <w:p w14:paraId="56AE3A4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МФ</w:t>
            </w:r>
            <w:r w:rsidRPr="00761800">
              <w:rPr>
                <w:rFonts w:ascii="Times New Roman" w:hAnsi="Times New Roman"/>
                <w:b/>
                <w:bCs/>
                <w:sz w:val="20"/>
                <w:lang w:eastAsia="bg-BG"/>
              </w:rPr>
              <w:br/>
              <w:t>% от БВП</w:t>
            </w:r>
          </w:p>
        </w:tc>
        <w:tc>
          <w:tcPr>
            <w:tcW w:w="693" w:type="pct"/>
            <w:tcBorders>
              <w:bottom w:val="single" w:sz="4" w:space="0" w:color="auto"/>
            </w:tcBorders>
            <w:shd w:val="clear" w:color="auto" w:fill="E3E4E6"/>
            <w:vAlign w:val="center"/>
            <w:hideMark/>
          </w:tcPr>
          <w:p w14:paraId="74FE0B9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ЕК</w:t>
            </w:r>
            <w:r w:rsidRPr="00761800">
              <w:rPr>
                <w:rFonts w:ascii="Times New Roman" w:hAnsi="Times New Roman"/>
                <w:b/>
                <w:bCs/>
                <w:sz w:val="20"/>
                <w:lang w:eastAsia="bg-BG"/>
              </w:rPr>
              <w:br/>
              <w:t>% от БВП</w:t>
            </w:r>
          </w:p>
        </w:tc>
      </w:tr>
      <w:tr w:rsidR="00761800" w:rsidRPr="00761800" w14:paraId="3681D046" w14:textId="77777777" w:rsidTr="00406B4D">
        <w:trPr>
          <w:trHeight w:val="215"/>
        </w:trPr>
        <w:tc>
          <w:tcPr>
            <w:tcW w:w="1616" w:type="pct"/>
            <w:tcBorders>
              <w:top w:val="single" w:sz="4" w:space="0" w:color="auto"/>
            </w:tcBorders>
            <w:shd w:val="clear" w:color="auto" w:fill="auto"/>
            <w:vAlign w:val="bottom"/>
            <w:hideMark/>
          </w:tcPr>
          <w:p w14:paraId="74F719B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Лихвени разходи</w:t>
            </w:r>
          </w:p>
        </w:tc>
        <w:tc>
          <w:tcPr>
            <w:tcW w:w="617" w:type="pct"/>
            <w:tcBorders>
              <w:top w:val="single" w:sz="4" w:space="0" w:color="auto"/>
            </w:tcBorders>
            <w:shd w:val="clear" w:color="auto" w:fill="auto"/>
            <w:noWrap/>
            <w:hideMark/>
          </w:tcPr>
          <w:p w14:paraId="46A2947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0,8%</w:t>
            </w:r>
          </w:p>
        </w:tc>
        <w:tc>
          <w:tcPr>
            <w:tcW w:w="691" w:type="pct"/>
            <w:tcBorders>
              <w:top w:val="single" w:sz="4" w:space="0" w:color="auto"/>
            </w:tcBorders>
            <w:shd w:val="clear" w:color="auto" w:fill="auto"/>
            <w:noWrap/>
            <w:vAlign w:val="bottom"/>
            <w:hideMark/>
          </w:tcPr>
          <w:p w14:paraId="662767E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c>
          <w:tcPr>
            <w:tcW w:w="692" w:type="pct"/>
            <w:tcBorders>
              <w:top w:val="single" w:sz="4" w:space="0" w:color="auto"/>
            </w:tcBorders>
            <w:shd w:val="clear" w:color="auto" w:fill="auto"/>
            <w:noWrap/>
            <w:hideMark/>
          </w:tcPr>
          <w:p w14:paraId="10CB249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w:t>
            </w:r>
          </w:p>
        </w:tc>
        <w:tc>
          <w:tcPr>
            <w:tcW w:w="691" w:type="pct"/>
            <w:tcBorders>
              <w:top w:val="single" w:sz="4" w:space="0" w:color="auto"/>
            </w:tcBorders>
            <w:shd w:val="clear" w:color="auto" w:fill="auto"/>
            <w:noWrap/>
            <w:vAlign w:val="bottom"/>
            <w:hideMark/>
          </w:tcPr>
          <w:p w14:paraId="5C46F2B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w:t>
            </w:r>
          </w:p>
        </w:tc>
        <w:tc>
          <w:tcPr>
            <w:tcW w:w="693" w:type="pct"/>
            <w:tcBorders>
              <w:top w:val="single" w:sz="4" w:space="0" w:color="auto"/>
            </w:tcBorders>
            <w:shd w:val="clear" w:color="auto" w:fill="auto"/>
            <w:noWrap/>
            <w:hideMark/>
          </w:tcPr>
          <w:p w14:paraId="28D9619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1,3%</w:t>
            </w:r>
          </w:p>
        </w:tc>
      </w:tr>
      <w:tr w:rsidR="00761800" w:rsidRPr="00761800" w14:paraId="6159BBC9" w14:textId="77777777" w:rsidTr="00406B4D">
        <w:trPr>
          <w:trHeight w:val="379"/>
        </w:trPr>
        <w:tc>
          <w:tcPr>
            <w:tcW w:w="1616" w:type="pct"/>
            <w:shd w:val="clear" w:color="auto" w:fill="auto"/>
            <w:vAlign w:val="bottom"/>
            <w:hideMark/>
          </w:tcPr>
          <w:p w14:paraId="2D1FCEE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lastRenderedPageBreak/>
              <w:t>Брутообразуване на основен капитал/публични инвестиции/</w:t>
            </w:r>
          </w:p>
        </w:tc>
        <w:tc>
          <w:tcPr>
            <w:tcW w:w="617" w:type="pct"/>
            <w:shd w:val="clear" w:color="auto" w:fill="auto"/>
            <w:noWrap/>
            <w:hideMark/>
          </w:tcPr>
          <w:p w14:paraId="3851DDC5" w14:textId="77777777" w:rsidR="00761800" w:rsidRPr="00761800" w:rsidRDefault="00761800" w:rsidP="00761800">
            <w:pPr>
              <w:spacing w:before="240"/>
              <w:jc w:val="center"/>
              <w:rPr>
                <w:rFonts w:ascii="Times New Roman" w:hAnsi="Times New Roman"/>
                <w:sz w:val="20"/>
                <w:lang w:eastAsia="bg-BG"/>
              </w:rPr>
            </w:pPr>
            <w:r w:rsidRPr="00761800">
              <w:rPr>
                <w:rFonts w:ascii="Times New Roman" w:hAnsi="Times New Roman"/>
                <w:sz w:val="20"/>
                <w:lang w:eastAsia="bg-BG"/>
              </w:rPr>
              <w:t>4,5%</w:t>
            </w:r>
          </w:p>
        </w:tc>
        <w:tc>
          <w:tcPr>
            <w:tcW w:w="691" w:type="pct"/>
            <w:tcBorders>
              <w:top w:val="nil"/>
            </w:tcBorders>
            <w:shd w:val="clear" w:color="auto" w:fill="auto"/>
            <w:noWrap/>
            <w:vAlign w:val="bottom"/>
            <w:hideMark/>
          </w:tcPr>
          <w:p w14:paraId="37B5A496" w14:textId="77777777" w:rsidR="00761800" w:rsidRPr="00761800" w:rsidRDefault="00761800" w:rsidP="00761800">
            <w:pPr>
              <w:spacing w:before="240"/>
              <w:jc w:val="center"/>
              <w:rPr>
                <w:rFonts w:ascii="Times New Roman" w:hAnsi="Times New Roman"/>
                <w:sz w:val="20"/>
                <w:lang w:eastAsia="bg-BG"/>
              </w:rPr>
            </w:pPr>
            <w:r w:rsidRPr="00761800">
              <w:rPr>
                <w:rFonts w:ascii="Times New Roman" w:hAnsi="Times New Roman"/>
                <w:sz w:val="20"/>
                <w:lang w:eastAsia="bg-BG"/>
              </w:rPr>
              <w:t>5,8%</w:t>
            </w:r>
          </w:p>
        </w:tc>
        <w:tc>
          <w:tcPr>
            <w:tcW w:w="692" w:type="pct"/>
            <w:shd w:val="clear" w:color="auto" w:fill="auto"/>
            <w:noWrap/>
            <w:hideMark/>
          </w:tcPr>
          <w:p w14:paraId="4E77D60C" w14:textId="77777777" w:rsidR="00761800" w:rsidRPr="00761800" w:rsidRDefault="00761800" w:rsidP="00761800">
            <w:pPr>
              <w:spacing w:before="240"/>
              <w:jc w:val="center"/>
              <w:rPr>
                <w:rFonts w:ascii="Times New Roman" w:hAnsi="Times New Roman"/>
                <w:sz w:val="20"/>
                <w:lang w:eastAsia="bg-BG"/>
              </w:rPr>
            </w:pPr>
            <w:r w:rsidRPr="00761800">
              <w:rPr>
                <w:rFonts w:ascii="Times New Roman" w:hAnsi="Times New Roman"/>
                <w:sz w:val="20"/>
                <w:lang w:eastAsia="bg-BG"/>
              </w:rPr>
              <w:t>4,4%</w:t>
            </w:r>
          </w:p>
        </w:tc>
        <w:tc>
          <w:tcPr>
            <w:tcW w:w="691" w:type="pct"/>
            <w:tcBorders>
              <w:top w:val="nil"/>
            </w:tcBorders>
            <w:shd w:val="clear" w:color="auto" w:fill="auto"/>
            <w:noWrap/>
            <w:vAlign w:val="bottom"/>
            <w:hideMark/>
          </w:tcPr>
          <w:p w14:paraId="665B761B" w14:textId="77777777" w:rsidR="00761800" w:rsidRPr="00761800" w:rsidRDefault="00761800" w:rsidP="00761800">
            <w:pPr>
              <w:spacing w:before="240"/>
              <w:jc w:val="center"/>
              <w:rPr>
                <w:rFonts w:ascii="Times New Roman" w:hAnsi="Times New Roman"/>
                <w:sz w:val="20"/>
                <w:lang w:eastAsia="bg-BG"/>
              </w:rPr>
            </w:pPr>
            <w:r w:rsidRPr="00761800">
              <w:rPr>
                <w:rFonts w:ascii="Times New Roman" w:hAnsi="Times New Roman"/>
                <w:sz w:val="20"/>
                <w:lang w:eastAsia="bg-BG"/>
              </w:rPr>
              <w:t>4,1%</w:t>
            </w:r>
          </w:p>
        </w:tc>
        <w:tc>
          <w:tcPr>
            <w:tcW w:w="693" w:type="pct"/>
            <w:shd w:val="clear" w:color="auto" w:fill="auto"/>
            <w:noWrap/>
            <w:hideMark/>
          </w:tcPr>
          <w:p w14:paraId="5DCECB4A" w14:textId="77777777" w:rsidR="00761800" w:rsidRPr="00761800" w:rsidRDefault="00761800" w:rsidP="00761800">
            <w:pPr>
              <w:spacing w:before="240"/>
              <w:jc w:val="center"/>
              <w:rPr>
                <w:rFonts w:ascii="Times New Roman" w:hAnsi="Times New Roman"/>
                <w:sz w:val="20"/>
                <w:lang w:eastAsia="bg-BG"/>
              </w:rPr>
            </w:pPr>
            <w:r w:rsidRPr="00761800">
              <w:rPr>
                <w:rFonts w:ascii="Times New Roman" w:hAnsi="Times New Roman"/>
                <w:sz w:val="20"/>
                <w:lang w:eastAsia="bg-BG"/>
              </w:rPr>
              <w:t>4,0%</w:t>
            </w:r>
          </w:p>
        </w:tc>
      </w:tr>
      <w:tr w:rsidR="00761800" w:rsidRPr="00761800" w14:paraId="35E16F34" w14:textId="77777777" w:rsidTr="00406B4D">
        <w:trPr>
          <w:trHeight w:val="215"/>
        </w:trPr>
        <w:tc>
          <w:tcPr>
            <w:tcW w:w="1616" w:type="pct"/>
            <w:shd w:val="clear" w:color="auto" w:fill="auto"/>
            <w:vAlign w:val="bottom"/>
            <w:hideMark/>
          </w:tcPr>
          <w:p w14:paraId="4A85E90F"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xml:space="preserve">Общо приходи </w:t>
            </w:r>
          </w:p>
        </w:tc>
        <w:tc>
          <w:tcPr>
            <w:tcW w:w="617" w:type="pct"/>
            <w:shd w:val="clear" w:color="auto" w:fill="auto"/>
            <w:noWrap/>
            <w:hideMark/>
          </w:tcPr>
          <w:p w14:paraId="0E4AB28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38,1%</w:t>
            </w:r>
          </w:p>
        </w:tc>
        <w:tc>
          <w:tcPr>
            <w:tcW w:w="691" w:type="pct"/>
            <w:tcBorders>
              <w:top w:val="nil"/>
            </w:tcBorders>
            <w:shd w:val="clear" w:color="auto" w:fill="auto"/>
            <w:noWrap/>
            <w:vAlign w:val="bottom"/>
            <w:hideMark/>
          </w:tcPr>
          <w:p w14:paraId="62AFA2D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39,9%</w:t>
            </w:r>
          </w:p>
        </w:tc>
        <w:tc>
          <w:tcPr>
            <w:tcW w:w="692" w:type="pct"/>
            <w:shd w:val="clear" w:color="auto" w:fill="auto"/>
            <w:noWrap/>
            <w:hideMark/>
          </w:tcPr>
          <w:p w14:paraId="0707A62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39,4%</w:t>
            </w:r>
          </w:p>
        </w:tc>
        <w:tc>
          <w:tcPr>
            <w:tcW w:w="691" w:type="pct"/>
            <w:tcBorders>
              <w:top w:val="nil"/>
            </w:tcBorders>
            <w:shd w:val="clear" w:color="auto" w:fill="auto"/>
            <w:noWrap/>
            <w:vAlign w:val="bottom"/>
            <w:hideMark/>
          </w:tcPr>
          <w:p w14:paraId="4B7D933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37,1%</w:t>
            </w:r>
          </w:p>
        </w:tc>
        <w:tc>
          <w:tcPr>
            <w:tcW w:w="693" w:type="pct"/>
            <w:shd w:val="clear" w:color="auto" w:fill="auto"/>
            <w:noWrap/>
            <w:hideMark/>
          </w:tcPr>
          <w:p w14:paraId="2B855A2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38,2%</w:t>
            </w:r>
          </w:p>
        </w:tc>
      </w:tr>
      <w:tr w:rsidR="00761800" w:rsidRPr="00761800" w14:paraId="6B8FC35B" w14:textId="77777777" w:rsidTr="00406B4D">
        <w:trPr>
          <w:trHeight w:val="247"/>
        </w:trPr>
        <w:tc>
          <w:tcPr>
            <w:tcW w:w="1616" w:type="pct"/>
            <w:shd w:val="clear" w:color="auto" w:fill="auto"/>
            <w:vAlign w:val="bottom"/>
            <w:hideMark/>
          </w:tcPr>
          <w:p w14:paraId="2473E539"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xml:space="preserve">Общо разходи  </w:t>
            </w:r>
          </w:p>
        </w:tc>
        <w:tc>
          <w:tcPr>
            <w:tcW w:w="617" w:type="pct"/>
            <w:shd w:val="clear" w:color="auto" w:fill="auto"/>
            <w:noWrap/>
            <w:hideMark/>
          </w:tcPr>
          <w:p w14:paraId="0D2D928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41,7%</w:t>
            </w:r>
          </w:p>
        </w:tc>
        <w:tc>
          <w:tcPr>
            <w:tcW w:w="691" w:type="pct"/>
            <w:tcBorders>
              <w:top w:val="nil"/>
            </w:tcBorders>
            <w:shd w:val="clear" w:color="auto" w:fill="auto"/>
            <w:noWrap/>
            <w:vAlign w:val="bottom"/>
            <w:hideMark/>
          </w:tcPr>
          <w:p w14:paraId="285BF2B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45,3%</w:t>
            </w:r>
          </w:p>
        </w:tc>
        <w:tc>
          <w:tcPr>
            <w:tcW w:w="692" w:type="pct"/>
            <w:shd w:val="clear" w:color="auto" w:fill="auto"/>
            <w:noWrap/>
            <w:hideMark/>
          </w:tcPr>
          <w:p w14:paraId="6A7AC82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43,5%</w:t>
            </w:r>
          </w:p>
        </w:tc>
        <w:tc>
          <w:tcPr>
            <w:tcW w:w="691" w:type="pct"/>
            <w:tcBorders>
              <w:top w:val="nil"/>
            </w:tcBorders>
            <w:shd w:val="clear" w:color="auto" w:fill="auto"/>
            <w:noWrap/>
            <w:vAlign w:val="bottom"/>
            <w:hideMark/>
          </w:tcPr>
          <w:p w14:paraId="035DFF3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41,0%</w:t>
            </w:r>
          </w:p>
        </w:tc>
        <w:tc>
          <w:tcPr>
            <w:tcW w:w="693" w:type="pct"/>
            <w:shd w:val="clear" w:color="auto" w:fill="auto"/>
            <w:noWrap/>
            <w:hideMark/>
          </w:tcPr>
          <w:p w14:paraId="4815133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42,5%</w:t>
            </w:r>
          </w:p>
        </w:tc>
      </w:tr>
      <w:tr w:rsidR="00761800" w:rsidRPr="00761800" w14:paraId="3650EED7" w14:textId="77777777" w:rsidTr="00406B4D">
        <w:trPr>
          <w:trHeight w:val="94"/>
        </w:trPr>
        <w:tc>
          <w:tcPr>
            <w:tcW w:w="1616" w:type="pct"/>
            <w:tcBorders>
              <w:bottom w:val="single" w:sz="4" w:space="0" w:color="auto"/>
            </w:tcBorders>
            <w:shd w:val="clear" w:color="auto" w:fill="auto"/>
            <w:vAlign w:val="bottom"/>
            <w:hideMark/>
          </w:tcPr>
          <w:p w14:paraId="05465CBE"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xml:space="preserve">Общ баланс </w:t>
            </w:r>
          </w:p>
        </w:tc>
        <w:tc>
          <w:tcPr>
            <w:tcW w:w="617" w:type="pct"/>
            <w:tcBorders>
              <w:bottom w:val="single" w:sz="4" w:space="0" w:color="auto"/>
            </w:tcBorders>
            <w:shd w:val="clear" w:color="auto" w:fill="auto"/>
            <w:noWrap/>
            <w:hideMark/>
          </w:tcPr>
          <w:p w14:paraId="7760A10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-3,5%</w:t>
            </w:r>
          </w:p>
        </w:tc>
        <w:tc>
          <w:tcPr>
            <w:tcW w:w="691" w:type="pct"/>
            <w:tcBorders>
              <w:top w:val="nil"/>
              <w:bottom w:val="single" w:sz="4" w:space="0" w:color="auto"/>
            </w:tcBorders>
            <w:shd w:val="clear" w:color="auto" w:fill="auto"/>
            <w:noWrap/>
            <w:vAlign w:val="bottom"/>
            <w:hideMark/>
          </w:tcPr>
          <w:p w14:paraId="510EE96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-5,4%</w:t>
            </w:r>
          </w:p>
        </w:tc>
        <w:tc>
          <w:tcPr>
            <w:tcW w:w="692" w:type="pct"/>
            <w:tcBorders>
              <w:bottom w:val="single" w:sz="4" w:space="0" w:color="auto"/>
            </w:tcBorders>
            <w:shd w:val="clear" w:color="auto" w:fill="auto"/>
            <w:noWrap/>
            <w:hideMark/>
          </w:tcPr>
          <w:p w14:paraId="441DF0E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-4,1%</w:t>
            </w:r>
          </w:p>
        </w:tc>
        <w:tc>
          <w:tcPr>
            <w:tcW w:w="691" w:type="pct"/>
            <w:tcBorders>
              <w:top w:val="nil"/>
              <w:bottom w:val="single" w:sz="4" w:space="0" w:color="auto"/>
            </w:tcBorders>
            <w:shd w:val="clear" w:color="auto" w:fill="auto"/>
            <w:noWrap/>
            <w:vAlign w:val="bottom"/>
            <w:hideMark/>
          </w:tcPr>
          <w:p w14:paraId="4BAFED3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-3,9%</w:t>
            </w:r>
          </w:p>
        </w:tc>
        <w:tc>
          <w:tcPr>
            <w:tcW w:w="693" w:type="pct"/>
            <w:tcBorders>
              <w:bottom w:val="single" w:sz="4" w:space="0" w:color="auto"/>
            </w:tcBorders>
            <w:shd w:val="clear" w:color="auto" w:fill="auto"/>
            <w:noWrap/>
            <w:hideMark/>
          </w:tcPr>
          <w:p w14:paraId="372C374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-4,3%</w:t>
            </w:r>
          </w:p>
        </w:tc>
      </w:tr>
    </w:tbl>
    <w:p w14:paraId="59E77E5A" w14:textId="77777777" w:rsidR="00761800" w:rsidRPr="00761800" w:rsidRDefault="00761800" w:rsidP="00761800">
      <w:pPr>
        <w:spacing w:before="120" w:after="120"/>
        <w:ind w:left="1411" w:hanging="1411"/>
        <w:jc w:val="right"/>
        <w:rPr>
          <w:rFonts w:ascii="Times New Roman" w:hAnsi="Times New Roman"/>
          <w:sz w:val="18"/>
          <w:szCs w:val="18"/>
          <w:lang w:eastAsia="bg-BG"/>
        </w:rPr>
      </w:pPr>
      <w:r w:rsidRPr="00761800">
        <w:rPr>
          <w:rFonts w:ascii="Times New Roman" w:hAnsi="Times New Roman"/>
          <w:sz w:val="18"/>
          <w:szCs w:val="18"/>
          <w:lang w:eastAsia="bg-BG"/>
        </w:rPr>
        <w:t>Източник: ЕК, МФ, НСИ</w:t>
      </w:r>
    </w:p>
    <w:p w14:paraId="20E73124"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Консолидиран дълг на сектор „Държавно управление“</w:t>
      </w:r>
    </w:p>
    <w:p w14:paraId="605501E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края на 2025 г. дългът на сектор „Държавно управление“ отбелязва ръст в номинално изражение спрямо нивото от предходната година, като достига до 34,6 млрд. евро (25,0 млрд. евро в края на 2024 г.). Съотношението на дълга към БВП също нараства с 6,0 пр.п. до ниво от 29,9% (23,8% към 31.12.2024 г.), което</w:t>
      </w:r>
      <w:r w:rsidRPr="00761800">
        <w:rPr>
          <w:rFonts w:ascii="Times New Roman" w:hAnsi="Times New Roman"/>
          <w:bCs/>
          <w:szCs w:val="22"/>
          <w:lang w:eastAsia="bg-BG"/>
        </w:rPr>
        <w:t xml:space="preserve"> нарежда </w:t>
      </w:r>
      <w:r w:rsidRPr="00761800">
        <w:rPr>
          <w:rFonts w:ascii="Times New Roman" w:hAnsi="Times New Roman"/>
          <w:szCs w:val="22"/>
          <w:lang w:eastAsia="bg-BG"/>
        </w:rPr>
        <w:t>България на четвърто място сред държавите-членки на ЕС и е второто най-голямо нарастване в ЕС след Финландия. За сравнение, средните нива за страните както в еврозоната, така и на ниво ЕС бележат леко увеличение съответно до 87,8% (87,0% в края на 2024 г.) и до 81,7% (80,7% в края на 2024 г.). Увеличението на показателя се дължи основно на поемането на дълг с цел финансиране на бюджетния дефицит и на извършени операции по увеличаване на капитала на „Български енергиен холдинг“ ЕАД  и на „Българска банка за развитие“ ЕАД, респ. класифициране по решение на Евростат на неусвоения остатък от средствата за капитализация, съхранявани по сметки на Министерството на финансите и Министерството на енергетиката като дълг: пасив (инструмент депозит).</w:t>
      </w:r>
    </w:p>
    <w:p w14:paraId="3835D96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През 2025 г. най-ниските нива на този показател са отчетени в Естония (24,1%), Люксембург (26,5%), Дания (27,9%) и България (29,9%), като дванадесет държави членки имат коефициенти на държавен дълг над 60% от БВП, в т.ч. най-високите са регистрирани в Гърция (146,1%), Италия (137,1%) и Франция (115,6%) и пр. </w:t>
      </w:r>
    </w:p>
    <w:p w14:paraId="04E0FA0A" w14:textId="4FAF00E5" w:rsidR="00761800" w:rsidRPr="00761800" w:rsidRDefault="00761800" w:rsidP="00761800">
      <w:pPr>
        <w:keepNext/>
        <w:spacing w:after="60"/>
        <w:ind w:left="1418" w:hanging="1418"/>
        <w:rPr>
          <w:rFonts w:ascii="Times New Roman" w:hAnsi="Times New Roman"/>
          <w:b/>
          <w:bCs/>
          <w:szCs w:val="18"/>
          <w:lang w:eastAsia="bg-BG"/>
        </w:rPr>
      </w:pPr>
      <w:r w:rsidRPr="00761800">
        <w:rPr>
          <w:rFonts w:ascii="Times New Roman" w:hAnsi="Times New Roman"/>
          <w:b/>
          <w:bCs/>
          <w:szCs w:val="18"/>
          <w:lang w:eastAsia="bg-BG"/>
        </w:rPr>
        <w:lastRenderedPageBreak/>
        <w:t xml:space="preserve">Граф.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Граф.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2</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Консолидиран дълг на сектор „Държавно управление“/БВП на страните-членки на ЕС към края на 2025 г.</w:t>
      </w:r>
    </w:p>
    <w:p w14:paraId="45E51405" w14:textId="77777777" w:rsidR="00761800" w:rsidRPr="00761800" w:rsidRDefault="00761800" w:rsidP="00761800">
      <w:pPr>
        <w:spacing w:after="200"/>
        <w:jc w:val="both"/>
        <w:rPr>
          <w:rFonts w:ascii="Times New Roman" w:hAnsi="Times New Roman"/>
          <w:noProof/>
          <w:szCs w:val="22"/>
          <w:lang w:eastAsia="bg-BG"/>
        </w:rPr>
      </w:pPr>
      <w:r w:rsidRPr="00761800">
        <w:rPr>
          <w:rFonts w:ascii="Times New Roman" w:hAnsi="Times New Roman"/>
          <w:noProof/>
          <w:szCs w:val="22"/>
          <w:lang w:eastAsia="bg-BG"/>
        </w:rPr>
        <w:drawing>
          <wp:inline distT="0" distB="0" distL="0" distR="0" wp14:anchorId="719A5DBD" wp14:editId="4A0B1ABD">
            <wp:extent cx="5810250" cy="44259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10250" cy="4425950"/>
                    </a:xfrm>
                    <a:prstGeom prst="rect">
                      <a:avLst/>
                    </a:prstGeom>
                    <a:noFill/>
                  </pic:spPr>
                </pic:pic>
              </a:graphicData>
            </a:graphic>
          </wp:inline>
        </w:drawing>
      </w:r>
    </w:p>
    <w:p w14:paraId="003DDB1D" w14:textId="77777777" w:rsidR="00761800" w:rsidRPr="00761800" w:rsidRDefault="00761800" w:rsidP="00761800">
      <w:pPr>
        <w:spacing w:after="200"/>
        <w:jc w:val="right"/>
        <w:rPr>
          <w:rFonts w:ascii="Times New Roman" w:eastAsia="Batang" w:hAnsi="Times New Roman"/>
          <w:sz w:val="16"/>
          <w:szCs w:val="16"/>
          <w:lang w:eastAsia="bg-BG"/>
        </w:rPr>
      </w:pPr>
      <w:r w:rsidRPr="00761800">
        <w:rPr>
          <w:rFonts w:ascii="Times New Roman" w:eastAsia="Batang" w:hAnsi="Times New Roman"/>
          <w:sz w:val="18"/>
          <w:szCs w:val="18"/>
          <w:lang w:eastAsia="bg-BG"/>
        </w:rPr>
        <w:t>Източник: Евростат, МФ</w:t>
      </w:r>
      <w:r w:rsidRPr="00761800">
        <w:rPr>
          <w:rFonts w:ascii="Times New Roman" w:eastAsia="Batang" w:hAnsi="Times New Roman"/>
          <w:sz w:val="16"/>
          <w:szCs w:val="16"/>
          <w:lang w:eastAsia="bg-BG"/>
        </w:rPr>
        <w:t xml:space="preserve"> </w:t>
      </w:r>
    </w:p>
    <w:p w14:paraId="600B8C1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В средносрочен план се прогнозира запазване на тенденцията за увеличение в нивото на консолидирания дълг на сектор „Държавно управление“ както в номинално изражение, така и като дял от БВП, движена основно от влиянието на дълга на подсектор „Централно управление“ и в частност на държавния дълг, като негов основен компонент. Дълговата задлъжнялост на единиците, включени в обхвата на подсектора, продължават да заемат сравнително нисък дял и имат минимално влияние върху общия размер на дълга на сектора. Въздействието на дълга на другите два компонента, формиращи дълга на сектора (подсектор „Местно управление“ и подсектор „Социалноосигурителни фондове“) се запазва минимално. </w:t>
      </w:r>
    </w:p>
    <w:p w14:paraId="360A8D80"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Очаква се дългът на сектора, представен в абсолютна стойност, да достигне до 40,4 млрд. евро в края на 2026 г., 45,4 млрд. евро в края на 2027 г. и 51,1 млрд. евро в края на 2028 г. (вкл. усвоявания по инструмента SAFE). При тези допускания се предвижда ръст средно за прогнозния период 2026-2028 г. от около 5,5 млрд. евро годишно. Общата дългова задлъжнялост на сектор „Държавно управление”, съотнесена спрямо БВП, също се очаква да се увеличи до 32,3% през 2026 г., 33,8% през 2027 г. и 35,7% през 2028 г., със средногодишен темп на нарастване за периода 2026-2028 г. от 1,9 пр.п. Независимо от тези развития, показателят остава под референтната стойност от 60% от БВП в средносрочна перспектива.</w:t>
      </w:r>
    </w:p>
    <w:p w14:paraId="4DE3375F" w14:textId="77777777" w:rsidR="00761800" w:rsidRPr="00761800" w:rsidRDefault="00761800" w:rsidP="00761800">
      <w:pPr>
        <w:spacing w:after="200"/>
        <w:jc w:val="both"/>
        <w:rPr>
          <w:rFonts w:ascii="Times New Roman" w:hAnsi="Times New Roman"/>
          <w:szCs w:val="24"/>
          <w:lang w:eastAsia="bg-BG"/>
        </w:rPr>
      </w:pPr>
    </w:p>
    <w:p w14:paraId="20D0297B" w14:textId="4F7A44FC" w:rsidR="00761800" w:rsidRPr="00761800" w:rsidRDefault="00761800" w:rsidP="00761800">
      <w:pPr>
        <w:spacing w:after="60"/>
        <w:ind w:left="1418" w:hanging="1418"/>
        <w:rPr>
          <w:rFonts w:ascii="Times New Roman" w:hAnsi="Times New Roman"/>
          <w:b/>
          <w:bCs/>
          <w:szCs w:val="18"/>
          <w:lang w:eastAsia="bg-BG"/>
        </w:rPr>
      </w:pPr>
      <w:r w:rsidRPr="00761800">
        <w:rPr>
          <w:rFonts w:ascii="Times New Roman" w:hAnsi="Times New Roman"/>
          <w:b/>
          <w:bCs/>
          <w:szCs w:val="18"/>
          <w:lang w:eastAsia="bg-BG"/>
        </w:rPr>
        <w:lastRenderedPageBreak/>
        <w:t xml:space="preserve">Граф.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Граф.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3</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Консолидиран дълг на сектор „Държавно управление“</w:t>
      </w:r>
    </w:p>
    <w:p w14:paraId="6CD411B9" w14:textId="77777777" w:rsidR="00761800" w:rsidRPr="00761800" w:rsidRDefault="00761800" w:rsidP="00761800">
      <w:pPr>
        <w:spacing w:after="200"/>
        <w:jc w:val="both"/>
        <w:rPr>
          <w:rFonts w:ascii="Times New Roman" w:hAnsi="Times New Roman"/>
          <w:noProof/>
          <w:szCs w:val="22"/>
          <w:lang w:eastAsia="bg-BG"/>
        </w:rPr>
      </w:pPr>
      <w:r w:rsidRPr="00761800">
        <w:rPr>
          <w:rFonts w:ascii="Times New Roman" w:eastAsia="Batang" w:hAnsi="Times New Roman"/>
          <w:noProof/>
          <w:sz w:val="18"/>
          <w:szCs w:val="18"/>
          <w:lang w:eastAsia="bg-BG"/>
        </w:rPr>
        <w:drawing>
          <wp:inline distT="0" distB="0" distL="0" distR="0" wp14:anchorId="270DA0E6" wp14:editId="50E26208">
            <wp:extent cx="5759450" cy="3863346"/>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3863346"/>
                    </a:xfrm>
                    <a:prstGeom prst="rect">
                      <a:avLst/>
                    </a:prstGeom>
                    <a:noFill/>
                  </pic:spPr>
                </pic:pic>
              </a:graphicData>
            </a:graphic>
          </wp:inline>
        </w:drawing>
      </w:r>
    </w:p>
    <w:p w14:paraId="1EB8CF55" w14:textId="77777777" w:rsidR="00761800" w:rsidRPr="00761800" w:rsidRDefault="00761800" w:rsidP="00761800">
      <w:pPr>
        <w:spacing w:after="200"/>
        <w:jc w:val="right"/>
        <w:rPr>
          <w:rFonts w:ascii="Times New Roman" w:eastAsia="Batang" w:hAnsi="Times New Roman"/>
          <w:sz w:val="16"/>
          <w:szCs w:val="16"/>
          <w:lang w:eastAsia="bg-BG"/>
        </w:rPr>
      </w:pPr>
      <w:r w:rsidRPr="00761800">
        <w:rPr>
          <w:rFonts w:ascii="Times New Roman" w:eastAsia="Batang" w:hAnsi="Times New Roman"/>
          <w:sz w:val="18"/>
          <w:szCs w:val="18"/>
          <w:lang w:eastAsia="bg-BG"/>
        </w:rPr>
        <w:t>Източник: Евростат, МФ</w:t>
      </w:r>
      <w:r w:rsidRPr="00761800">
        <w:rPr>
          <w:rFonts w:ascii="Times New Roman" w:eastAsia="Batang" w:hAnsi="Times New Roman"/>
          <w:sz w:val="16"/>
          <w:szCs w:val="16"/>
          <w:lang w:eastAsia="bg-BG"/>
        </w:rPr>
        <w:t xml:space="preserve"> </w:t>
      </w:r>
    </w:p>
    <w:p w14:paraId="32F6C3BA"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Условни задължения с потенциално значително въздействие върху сектор „Държавно управление“</w:t>
      </w:r>
    </w:p>
    <w:p w14:paraId="3FBF73DD" w14:textId="77777777" w:rsidR="00761800" w:rsidRPr="00761800" w:rsidRDefault="00761800" w:rsidP="00761800">
      <w:pPr>
        <w:spacing w:after="200"/>
        <w:jc w:val="both"/>
        <w:rPr>
          <w:rFonts w:ascii="Times New Roman" w:hAnsi="Times New Roman"/>
          <w:noProof/>
          <w:szCs w:val="24"/>
          <w:lang w:eastAsia="bg-BG"/>
        </w:rPr>
      </w:pPr>
      <w:r w:rsidRPr="00761800">
        <w:rPr>
          <w:rFonts w:ascii="Times New Roman" w:hAnsi="Times New Roman"/>
          <w:noProof/>
          <w:szCs w:val="24"/>
          <w:lang w:eastAsia="bg-BG"/>
        </w:rPr>
        <w:t>Съгласно изискванията на чл. 73, т. 8 от Закона за публичните финанси, средносрочната бюджетна прогноза и нейната актуализация следва да съдържат информация за условните задължения с потенциално значително въздействие върху сектор „Държавно управление“, включително на равнище подсектори. Това се прави и в контекста на засиленото икономическо управление на ЕС, в съответствие с чл. 14, параграф 3 от Директива (ЕС) 2024/1265 на Съвета от 29 април 2024 година за изменение на Директива 2011/85/ЕС относно изискванията за бюджетните рамки на държавите членки</w:t>
      </w:r>
      <w:r w:rsidRPr="00761800">
        <w:rPr>
          <w:rFonts w:ascii="Times New Roman" w:hAnsi="Times New Roman"/>
          <w:noProof/>
          <w:position w:val="2"/>
          <w:sz w:val="18"/>
          <w:szCs w:val="24"/>
          <w:vertAlign w:val="superscript"/>
          <w:lang w:eastAsia="bg-BG"/>
        </w:rPr>
        <w:footnoteReference w:id="37"/>
      </w:r>
      <w:r w:rsidRPr="00761800">
        <w:rPr>
          <w:rFonts w:ascii="Times New Roman" w:hAnsi="Times New Roman"/>
          <w:noProof/>
          <w:szCs w:val="24"/>
          <w:lang w:eastAsia="bg-BG"/>
        </w:rPr>
        <w:t xml:space="preserve">. </w:t>
      </w:r>
    </w:p>
    <w:p w14:paraId="2ECCAF17" w14:textId="77777777" w:rsidR="00761800" w:rsidRPr="00761800" w:rsidRDefault="00761800" w:rsidP="00761800">
      <w:pPr>
        <w:spacing w:after="200"/>
        <w:jc w:val="both"/>
        <w:rPr>
          <w:rFonts w:ascii="Times New Roman" w:hAnsi="Times New Roman"/>
          <w:noProof/>
          <w:szCs w:val="24"/>
          <w:lang w:eastAsia="bg-BG"/>
        </w:rPr>
      </w:pPr>
      <w:r w:rsidRPr="00761800">
        <w:rPr>
          <w:rFonts w:ascii="Times New Roman" w:hAnsi="Times New Roman"/>
          <w:noProof/>
          <w:szCs w:val="24"/>
          <w:lang w:eastAsia="bg-BG"/>
        </w:rPr>
        <w:lastRenderedPageBreak/>
        <w:t xml:space="preserve">Високите стойности на условните задължения биха могли да бъдат индикатор за нежелано равнище на риск. Поради това наблюдението и оценката на условните задължения с потенциално значително въздействие върху сектор „Държавно управление“ е важно за поддържането на фискалната устойчивост и управлението на фискалните рискове. </w:t>
      </w:r>
    </w:p>
    <w:p w14:paraId="7D65DBF8" w14:textId="77777777" w:rsidR="00761800" w:rsidRPr="00761800" w:rsidRDefault="00761800" w:rsidP="00761800">
      <w:pPr>
        <w:spacing w:after="200"/>
        <w:jc w:val="both"/>
        <w:rPr>
          <w:rFonts w:ascii="Times New Roman" w:hAnsi="Times New Roman"/>
          <w:noProof/>
          <w:szCs w:val="24"/>
          <w:lang w:eastAsia="bg-BG"/>
        </w:rPr>
      </w:pPr>
      <w:r w:rsidRPr="00761800">
        <w:rPr>
          <w:rFonts w:ascii="Times New Roman" w:hAnsi="Times New Roman"/>
          <w:noProof/>
          <w:szCs w:val="24"/>
          <w:lang w:eastAsia="bg-BG"/>
        </w:rPr>
        <w:t>Задълженията се наричат условни, тъй като по своята същност те са само потенциални, а не действителни. Това са задължения, които зависят от настъпването на определено събитие в бъдеще или настоящи задължения, при които няма вероятност за извършване на плащането към държавата или сумата на възможното плащане не може да бъде изчислена по надежден начин.</w:t>
      </w:r>
    </w:p>
    <w:p w14:paraId="47B4B866" w14:textId="77777777" w:rsidR="00761800" w:rsidRPr="00761800" w:rsidRDefault="00761800" w:rsidP="00761800">
      <w:pPr>
        <w:spacing w:after="200"/>
        <w:jc w:val="both"/>
        <w:rPr>
          <w:rFonts w:ascii="Times New Roman" w:hAnsi="Times New Roman"/>
          <w:noProof/>
          <w:szCs w:val="24"/>
          <w:lang w:eastAsia="bg-BG"/>
        </w:rPr>
      </w:pPr>
      <w:r w:rsidRPr="00761800">
        <w:rPr>
          <w:rFonts w:ascii="Times New Roman" w:hAnsi="Times New Roman"/>
          <w:noProof/>
          <w:szCs w:val="24"/>
          <w:lang w:eastAsia="bg-BG"/>
        </w:rPr>
        <w:t>Условните задължения включват:</w:t>
      </w:r>
    </w:p>
    <w:p w14:paraId="7B12EBE8" w14:textId="77777777" w:rsidR="00761800" w:rsidRPr="00761800" w:rsidRDefault="00761800" w:rsidP="00F64909">
      <w:pPr>
        <w:numPr>
          <w:ilvl w:val="0"/>
          <w:numId w:val="10"/>
        </w:numPr>
        <w:spacing w:before="120" w:after="12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задължения, произтичащи от дейността на публичните дружества;</w:t>
      </w:r>
    </w:p>
    <w:p w14:paraId="1FF10EBB" w14:textId="77777777" w:rsidR="00761800" w:rsidRPr="00761800" w:rsidRDefault="00761800" w:rsidP="00F64909">
      <w:pPr>
        <w:numPr>
          <w:ilvl w:val="0"/>
          <w:numId w:val="10"/>
        </w:numPr>
        <w:spacing w:before="120" w:after="12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гарантиран дълг на сектор „Държавно управление“;</w:t>
      </w:r>
    </w:p>
    <w:p w14:paraId="7DCEE1B0" w14:textId="77777777" w:rsidR="00761800" w:rsidRPr="00761800" w:rsidRDefault="00761800" w:rsidP="00F64909">
      <w:pPr>
        <w:numPr>
          <w:ilvl w:val="0"/>
          <w:numId w:val="10"/>
        </w:numPr>
        <w:spacing w:before="120" w:after="12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необслужвани кредити;</w:t>
      </w:r>
    </w:p>
    <w:p w14:paraId="04B52144" w14:textId="77777777" w:rsidR="00761800" w:rsidRPr="00761800" w:rsidRDefault="00761800" w:rsidP="00F64909">
      <w:pPr>
        <w:numPr>
          <w:ilvl w:val="0"/>
          <w:numId w:val="10"/>
        </w:numPr>
        <w:spacing w:before="120" w:after="12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задължения, свързани с публично-частни партньорства.</w:t>
      </w:r>
    </w:p>
    <w:p w14:paraId="33C9D8CA" w14:textId="77777777" w:rsidR="00761800" w:rsidRPr="00761800" w:rsidRDefault="00761800" w:rsidP="00761800">
      <w:pPr>
        <w:spacing w:before="120" w:after="120"/>
        <w:ind w:left="720"/>
        <w:jc w:val="both"/>
        <w:rPr>
          <w:rFonts w:ascii="Times New Roman" w:eastAsia="Batang" w:hAnsi="Times New Roman"/>
          <w:szCs w:val="22"/>
          <w:lang w:eastAsia="bg-BG"/>
        </w:rPr>
      </w:pPr>
    </w:p>
    <w:p w14:paraId="618E81DE" w14:textId="2A265080" w:rsidR="00761800" w:rsidRPr="00761800" w:rsidRDefault="00761800" w:rsidP="00761800">
      <w:pPr>
        <w:keepNext/>
        <w:spacing w:after="120"/>
        <w:ind w:left="1418" w:hanging="1418"/>
        <w:rPr>
          <w:rFonts w:ascii="Times New Roman" w:hAnsi="Times New Roman"/>
          <w:b/>
          <w:bCs/>
          <w:szCs w:val="18"/>
          <w:lang w:eastAsia="bg-BG"/>
        </w:rPr>
      </w:pPr>
      <w:r w:rsidRPr="00761800">
        <w:rPr>
          <w:rFonts w:ascii="Times New Roman" w:hAnsi="Times New Roman"/>
          <w:b/>
          <w:bCs/>
          <w:szCs w:val="18"/>
          <w:lang w:eastAsia="bg-BG"/>
        </w:rPr>
        <w:t xml:space="preserve">Граф.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Граф.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4</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 xml:space="preserve">Разпределение на условните задължения на сектор „Държавно управление“, % от БВП </w:t>
      </w:r>
    </w:p>
    <w:p w14:paraId="3318FC3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noProof/>
          <w:szCs w:val="22"/>
          <w:lang w:eastAsia="bg-BG"/>
        </w:rPr>
        <w:drawing>
          <wp:inline distT="0" distB="0" distL="0" distR="0" wp14:anchorId="17D7BBE1" wp14:editId="4A4F5A97">
            <wp:extent cx="5736590" cy="381063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6590" cy="3810635"/>
                    </a:xfrm>
                    <a:prstGeom prst="rect">
                      <a:avLst/>
                    </a:prstGeom>
                    <a:noFill/>
                  </pic:spPr>
                </pic:pic>
              </a:graphicData>
            </a:graphic>
          </wp:inline>
        </w:drawing>
      </w:r>
    </w:p>
    <w:p w14:paraId="60917AC9" w14:textId="77777777" w:rsidR="00761800" w:rsidRPr="00761800" w:rsidRDefault="00761800" w:rsidP="00761800">
      <w:pPr>
        <w:spacing w:after="200"/>
        <w:ind w:firstLine="7513"/>
        <w:jc w:val="right"/>
        <w:rPr>
          <w:rFonts w:ascii="Times New Roman" w:eastAsia="Calibri" w:hAnsi="Times New Roman"/>
          <w:noProof/>
          <w:sz w:val="18"/>
          <w:szCs w:val="18"/>
          <w:lang w:eastAsia="bg-BG"/>
        </w:rPr>
      </w:pPr>
      <w:r w:rsidRPr="00761800">
        <w:rPr>
          <w:rFonts w:ascii="Times New Roman" w:eastAsia="Calibri" w:hAnsi="Times New Roman"/>
          <w:noProof/>
          <w:sz w:val="18"/>
          <w:szCs w:val="18"/>
          <w:lang w:eastAsia="bg-BG"/>
        </w:rPr>
        <w:t xml:space="preserve">Източник: НСИ </w:t>
      </w:r>
    </w:p>
    <w:p w14:paraId="48206DED" w14:textId="77777777" w:rsidR="00761800" w:rsidRPr="00761800" w:rsidRDefault="00761800" w:rsidP="00761800">
      <w:pPr>
        <w:spacing w:after="200"/>
        <w:jc w:val="both"/>
        <w:rPr>
          <w:rFonts w:ascii="Times New Roman" w:eastAsia="Calibri" w:hAnsi="Times New Roman"/>
          <w:noProof/>
          <w:szCs w:val="24"/>
          <w:lang w:eastAsia="bg-BG"/>
        </w:rPr>
      </w:pPr>
    </w:p>
    <w:p w14:paraId="1F25EF12" w14:textId="77777777" w:rsidR="00761800" w:rsidRPr="00761800" w:rsidRDefault="00761800" w:rsidP="00761800">
      <w:pPr>
        <w:spacing w:after="200"/>
        <w:jc w:val="both"/>
        <w:rPr>
          <w:rFonts w:ascii="Times New Roman" w:eastAsia="Calibri" w:hAnsi="Times New Roman"/>
          <w:noProof/>
          <w:szCs w:val="24"/>
          <w:lang w:eastAsia="bg-BG"/>
        </w:rPr>
      </w:pPr>
      <w:r w:rsidRPr="00761800">
        <w:rPr>
          <w:rFonts w:ascii="Times New Roman" w:eastAsia="Calibri" w:hAnsi="Times New Roman"/>
          <w:noProof/>
          <w:szCs w:val="24"/>
          <w:lang w:eastAsia="bg-BG"/>
        </w:rPr>
        <w:lastRenderedPageBreak/>
        <w:t xml:space="preserve">Общите условни задължения на сектор „Държавно управление“ за 2024 г. възлизат на 9,33% от БВП, като най-високо е нивото на задълженията, произтичащи от дейността на публичните дружества. Техният размер е 8,80% от БВП (9,21 млрд. евро.), като задълженията на финансовите предприятия са само 0,88%, а на нефинансовите - 7,91% от БВП. </w:t>
      </w:r>
    </w:p>
    <w:p w14:paraId="0D515471" w14:textId="77777777" w:rsidR="00761800" w:rsidRPr="00761800" w:rsidRDefault="00761800" w:rsidP="00761800">
      <w:pPr>
        <w:spacing w:after="200"/>
        <w:jc w:val="both"/>
        <w:rPr>
          <w:rFonts w:ascii="Times New Roman" w:eastAsia="Calibri" w:hAnsi="Times New Roman"/>
          <w:noProof/>
          <w:szCs w:val="24"/>
          <w:lang w:eastAsia="bg-BG"/>
        </w:rPr>
      </w:pPr>
      <w:r w:rsidRPr="00761800">
        <w:rPr>
          <w:rFonts w:ascii="Times New Roman" w:eastAsia="Calibri" w:hAnsi="Times New Roman"/>
          <w:noProof/>
          <w:szCs w:val="24"/>
          <w:lang w:eastAsia="bg-BG"/>
        </w:rPr>
        <w:t xml:space="preserve">От тях под наблюдение, във връзка с потенциално значително влияние върху условните задължения на сектор „Държавно управление“, са всички държавни и общински дружества с общ размер на задълженията към 31.12.2024 г. над 0,1% от БВП, които не са част от консолидираната фискална програма и не попадат в обхвата на сектор „Държавно управление“. Тези предприятия представят информация и оценка на прогнозите за приходите и разходите и за активите и пасивите с отчетни данни за 2024 и 2025 г. и прогноза за периода 2026-2028 г. На база на получената информация за периода 2024-2028 г. се прогнозира увеличение с </w:t>
      </w:r>
      <w:r w:rsidRPr="00761800">
        <w:rPr>
          <w:rFonts w:ascii="Times New Roman" w:eastAsia="Calibri" w:hAnsi="Times New Roman"/>
          <w:bCs/>
          <w:noProof/>
          <w:szCs w:val="24"/>
          <w:lang w:eastAsia="bg-BG"/>
        </w:rPr>
        <w:t>3,6</w:t>
      </w:r>
      <w:r w:rsidRPr="00761800">
        <w:rPr>
          <w:rFonts w:ascii="Times New Roman" w:eastAsia="Calibri" w:hAnsi="Times New Roman"/>
          <w:noProof/>
          <w:szCs w:val="24"/>
          <w:lang w:eastAsia="bg-BG"/>
        </w:rPr>
        <w:t xml:space="preserve">% на задълженията на публичните предприятия от нефинансовия сектор, обект на наблюдение. Отчетеният към 31.12.2024 г. размер на дългосрочните и краткосрочните неконсолидирани задължения на тези дружества е общо </w:t>
      </w:r>
      <w:r w:rsidRPr="00761800">
        <w:rPr>
          <w:rFonts w:ascii="Times New Roman" w:eastAsia="Calibri" w:hAnsi="Times New Roman"/>
          <w:bCs/>
          <w:noProof/>
          <w:szCs w:val="24"/>
          <w:lang w:eastAsia="bg-BG"/>
        </w:rPr>
        <w:t xml:space="preserve">7,5 </w:t>
      </w:r>
      <w:r w:rsidRPr="00761800">
        <w:rPr>
          <w:rFonts w:ascii="Times New Roman" w:eastAsia="Calibri" w:hAnsi="Times New Roman"/>
          <w:noProof/>
          <w:szCs w:val="24"/>
          <w:lang w:eastAsia="bg-BG"/>
        </w:rPr>
        <w:t xml:space="preserve">млрд. евро, като към 31.12.2028 г. прогнозите са същите да са в размер на </w:t>
      </w:r>
      <w:r w:rsidRPr="00761800">
        <w:rPr>
          <w:rFonts w:ascii="Times New Roman" w:eastAsia="Calibri" w:hAnsi="Times New Roman"/>
          <w:bCs/>
          <w:noProof/>
          <w:szCs w:val="24"/>
          <w:lang w:eastAsia="bg-BG"/>
        </w:rPr>
        <w:t xml:space="preserve">7,8 </w:t>
      </w:r>
      <w:r w:rsidRPr="00761800">
        <w:rPr>
          <w:rFonts w:ascii="Times New Roman" w:eastAsia="Calibri" w:hAnsi="Times New Roman"/>
          <w:noProof/>
          <w:szCs w:val="24"/>
          <w:lang w:eastAsia="bg-BG"/>
        </w:rPr>
        <w:t>млрд. евро.</w:t>
      </w:r>
    </w:p>
    <w:p w14:paraId="042130CC" w14:textId="77777777" w:rsidR="00761800" w:rsidRPr="00761800" w:rsidRDefault="00761800" w:rsidP="00761800">
      <w:pPr>
        <w:spacing w:after="200"/>
        <w:jc w:val="both"/>
        <w:rPr>
          <w:rFonts w:ascii="Times New Roman" w:eastAsia="Calibri" w:hAnsi="Times New Roman"/>
          <w:noProof/>
          <w:szCs w:val="24"/>
          <w:lang w:eastAsia="bg-BG"/>
        </w:rPr>
      </w:pPr>
      <w:r w:rsidRPr="00761800">
        <w:rPr>
          <w:rFonts w:ascii="Times New Roman" w:eastAsia="Calibri" w:hAnsi="Times New Roman"/>
          <w:noProof/>
          <w:szCs w:val="24"/>
          <w:lang w:eastAsia="bg-BG"/>
        </w:rPr>
        <w:t xml:space="preserve">Сумарният коефициент на задлъжнялост се понижава от </w:t>
      </w:r>
      <w:r w:rsidRPr="00761800">
        <w:rPr>
          <w:rFonts w:ascii="Times New Roman" w:eastAsia="Calibri" w:hAnsi="Times New Roman"/>
          <w:bCs/>
          <w:noProof/>
          <w:szCs w:val="24"/>
          <w:lang w:eastAsia="bg-BG"/>
        </w:rPr>
        <w:t xml:space="preserve">0,77 </w:t>
      </w:r>
      <w:r w:rsidRPr="00761800">
        <w:rPr>
          <w:rFonts w:ascii="Times New Roman" w:eastAsia="Calibri" w:hAnsi="Times New Roman"/>
          <w:noProof/>
          <w:szCs w:val="24"/>
          <w:lang w:eastAsia="bg-BG"/>
        </w:rPr>
        <w:t xml:space="preserve">към 31.12.2024 г. до 0,68 в края на периода през 2028 г. Сумарното съотношение на дълга на тези дружества спрямо активите им намалява </w:t>
      </w:r>
      <w:r w:rsidRPr="00761800">
        <w:rPr>
          <w:rFonts w:ascii="Times New Roman" w:eastAsia="Calibri" w:hAnsi="Times New Roman"/>
          <w:bCs/>
          <w:noProof/>
          <w:szCs w:val="24"/>
          <w:lang w:eastAsia="bg-BG"/>
        </w:rPr>
        <w:t>от 0,44 през 2024 г.</w:t>
      </w:r>
      <w:r w:rsidRPr="00761800">
        <w:rPr>
          <w:rFonts w:ascii="Times New Roman" w:eastAsia="Calibri" w:hAnsi="Times New Roman"/>
          <w:noProof/>
          <w:szCs w:val="24"/>
          <w:lang w:eastAsia="bg-BG"/>
        </w:rPr>
        <w:t xml:space="preserve"> до 0,40 през 2028 г. Коефициентът на ликвидност нараства от 1,15 през 2024 г. до 1,61 през 2028 г.</w:t>
      </w:r>
    </w:p>
    <w:p w14:paraId="0859A900" w14:textId="77777777" w:rsidR="00761800" w:rsidRPr="00761800" w:rsidRDefault="00761800" w:rsidP="00761800">
      <w:pPr>
        <w:spacing w:after="200"/>
        <w:jc w:val="both"/>
        <w:rPr>
          <w:rFonts w:ascii="Times New Roman" w:hAnsi="Times New Roman"/>
          <w:b/>
          <w:bCs/>
          <w:szCs w:val="18"/>
          <w:lang w:eastAsia="bg-BG"/>
        </w:rPr>
      </w:pPr>
      <w:r w:rsidRPr="00761800">
        <w:rPr>
          <w:rFonts w:ascii="Times New Roman" w:eastAsia="Calibri" w:hAnsi="Times New Roman"/>
          <w:noProof/>
          <w:szCs w:val="24"/>
          <w:lang w:eastAsia="bg-BG"/>
        </w:rPr>
        <w:t>Нивото на задълженията на държавните предприятия с потенциално значително въздействие върху сектор „Държавно управление“ е по-ниско в сравнение със средното ниво на задлъжнялост в ЕС, което е 27,35% за 2024 г.</w:t>
      </w:r>
      <w:r w:rsidRPr="00761800">
        <w:rPr>
          <w:rFonts w:ascii="Times New Roman" w:eastAsia="Calibri" w:hAnsi="Times New Roman"/>
          <w:noProof/>
          <w:position w:val="2"/>
          <w:sz w:val="18"/>
          <w:szCs w:val="24"/>
          <w:vertAlign w:val="superscript"/>
        </w:rPr>
        <w:footnoteReference w:id="38"/>
      </w:r>
    </w:p>
    <w:p w14:paraId="72B522E3" w14:textId="744F1718" w:rsidR="00761800" w:rsidRPr="00761800" w:rsidRDefault="00761800" w:rsidP="00761800">
      <w:pPr>
        <w:spacing w:before="240" w:after="240"/>
        <w:ind w:left="1418" w:hanging="1418"/>
        <w:rPr>
          <w:rFonts w:ascii="Times New Roman" w:hAnsi="Times New Roman"/>
          <w:b/>
          <w:bCs/>
          <w:szCs w:val="18"/>
          <w:lang w:eastAsia="bg-BG"/>
        </w:rPr>
      </w:pPr>
      <w:r w:rsidRPr="00761800">
        <w:rPr>
          <w:rFonts w:ascii="Times New Roman" w:hAnsi="Times New Roman"/>
          <w:b/>
          <w:bCs/>
          <w:szCs w:val="18"/>
          <w:lang w:eastAsia="bg-BG"/>
        </w:rPr>
        <w:t xml:space="preserve">Граф.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Граф.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5</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 xml:space="preserve">Задължения на държавно контролирани предприятия, класифицирани извън сектор „Държавно управление“, % от БВП </w:t>
      </w:r>
    </w:p>
    <w:p w14:paraId="2A08600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noProof/>
          <w:szCs w:val="22"/>
          <w:lang w:eastAsia="bg-BG"/>
        </w:rPr>
        <w:lastRenderedPageBreak/>
        <w:drawing>
          <wp:inline distT="0" distB="0" distL="0" distR="0" wp14:anchorId="61532101" wp14:editId="4D260E83">
            <wp:extent cx="5773420" cy="31826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73420" cy="3182620"/>
                    </a:xfrm>
                    <a:prstGeom prst="rect">
                      <a:avLst/>
                    </a:prstGeom>
                    <a:noFill/>
                  </pic:spPr>
                </pic:pic>
              </a:graphicData>
            </a:graphic>
          </wp:inline>
        </w:drawing>
      </w:r>
    </w:p>
    <w:p w14:paraId="1E58558B" w14:textId="77777777" w:rsidR="00761800" w:rsidRPr="00761800" w:rsidRDefault="00761800" w:rsidP="00761800">
      <w:pPr>
        <w:spacing w:after="200"/>
        <w:ind w:firstLine="7513"/>
        <w:jc w:val="both"/>
        <w:rPr>
          <w:rFonts w:ascii="Times New Roman" w:eastAsia="Calibri" w:hAnsi="Times New Roman"/>
          <w:noProof/>
          <w:sz w:val="18"/>
          <w:szCs w:val="18"/>
          <w:lang w:eastAsia="bg-BG"/>
        </w:rPr>
      </w:pPr>
      <w:r w:rsidRPr="00761800">
        <w:rPr>
          <w:rFonts w:ascii="Times New Roman" w:eastAsia="Calibri" w:hAnsi="Times New Roman"/>
          <w:noProof/>
          <w:sz w:val="18"/>
          <w:szCs w:val="18"/>
          <w:lang w:eastAsia="bg-BG"/>
        </w:rPr>
        <w:t xml:space="preserve">Източник: НСИ </w:t>
      </w:r>
    </w:p>
    <w:p w14:paraId="3DD6720A" w14:textId="77777777" w:rsidR="00761800" w:rsidRPr="00761800" w:rsidRDefault="00761800" w:rsidP="00761800">
      <w:pPr>
        <w:spacing w:after="120"/>
        <w:jc w:val="both"/>
        <w:rPr>
          <w:rFonts w:ascii="Times New Roman" w:hAnsi="Times New Roman"/>
          <w:szCs w:val="22"/>
          <w:lang w:eastAsia="bg-BG"/>
        </w:rPr>
      </w:pPr>
    </w:p>
    <w:p w14:paraId="66E1BA7A" w14:textId="77777777" w:rsidR="00761800" w:rsidRPr="00761800" w:rsidRDefault="00761800" w:rsidP="00761800">
      <w:pPr>
        <w:spacing w:after="120"/>
        <w:jc w:val="both"/>
        <w:rPr>
          <w:rFonts w:ascii="Times New Roman" w:eastAsia="Batang" w:hAnsi="Times New Roman"/>
          <w:bCs/>
          <w:szCs w:val="24"/>
          <w:lang w:eastAsia="bg-BG"/>
        </w:rPr>
      </w:pPr>
      <w:r w:rsidRPr="00761800">
        <w:rPr>
          <w:rFonts w:ascii="Times New Roman" w:hAnsi="Times New Roman"/>
          <w:szCs w:val="22"/>
          <w:lang w:eastAsia="bg-BG"/>
        </w:rPr>
        <w:t xml:space="preserve">През 2025 г. </w:t>
      </w:r>
      <w:r w:rsidRPr="00761800">
        <w:rPr>
          <w:rFonts w:ascii="Times New Roman" w:hAnsi="Times New Roman"/>
          <w:b/>
          <w:szCs w:val="22"/>
          <w:lang w:eastAsia="bg-BG"/>
        </w:rPr>
        <w:t>гарантираният дълг</w:t>
      </w:r>
      <w:r w:rsidRPr="00761800">
        <w:rPr>
          <w:rFonts w:ascii="Times New Roman" w:hAnsi="Times New Roman"/>
          <w:szCs w:val="22"/>
          <w:lang w:eastAsia="bg-BG"/>
        </w:rPr>
        <w:t xml:space="preserve"> </w:t>
      </w:r>
      <w:r w:rsidRPr="00761800">
        <w:rPr>
          <w:rFonts w:ascii="Times New Roman" w:hAnsi="Times New Roman"/>
          <w:b/>
          <w:szCs w:val="22"/>
          <w:lang w:eastAsia="bg-BG"/>
        </w:rPr>
        <w:t>на сектора</w:t>
      </w:r>
      <w:r w:rsidRPr="00761800">
        <w:rPr>
          <w:rFonts w:ascii="Times New Roman" w:hAnsi="Times New Roman"/>
          <w:szCs w:val="22"/>
          <w:lang w:eastAsia="bg-BG"/>
        </w:rPr>
        <w:t xml:space="preserve"> отбелязва ръст в номинално изражение с 78,7 млн. евро спрямо нивото, отчетено в края на 2024 г. (545,8 млн. евро), като възлиза на 624,5 млн. евро или 0,5% от БВП (при същото съотношение през 2024 г.), вследствие основно на реализирани усвоявания по издадени държавни гаранции по заемни споразумения на „Булгартрансгаз“ ЕАД, „Булгаргаз“ ЕАД и „Българската банка за развитие“ ЕАД. Външният гарантиран дълг на сектора през 2025 г. възлиза на 400,2 млн. евро (при 421,2 млн. евро за 2024 г.), а вътрешният на 224,3 млрд. евро (при 124,6 млн. евро за 2024 г.). Доминиращ дял в отрасловата структура на гарантирания дълг през 2025 г. имат издадените гаранции за сектор „Енергетика“ – 50,6%, следвани от сектор „Инструменти на ЕС“ – 25%, сектор „Финансов“ – 20%, сектор „Образование“ – 3,8% и сектор „Други“ – 0,6%, докато през 2024 г. преобладават гаранциите за сектор „Енергетика“ с 45,6%, следвани от гаранциите, издадени по линия на инструменти на ЕС - 29,3%, за сектор „Финансов“ - 19,6%  и за сектор „Образование“ до 4,9%.</w:t>
      </w:r>
    </w:p>
    <w:p w14:paraId="7CBBDA25" w14:textId="77777777" w:rsidR="00761800" w:rsidRPr="00761800" w:rsidRDefault="00761800" w:rsidP="00761800">
      <w:pPr>
        <w:spacing w:after="120"/>
        <w:jc w:val="both"/>
        <w:rPr>
          <w:rFonts w:ascii="Times New Roman" w:eastAsia="Batang" w:hAnsi="Times New Roman"/>
          <w:bCs/>
          <w:szCs w:val="24"/>
          <w:lang w:eastAsia="bg-BG"/>
        </w:rPr>
      </w:pPr>
      <w:r w:rsidRPr="00761800">
        <w:rPr>
          <w:rFonts w:ascii="Times New Roman" w:eastAsia="Calibri" w:hAnsi="Times New Roman"/>
          <w:szCs w:val="24"/>
        </w:rPr>
        <w:t xml:space="preserve">Всички гарантирани заеми се обслужват регулярно като дължимите плащания се извършват в съответствие с поетите договорености. </w:t>
      </w:r>
    </w:p>
    <w:p w14:paraId="4DACB8FF" w14:textId="77777777" w:rsidR="00761800" w:rsidRPr="00761800" w:rsidRDefault="00761800" w:rsidP="00761800">
      <w:pPr>
        <w:spacing w:after="120"/>
        <w:jc w:val="both"/>
        <w:rPr>
          <w:rFonts w:ascii="Times New Roman" w:eastAsia="Calibri" w:hAnsi="Times New Roman"/>
          <w:szCs w:val="24"/>
        </w:rPr>
      </w:pPr>
      <w:r w:rsidRPr="00761800">
        <w:rPr>
          <w:rFonts w:ascii="Times New Roman" w:eastAsia="Calibri" w:hAnsi="Times New Roman"/>
          <w:szCs w:val="24"/>
        </w:rPr>
        <w:t xml:space="preserve">Гарантираният дълг на сектора се формира основно от издадените гаранции от подсектор „Централно управление“ с дял от 99,9%. Подсектор „Местно управление“ заема около 0,1%, а съгласно разпоредбите на Закона за публичните финанси социалноосигурителните фондове не могат да издават гаранции. </w:t>
      </w:r>
    </w:p>
    <w:p w14:paraId="7641FCB4" w14:textId="77777777" w:rsidR="00761800" w:rsidRPr="00761800" w:rsidRDefault="00761800" w:rsidP="00761800">
      <w:pPr>
        <w:spacing w:after="120"/>
        <w:jc w:val="both"/>
        <w:rPr>
          <w:rFonts w:ascii="Times New Roman" w:eastAsia="Batang" w:hAnsi="Times New Roman"/>
          <w:bCs/>
          <w:szCs w:val="24"/>
          <w:lang w:eastAsia="bg-BG"/>
        </w:rPr>
      </w:pPr>
      <w:r w:rsidRPr="00761800">
        <w:rPr>
          <w:rFonts w:ascii="Times New Roman" w:eastAsia="Batang" w:hAnsi="Times New Roman"/>
          <w:bCs/>
          <w:szCs w:val="24"/>
          <w:lang w:eastAsia="bg-BG"/>
        </w:rPr>
        <w:t>В края на прогнозния период 2026-2028 г. се очаква гарантираният дълг на сектора да достигне до 2,9 млрд. евро или 2,0% от БВП, предимно в резултат на планираните усвоявания на средства от гарантирани заеми и при допускания за издаване на предвидените в проекта на закон за държавния бюджет за 2026 г. държавни гаранции и пълното усвояване на заемните средства.</w:t>
      </w:r>
    </w:p>
    <w:p w14:paraId="5C887F13" w14:textId="77777777" w:rsidR="00761800" w:rsidRPr="00761800" w:rsidRDefault="00761800" w:rsidP="00761800">
      <w:pPr>
        <w:spacing w:after="200"/>
        <w:jc w:val="both"/>
        <w:rPr>
          <w:rFonts w:ascii="Times New Roman" w:eastAsia="Calibri" w:hAnsi="Times New Roman"/>
          <w:szCs w:val="24"/>
        </w:rPr>
      </w:pPr>
      <w:r w:rsidRPr="00761800">
        <w:rPr>
          <w:rFonts w:ascii="Times New Roman" w:eastAsia="Calibri" w:hAnsi="Times New Roman"/>
          <w:szCs w:val="24"/>
        </w:rPr>
        <w:t>Необслужваните заеми към сектор „Държавно управление“ са само в сектор „Централно управление“ и се запазват на ниво под 0,1% от БВП през последните пет години. Размерът им за 2024 г. е 0,02% от БВП, което е под средното за ЕС ниво от 0,51% от БВП.</w:t>
      </w:r>
    </w:p>
    <w:p w14:paraId="7B7FD523" w14:textId="77777777" w:rsidR="00761800" w:rsidRPr="00761800" w:rsidRDefault="00761800" w:rsidP="00761800">
      <w:pPr>
        <w:spacing w:after="200"/>
        <w:jc w:val="both"/>
        <w:rPr>
          <w:rFonts w:ascii="Times New Roman" w:eastAsia="Calibri" w:hAnsi="Times New Roman"/>
          <w:szCs w:val="24"/>
        </w:rPr>
      </w:pPr>
      <w:r w:rsidRPr="00761800">
        <w:rPr>
          <w:rFonts w:ascii="Times New Roman" w:eastAsia="Calibri" w:hAnsi="Times New Roman"/>
          <w:szCs w:val="24"/>
        </w:rPr>
        <w:lastRenderedPageBreak/>
        <w:t xml:space="preserve">Коригирана капиталова стойност на извънбалансовите </w:t>
      </w:r>
      <w:r w:rsidRPr="00761800">
        <w:rPr>
          <w:rFonts w:ascii="Times New Roman" w:eastAsia="Calibri" w:hAnsi="Times New Roman"/>
          <w:b/>
          <w:szCs w:val="24"/>
        </w:rPr>
        <w:t>публично-частни партньорства</w:t>
      </w:r>
      <w:r w:rsidRPr="00761800">
        <w:rPr>
          <w:rFonts w:ascii="Times New Roman" w:eastAsia="Calibri" w:hAnsi="Times New Roman"/>
          <w:szCs w:val="24"/>
        </w:rPr>
        <w:t xml:space="preserve"> (ПЧП) не се докладва, тъй като към момента в България няма ПЧП, които да отговарят на дефиницията на ЕСС 2010 за ПЧП. Методологията ЕСС 2010 препоръчва да се използва терминът ПЧП само за тези договори, където правителството е основният купувач на услугата.</w:t>
      </w:r>
    </w:p>
    <w:p w14:paraId="7220ACBA"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Оценка на международни организации и рейтингови агенции за икономическите и финансови перспективи на българия</w:t>
      </w:r>
    </w:p>
    <w:p w14:paraId="6A8F5613" w14:textId="77777777" w:rsidR="00761800" w:rsidRPr="00761800" w:rsidRDefault="00761800" w:rsidP="00761800">
      <w:pPr>
        <w:spacing w:after="200"/>
        <w:jc w:val="both"/>
        <w:rPr>
          <w:rFonts w:ascii="Times New Roman" w:eastAsia="Calibri" w:hAnsi="Times New Roman"/>
          <w:szCs w:val="24"/>
        </w:rPr>
      </w:pPr>
      <w:r w:rsidRPr="00761800">
        <w:rPr>
          <w:rFonts w:ascii="Times New Roman" w:eastAsia="Calibri" w:hAnsi="Times New Roman"/>
          <w:szCs w:val="24"/>
        </w:rPr>
        <w:t>Министерството на финансите успешно изпълнява ангажиментите на страната по договорите за предоставяне на суверенен кредитен рейтинг от водещите международни рейтингови агенции - Moody’s, Standard&amp;Poor’s и Fitch. Освен това, Scope Ratings също предоставя непоискан държавен кредитен рейтинг за България.</w:t>
      </w:r>
    </w:p>
    <w:p w14:paraId="17E61682"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През м. май т.г. международната рейтингова агенция </w:t>
      </w:r>
      <w:r w:rsidRPr="00761800">
        <w:rPr>
          <w:rFonts w:ascii="Times New Roman" w:hAnsi="Times New Roman"/>
          <w:b/>
          <w:szCs w:val="24"/>
          <w:lang w:eastAsia="bg-BG"/>
        </w:rPr>
        <w:t>Standard and Poor’s Global Ratings</w:t>
      </w:r>
      <w:r w:rsidRPr="00761800">
        <w:rPr>
          <w:rFonts w:ascii="Times New Roman" w:hAnsi="Times New Roman"/>
          <w:szCs w:val="24"/>
          <w:lang w:eastAsia="bg-BG"/>
        </w:rPr>
        <w:t xml:space="preserve"> повиши перспективата пред рейтинга на страната на положителна от стабилна и потвърди дългосрочния и краткосрочния рейтинг в чуждестранна и местна валута, „BBB+/A-2“. Положителната перспектива отразява потенциала за повишаване на доходите и ускоряване на растежа в България, подкрепен от подобрената политическа стабилност, планираните реформи и изплащането на средства от фондовете на ЕС.</w:t>
      </w:r>
    </w:p>
    <w:p w14:paraId="70FA398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S&amp;P Global Ratings прогнозират, че БВП на глава от населението в България ще продължи да нараства, като отбелязват, че показателят вече се е удвоил от 2019 г. насам. Нетният държавен дълг остава умерен при глобално сравнение, като очакванията са да се запази под 30% от БВП до 2029 г.</w:t>
      </w:r>
    </w:p>
    <w:p w14:paraId="4A7D50F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Според рейтинговата агенция конфликтът в Близкия изток ще забави растежа в България в краткосрочен план, но до 2029 г. растежът на БВП ще бъде средно 2,6%, като ще надхвърля този в еврозоната. Според анализаторите структурата на енергийния микс в България би трябвало да спомогне за смекчаване на последиците от енергийната криза.</w:t>
      </w:r>
    </w:p>
    <w:p w14:paraId="44974595"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Сред разглежданите фактори, които биха довели до повишение на рейтинга, са засилване на икономическия растеж на България и ръст на средния доход на глава от населението, подкрепени от реформи и усвояване на средства от фондовете на ЕС. </w:t>
      </w:r>
    </w:p>
    <w:p w14:paraId="7A552DA8"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S&amp;P Global Ratings биха могли да променят перспективата пред рейтинга на страната на стабилна през следващите две години, ако икономическият растеж на България се окаже по-слаб от очакванията. Друг фактор за понижение на перспективата би било съществено влошаване на фискалната позиция на страната.</w:t>
      </w:r>
    </w:p>
    <w:p w14:paraId="30C57FA4"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С рейтингово действие от 27 март 2026 г. международната кредитна агенция </w:t>
      </w:r>
      <w:r w:rsidRPr="00761800">
        <w:rPr>
          <w:rFonts w:ascii="Times New Roman" w:hAnsi="Times New Roman"/>
          <w:b/>
          <w:szCs w:val="24"/>
          <w:lang w:eastAsia="bg-BG"/>
        </w:rPr>
        <w:t>Fitch Ratings</w:t>
      </w:r>
      <w:r w:rsidRPr="00761800">
        <w:rPr>
          <w:rFonts w:ascii="Times New Roman" w:hAnsi="Times New Roman"/>
          <w:szCs w:val="24"/>
          <w:lang w:eastAsia="bg-BG"/>
        </w:rPr>
        <w:t xml:space="preserve"> потвърди дългосрочния рейтинг на страната в чуждестранна валута „BBB+” със стабилна перспектива.</w:t>
      </w:r>
    </w:p>
    <w:p w14:paraId="23BE88ED"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Рейтингът отразява стабилната външна и фискална позиция на България и надеждната политическа рамка, подкрепена от членството на страната в ЕС и еврозоната. Същевременно, нестабилните коалиционни правителства и честите избори през последните години забавят напредъка в прилагането на реформи. Рейтинговата агенция отбелязва, че при запазване на настоящите темпове на растеж доходът на човек от населението се очаква да остане по-нисък спрямо държави със сходен рейтинг.</w:t>
      </w:r>
    </w:p>
    <w:p w14:paraId="5F97B77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Стабилната перспектива отразява очакванията на Fitch, че подновената вътрешнополитическа несигурност и външните геополитически рискове няма да </w:t>
      </w:r>
      <w:r w:rsidRPr="00761800">
        <w:rPr>
          <w:rFonts w:ascii="Times New Roman" w:hAnsi="Times New Roman"/>
          <w:szCs w:val="24"/>
          <w:lang w:eastAsia="bg-BG"/>
        </w:rPr>
        <w:lastRenderedPageBreak/>
        <w:t>попречат на солидния икономически растеж на България, нито да доведат до натрупване на макроикономически, фискални или външни дисбаланси. Външните финанси остават силна страна на рейтинга, въпреки отчетеното увеличение на дефицита по текущата сметка.</w:t>
      </w:r>
    </w:p>
    <w:p w14:paraId="5A6692D1"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Като фактори, които потенциално могат да доведат до понижение на рейтинга, са отбелязани натрупването на макроикономически дисбаланси или забавяне на икономическия растеж, например в резултат на неблагоприятни политически събития, които биха затруднили провеждането на реформи; значително увеличение на съотношението на държавния дълг спрямо БВП в средносрочен план, дължащо се, например, на по-експанзионистична фискална политика или по-слаби икономически резултати.</w:t>
      </w:r>
    </w:p>
    <w:p w14:paraId="2C1B516A"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Бъдещо повишение на рейтинга може да се очаква при устойчиво нарастване на политическата стабилност и институционалния капацитет, което би подпомогнало провеждането на реформи и сближаването на структурните показатели на страната с тези на държавите с по-висок рейтинг. Положителен ефект върху рейтинга биха имали и намаляването на макроикономическите дисбаланси и постигане на по-висок икономически растеж, подкрепени от провеждането на структурни реформи или ефективното усвояване на средствата от ЕС.</w:t>
      </w:r>
    </w:p>
    <w:p w14:paraId="2F0F2228"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През м. януари 2025 г. рейтинговата агенция </w:t>
      </w:r>
      <w:r w:rsidRPr="00761800">
        <w:rPr>
          <w:rFonts w:ascii="Times New Roman" w:hAnsi="Times New Roman"/>
          <w:b/>
          <w:szCs w:val="24"/>
          <w:lang w:eastAsia="bg-BG"/>
        </w:rPr>
        <w:t>Moody’s Ratings</w:t>
      </w:r>
      <w:r w:rsidRPr="00761800">
        <w:rPr>
          <w:rFonts w:ascii="Times New Roman" w:hAnsi="Times New Roman"/>
          <w:szCs w:val="24"/>
          <w:lang w:eastAsia="bg-BG"/>
        </w:rPr>
        <w:t xml:space="preserve"> потвърди дългосрочния и краткосрочния рейтинг на България „Baa1“ със стабилна перспектива. Потвърждаването на рейтинга на България „Baa1“ се основава на следните положителни очаквания: показателите за дълга и кредитоспособността на България ще останат значително по-силни от тези на страните със същия рейтинг; българската икономика ще продължи да расте със стабилен темп през 2025 г. и през следващите години, което ще доведе до по-нататъшно сближаване на доходите със страните от същата рейтингова група; кредитният профил на България ще бъде подкрепен и от приемането на еврото. Отчитат се и предизвикателствата, свързани с отслабналата институционална ефективност, и като риск се отбелязва отслабването на фискалната позиция.</w:t>
      </w:r>
    </w:p>
    <w:p w14:paraId="729E196B"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Moody’s Ratings очакват държавният дълг на България да нарасне умерено през следващите години, достигайки 27% от БВП в края на 2025 г. и около 29% от БВП в края на 2026 г. спрямо очакваните 24,8% от БВП в края на 2024 г., а дефицитът да остане близо 3% от БВП през 2025 г. и 2026 г. В съчетание със забавяне на номиналния ръст на БВП, рейтинговата агенция очаква инфлацията да се нормализира средно до около 2,6% през 2025-2026 г., което ще движи постепенното увеличение на дълга през следващите години. Въпреки това, дългът на България ще остане около половината от този на страните от групата с рейтинг „Baa1“. </w:t>
      </w:r>
    </w:p>
    <w:p w14:paraId="36420340"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Рейтинговата агенция очаква реалният БВП на България да нараства с темпове от 2,5% през 2025 г. и 2,7% през 2026 г. Растежът на икономиката ще продължи да бъде движен основно от частното потребление, тъй като нарастването на реалните заплати остава високо в среда на значителен недостиг на работна сила и ниска инфлация.</w:t>
      </w:r>
    </w:p>
    <w:p w14:paraId="1D837EF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Рейтинговата агенция очаква, че пълноправното членство на България в Шенгенското пространство от началото на 2025 г. ще подпомогне секторите на туризма и транспортните услуги, като същевременно ще подобри условията за бизнес за износителите на стоки. Приемането на еврото през 2026 г. също би подпомогнала по-нататъшната интеграция с икономиките на еврозоната и укрепването на българската икономика във времето.</w:t>
      </w:r>
    </w:p>
    <w:p w14:paraId="58A9FBCE"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lastRenderedPageBreak/>
        <w:t xml:space="preserve">През м. юли 2025 г. </w:t>
      </w:r>
      <w:r w:rsidRPr="00761800">
        <w:rPr>
          <w:rFonts w:ascii="Times New Roman" w:hAnsi="Times New Roman"/>
          <w:b/>
          <w:szCs w:val="24"/>
          <w:lang w:eastAsia="bg-BG"/>
        </w:rPr>
        <w:t>Scope Ratings</w:t>
      </w:r>
      <w:r w:rsidRPr="00761800">
        <w:rPr>
          <w:rFonts w:ascii="Times New Roman" w:hAnsi="Times New Roman"/>
          <w:szCs w:val="24"/>
          <w:lang w:eastAsia="bg-BG"/>
        </w:rPr>
        <w:t xml:space="preserve"> повиши дългосрочния кредитен рейтинг на България на „A-“ от „BBB+“ в местна и чуждестранна валута. С тази оценка България за първи път получава рейтинг, който е от високия инвестиционен клас. Перспективата пред рейтинга е стабилна.</w:t>
      </w:r>
    </w:p>
    <w:p w14:paraId="0C2DEB4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Според агенцията присъединяването към еврозоната ще укрепи кредитния профил на България чрез подобрения на множество области, свързани с рейтинга, включително чрез елиминирането на валутния риск, подобрение на гъвкавостта на паричната политика и улеснявайки достъпа до развитите капиталови пазари на еврозоната. Допълнително, присъединяването ще осигури достъп на местните банки до улесненията на ЕЦБ, което ще подпомогне финансовата стабилност и ще намали разходите за финансиране, както за публичния, така и за частния сектор.</w:t>
      </w:r>
    </w:p>
    <w:p w14:paraId="58A7A350"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Scope Ratings очакват в средносрочен план икономическата перспектива на България да бъде подкрепена от продължаващия приток на европейски фондове и членството в еврозоната. БВП прогнозират да нарасне с 2,6% през 2025 г. и с 2,9% през 2026 г. в реално изражение, след растеж от 2,8% през 2024 г. Траекторията на растежа е подкрепена от съществени европейски средства. В средносрочен период присъединяването към еврозоната се очаква да насърчи преките чуждестранни инвестиции и да задълбочи търговската интеграция с други държави членки на еврозоната, което допълнително ще засили благоприятните макроикономически перспективи.</w:t>
      </w:r>
    </w:p>
    <w:p w14:paraId="32310775" w14:textId="77777777" w:rsidR="00761800" w:rsidRPr="00761800" w:rsidRDefault="00761800" w:rsidP="00761800">
      <w:pPr>
        <w:spacing w:after="200"/>
        <w:jc w:val="both"/>
        <w:rPr>
          <w:rFonts w:ascii="Times New Roman" w:hAnsi="Times New Roman"/>
          <w:szCs w:val="24"/>
          <w:lang w:eastAsia="bg-BG"/>
        </w:rPr>
      </w:pPr>
    </w:p>
    <w:p w14:paraId="1DF7F3B7" w14:textId="77777777" w:rsidR="00761800" w:rsidRPr="00761800" w:rsidRDefault="00761800" w:rsidP="00F64909">
      <w:pPr>
        <w:keepNext/>
        <w:keepLines/>
        <w:numPr>
          <w:ilvl w:val="0"/>
          <w:numId w:val="19"/>
        </w:numPr>
        <w:spacing w:before="120" w:after="1080"/>
        <w:jc w:val="both"/>
        <w:outlineLvl w:val="0"/>
        <w:rPr>
          <w:rFonts w:ascii="Times New Roman" w:hAnsi="Times New Roman"/>
          <w:bCs/>
          <w:spacing w:val="10"/>
          <w:sz w:val="52"/>
          <w:szCs w:val="28"/>
          <w:lang w:eastAsia="bg-BG"/>
        </w:rPr>
        <w:sectPr w:rsidR="00761800" w:rsidRPr="00761800" w:rsidSect="00406B4D">
          <w:headerReference w:type="default" r:id="rId26"/>
          <w:footerReference w:type="even" r:id="rId27"/>
          <w:headerReference w:type="first" r:id="rId28"/>
          <w:pgSz w:w="11906" w:h="16838" w:code="9"/>
          <w:pgMar w:top="1418" w:right="1418" w:bottom="851" w:left="1418" w:header="708" w:footer="708" w:gutter="0"/>
          <w:cols w:space="708"/>
          <w:titlePg/>
          <w:docGrid w:linePitch="360"/>
        </w:sectPr>
      </w:pPr>
      <w:bookmarkStart w:id="230" w:name="_Toc464459725"/>
      <w:bookmarkStart w:id="231" w:name="_Toc464460680"/>
      <w:bookmarkStart w:id="232" w:name="_Toc464463079"/>
      <w:bookmarkStart w:id="233" w:name="_Toc464464906"/>
      <w:bookmarkStart w:id="234" w:name="_Toc464465412"/>
      <w:bookmarkStart w:id="235" w:name="_Toc464465600"/>
      <w:bookmarkStart w:id="236" w:name="_Toc464466425"/>
      <w:bookmarkStart w:id="237" w:name="_Toc464466669"/>
      <w:bookmarkStart w:id="238" w:name="_Toc464466727"/>
      <w:bookmarkStart w:id="239" w:name="_Toc464470231"/>
      <w:bookmarkStart w:id="240" w:name="_Toc464644981"/>
      <w:bookmarkStart w:id="241" w:name="_Toc464646363"/>
    </w:p>
    <w:bookmarkStart w:id="242" w:name="_Toc233717478"/>
    <w:p w14:paraId="4C4D6FA6" w14:textId="77777777" w:rsidR="00761800" w:rsidRPr="00761800" w:rsidRDefault="00761800" w:rsidP="00761800">
      <w:pPr>
        <w:keepNext/>
        <w:keepLines/>
        <w:spacing w:before="120" w:after="1080"/>
        <w:outlineLvl w:val="0"/>
        <w:rPr>
          <w:rFonts w:ascii="Times New Roman" w:hAnsi="Times New Roman"/>
          <w:bCs/>
          <w:spacing w:val="10"/>
          <w:sz w:val="52"/>
          <w:szCs w:val="28"/>
          <w:lang w:eastAsia="bg-BG"/>
        </w:rPr>
      </w:pPr>
      <w:r w:rsidRPr="00761800">
        <w:rPr>
          <w:rFonts w:ascii="Times New Roman" w:hAnsi="Times New Roman"/>
          <w:bCs/>
          <w:noProof/>
          <w:color w:val="852010"/>
          <w:spacing w:val="10"/>
          <w:sz w:val="52"/>
          <w:szCs w:val="28"/>
          <w:lang w:eastAsia="bg-BG"/>
        </w:rPr>
        <w:lastRenderedPageBreak/>
        <mc:AlternateContent>
          <mc:Choice Requires="wps">
            <w:drawing>
              <wp:anchor distT="0" distB="0" distL="114300" distR="114300" simplePos="0" relativeHeight="251833856" behindDoc="1" locked="0" layoutInCell="1" allowOverlap="1" wp14:anchorId="480787B0" wp14:editId="63ED4B71">
                <wp:simplePos x="0" y="0"/>
                <wp:positionH relativeFrom="column">
                  <wp:posOffset>-909955</wp:posOffset>
                </wp:positionH>
                <wp:positionV relativeFrom="paragraph">
                  <wp:posOffset>-938530</wp:posOffset>
                </wp:positionV>
                <wp:extent cx="7604201" cy="2152650"/>
                <wp:effectExtent l="0" t="0" r="0" b="0"/>
                <wp:wrapNone/>
                <wp:docPr id="676" name="Rectangle 676"/>
                <wp:cNvGraphicFramePr/>
                <a:graphic xmlns:a="http://schemas.openxmlformats.org/drawingml/2006/main">
                  <a:graphicData uri="http://schemas.microsoft.com/office/word/2010/wordprocessingShape">
                    <wps:wsp>
                      <wps:cNvSpPr/>
                      <wps:spPr>
                        <a:xfrm>
                          <a:off x="0" y="0"/>
                          <a:ext cx="7604201" cy="2152650"/>
                        </a:xfrm>
                        <a:prstGeom prst="rect">
                          <a:avLst/>
                        </a:prstGeom>
                        <a:solidFill>
                          <a:srgbClr val="B32C16">
                            <a:lumMod val="20000"/>
                            <a:lumOff val="80000"/>
                          </a:srgbClr>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A54EE" id="Rectangle 676" o:spid="_x0000_s1026" style="position:absolute;margin-left:-71.65pt;margin-top:-73.9pt;width:598.75pt;height:169.5pt;z-index:-2514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" fillcolor="#f8cfc8" stroked="f" strokeweight="1pt"/>
            </w:pict>
          </mc:Fallback>
        </mc:AlternateContent>
      </w:r>
      <w:r w:rsidRPr="00761800">
        <w:rPr>
          <w:rFonts w:ascii="Times New Roman" w:hAnsi="Times New Roman"/>
          <w:bCs/>
          <w:noProof/>
          <w:color w:val="852010"/>
          <w:spacing w:val="10"/>
          <w:sz w:val="52"/>
          <w:szCs w:val="28"/>
          <w:lang w:eastAsia="bg-BG"/>
        </w:rPr>
        <mc:AlternateContent>
          <mc:Choice Requires="wps">
            <w:drawing>
              <wp:anchor distT="0" distB="0" distL="114300" distR="114300" simplePos="0" relativeHeight="251835904" behindDoc="0" locked="0" layoutInCell="1" allowOverlap="1" wp14:anchorId="21742C75" wp14:editId="00DA4865">
                <wp:simplePos x="0" y="0"/>
                <wp:positionH relativeFrom="column">
                  <wp:posOffset>-861695</wp:posOffset>
                </wp:positionH>
                <wp:positionV relativeFrom="paragraph">
                  <wp:posOffset>1215314</wp:posOffset>
                </wp:positionV>
                <wp:extent cx="7560310" cy="0"/>
                <wp:effectExtent l="0" t="0" r="21590" b="19050"/>
                <wp:wrapNone/>
                <wp:docPr id="687" name="Straight Connector 687"/>
                <wp:cNvGraphicFramePr/>
                <a:graphic xmlns:a="http://schemas.openxmlformats.org/drawingml/2006/main">
                  <a:graphicData uri="http://schemas.microsoft.com/office/word/2010/wordprocessingShape">
                    <wps:wsp>
                      <wps:cNvCnPr/>
                      <wps:spPr>
                        <a:xfrm>
                          <a:off x="0" y="0"/>
                          <a:ext cx="7560310" cy="0"/>
                        </a:xfrm>
                        <a:prstGeom prst="line">
                          <a:avLst/>
                        </a:prstGeom>
                        <a:noFill/>
                        <a:ln w="9525" cap="flat" cmpd="sng" algn="ctr">
                          <a:solidFill>
                            <a:srgbClr val="B32C16"/>
                          </a:solidFill>
                          <a:prstDash val="solid"/>
                        </a:ln>
                        <a:effectLst/>
                      </wps:spPr>
                      <wps:bodyPr/>
                    </wps:wsp>
                  </a:graphicData>
                </a:graphic>
              </wp:anchor>
            </w:drawing>
          </mc:Choice>
          <mc:Fallback>
            <w:pict>
              <v:line w14:anchorId="61AC3486" id="Straight Connector 687" o:spid="_x0000_s1026" style="position:absolute;z-index:251835904;visibility:visible;mso-wrap-style:square;mso-wrap-distance-left:9pt;mso-wrap-distance-top:0;mso-wrap-distance-right:9pt;mso-wrap-distance-bottom:0;mso-position-horizontal:absolute;mso-position-horizontal-relative:text;mso-position-vertical:absolute;mso-position-vertical-relative:text" from="-67.85pt,95.7pt" to="527.45pt,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" strokecolor="#b32c16"/>
            </w:pict>
          </mc:Fallback>
        </mc:AlternateContent>
      </w:r>
      <w:bookmarkStart w:id="243" w:name="_Toc465205512"/>
      <w:r w:rsidRPr="00761800">
        <w:rPr>
          <w:rFonts w:ascii="Times New Roman" w:hAnsi="Times New Roman"/>
          <w:bCs/>
          <w:color w:val="852010"/>
          <w:spacing w:val="10"/>
          <w:sz w:val="52"/>
          <w:szCs w:val="28"/>
          <w:lang w:eastAsia="bg-BG"/>
        </w:rPr>
        <w:br/>
      </w:r>
      <w:r w:rsidRPr="00761800">
        <w:rPr>
          <w:rFonts w:ascii="Times New Roman" w:hAnsi="Times New Roman"/>
          <w:bCs/>
          <w:spacing w:val="10"/>
          <w:sz w:val="52"/>
          <w:szCs w:val="28"/>
          <w:lang w:eastAsia="bg-BG"/>
        </w:rPr>
        <w:t>Приоритети на политиките и основни допускания за периода 2026-2028 г.</w:t>
      </w:r>
      <w:bookmarkEnd w:id="242"/>
    </w:p>
    <w:p w14:paraId="51C107AC"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852010"/>
          <w:spacing w:val="10"/>
          <w:w w:val="90"/>
          <w:sz w:val="28"/>
          <w:szCs w:val="26"/>
          <w:lang w:eastAsia="bg-BG"/>
        </w:rPr>
      </w:pPr>
      <w:bookmarkStart w:id="244" w:name="_Toc233717479"/>
      <w:bookmarkStart w:id="245" w:name="_Toc464224783"/>
      <w:bookmarkStart w:id="246" w:name="_Toc464225433"/>
      <w:bookmarkStart w:id="247" w:name="_Toc464458980"/>
      <w:bookmarkStart w:id="248" w:name="_Toc464463080"/>
      <w:bookmarkStart w:id="249" w:name="_Toc464464907"/>
      <w:bookmarkStart w:id="250" w:name="_Toc464465413"/>
      <w:bookmarkStart w:id="251" w:name="_Toc464465601"/>
      <w:bookmarkStart w:id="252" w:name="_Toc464466426"/>
      <w:bookmarkStart w:id="253" w:name="_Toc464466670"/>
      <w:bookmarkStart w:id="254" w:name="_Toc464644982"/>
      <w:bookmarkStart w:id="255" w:name="_Toc465205513"/>
      <w:bookmarkEnd w:id="230"/>
      <w:bookmarkEnd w:id="231"/>
      <w:bookmarkEnd w:id="232"/>
      <w:bookmarkEnd w:id="233"/>
      <w:bookmarkEnd w:id="234"/>
      <w:bookmarkEnd w:id="235"/>
      <w:bookmarkEnd w:id="236"/>
      <w:bookmarkEnd w:id="237"/>
      <w:bookmarkEnd w:id="238"/>
      <w:bookmarkEnd w:id="239"/>
      <w:bookmarkEnd w:id="240"/>
      <w:bookmarkEnd w:id="241"/>
      <w:bookmarkEnd w:id="243"/>
      <w:r w:rsidRPr="00761800">
        <w:rPr>
          <w:rFonts w:ascii="Times New Roman" w:hAnsi="Times New Roman"/>
          <w:b/>
          <w:bCs/>
          <w:caps/>
          <w:color w:val="852010"/>
          <w:spacing w:val="10"/>
          <w:w w:val="90"/>
          <w:sz w:val="28"/>
          <w:szCs w:val="26"/>
          <w:lang w:eastAsia="bg-BG"/>
        </w:rPr>
        <w:t>Политики в приходите за периода 2026-2028 г.</w:t>
      </w:r>
      <w:bookmarkEnd w:id="244"/>
    </w:p>
    <w:bookmarkEnd w:id="245"/>
    <w:bookmarkEnd w:id="246"/>
    <w:bookmarkEnd w:id="247"/>
    <w:bookmarkEnd w:id="248"/>
    <w:bookmarkEnd w:id="249"/>
    <w:bookmarkEnd w:id="250"/>
    <w:bookmarkEnd w:id="251"/>
    <w:bookmarkEnd w:id="252"/>
    <w:bookmarkEnd w:id="253"/>
    <w:bookmarkEnd w:id="254"/>
    <w:bookmarkEnd w:id="255"/>
    <w:p w14:paraId="75503F8D"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През периода 2026-2028 г. данъчната политика ще е ориентирана към постигане на макроикономическа и бюджетна стабилност в средносрочен и дългосрочен план и осигуряване на необходимия финансов ресурс за изпълнение на разходните политики на правителството. Основните цели на данъчната политика за периода са насочени към поддържане на икономическия растеж, подобряване на бизнес средата, борбата с данъчните злоупотреби и повишаване на фискалната устойчивост в дългосрочен план. В изпълнение на целите за гарантиране на устойчива и предвидима публична финансова среда, която подкрепя икономическия растеж, социалните политики и доверието в държавните институции, са формирани приоритети, свързани с подобряване на събираемостта на приходите, предотвратяване на възможностите за укриване и невнасяне на данъци и осигурителни вноски и намаляване на административната тежест и разходите за бизнеса и гражданите. В международен аспект данъчната политика на страната е насочена в подкрепа на функционирането на единния пазар на ЕС, успешното осъществяване на цифровата трансформация на обществото и икономиката в Европа и на дейностите по справяне с климатичните промени и опазване на околната среда. През прогнозния период Министерството на финансите ще продължи активно да участва в дейностите, свързани с обсъждането, анализа и оценката на въздействие от планираните от ОИСР</w:t>
      </w:r>
      <w:r w:rsidRPr="00761800">
        <w:rPr>
          <w:rFonts w:ascii="Times New Roman" w:hAnsi="Times New Roman"/>
          <w:position w:val="2"/>
          <w:sz w:val="18"/>
          <w:szCs w:val="24"/>
          <w:vertAlign w:val="superscript"/>
        </w:rPr>
        <w:footnoteReference w:id="39"/>
      </w:r>
      <w:r w:rsidRPr="00761800">
        <w:rPr>
          <w:rFonts w:ascii="Times New Roman" w:hAnsi="Times New Roman"/>
          <w:szCs w:val="24"/>
          <w:lang w:eastAsia="bg-BG"/>
        </w:rPr>
        <w:t xml:space="preserve"> мерки в различни области на данъчната политика.</w:t>
      </w:r>
    </w:p>
    <w:p w14:paraId="22A2FDE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За изпълнение на приоритетните цели на данъчната политика се извършват нормативни промени и действия на приходните администрации в областта на събирането и контрола. Постигането на по-добра ефективност при изпълнение на мерките е в пряка връзка със засилването на междуинституционалното сътрудничество, координация и ефективен обмен на информация както на национално ниво, така и на ниво ЕС и трети страни.</w:t>
      </w:r>
    </w:p>
    <w:p w14:paraId="61F38685"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bookmarkStart w:id="256" w:name="_Toc464224787"/>
      <w:bookmarkStart w:id="257" w:name="_Toc464225437"/>
      <w:bookmarkStart w:id="258" w:name="_Toc464458984"/>
      <w:bookmarkStart w:id="259" w:name="_Toc464463084"/>
      <w:bookmarkStart w:id="260" w:name="_Toc464464911"/>
      <w:bookmarkStart w:id="261" w:name="_Toc464465417"/>
      <w:bookmarkStart w:id="262" w:name="_Toc464465605"/>
      <w:bookmarkStart w:id="263" w:name="_Toc464466430"/>
      <w:bookmarkStart w:id="264" w:name="_Toc464466674"/>
      <w:bookmarkStart w:id="265" w:name="_Toc464644986"/>
      <w:bookmarkStart w:id="266" w:name="_Toc465205517"/>
      <w:r w:rsidRPr="00761800">
        <w:rPr>
          <w:rFonts w:ascii="Times New Roman" w:hAnsi="Times New Roman"/>
          <w:b/>
          <w:bCs/>
          <w:caps/>
          <w:color w:val="852010"/>
          <w:szCs w:val="22"/>
          <w:lang w:eastAsia="bg-BG"/>
        </w:rPr>
        <w:t>Данъчна политика</w:t>
      </w:r>
    </w:p>
    <w:p w14:paraId="567C82F8"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Прогнозните данъчни приходи за периода 2026-2028 г. са базирани на основните показатели от пролетната макроикономическа прогноза на Министерството на финансите, планираните законодателни изменения на данъчните закони и на резултатите </w:t>
      </w:r>
      <w:r w:rsidRPr="00761800">
        <w:rPr>
          <w:rFonts w:ascii="Times New Roman" w:hAnsi="Times New Roman"/>
          <w:szCs w:val="24"/>
          <w:lang w:eastAsia="bg-BG"/>
        </w:rPr>
        <w:lastRenderedPageBreak/>
        <w:t>от прилаганите мерки от страна на приходните агенции за подобряване на събираемостта.</w:t>
      </w:r>
    </w:p>
    <w:p w14:paraId="01B93818" w14:textId="77777777" w:rsidR="00761800" w:rsidRPr="00761800" w:rsidRDefault="00761800" w:rsidP="00761800">
      <w:pPr>
        <w:tabs>
          <w:tab w:val="left" w:pos="709"/>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При прогнозиране на постъпленията от данъци са взети предвид </w:t>
      </w:r>
      <w:r w:rsidRPr="00761800">
        <w:rPr>
          <w:rFonts w:ascii="Times New Roman" w:hAnsi="Times New Roman"/>
          <w:b/>
          <w:bCs/>
          <w:i/>
          <w:color w:val="852010"/>
          <w:szCs w:val="24"/>
          <w:lang w:eastAsia="bg-BG"/>
        </w:rPr>
        <w:t xml:space="preserve">предложените </w:t>
      </w:r>
      <w:r w:rsidRPr="00761800">
        <w:rPr>
          <w:rFonts w:ascii="Times New Roman" w:hAnsi="Times New Roman"/>
          <w:bCs/>
          <w:szCs w:val="24"/>
          <w:lang w:eastAsia="bg-BG"/>
        </w:rPr>
        <w:t xml:space="preserve"> </w:t>
      </w:r>
      <w:r w:rsidRPr="00761800">
        <w:rPr>
          <w:rFonts w:ascii="Times New Roman" w:hAnsi="Times New Roman"/>
          <w:b/>
          <w:bCs/>
          <w:i/>
          <w:color w:val="852010"/>
          <w:szCs w:val="24"/>
          <w:lang w:eastAsia="bg-BG"/>
        </w:rPr>
        <w:t>изменения в данъчното законодателство и това в областта на хазарта</w:t>
      </w:r>
      <w:r w:rsidRPr="00761800">
        <w:rPr>
          <w:rFonts w:ascii="Times New Roman" w:hAnsi="Times New Roman"/>
          <w:bCs/>
          <w:szCs w:val="24"/>
          <w:lang w:eastAsia="bg-BG"/>
        </w:rPr>
        <w:t>, както следва:</w:t>
      </w:r>
    </w:p>
    <w:p w14:paraId="39A99596" w14:textId="77777777" w:rsidR="00761800" w:rsidRPr="00761800" w:rsidRDefault="00761800" w:rsidP="00F64909">
      <w:pPr>
        <w:numPr>
          <w:ilvl w:val="0"/>
          <w:numId w:val="16"/>
        </w:numPr>
        <w:tabs>
          <w:tab w:val="left" w:pos="720"/>
        </w:tabs>
        <w:spacing w:after="200"/>
        <w:ind w:left="0" w:firstLine="426"/>
        <w:jc w:val="both"/>
        <w:rPr>
          <w:rFonts w:ascii="Times New Roman" w:hAnsi="Times New Roman"/>
          <w:bCs/>
          <w:iCs/>
          <w:szCs w:val="24"/>
          <w:lang w:eastAsia="bg-BG"/>
        </w:rPr>
      </w:pPr>
      <w:r w:rsidRPr="00761800">
        <w:rPr>
          <w:rFonts w:ascii="Times New Roman" w:hAnsi="Times New Roman"/>
          <w:b/>
          <w:i/>
          <w:szCs w:val="24"/>
          <w:lang w:eastAsia="bg-BG"/>
        </w:rPr>
        <w:t>Ускорено реализиране на вече въведения акцизен календар за периода 2025-2029 г. в ЗАДС</w:t>
      </w:r>
      <w:r w:rsidRPr="00761800">
        <w:rPr>
          <w:rFonts w:ascii="Times New Roman" w:hAnsi="Times New Roman"/>
          <w:b/>
          <w:i/>
          <w:position w:val="2"/>
          <w:sz w:val="18"/>
          <w:szCs w:val="24"/>
          <w:vertAlign w:val="superscript"/>
        </w:rPr>
        <w:footnoteReference w:id="40"/>
      </w:r>
      <w:r w:rsidRPr="00761800">
        <w:rPr>
          <w:rFonts w:ascii="Times New Roman" w:hAnsi="Times New Roman"/>
          <w:b/>
          <w:i/>
          <w:szCs w:val="24"/>
          <w:lang w:eastAsia="bg-BG"/>
        </w:rPr>
        <w:t xml:space="preserve"> за поетапно увеличаване на акцизните ставки върху тютюневите изделия за акцизните ставки на тютюна и тютюневите изделия.</w:t>
      </w:r>
      <w:r w:rsidRPr="00761800">
        <w:rPr>
          <w:rFonts w:ascii="Times New Roman" w:hAnsi="Times New Roman"/>
          <w:szCs w:val="24"/>
          <w:lang w:eastAsia="bg-BG"/>
        </w:rPr>
        <w:t xml:space="preserve"> Със законопроекта се предлага по-ранно въвеждане на по-високите ставки за данъка, така че планираното увеличение да се осъществи през периода до 2028 г. </w:t>
      </w:r>
      <w:r w:rsidRPr="00761800">
        <w:rPr>
          <w:rFonts w:ascii="Times New Roman" w:hAnsi="Times New Roman"/>
          <w:bCs/>
          <w:iCs/>
          <w:szCs w:val="24"/>
          <w:lang w:eastAsia="bg-BG"/>
        </w:rPr>
        <w:t xml:space="preserve">Мярката има за цел повишаване на данъчните приходи, но също така е и в контекста на напредналите преговори на ниво ЕС свързани с изменението  на Директива 2011/64/ЕС на Съвета от 21 юни 2011 година относно структурата и ставките на акциза върху обработен тютюн, и предложените значително по-високи минимални нива на данъчно облагане на тютюневите изделия и свързаните с тях продукти. В тази връзка е необходимо изменение на действащия акцизен календар като се намаляват периодите за достигане на нивата на акцизни ставки, с оглед постигане на пропорционалност при бъдещото прилагане на новата акцизна рамка. </w:t>
      </w:r>
      <w:r w:rsidRPr="00761800">
        <w:rPr>
          <w:rFonts w:ascii="Times New Roman" w:hAnsi="Times New Roman"/>
          <w:szCs w:val="24"/>
          <w:lang w:eastAsia="bg-BG"/>
        </w:rPr>
        <w:t>В съответствие с предложения календар акцизните ставки върху тютюна и тютюневите изделия се предвижда да бъдат променени и от 01.08.2026 година;</w:t>
      </w:r>
    </w:p>
    <w:p w14:paraId="39DC5D0F" w14:textId="77777777" w:rsidR="00761800" w:rsidRPr="00761800" w:rsidRDefault="00761800" w:rsidP="00F64909">
      <w:pPr>
        <w:numPr>
          <w:ilvl w:val="0"/>
          <w:numId w:val="16"/>
        </w:numPr>
        <w:autoSpaceDE w:val="0"/>
        <w:autoSpaceDN w:val="0"/>
        <w:adjustRightInd w:val="0"/>
        <w:spacing w:after="200"/>
        <w:ind w:left="0" w:firstLine="426"/>
        <w:jc w:val="both"/>
        <w:rPr>
          <w:rFonts w:ascii="Times New Roman" w:hAnsi="Times New Roman"/>
          <w:b/>
          <w:i/>
          <w:szCs w:val="24"/>
          <w:lang w:eastAsia="bg-BG"/>
        </w:rPr>
      </w:pPr>
      <w:r w:rsidRPr="00761800">
        <w:rPr>
          <w:rFonts w:ascii="Times New Roman" w:hAnsi="Times New Roman"/>
          <w:b/>
          <w:i/>
          <w:szCs w:val="24"/>
          <w:lang w:eastAsia="bg-BG"/>
        </w:rPr>
        <w:t>Разширяване на обхвата на лицата, прилагащи режима по глава 21а от ДОПК</w:t>
      </w:r>
      <w:r w:rsidRPr="00761800">
        <w:rPr>
          <w:rFonts w:ascii="Times New Roman" w:hAnsi="Times New Roman"/>
          <w:b/>
          <w:i/>
          <w:position w:val="2"/>
          <w:sz w:val="18"/>
          <w:szCs w:val="24"/>
          <w:vertAlign w:val="superscript"/>
        </w:rPr>
        <w:footnoteReference w:id="41"/>
      </w:r>
      <w:r w:rsidRPr="00761800">
        <w:rPr>
          <w:rFonts w:ascii="Times New Roman" w:hAnsi="Times New Roman"/>
          <w:b/>
          <w:i/>
          <w:szCs w:val="24"/>
          <w:lang w:eastAsia="bg-BG"/>
        </w:rPr>
        <w:t xml:space="preserve"> чрез включване и на лицата, представляващи публичните предприятия по смисъла на Закона за публичните предприятия. </w:t>
      </w:r>
      <w:r w:rsidRPr="00761800">
        <w:rPr>
          <w:rFonts w:ascii="Times New Roman" w:hAnsi="Times New Roman"/>
          <w:szCs w:val="24"/>
          <w:lang w:eastAsia="bg-BG"/>
        </w:rPr>
        <w:t>С</w:t>
      </w:r>
      <w:r w:rsidRPr="00761800">
        <w:rPr>
          <w:rFonts w:ascii="Times New Roman" w:eastAsia="Batang" w:hAnsi="Times New Roman"/>
          <w:color w:val="000000"/>
          <w:szCs w:val="24"/>
        </w:rPr>
        <w:t xml:space="preserve"> оглед постигане на равнопоставеност между лицата, разходващи публични средства, и в контекста на повишаване на приходите от просрочени публични задължения с мярката се предлага разширяване на обхвата на лицата, които ще прилагат режима по глава 21а като се добавят и публичните предприятия по смисъла на чл. 2 от Закона за публичните предприятия.</w:t>
      </w:r>
      <w:r w:rsidRPr="00761800">
        <w:rPr>
          <w:rFonts w:ascii="Times New Roman" w:hAnsi="Times New Roman"/>
          <w:b/>
          <w:i/>
          <w:szCs w:val="24"/>
          <w:lang w:eastAsia="bg-BG"/>
        </w:rPr>
        <w:t xml:space="preserve"> </w:t>
      </w:r>
    </w:p>
    <w:p w14:paraId="55EAD074" w14:textId="77777777" w:rsidR="00761800" w:rsidRPr="00761800" w:rsidRDefault="00761800" w:rsidP="00F64909">
      <w:pPr>
        <w:numPr>
          <w:ilvl w:val="0"/>
          <w:numId w:val="16"/>
        </w:numPr>
        <w:autoSpaceDE w:val="0"/>
        <w:autoSpaceDN w:val="0"/>
        <w:adjustRightInd w:val="0"/>
        <w:spacing w:after="200"/>
        <w:ind w:left="0" w:firstLine="426"/>
        <w:jc w:val="both"/>
        <w:rPr>
          <w:rFonts w:ascii="Times New Roman" w:hAnsi="Times New Roman"/>
          <w:color w:val="000000"/>
          <w:szCs w:val="24"/>
          <w:lang w:eastAsia="bg-BG"/>
        </w:rPr>
      </w:pPr>
      <w:r w:rsidRPr="00761800">
        <w:rPr>
          <w:rFonts w:ascii="Times New Roman" w:hAnsi="Times New Roman"/>
          <w:b/>
          <w:i/>
          <w:szCs w:val="24"/>
          <w:lang w:eastAsia="bg-BG"/>
        </w:rPr>
        <w:t xml:space="preserve">Погасяване на задължения за неплатени данъци и осигуровки чрез ефективно насочване на изпълнението спрямо касовите наличности в търговските обекти с цел по-ефективно събиране на публичните вземания и лихвите по тях. </w:t>
      </w:r>
      <w:r w:rsidRPr="00761800">
        <w:rPr>
          <w:rFonts w:ascii="Times New Roman" w:hAnsi="Times New Roman"/>
          <w:szCs w:val="24"/>
          <w:lang w:eastAsia="bg-BG"/>
        </w:rPr>
        <w:t>Мярката има за цел п</w:t>
      </w:r>
      <w:r w:rsidRPr="00761800">
        <w:rPr>
          <w:rFonts w:ascii="Times New Roman" w:eastAsia="Batang" w:hAnsi="Times New Roman"/>
          <w:color w:val="000000"/>
          <w:szCs w:val="24"/>
        </w:rPr>
        <w:t xml:space="preserve">овишаване на събираемостта на публичните вземания и ограничаване нарастването на просрочените задължения чрез своевременно насочване на принудителното изпълнение към наличните парични средства в търговските обекти. </w:t>
      </w:r>
    </w:p>
    <w:p w14:paraId="2C4BE156" w14:textId="77777777" w:rsidR="00761800" w:rsidRPr="00761800" w:rsidRDefault="00761800" w:rsidP="00F64909">
      <w:pPr>
        <w:numPr>
          <w:ilvl w:val="0"/>
          <w:numId w:val="16"/>
        </w:numPr>
        <w:autoSpaceDE w:val="0"/>
        <w:autoSpaceDN w:val="0"/>
        <w:adjustRightInd w:val="0"/>
        <w:spacing w:after="200"/>
        <w:ind w:left="0" w:firstLine="426"/>
        <w:jc w:val="both"/>
        <w:rPr>
          <w:rFonts w:ascii="Times New Roman" w:hAnsi="Times New Roman"/>
          <w:b/>
          <w:i/>
          <w:color w:val="000000"/>
          <w:szCs w:val="24"/>
        </w:rPr>
      </w:pPr>
      <w:r w:rsidRPr="00761800">
        <w:rPr>
          <w:rFonts w:ascii="Times New Roman" w:hAnsi="Times New Roman"/>
          <w:b/>
          <w:i/>
          <w:color w:val="000000"/>
          <w:szCs w:val="24"/>
        </w:rPr>
        <w:t xml:space="preserve">Осигуряване на възможност за обезпечаване и изпълнение върху сумите, собственост на длъжника, по сметки на трети лица. </w:t>
      </w:r>
      <w:r w:rsidRPr="00761800">
        <w:rPr>
          <w:rFonts w:ascii="Times New Roman" w:eastAsia="Batang" w:hAnsi="Times New Roman"/>
          <w:color w:val="000000"/>
          <w:szCs w:val="24"/>
        </w:rPr>
        <w:t>С</w:t>
      </w:r>
      <w:r w:rsidRPr="00761800">
        <w:rPr>
          <w:rFonts w:ascii="Times New Roman" w:hAnsi="Times New Roman"/>
          <w:color w:val="000000"/>
          <w:szCs w:val="24"/>
          <w:lang w:eastAsia="bg-BG"/>
        </w:rPr>
        <w:t xml:space="preserve"> предложената мярка в законопроекта се предвижда усъвършенстване на правната уредба на обезпечителното и изпълнително производство по събиране на публични вземания чрез създаване на възможност за налагане на обезпечителни мерки и предприемане на изпълнителни действия върху парични средства, които са собственост на длъжника, но се намират по платежни или други сметки на трети лица. </w:t>
      </w:r>
    </w:p>
    <w:p w14:paraId="761068FF" w14:textId="77777777" w:rsidR="00761800" w:rsidRPr="00761800" w:rsidRDefault="00761800" w:rsidP="00F64909">
      <w:pPr>
        <w:numPr>
          <w:ilvl w:val="0"/>
          <w:numId w:val="16"/>
        </w:numPr>
        <w:autoSpaceDE w:val="0"/>
        <w:autoSpaceDN w:val="0"/>
        <w:adjustRightInd w:val="0"/>
        <w:spacing w:after="200"/>
        <w:ind w:left="0" w:firstLine="426"/>
        <w:jc w:val="both"/>
        <w:rPr>
          <w:rFonts w:ascii="Times New Roman" w:hAnsi="Times New Roman"/>
          <w:b/>
          <w:i/>
          <w:color w:val="000000"/>
          <w:szCs w:val="24"/>
        </w:rPr>
      </w:pPr>
      <w:r w:rsidRPr="00761800">
        <w:rPr>
          <w:rFonts w:ascii="Times New Roman" w:hAnsi="Times New Roman"/>
          <w:b/>
          <w:i/>
          <w:color w:val="000000"/>
          <w:szCs w:val="24"/>
        </w:rPr>
        <w:t xml:space="preserve">Замяна на декларативен режим с проверка по електронен път за наличие/липса на непогасени задължителни осигурителни вноски при вписване на прехвърляне на предприятие и на дружествен дял. </w:t>
      </w:r>
      <w:r w:rsidRPr="00761800">
        <w:rPr>
          <w:rFonts w:ascii="Times New Roman" w:hAnsi="Times New Roman"/>
          <w:color w:val="000000"/>
          <w:szCs w:val="24"/>
        </w:rPr>
        <w:t xml:space="preserve">С мярката се </w:t>
      </w:r>
      <w:r w:rsidRPr="00761800">
        <w:rPr>
          <w:rFonts w:ascii="Times New Roman" w:eastAsia="Batang" w:hAnsi="Times New Roman"/>
          <w:color w:val="000000"/>
          <w:szCs w:val="24"/>
        </w:rPr>
        <w:t xml:space="preserve">предлага промяна в </w:t>
      </w:r>
      <w:r w:rsidRPr="00761800">
        <w:rPr>
          <w:rFonts w:ascii="Times New Roman" w:eastAsia="Batang" w:hAnsi="Times New Roman"/>
          <w:color w:val="000000"/>
          <w:szCs w:val="24"/>
        </w:rPr>
        <w:lastRenderedPageBreak/>
        <w:t xml:space="preserve">Търговския закон, където се предвижда </w:t>
      </w:r>
      <w:r w:rsidRPr="00761800">
        <w:rPr>
          <w:rFonts w:ascii="Times New Roman" w:hAnsi="Times New Roman"/>
          <w:color w:val="000000"/>
          <w:szCs w:val="24"/>
          <w:lang w:eastAsia="bg-BG"/>
        </w:rPr>
        <w:t xml:space="preserve">отпадане на изискването за представяне на декларации от прехвърлители и приобретатели относно наличието или липсата на непогасени задължения за задължителни осигурителни вноски при вписване на прехвърляне на предприятие или на дружествен дял и замяната и с </w:t>
      </w:r>
      <w:r w:rsidRPr="00761800">
        <w:rPr>
          <w:rFonts w:ascii="Times New Roman" w:eastAsia="Batang" w:hAnsi="Times New Roman"/>
          <w:color w:val="000000"/>
          <w:szCs w:val="24"/>
        </w:rPr>
        <w:t>проверка по електронен път за наличие/липса на непогасени задължителни осигурителни вноски.</w:t>
      </w:r>
    </w:p>
    <w:p w14:paraId="6E98E6C9" w14:textId="77777777" w:rsidR="00761800" w:rsidRPr="00761800" w:rsidRDefault="00761800" w:rsidP="00F64909">
      <w:pPr>
        <w:numPr>
          <w:ilvl w:val="0"/>
          <w:numId w:val="16"/>
        </w:numPr>
        <w:autoSpaceDE w:val="0"/>
        <w:autoSpaceDN w:val="0"/>
        <w:adjustRightInd w:val="0"/>
        <w:spacing w:after="200"/>
        <w:ind w:left="0" w:firstLine="426"/>
        <w:jc w:val="both"/>
        <w:rPr>
          <w:rFonts w:ascii="Times New Roman" w:eastAsia="Batang" w:hAnsi="Times New Roman"/>
          <w:color w:val="000000"/>
          <w:szCs w:val="24"/>
        </w:rPr>
      </w:pPr>
      <w:r w:rsidRPr="00761800">
        <w:rPr>
          <w:rFonts w:ascii="Times New Roman" w:hAnsi="Times New Roman"/>
          <w:b/>
          <w:i/>
          <w:szCs w:val="24"/>
          <w:lang w:eastAsia="bg-BG"/>
        </w:rPr>
        <w:t xml:space="preserve">Въвеждане на лицензионен режим в Закона за хазарта за афилиейт оператори, които популяризират хазартни игри на лицензирани оператори на територията на Република България. </w:t>
      </w:r>
      <w:r w:rsidRPr="00761800">
        <w:rPr>
          <w:rFonts w:ascii="Times New Roman" w:hAnsi="Times New Roman"/>
          <w:szCs w:val="24"/>
          <w:lang w:eastAsia="bg-BG"/>
        </w:rPr>
        <w:t xml:space="preserve">С мярката </w:t>
      </w:r>
      <w:r w:rsidRPr="00761800">
        <w:rPr>
          <w:rFonts w:ascii="Times New Roman" w:hAnsi="Times New Roman"/>
          <w:color w:val="000000"/>
          <w:szCs w:val="24"/>
          <w:lang w:eastAsia="bg-BG"/>
        </w:rPr>
        <w:t xml:space="preserve">се предлага въвеждането на задължителен лицензионен режим за всички физически и юридически лица, които популяризират хазартни игри на лицензирани оператори на територията на Република България. Дейност като афилиейт оператор ще може да се осъществява единствено след издаване на лиценз от изпълнителният директор на Националната агенция за приходите (НАП). </w:t>
      </w:r>
    </w:p>
    <w:p w14:paraId="7ADA9970" w14:textId="77777777" w:rsidR="00761800" w:rsidRPr="00761800" w:rsidRDefault="00761800" w:rsidP="00F64909">
      <w:pPr>
        <w:numPr>
          <w:ilvl w:val="0"/>
          <w:numId w:val="16"/>
        </w:numPr>
        <w:autoSpaceDE w:val="0"/>
        <w:autoSpaceDN w:val="0"/>
        <w:adjustRightInd w:val="0"/>
        <w:spacing w:after="200"/>
        <w:ind w:left="0" w:firstLine="426"/>
        <w:jc w:val="both"/>
        <w:rPr>
          <w:rFonts w:ascii="Times New Roman" w:hAnsi="Times New Roman"/>
          <w:color w:val="000000"/>
          <w:szCs w:val="24"/>
          <w:lang w:eastAsia="bg-BG"/>
        </w:rPr>
      </w:pPr>
      <w:r w:rsidRPr="00761800">
        <w:rPr>
          <w:rFonts w:ascii="Times New Roman" w:hAnsi="Times New Roman"/>
          <w:b/>
          <w:i/>
          <w:color w:val="000000"/>
          <w:szCs w:val="24"/>
        </w:rPr>
        <w:t xml:space="preserve">Въвеждане на двукомпонентна държавна такса върху комисионното възнаграждение на афилиейт операторите, въз основа на предварително договорени показатели за ефективност - брой привлечени регистрирани потребители, депозити, залози или друг измерим резултат, постигнат чрез дейността на афилиейт оператора по популяризиране на хазартните игри, организирани от хазартния оператор. </w:t>
      </w:r>
      <w:r w:rsidRPr="00761800">
        <w:rPr>
          <w:rFonts w:ascii="Times New Roman" w:hAnsi="Times New Roman"/>
          <w:color w:val="000000"/>
          <w:szCs w:val="24"/>
        </w:rPr>
        <w:t>С цел повишаване на събираемостта на данъчните приходи и предотвратяване на възможностите за укриване и невнасяне на данъци</w:t>
      </w:r>
      <w:r w:rsidRPr="00761800">
        <w:rPr>
          <w:rFonts w:ascii="Times New Roman" w:eastAsia="Batang" w:hAnsi="Times New Roman"/>
          <w:color w:val="000000"/>
          <w:szCs w:val="24"/>
        </w:rPr>
        <w:t xml:space="preserve"> се предлага въвеждане на двукомпонентна държавна такса, състояща се от годишна такса в размер на 6 000 евро, и променлива част в размер на 10 на сто върху стойността на комисионното възнаграждение, обвързано с резултати - брой привлечени регистрирани потребители, депозити, залози или друг измерим резултат, постигнат чрез дейността на афилиейт оператора по популяризиране на хазартните игри, организирани от хазартния оператор. </w:t>
      </w:r>
    </w:p>
    <w:p w14:paraId="2F3D5799" w14:textId="77777777" w:rsidR="00761800" w:rsidRPr="00761800" w:rsidRDefault="00761800" w:rsidP="00F64909">
      <w:pPr>
        <w:numPr>
          <w:ilvl w:val="0"/>
          <w:numId w:val="16"/>
        </w:numPr>
        <w:autoSpaceDE w:val="0"/>
        <w:autoSpaceDN w:val="0"/>
        <w:adjustRightInd w:val="0"/>
        <w:spacing w:after="200"/>
        <w:ind w:left="0" w:firstLine="426"/>
        <w:jc w:val="both"/>
        <w:rPr>
          <w:rFonts w:ascii="Times New Roman" w:hAnsi="Times New Roman"/>
          <w:color w:val="000000"/>
          <w:szCs w:val="24"/>
          <w:lang w:eastAsia="bg-BG"/>
        </w:rPr>
      </w:pPr>
      <w:r w:rsidRPr="00761800">
        <w:rPr>
          <w:rFonts w:ascii="Times New Roman" w:hAnsi="Times New Roman"/>
          <w:b/>
          <w:i/>
          <w:szCs w:val="24"/>
          <w:lang w:eastAsia="bg-BG"/>
        </w:rPr>
        <w:t xml:space="preserve">Блокиране на плащания от банки и платежни институции към нелицензирани хазартни оператори и сайтове. </w:t>
      </w:r>
      <w:r w:rsidRPr="00761800">
        <w:rPr>
          <w:rFonts w:ascii="Times New Roman" w:hAnsi="Times New Roman"/>
          <w:color w:val="000000"/>
          <w:szCs w:val="24"/>
          <w:lang w:eastAsia="bg-BG"/>
        </w:rPr>
        <w:t xml:space="preserve">По този начин се цели преминаване от фрагментирани технически мерки към цялостен модел на финансов контрол, който е доказал своята по-висока ефективност в европейската практика и осигурява реално ограничаване на нелегалната дейност. </w:t>
      </w:r>
    </w:p>
    <w:p w14:paraId="5F565070" w14:textId="77777777" w:rsidR="00761800" w:rsidRPr="00761800" w:rsidRDefault="00761800" w:rsidP="00F64909">
      <w:pPr>
        <w:numPr>
          <w:ilvl w:val="0"/>
          <w:numId w:val="16"/>
        </w:numPr>
        <w:autoSpaceDE w:val="0"/>
        <w:autoSpaceDN w:val="0"/>
        <w:adjustRightInd w:val="0"/>
        <w:spacing w:after="200"/>
        <w:ind w:left="0" w:firstLine="426"/>
        <w:jc w:val="both"/>
        <w:rPr>
          <w:rFonts w:ascii="Times New Roman" w:hAnsi="Times New Roman"/>
          <w:b/>
          <w:i/>
          <w:szCs w:val="24"/>
          <w:lang w:eastAsia="bg-BG"/>
        </w:rPr>
      </w:pPr>
      <w:r w:rsidRPr="00761800">
        <w:rPr>
          <w:rFonts w:ascii="Times New Roman" w:hAnsi="Times New Roman"/>
          <w:b/>
          <w:i/>
          <w:szCs w:val="24"/>
          <w:lang w:eastAsia="bg-BG"/>
        </w:rPr>
        <w:t xml:space="preserve">Въвеждане на динамичен списък на нелицензираните хазартни оператори, тъй като действащият към момента статичен модел на регистър се актуализира със закъснение и не отразява достатъчно бързо високата динамика на онлайн нелегалния пазар. </w:t>
      </w:r>
      <w:r w:rsidRPr="00761800">
        <w:rPr>
          <w:rFonts w:ascii="Times New Roman" w:hAnsi="Times New Roman"/>
          <w:szCs w:val="24"/>
          <w:lang w:eastAsia="bg-BG"/>
        </w:rPr>
        <w:t xml:space="preserve">С мярката </w:t>
      </w:r>
      <w:r w:rsidRPr="00761800">
        <w:rPr>
          <w:rFonts w:ascii="Times New Roman" w:hAnsi="Times New Roman"/>
          <w:color w:val="000000"/>
          <w:szCs w:val="24"/>
          <w:lang w:eastAsia="bg-BG"/>
        </w:rPr>
        <w:t xml:space="preserve">се предлага изграждане на интегрирана динамична система за мониторинг и актуализация в реално време - централизирана платформа, поддържана от НАП, която ще събира, обработва и актуализира информация за всички релевантни идентификатори, свързани с нелицензираните оператори. </w:t>
      </w:r>
    </w:p>
    <w:p w14:paraId="0D58B9F3" w14:textId="77777777" w:rsidR="00761800" w:rsidRPr="00761800" w:rsidRDefault="00761800" w:rsidP="00F64909">
      <w:pPr>
        <w:numPr>
          <w:ilvl w:val="0"/>
          <w:numId w:val="16"/>
        </w:numPr>
        <w:tabs>
          <w:tab w:val="left" w:pos="720"/>
        </w:tabs>
        <w:spacing w:after="200"/>
        <w:ind w:left="0" w:firstLine="425"/>
        <w:jc w:val="both"/>
        <w:rPr>
          <w:rFonts w:ascii="Times New Roman" w:hAnsi="Times New Roman"/>
          <w:bCs/>
          <w:iCs/>
          <w:szCs w:val="24"/>
          <w:lang w:eastAsia="bg-BG"/>
        </w:rPr>
      </w:pPr>
      <w:r w:rsidRPr="00761800">
        <w:rPr>
          <w:rFonts w:ascii="Times New Roman" w:hAnsi="Times New Roman"/>
          <w:b/>
          <w:i/>
          <w:szCs w:val="24"/>
          <w:lang w:eastAsia="bg-BG"/>
        </w:rPr>
        <w:t>Въвеждане на декларативен режим за вноските за социално отговорно поведение.</w:t>
      </w:r>
      <w:r w:rsidRPr="00761800">
        <w:rPr>
          <w:rFonts w:ascii="Times New Roman" w:hAnsi="Times New Roman"/>
          <w:szCs w:val="24"/>
          <w:lang w:eastAsia="bg-BG"/>
        </w:rPr>
        <w:t xml:space="preserve"> С мярката се предлага да се въведе задължение за лицата, организиращи хазартни игри, да декларират дължимите вноски за социално отговорно поведение чрез подаване на декларация по образец в НАП.</w:t>
      </w:r>
    </w:p>
    <w:p w14:paraId="1FE249EA" w14:textId="77777777" w:rsidR="00761800" w:rsidRPr="00761800" w:rsidRDefault="00761800" w:rsidP="00761800">
      <w:pPr>
        <w:tabs>
          <w:tab w:val="left" w:pos="720"/>
        </w:tabs>
        <w:spacing w:after="200"/>
        <w:jc w:val="both"/>
        <w:rPr>
          <w:rFonts w:ascii="Times New Roman" w:hAnsi="Times New Roman"/>
          <w:b/>
          <w:bCs/>
          <w:iCs/>
          <w:szCs w:val="24"/>
          <w:lang w:eastAsia="bg-BG"/>
        </w:rPr>
      </w:pPr>
      <w:r w:rsidRPr="00761800">
        <w:rPr>
          <w:rFonts w:ascii="Times New Roman" w:hAnsi="Times New Roman"/>
          <w:b/>
          <w:bCs/>
          <w:iCs/>
          <w:szCs w:val="24"/>
          <w:lang w:eastAsia="bg-BG"/>
        </w:rPr>
        <w:t>При прогнозиране на постъпленията от данъци е взет предвид и пакет от мерки за намаляване дела на сивата икономика, както следва:</w:t>
      </w:r>
    </w:p>
    <w:p w14:paraId="473A570C"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 xml:space="preserve">Пакетът от мерки е насочен към ограничаване на сивата икономика, повишаване на бюджетните приходи и създаване на по-справедлива конкурентна среда за коректните </w:t>
      </w:r>
      <w:r w:rsidRPr="00761800">
        <w:rPr>
          <w:rFonts w:ascii="Times New Roman" w:hAnsi="Times New Roman"/>
          <w:bCs/>
          <w:iCs/>
          <w:szCs w:val="24"/>
          <w:lang w:eastAsia="bg-BG"/>
        </w:rPr>
        <w:lastRenderedPageBreak/>
        <w:t>икономически оператори. Намаляването на неформалната икономическа дейност е сред ключовите предпоставки за подобряване на фискалната устойчивост и повишаване на ефективността на публичните политики.</w:t>
      </w:r>
    </w:p>
    <w:p w14:paraId="242A3450"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По последни оценки България е сред държавите членки на Европейския съюз с най-висок дял на сивата икономика, който достига 34,6% от БВП. Този значителен обем нерегистрирана или частично декларирана стопанска дейност води до съществени загуби на данъчни и осигурителни приходи, изкривява конкуренцията на пазара и създава условия за нелоялни практики спрямо предприятията и гражданите, които спазват законодателството.</w:t>
      </w:r>
    </w:p>
    <w:p w14:paraId="0225A973"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В условията на необходимост от подобряване на бюджетното салдо и укрепване на публичните финанси ограничаването на сивата икономика представлява един от най-ефективните инструменти за увеличаване на приходите без повишаване на данъчната и осигурителната тежест. Чрез повишаване на събираемостта на данъците и осигурителните вноски, засилване на контрола, разширяване на дигитализацията и подобряване на междуинституционалния обмен на информация може да бъде реализиран значителен допълнителен приходен потенциал за бюджета.</w:t>
      </w:r>
    </w:p>
    <w:p w14:paraId="79E23FB8"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Предложените мерки целят постепенно изсветляване на икономическите отношения, намаляване на стимулите за укриване на доходи и обороти, повишаване на доброволното спазване на законодателството и създаване на по-прозрачна и конкурентоспособна бизнес среда. Реализирането им ще допринесе едновременно за нарастване на бюджетните приходи, подобряване на фискалната дисциплина и укрепване на доверието в институциите и икономическата система.</w:t>
      </w:r>
    </w:p>
    <w:p w14:paraId="77B376B8" w14:textId="77777777" w:rsidR="00761800" w:rsidRPr="00761800" w:rsidRDefault="00761800" w:rsidP="00761800">
      <w:pPr>
        <w:tabs>
          <w:tab w:val="left" w:pos="720"/>
        </w:tabs>
        <w:spacing w:after="200"/>
        <w:jc w:val="both"/>
        <w:rPr>
          <w:rFonts w:ascii="Times New Roman" w:hAnsi="Times New Roman"/>
          <w:b/>
          <w:bCs/>
          <w:iCs/>
          <w:szCs w:val="24"/>
          <w:lang w:eastAsia="bg-BG"/>
        </w:rPr>
      </w:pPr>
      <w:r w:rsidRPr="00761800">
        <w:rPr>
          <w:rFonts w:ascii="Times New Roman" w:hAnsi="Times New Roman"/>
          <w:b/>
          <w:bCs/>
          <w:iCs/>
          <w:szCs w:val="24"/>
          <w:lang w:eastAsia="bg-BG"/>
        </w:rPr>
        <w:t>Мярка: Засилване на действащия фискален контрол върху стоките с висок фискален риск</w:t>
      </w:r>
    </w:p>
    <w:p w14:paraId="3ADE71F2"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Мярката предвижда надграждане и разширяване на действащия фискален контрол върху движението на стоките с висок фискален риск чрез въвеждане на допълнителни контролни механизми, засилено използване на цифрови технологии и по-ефективен анализ на риска.</w:t>
      </w:r>
    </w:p>
    <w:p w14:paraId="02C6298F"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Мярката предвижда изготвянето на цялостен анализ на обхвата на наблюдаваните стоки и в обхвата на стоките с висок фискален риск да бъдат включени стоките с най-висок риск от укриване на данъци, разширяване на физическия контрол върху вътреобщностните придобивания и доставки и местните доставки, по-широко използване на електронното проследяване на транспортните средства и товарите, както и пълна интеграция на данните от информационните  системи на Националната агенция за приходите, Агенция “Митници”, Министерството на вътрешните работи и други компетентни институции.</w:t>
      </w:r>
    </w:p>
    <w:p w14:paraId="073501DC"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Специален акцент ще бъде поставен върху контрола на стоки, при които традиционно се наблюдават най-високи нива на данъчни измами и укриване на обороти - плодове и зеленчуци, месо и месни продукти, мляко и млечни продукти, захарни изделия, строителни материали, горива и други рискови групи стоки.</w:t>
      </w:r>
    </w:p>
    <w:p w14:paraId="1794FD2A"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 xml:space="preserve">Стоките с висок фискален риск продължават да бъдат сред основните канали за осъществяване на данъчни измами, укриване на обороти и неправомерно ползване на данъчен кредит. Независимо от досега постигнатите значителни резултати от въведения фискален контрол и предварителното деклариране, продължават да съществуват </w:t>
      </w:r>
      <w:r w:rsidRPr="00761800">
        <w:rPr>
          <w:rFonts w:ascii="Times New Roman" w:hAnsi="Times New Roman"/>
          <w:bCs/>
          <w:iCs/>
          <w:szCs w:val="24"/>
          <w:lang w:eastAsia="bg-BG"/>
        </w:rPr>
        <w:lastRenderedPageBreak/>
        <w:t>значителни рискове, свързани с недекларирани доставки, фиктивни сделки, липсващи търговци и други форми на данъчни злоупотреби.</w:t>
      </w:r>
    </w:p>
    <w:p w14:paraId="49C0ED1E"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Практиката показва, че значителна част от нарушенията са концентрирани именно в секторите, обхванати от режима на фискален контрол. Едновременно с това развитието на технологиите и възможностите за обмен на информация между институциите създават възможности за повишаване на ефективността на контролната дейност без съществено увеличаване на административната тежест за коректните икономически оператори.</w:t>
      </w:r>
    </w:p>
    <w:p w14:paraId="095583B0"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Засилването на фискалния контрол ще допринесе за ограничаване на сивата икономика, подобряване на събираемостта на ДДС, корпоративен данък и данък върху доходите на физическите лица и за по-справедлива конкурентна среда.</w:t>
      </w:r>
    </w:p>
    <w:p w14:paraId="30A9A266"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 xml:space="preserve">Предстои със заповед на министъра на финансите да бъде въведено изготвянето на ежемесечни отчети за реализираните дейности по фискален контрол, постигнатите резултати, бюджетните ефекти и предложения за нови мерки за подобряване на контролните механизми. </w:t>
      </w:r>
    </w:p>
    <w:p w14:paraId="76C7E404" w14:textId="77777777" w:rsidR="00761800" w:rsidRPr="00761800" w:rsidRDefault="00761800" w:rsidP="00761800">
      <w:pPr>
        <w:tabs>
          <w:tab w:val="left" w:pos="720"/>
        </w:tabs>
        <w:spacing w:after="200"/>
        <w:jc w:val="both"/>
        <w:rPr>
          <w:rFonts w:ascii="Times New Roman" w:hAnsi="Times New Roman"/>
          <w:b/>
          <w:bCs/>
          <w:iCs/>
          <w:szCs w:val="24"/>
          <w:lang w:eastAsia="bg-BG"/>
        </w:rPr>
      </w:pPr>
      <w:r w:rsidRPr="00761800">
        <w:rPr>
          <w:rFonts w:ascii="Times New Roman" w:hAnsi="Times New Roman"/>
          <w:b/>
          <w:bCs/>
          <w:iCs/>
          <w:szCs w:val="24"/>
          <w:lang w:eastAsia="bg-BG"/>
        </w:rPr>
        <w:t>Мярка: Дигитално проследяване в реално време на веригата за доставките на горива от производител/вносител до краен потребител</w:t>
      </w:r>
    </w:p>
    <w:p w14:paraId="6D8359CC"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Мярката ще бъде реализирана чрез разширяване на обхвата на контролните функции на Агенция „Митници“ и НАП</w:t>
      </w:r>
      <w:r w:rsidRPr="00761800">
        <w:rPr>
          <w:rFonts w:ascii="Times New Roman" w:hAnsi="Times New Roman"/>
          <w:bCs/>
          <w:iCs/>
          <w:position w:val="2"/>
          <w:sz w:val="18"/>
          <w:szCs w:val="24"/>
          <w:vertAlign w:val="superscript"/>
        </w:rPr>
        <w:footnoteReference w:id="42"/>
      </w:r>
      <w:r w:rsidRPr="00761800">
        <w:rPr>
          <w:rFonts w:ascii="Times New Roman" w:hAnsi="Times New Roman"/>
          <w:bCs/>
          <w:iCs/>
          <w:szCs w:val="24"/>
          <w:lang w:eastAsia="bg-BG"/>
        </w:rPr>
        <w:t>, чрез дигитално наблюдение над цялата верига за доставки в реално време, а именно: данъчни складове (реализирано към момента), движение на товарни превозни средства (частично реализирано от АПИ камери и КТСРВ</w:t>
      </w:r>
      <w:r w:rsidRPr="00761800">
        <w:rPr>
          <w:rFonts w:ascii="Times New Roman" w:hAnsi="Times New Roman"/>
          <w:bCs/>
          <w:iCs/>
          <w:position w:val="2"/>
          <w:sz w:val="18"/>
          <w:szCs w:val="24"/>
          <w:vertAlign w:val="superscript"/>
        </w:rPr>
        <w:footnoteReference w:id="43"/>
      </w:r>
      <w:r w:rsidRPr="00761800">
        <w:rPr>
          <w:rFonts w:ascii="Times New Roman" w:hAnsi="Times New Roman"/>
          <w:bCs/>
          <w:iCs/>
          <w:szCs w:val="24"/>
          <w:lang w:eastAsia="bg-BG"/>
        </w:rPr>
        <w:t>) до крайни потребители и разпространители (бензиностанции) (частично реализирано през системата за контрол над горивата на НАП). Предвижда се подобряване на контрола над акцизните стоки и на стоките с висок фискален риск, включително в условията на компенсиращи мерки в шенгенското пространство.</w:t>
      </w:r>
    </w:p>
    <w:p w14:paraId="6318DA1F"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Мярката ще допринесе за увеличение на годишна база на приходите от акциз и ДДС при потреблението на горива, като за реализирането са необходими инвестиции в информационните системи и оборудване с камери, разпознаващи номерата на превозните средства. Ще се осигури завършване на последната част от веригата за доставки и ще се повишат приходите и на двете приходни администрации.</w:t>
      </w:r>
    </w:p>
    <w:p w14:paraId="4B74D092" w14:textId="77777777" w:rsidR="00761800" w:rsidRPr="00761800" w:rsidRDefault="00761800" w:rsidP="00761800">
      <w:pPr>
        <w:tabs>
          <w:tab w:val="left" w:pos="720"/>
        </w:tabs>
        <w:spacing w:after="200"/>
        <w:jc w:val="both"/>
        <w:rPr>
          <w:rFonts w:ascii="Times New Roman" w:hAnsi="Times New Roman"/>
          <w:b/>
          <w:bCs/>
          <w:iCs/>
          <w:szCs w:val="24"/>
          <w:lang w:eastAsia="bg-BG"/>
        </w:rPr>
      </w:pPr>
      <w:r w:rsidRPr="00761800">
        <w:rPr>
          <w:rFonts w:ascii="Times New Roman" w:hAnsi="Times New Roman"/>
          <w:b/>
          <w:bCs/>
          <w:iCs/>
          <w:szCs w:val="24"/>
          <w:lang w:eastAsia="bg-BG"/>
        </w:rPr>
        <w:t>Мярка: Засилен контрол върху електронната търговия</w:t>
      </w:r>
    </w:p>
    <w:p w14:paraId="5B724DCD"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Бързото развитие на електронната търговия създава значителни възможности за икономически растеж, но същевременно създава възможности за укриване на обороти, доходи и печалби и избягване на данъци. Най-рискови са продажбите през социални мрежи, онлайн платформи и куриерски услуги с наложен платеж.</w:t>
      </w:r>
    </w:p>
    <w:p w14:paraId="4B1F865E"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Липсата на интегрирана информация за всички участници в процеса, създава затруднения за осъществяване на ефективен контрол от Националната агенция за приходите при идентифициране на некоректните търговци и проследяването на реалните обороти, печалби и доходи.</w:t>
      </w:r>
    </w:p>
    <w:p w14:paraId="13729646"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lastRenderedPageBreak/>
        <w:t>Целта на мярката е повишаване на прозрачността и проследимостта на електронната търговия чрез създаване на механизми за събиране, обмен и анализ на информация, позволяващи осъществяването на ефективен контрол и намаляване дела на сивата икономика.</w:t>
      </w:r>
    </w:p>
    <w:p w14:paraId="2DFBB1E7"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Мярката ще обхваща онлайн търговци (юридически и физически лица), платформи за електронна търговия (маркетплейси), куриерски и логистични компании, доставчици на платежни услуги (включително наложен платеж) и социални мрежи, използвани за търговска дейност.</w:t>
      </w:r>
    </w:p>
    <w:p w14:paraId="2BE4C6C8"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Предоставената информация на НАП от доставчиците на платежни услуги ще се използва в алгоритми за идентифициране на несъответствия между декларирани и реални обороти на рискови търговци и икономически сектори, включително чрез кръстосани проверки между различни източници на данни.</w:t>
      </w:r>
    </w:p>
    <w:p w14:paraId="02AAB4A9"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Засиленият контрол върху електронната търговия представлява ключов инструмент за адаптиране на фискалната политика към дигиталната икономика. Чрез интегриран подход, базиран на данни и междуинституционално сътрудничество, мярката ще допринесе за ограничаване на сивата икономика и нелоялната конкуренция, за устойчиво увеличаване на бюджетните приходи, и за повишаване на доверието в електронната търговия и по-ефективна защита на потребителите.</w:t>
      </w:r>
    </w:p>
    <w:p w14:paraId="69E16E3D" w14:textId="77777777" w:rsidR="00761800" w:rsidRPr="00761800" w:rsidRDefault="00761800" w:rsidP="00761800">
      <w:pPr>
        <w:tabs>
          <w:tab w:val="left" w:pos="720"/>
        </w:tabs>
        <w:spacing w:after="200"/>
        <w:jc w:val="both"/>
        <w:rPr>
          <w:rFonts w:ascii="Times New Roman" w:hAnsi="Times New Roman"/>
          <w:bCs/>
          <w:iCs/>
          <w:szCs w:val="24"/>
          <w:lang w:eastAsia="bg-BG"/>
        </w:rPr>
      </w:pPr>
      <w:r w:rsidRPr="00761800">
        <w:rPr>
          <w:rFonts w:ascii="Times New Roman" w:hAnsi="Times New Roman"/>
          <w:bCs/>
          <w:iCs/>
          <w:szCs w:val="24"/>
          <w:lang w:eastAsia="bg-BG"/>
        </w:rPr>
        <w:t>Ще се използват механизмите на Регламент ЕС 904/2010 на Съвета за административното сътрудничество и борбата с измамите в областта на ДДС, чието изменение предстои да бъде прието от Съвет ЕКОФИН</w:t>
      </w:r>
      <w:r w:rsidRPr="00761800">
        <w:rPr>
          <w:rFonts w:ascii="Times New Roman" w:hAnsi="Times New Roman"/>
          <w:bCs/>
          <w:iCs/>
          <w:position w:val="2"/>
          <w:sz w:val="18"/>
          <w:szCs w:val="24"/>
          <w:vertAlign w:val="superscript"/>
        </w:rPr>
        <w:footnoteReference w:id="44"/>
      </w:r>
      <w:r w:rsidRPr="00761800">
        <w:rPr>
          <w:rFonts w:ascii="Times New Roman" w:hAnsi="Times New Roman"/>
          <w:bCs/>
          <w:iCs/>
          <w:szCs w:val="24"/>
          <w:lang w:eastAsia="bg-BG"/>
        </w:rPr>
        <w:t xml:space="preserve"> през юни 2026 г. като при нарушения и престъпления в големи размери ще се търси съдействието на Европейската прокуратура и ОЛАФ</w:t>
      </w:r>
      <w:r w:rsidRPr="00761800">
        <w:rPr>
          <w:rFonts w:ascii="Times New Roman" w:hAnsi="Times New Roman"/>
          <w:bCs/>
          <w:iCs/>
          <w:position w:val="2"/>
          <w:sz w:val="18"/>
          <w:szCs w:val="24"/>
          <w:vertAlign w:val="superscript"/>
        </w:rPr>
        <w:footnoteReference w:id="45"/>
      </w:r>
      <w:r w:rsidRPr="00761800">
        <w:rPr>
          <w:rFonts w:ascii="Times New Roman" w:hAnsi="Times New Roman"/>
          <w:bCs/>
          <w:iCs/>
          <w:szCs w:val="24"/>
          <w:lang w:eastAsia="bg-BG"/>
        </w:rPr>
        <w:t>.</w:t>
      </w:r>
    </w:p>
    <w:p w14:paraId="084F18DF" w14:textId="77777777" w:rsidR="00761800" w:rsidRPr="00761800" w:rsidRDefault="00761800" w:rsidP="00761800">
      <w:pPr>
        <w:tabs>
          <w:tab w:val="left" w:pos="993"/>
        </w:tabs>
        <w:spacing w:after="200"/>
        <w:ind w:right="-39"/>
        <w:jc w:val="both"/>
        <w:rPr>
          <w:rFonts w:ascii="Times New Roman" w:hAnsi="Times New Roman"/>
          <w:szCs w:val="24"/>
          <w:lang w:eastAsia="bg-BG"/>
        </w:rPr>
      </w:pPr>
      <w:r w:rsidRPr="00761800">
        <w:rPr>
          <w:rFonts w:ascii="Times New Roman" w:hAnsi="Times New Roman"/>
          <w:b/>
          <w:bCs/>
          <w:szCs w:val="24"/>
          <w:lang w:eastAsia="bg-BG"/>
        </w:rPr>
        <w:t>При прогнозиране на постъпленията от данъци са взети предвид и о</w:t>
      </w:r>
      <w:r w:rsidRPr="00761800">
        <w:rPr>
          <w:rFonts w:ascii="Times New Roman" w:hAnsi="Times New Roman"/>
          <w:b/>
          <w:szCs w:val="24"/>
          <w:lang w:eastAsia="bg-BG"/>
        </w:rPr>
        <w:t>сновните</w:t>
      </w:r>
      <w:r w:rsidRPr="00761800">
        <w:rPr>
          <w:rFonts w:ascii="Times New Roman" w:hAnsi="Times New Roman"/>
          <w:szCs w:val="24"/>
          <w:lang w:eastAsia="bg-BG"/>
        </w:rPr>
        <w:t xml:space="preserve"> </w:t>
      </w:r>
      <w:r w:rsidRPr="00761800">
        <w:rPr>
          <w:rFonts w:ascii="Times New Roman" w:hAnsi="Times New Roman"/>
          <w:b/>
          <w:szCs w:val="24"/>
          <w:lang w:eastAsia="bg-BG"/>
        </w:rPr>
        <w:t>промени в данъчното законодателство в сила от 1 януари 2026 г., както следва</w:t>
      </w:r>
      <w:r w:rsidRPr="00761800">
        <w:rPr>
          <w:rFonts w:ascii="Times New Roman" w:hAnsi="Times New Roman"/>
          <w:szCs w:val="24"/>
          <w:lang w:eastAsia="bg-BG"/>
        </w:rPr>
        <w:t>:</w:t>
      </w:r>
    </w:p>
    <w:p w14:paraId="5D79CD0C" w14:textId="77777777" w:rsidR="00761800" w:rsidRPr="00761800" w:rsidRDefault="00761800" w:rsidP="00F64909">
      <w:pPr>
        <w:numPr>
          <w:ilvl w:val="0"/>
          <w:numId w:val="25"/>
        </w:numPr>
        <w:tabs>
          <w:tab w:val="left" w:pos="567"/>
          <w:tab w:val="left" w:pos="851"/>
        </w:tabs>
        <w:spacing w:after="200"/>
        <w:ind w:left="0" w:firstLine="567"/>
        <w:jc w:val="both"/>
        <w:rPr>
          <w:rFonts w:ascii="Times New Roman" w:hAnsi="Times New Roman"/>
          <w:szCs w:val="24"/>
          <w:lang w:eastAsia="bg-BG"/>
        </w:rPr>
      </w:pPr>
      <w:r w:rsidRPr="00761800">
        <w:rPr>
          <w:rFonts w:ascii="Times New Roman" w:hAnsi="Times New Roman"/>
          <w:b/>
          <w:i/>
          <w:szCs w:val="24"/>
          <w:lang w:eastAsia="bg-BG"/>
        </w:rPr>
        <w:t xml:space="preserve">Въвеждане на по-благоприятен режим за амортизиране за данъчни цели по Закона за корпоративното подоходно облагане (ЗКПО) на електрически автомобили. </w:t>
      </w:r>
      <w:r w:rsidRPr="00761800">
        <w:rPr>
          <w:rFonts w:ascii="Times New Roman" w:hAnsi="Times New Roman"/>
          <w:szCs w:val="24"/>
          <w:lang w:eastAsia="bg-BG"/>
        </w:rPr>
        <w:t>Във връзка с изпълнението на НПВУ, Реформа 5 „Електрическа мобилност“, Компонент 8 „Транспорт“, и по-конкретно Цел 178 от Решението за изпълнение на Съвета на Европейския съюз (CID Annex), в ЗКПО са направени  промени (обн., ДВ, бр. 30 от 27.03.2026 г.), предоставящи възможност за по-благоприятен режим за амортизиране за данъчни цели на електрически автомобили, като годишната данъчна амортизационна норма се увеличава от 25 на сто на 50 на сто. Чрез мярката се насърчава придобиването и ползването на електромобили с цел намаляване на въглеродните емисии от транспорта чрез преминаване към електрическа мобилност. С оглед на последното изменение на НПВУ и постигнатата договореност с Европейската комисия годишната данъчна амортизационна норма влезе в сила от 1 януари 2026 г. за електрически автомобили, които са придобити на или след тази дата.</w:t>
      </w:r>
    </w:p>
    <w:p w14:paraId="24BC1B61" w14:textId="77777777" w:rsidR="00761800" w:rsidRPr="00761800" w:rsidRDefault="00761800" w:rsidP="00F64909">
      <w:pPr>
        <w:numPr>
          <w:ilvl w:val="0"/>
          <w:numId w:val="25"/>
        </w:numPr>
        <w:tabs>
          <w:tab w:val="left" w:pos="567"/>
          <w:tab w:val="left" w:pos="851"/>
        </w:tabs>
        <w:spacing w:after="200"/>
        <w:ind w:left="0" w:firstLine="567"/>
        <w:jc w:val="both"/>
        <w:rPr>
          <w:rFonts w:ascii="Times New Roman" w:hAnsi="Times New Roman"/>
          <w:szCs w:val="24"/>
          <w:lang w:eastAsia="bg-BG"/>
        </w:rPr>
      </w:pPr>
      <w:r w:rsidRPr="00761800">
        <w:rPr>
          <w:rFonts w:ascii="Times New Roman" w:hAnsi="Times New Roman"/>
          <w:b/>
          <w:i/>
          <w:szCs w:val="24"/>
          <w:lang w:eastAsia="bg-BG"/>
        </w:rPr>
        <w:t xml:space="preserve">Въвеждане на данъчно облекчение при извършване на научноизследователска и развойна дейност (НИРД). </w:t>
      </w:r>
      <w:r w:rsidRPr="00761800">
        <w:rPr>
          <w:rFonts w:ascii="Times New Roman" w:hAnsi="Times New Roman"/>
          <w:szCs w:val="24"/>
          <w:lang w:eastAsia="bg-BG"/>
        </w:rPr>
        <w:t xml:space="preserve">В ЗКПО е въведено данъчно облекчение при извършване на научноизследователска и развойна дейност (обн., ДВ, бр. 30 от 27.03.2026 г.), при което на данъчно задължените лица, извършващи НИРД, ще бъдат признати за данъчни цели допълнително 25 на сто от разходите им за НИРД, в </w:t>
      </w:r>
      <w:r w:rsidRPr="00761800">
        <w:rPr>
          <w:rFonts w:ascii="Times New Roman" w:hAnsi="Times New Roman"/>
          <w:szCs w:val="24"/>
          <w:lang w:eastAsia="bg-BG"/>
        </w:rPr>
        <w:lastRenderedPageBreak/>
        <w:t xml:space="preserve">годината на отчитането им, когато са изпълнени определени условия. В случай, че в резултат на развойна дейност бъде формиран дълготраен нематериален актив, се предлага данъчно задълженото лице да има право да увеличи с 25 на сто разходите за развойна дейност, включени в историческата цена на този актив. Целта на данъчното облекчение е да стимулира компаниите да инвестират повече в иновации и нови технологии, което се очаква да доведе до създаването на висококвалифицирани работни места, насърчаване на предприемаческата активност и повишаване на конкурентоспособността на бизнеса. </w:t>
      </w:r>
    </w:p>
    <w:p w14:paraId="5F731FCB" w14:textId="77777777" w:rsidR="00761800" w:rsidRPr="00761800" w:rsidRDefault="00761800" w:rsidP="00F64909">
      <w:pPr>
        <w:numPr>
          <w:ilvl w:val="0"/>
          <w:numId w:val="25"/>
        </w:numPr>
        <w:tabs>
          <w:tab w:val="left" w:pos="567"/>
          <w:tab w:val="left" w:pos="851"/>
        </w:tabs>
        <w:spacing w:after="200"/>
        <w:ind w:left="0" w:firstLine="567"/>
        <w:jc w:val="both"/>
        <w:rPr>
          <w:rFonts w:ascii="Times New Roman" w:hAnsi="Times New Roman"/>
          <w:szCs w:val="24"/>
          <w:lang w:eastAsia="bg-BG"/>
        </w:rPr>
      </w:pPr>
      <w:r w:rsidRPr="00761800">
        <w:rPr>
          <w:rFonts w:ascii="Times New Roman" w:hAnsi="Times New Roman"/>
          <w:b/>
          <w:i/>
          <w:szCs w:val="24"/>
          <w:lang w:eastAsia="bg-BG"/>
        </w:rPr>
        <w:t xml:space="preserve">Въвеждане на постоянно действащо освобождаване от данък върху капиталовите печалби за сделки с финансови инструменти и от лихви по облигации и други дългови ценни книжа, търгувани на пазарите за растеж. </w:t>
      </w:r>
      <w:r w:rsidRPr="00761800">
        <w:rPr>
          <w:rFonts w:ascii="Times New Roman" w:hAnsi="Times New Roman"/>
          <w:szCs w:val="24"/>
          <w:lang w:eastAsia="bg-BG"/>
        </w:rPr>
        <w:t>В Закона за корпоративното подоходно облагане и в Закона за данъците върху доходите на физическите лица (обн., ДВ, бр. 113 от 23.12.2025 г.) са направени допълнения, чрез които се освобождават от облагане доходите от сделки с финансови инструменти и от лихви по облигации и други дългови ценни книжа, търгувани на пазар за растеж. Действащият до края на 2025 г. временен режим на освобождаване от данък върху капиталовите печалби създава несигурност за инвеститорите и ограничава ефективността на стимула. Превръщането на освобождаването за сделки на ВЕАМ в постоянна мярка изравнява условията за всички участници, тъй като сделките на регулирания пазар вече се ползват от същото данъчно облекчение. Очаква се мярката да увеличи интереса на индивидуалните и институционалните инвеститори към пазарите за растеж. Това ще създаде по-благоприятна среда за компаниите, които набират капитал, и ще осигури устойчиво развитие на пазара и подобрена ликвидност.</w:t>
      </w:r>
    </w:p>
    <w:p w14:paraId="5E979A7E" w14:textId="77777777" w:rsidR="00761800" w:rsidRPr="00761800" w:rsidRDefault="00761800" w:rsidP="00F64909">
      <w:pPr>
        <w:numPr>
          <w:ilvl w:val="0"/>
          <w:numId w:val="26"/>
        </w:numPr>
        <w:tabs>
          <w:tab w:val="left" w:pos="851"/>
        </w:tabs>
        <w:spacing w:after="200"/>
        <w:ind w:left="0" w:firstLine="567"/>
        <w:jc w:val="both"/>
        <w:rPr>
          <w:rFonts w:ascii="Times New Roman" w:hAnsi="Times New Roman"/>
          <w:b/>
          <w:i/>
          <w:szCs w:val="24"/>
        </w:rPr>
      </w:pPr>
      <w:r w:rsidRPr="00761800">
        <w:rPr>
          <w:rFonts w:ascii="Times New Roman" w:hAnsi="Times New Roman"/>
          <w:b/>
          <w:i/>
          <w:szCs w:val="24"/>
        </w:rPr>
        <w:t xml:space="preserve">Въвеждане на изисквания на европейското законодателство в разпоредбите на Закона за данък върху добавената стойност (ЗДДС) </w:t>
      </w:r>
    </w:p>
    <w:p w14:paraId="790EB541" w14:textId="77777777" w:rsidR="00761800" w:rsidRPr="00761800" w:rsidRDefault="00761800" w:rsidP="00F64909">
      <w:pPr>
        <w:numPr>
          <w:ilvl w:val="0"/>
          <w:numId w:val="23"/>
        </w:numPr>
        <w:tabs>
          <w:tab w:val="left" w:pos="709"/>
          <w:tab w:val="left" w:pos="993"/>
        </w:tabs>
        <w:spacing w:after="200"/>
        <w:ind w:left="0" w:firstLine="709"/>
        <w:jc w:val="both"/>
        <w:rPr>
          <w:rFonts w:ascii="Times New Roman" w:hAnsi="Times New Roman"/>
          <w:szCs w:val="24"/>
          <w:lang w:eastAsia="bg-BG"/>
        </w:rPr>
      </w:pPr>
      <w:r w:rsidRPr="00761800">
        <w:rPr>
          <w:rFonts w:ascii="Times New Roman" w:hAnsi="Times New Roman"/>
          <w:b/>
          <w:i/>
          <w:szCs w:val="24"/>
          <w:lang w:eastAsia="bg-BG"/>
        </w:rPr>
        <w:t xml:space="preserve">Въвеждане в ЗДДС на разпоредбите на Директива (ЕС) 2020/285 на Съвета от 18 февруари 2020 година за изменение на Директива 2006/112/ЕО относно общата система на данъка върху добавената стойност по отношение на специалния режим за малките предприятия и Регламент (ЕС) № 904/2010 относно административното сътрудничество и обмена на информация за целите на наблюдението на правилното прилагане на специалния режим за малките предприятия (Директива (ЕС) 2020/285). </w:t>
      </w:r>
      <w:r w:rsidRPr="00761800">
        <w:rPr>
          <w:rFonts w:ascii="Times New Roman" w:hAnsi="Times New Roman"/>
          <w:szCs w:val="24"/>
          <w:lang w:eastAsia="bg-BG"/>
        </w:rPr>
        <w:t xml:space="preserve">В изпълнение на задължението за въвеждане на Европейското право в ЗДДС са създадени  разпоредби за специални режими за малки предприятия - режим за малки предприятия в страната и режим за малки предприятия в EС. Основната цел на приетите правила е създаването на среда, благоприятстваща растежа на малките предприятия чрез намаляване на понасяната от тях административна тежест и подпомагане на създаването на фискална среда, която да улеснява растежа им и развитието на трансграничната търговия. </w:t>
      </w:r>
    </w:p>
    <w:p w14:paraId="444C6484" w14:textId="77777777" w:rsidR="00761800" w:rsidRPr="00761800" w:rsidRDefault="00761800" w:rsidP="00F64909">
      <w:pPr>
        <w:numPr>
          <w:ilvl w:val="0"/>
          <w:numId w:val="23"/>
        </w:numPr>
        <w:tabs>
          <w:tab w:val="left" w:pos="709"/>
          <w:tab w:val="left" w:pos="993"/>
        </w:tabs>
        <w:spacing w:after="200"/>
        <w:ind w:left="0" w:firstLine="709"/>
        <w:jc w:val="both"/>
        <w:rPr>
          <w:rFonts w:ascii="Times New Roman" w:hAnsi="Times New Roman"/>
          <w:szCs w:val="24"/>
          <w:lang w:eastAsia="bg-BG"/>
        </w:rPr>
      </w:pPr>
      <w:r w:rsidRPr="00761800">
        <w:rPr>
          <w:rFonts w:ascii="Times New Roman" w:hAnsi="Times New Roman"/>
          <w:b/>
          <w:i/>
          <w:szCs w:val="24"/>
          <w:lang w:eastAsia="bg-BG"/>
        </w:rPr>
        <w:t xml:space="preserve">Въвеждане на разпоредбите на Директива (ЕС) 2022/542 на Съвета от 5 април 2022 година за изменение на директиви 2006/112/ЕО и (ЕС) 2020/285 по отношение на ставките на данъка върху добавената стойност (Директива (ЕС) 2022/542). </w:t>
      </w:r>
      <w:r w:rsidRPr="00761800">
        <w:rPr>
          <w:rFonts w:ascii="Times New Roman" w:hAnsi="Times New Roman"/>
          <w:szCs w:val="24"/>
          <w:lang w:eastAsia="bg-BG"/>
        </w:rPr>
        <w:t>В ЗДДС е направена промяна на определяне на мястото на изпълнение на услугите, свързани с дейности, излъчвани на живо в интернет, или до които по друг начин е предоставен виртуален достъп. С новото правило тези услуги ще се облагат на мястото, където е установен потребителят.</w:t>
      </w:r>
    </w:p>
    <w:p w14:paraId="41B8F6FE" w14:textId="77777777" w:rsidR="00761800" w:rsidRPr="00761800" w:rsidRDefault="00761800" w:rsidP="00F64909">
      <w:pPr>
        <w:numPr>
          <w:ilvl w:val="0"/>
          <w:numId w:val="23"/>
        </w:numPr>
        <w:tabs>
          <w:tab w:val="left" w:pos="709"/>
          <w:tab w:val="left" w:pos="993"/>
        </w:tabs>
        <w:spacing w:after="200"/>
        <w:ind w:left="0" w:firstLine="709"/>
        <w:jc w:val="both"/>
        <w:rPr>
          <w:rFonts w:ascii="Times New Roman" w:hAnsi="Times New Roman"/>
          <w:szCs w:val="24"/>
          <w:lang w:eastAsia="bg-BG"/>
        </w:rPr>
      </w:pPr>
      <w:r w:rsidRPr="00761800">
        <w:rPr>
          <w:rFonts w:ascii="Times New Roman" w:hAnsi="Times New Roman"/>
          <w:b/>
          <w:i/>
          <w:szCs w:val="24"/>
          <w:lang w:eastAsia="bg-BG"/>
        </w:rPr>
        <w:t xml:space="preserve">Въвеждане на разпоредби, свързани с прилагането на Регламент (ЕС) 2023/2831 на Комисията от 13 декември 2023 година относно прилагането на </w:t>
      </w:r>
      <w:r w:rsidRPr="00761800">
        <w:rPr>
          <w:rFonts w:ascii="Times New Roman" w:hAnsi="Times New Roman"/>
          <w:b/>
          <w:i/>
          <w:szCs w:val="24"/>
          <w:lang w:eastAsia="bg-BG"/>
        </w:rPr>
        <w:lastRenderedPageBreak/>
        <w:t xml:space="preserve">членове 107 и 108 от Договора за функционирането на Европейския съюз към помощта „de minimis“ във връзка с изтичане на срока на действие на Регламент (ЕС) № 1407/2013 на Комисията от 18 декември 2013 г. относно прилагането на членове 107 и 108 от Договора за функционирането на Европейския съюз към помощта „de minimis“ (Регламент (ЕС) 2023/2831). </w:t>
      </w:r>
      <w:r w:rsidRPr="00761800">
        <w:rPr>
          <w:rFonts w:ascii="Times New Roman" w:hAnsi="Times New Roman"/>
          <w:szCs w:val="24"/>
          <w:lang w:eastAsia="bg-BG"/>
        </w:rPr>
        <w:t>В ЗДДС са приети изменения за привеждане в съответствие на разпоредбите, регламентиращи издаването на разрешение за прилагане на специален ред за начисляване на ДДС при внос и/или възстановяване на данък в 30-дневен срок във връзка с инвестиционни проекти, с тези на Регламент (ЕС) 2023/2831.</w:t>
      </w:r>
    </w:p>
    <w:p w14:paraId="6FE83C59" w14:textId="77777777" w:rsidR="00761800" w:rsidRPr="00761800" w:rsidRDefault="00761800" w:rsidP="00F64909">
      <w:pPr>
        <w:numPr>
          <w:ilvl w:val="0"/>
          <w:numId w:val="23"/>
        </w:numPr>
        <w:tabs>
          <w:tab w:val="left" w:pos="709"/>
          <w:tab w:val="left" w:pos="993"/>
        </w:tabs>
        <w:spacing w:after="200"/>
        <w:ind w:left="0" w:firstLine="709"/>
        <w:jc w:val="both"/>
        <w:rPr>
          <w:rFonts w:ascii="Times New Roman" w:hAnsi="Times New Roman"/>
          <w:szCs w:val="24"/>
          <w:lang w:eastAsia="bg-BG"/>
        </w:rPr>
      </w:pPr>
      <w:r w:rsidRPr="00761800">
        <w:rPr>
          <w:rFonts w:ascii="Times New Roman" w:hAnsi="Times New Roman"/>
          <w:b/>
          <w:i/>
          <w:szCs w:val="24"/>
          <w:lang w:eastAsia="bg-BG"/>
        </w:rPr>
        <w:t xml:space="preserve">Въвеждане на Решение от 29 юли 2019 г. на Съда на Европейския съюз (СЕС) по Дело 388/18, Finanzamt. </w:t>
      </w:r>
      <w:r w:rsidRPr="00761800">
        <w:rPr>
          <w:rFonts w:ascii="Times New Roman" w:hAnsi="Times New Roman"/>
          <w:szCs w:val="24"/>
          <w:lang w:eastAsia="bg-BG"/>
        </w:rPr>
        <w:t>Съгласно решение на СЕС по Дело 388/18 данъчната основа за целите на определяне на годишния оборот, съответно на годишния праг, при доставки на стоки втора употреба и на доставки на обща туристическа услуга, извършени от данъчно задължено лице, прилагащо режимите за малки предприятия, е възнаграждението, получено от или дължимо на доставчика. С оглед на привеждане в съответствие с решението на действащата уредба в закона и данъчната практика, е прието облагаемият оборот на данъчно задължени лица, които извършват доставки на стоки втора употреба или доставки на обща туристическа услуга, вече да не се формира чрез сбор от маржовете.</w:t>
      </w:r>
    </w:p>
    <w:p w14:paraId="3B600683" w14:textId="77777777" w:rsidR="00761800" w:rsidRPr="00761800" w:rsidRDefault="00761800" w:rsidP="00F64909">
      <w:pPr>
        <w:numPr>
          <w:ilvl w:val="0"/>
          <w:numId w:val="27"/>
        </w:numPr>
        <w:tabs>
          <w:tab w:val="left" w:pos="709"/>
          <w:tab w:val="left" w:pos="993"/>
        </w:tabs>
        <w:spacing w:after="200"/>
        <w:ind w:left="0" w:firstLine="709"/>
        <w:jc w:val="both"/>
        <w:rPr>
          <w:rFonts w:ascii="Times New Roman" w:hAnsi="Times New Roman"/>
          <w:b/>
          <w:szCs w:val="24"/>
          <w:lang w:eastAsia="bg-BG"/>
        </w:rPr>
      </w:pPr>
      <w:r w:rsidRPr="00761800">
        <w:rPr>
          <w:rFonts w:ascii="Times New Roman" w:hAnsi="Times New Roman"/>
          <w:b/>
          <w:i/>
          <w:szCs w:val="24"/>
          <w:lang w:eastAsia="bg-BG"/>
        </w:rPr>
        <w:t>Промени в ЗДДС с цел намаляване на административната тежест, контролни мерки и прецизиране на разпоредби в закона, вкл. във връзка с възникнали затруднения при практическото прилагане на закона</w:t>
      </w:r>
    </w:p>
    <w:p w14:paraId="6DE6A3E2" w14:textId="77777777" w:rsidR="00761800" w:rsidRPr="00761800" w:rsidRDefault="00761800" w:rsidP="00F64909">
      <w:pPr>
        <w:numPr>
          <w:ilvl w:val="0"/>
          <w:numId w:val="28"/>
        </w:numPr>
        <w:tabs>
          <w:tab w:val="left" w:pos="993"/>
        </w:tabs>
        <w:spacing w:after="200"/>
        <w:ind w:left="0" w:firstLine="709"/>
        <w:jc w:val="both"/>
        <w:rPr>
          <w:rFonts w:ascii="Times New Roman" w:hAnsi="Times New Roman"/>
          <w:szCs w:val="24"/>
          <w:lang w:eastAsia="bg-BG"/>
        </w:rPr>
      </w:pPr>
      <w:r w:rsidRPr="00761800">
        <w:rPr>
          <w:rFonts w:ascii="Times New Roman" w:hAnsi="Times New Roman"/>
          <w:szCs w:val="24"/>
          <w:lang w:eastAsia="bg-BG"/>
        </w:rPr>
        <w:t>С цел намаляване на административната тежест на лицата от началото на годината са приети промени, свързани с въвеждане на епизод от живота „Стартиране на бизнес“ и епизод от живота „Закриване на бизнес“, с което е намален срокът за проверка за регистрация от 14 дни на 7 дни;</w:t>
      </w:r>
    </w:p>
    <w:p w14:paraId="4429FC34" w14:textId="77777777" w:rsidR="00761800" w:rsidRPr="00761800" w:rsidRDefault="00761800" w:rsidP="00F64909">
      <w:pPr>
        <w:numPr>
          <w:ilvl w:val="0"/>
          <w:numId w:val="28"/>
        </w:numPr>
        <w:tabs>
          <w:tab w:val="left" w:pos="993"/>
        </w:tabs>
        <w:spacing w:after="200"/>
        <w:ind w:left="0" w:firstLine="709"/>
        <w:jc w:val="both"/>
        <w:rPr>
          <w:rFonts w:ascii="Times New Roman" w:hAnsi="Times New Roman"/>
          <w:szCs w:val="24"/>
          <w:lang w:eastAsia="bg-BG"/>
        </w:rPr>
      </w:pPr>
      <w:r w:rsidRPr="00761800">
        <w:rPr>
          <w:rFonts w:ascii="Times New Roman" w:hAnsi="Times New Roman"/>
          <w:szCs w:val="24"/>
          <w:lang w:eastAsia="bg-BG"/>
        </w:rPr>
        <w:t>От началото на годината са приети промени в начина на заявяване пред Агенцията по вписванията за продължаване на регистрацията на лицето по ЗДДС до момента на заличаване в Търговския регистър. Така процесът е аналогичен на процеса по регистрация по ЗДДС, при който потребителят има възможност да заяви желание за регистрация по ЗДДС още в Агенцията по вписванията. С измененията се цели подобряване на качеството и бързината на предоставяните административни услуги;</w:t>
      </w:r>
    </w:p>
    <w:p w14:paraId="19BD2E56" w14:textId="77777777" w:rsidR="00761800" w:rsidRPr="00761800" w:rsidRDefault="00761800" w:rsidP="00F64909">
      <w:pPr>
        <w:numPr>
          <w:ilvl w:val="0"/>
          <w:numId w:val="28"/>
        </w:numPr>
        <w:tabs>
          <w:tab w:val="left" w:pos="993"/>
        </w:tabs>
        <w:spacing w:after="200"/>
        <w:ind w:left="0" w:firstLine="709"/>
        <w:jc w:val="both"/>
        <w:rPr>
          <w:rFonts w:ascii="Times New Roman" w:hAnsi="Times New Roman"/>
          <w:szCs w:val="24"/>
          <w:lang w:eastAsia="bg-BG"/>
        </w:rPr>
      </w:pPr>
      <w:r w:rsidRPr="00761800">
        <w:rPr>
          <w:rFonts w:ascii="Times New Roman" w:hAnsi="Times New Roman"/>
          <w:szCs w:val="24"/>
          <w:lang w:eastAsia="bg-BG"/>
        </w:rPr>
        <w:t xml:space="preserve">Във връзка с навлизането на нови съвременни технологии в сферата на търговията с горива от началото на годината е прието при регистриране и отчитане на продажби в обекти за търговия/зареждане на течни горива чрез фискални устройства, вградени в автоматите на самообслужване, фискалният бон, регистриращ продажбата, да може да се визуализира само на дисплей, без да се издава хартиен документ; </w:t>
      </w:r>
    </w:p>
    <w:p w14:paraId="09A74BBF" w14:textId="77777777" w:rsidR="00761800" w:rsidRPr="00761800" w:rsidRDefault="00761800" w:rsidP="00F64909">
      <w:pPr>
        <w:numPr>
          <w:ilvl w:val="0"/>
          <w:numId w:val="28"/>
        </w:numPr>
        <w:tabs>
          <w:tab w:val="left" w:pos="993"/>
        </w:tabs>
        <w:spacing w:after="200"/>
        <w:ind w:left="0" w:firstLine="709"/>
        <w:jc w:val="both"/>
        <w:rPr>
          <w:rFonts w:ascii="Times New Roman" w:hAnsi="Times New Roman"/>
          <w:szCs w:val="24"/>
          <w:lang w:eastAsia="bg-BG"/>
        </w:rPr>
      </w:pPr>
      <w:r w:rsidRPr="00761800">
        <w:rPr>
          <w:rFonts w:ascii="Times New Roman" w:hAnsi="Times New Roman"/>
          <w:szCs w:val="24"/>
          <w:lang w:eastAsia="bg-BG"/>
        </w:rPr>
        <w:t>По отношение на средства за измерване на разход и обем (от одобрен тип и с оцененото съответствие), включени в състава на електронната система с фискална памет (ЕСФП), както и с цел осигуряване на тяхното нормално функциониране в съответствие с метрологичните изисквания на Закона за измерванията и на Наредбата за средствата за измерване, подлежащи на метрологичен контрол, от началото на годината е въведено задължение за лицата, използващи ЕСФП, да сключват писмен договор за сервизно обслужване и ремонт на средствата за измерване, включени в състава на системата.</w:t>
      </w:r>
    </w:p>
    <w:p w14:paraId="7211A232" w14:textId="77777777" w:rsidR="00761800" w:rsidRPr="00761800" w:rsidRDefault="00761800" w:rsidP="00F64909">
      <w:pPr>
        <w:numPr>
          <w:ilvl w:val="0"/>
          <w:numId w:val="28"/>
        </w:numPr>
        <w:tabs>
          <w:tab w:val="left" w:pos="993"/>
        </w:tabs>
        <w:spacing w:after="200"/>
        <w:ind w:left="0" w:firstLine="709"/>
        <w:jc w:val="both"/>
        <w:rPr>
          <w:rFonts w:ascii="Times New Roman" w:hAnsi="Times New Roman"/>
          <w:szCs w:val="24"/>
          <w:lang w:eastAsia="bg-BG"/>
        </w:rPr>
      </w:pPr>
      <w:r w:rsidRPr="00761800">
        <w:rPr>
          <w:rFonts w:ascii="Times New Roman" w:hAnsi="Times New Roman"/>
          <w:szCs w:val="24"/>
          <w:lang w:eastAsia="bg-BG"/>
        </w:rPr>
        <w:t xml:space="preserve">Предлагат се изменения и допълнения в Закона за данък върху добавената стойност, които са насочени към уреждане третирането с ДДС на услуги по изграждане, </w:t>
      </w:r>
      <w:r w:rsidRPr="00761800">
        <w:rPr>
          <w:rFonts w:ascii="Times New Roman" w:hAnsi="Times New Roman"/>
          <w:szCs w:val="24"/>
          <w:lang w:eastAsia="bg-BG"/>
        </w:rPr>
        <w:lastRenderedPageBreak/>
        <w:t>доизграждане и реконструкция на водоснабдителни и канализационни мрежи, които представляват публична държавна или общинска собственост и са финансирани по Оперативна програма „Околна среда“ 2014-2020 г. (ОПОС 2014-2020 г.) и/или Програма „Околна среда“ 2021-2027 г. (ПОС 2021–2027 г.).</w:t>
      </w:r>
    </w:p>
    <w:p w14:paraId="298840C4" w14:textId="77777777" w:rsidR="00761800" w:rsidRPr="00761800" w:rsidRDefault="00761800" w:rsidP="00761800">
      <w:pPr>
        <w:tabs>
          <w:tab w:val="left" w:pos="993"/>
        </w:tabs>
        <w:spacing w:after="200"/>
        <w:jc w:val="both"/>
        <w:rPr>
          <w:rFonts w:ascii="Times New Roman" w:hAnsi="Times New Roman"/>
          <w:b/>
          <w:szCs w:val="24"/>
          <w:lang w:eastAsia="bg-BG"/>
        </w:rPr>
      </w:pPr>
      <w:r w:rsidRPr="00761800">
        <w:rPr>
          <w:rFonts w:ascii="Times New Roman" w:hAnsi="Times New Roman"/>
          <w:b/>
          <w:szCs w:val="24"/>
          <w:lang w:eastAsia="bg-BG"/>
        </w:rPr>
        <w:t>С приемането на Закон за държавния бюджет на Република България за 2026 г</w:t>
      </w:r>
      <w:r w:rsidRPr="00761800">
        <w:rPr>
          <w:rFonts w:ascii="Times New Roman" w:hAnsi="Times New Roman"/>
          <w:b/>
          <w:i/>
          <w:szCs w:val="24"/>
          <w:lang w:eastAsia="bg-BG"/>
        </w:rPr>
        <w:t>.</w:t>
      </w:r>
      <w:r w:rsidRPr="00761800">
        <w:rPr>
          <w:rFonts w:ascii="Times New Roman" w:hAnsi="Times New Roman"/>
          <w:b/>
          <w:szCs w:val="24"/>
          <w:lang w:eastAsia="bg-BG"/>
        </w:rPr>
        <w:t xml:space="preserve"> продължава действието на следните мерки:</w:t>
      </w:r>
    </w:p>
    <w:p w14:paraId="6B29688E" w14:textId="77777777" w:rsidR="00761800" w:rsidRPr="00761800" w:rsidRDefault="00761800" w:rsidP="00F64909">
      <w:pPr>
        <w:numPr>
          <w:ilvl w:val="0"/>
          <w:numId w:val="22"/>
        </w:numPr>
        <w:tabs>
          <w:tab w:val="left" w:pos="993"/>
        </w:tabs>
        <w:spacing w:after="200"/>
        <w:ind w:left="0" w:firstLine="709"/>
        <w:jc w:val="both"/>
        <w:rPr>
          <w:rFonts w:ascii="Times New Roman" w:hAnsi="Times New Roman"/>
          <w:szCs w:val="24"/>
          <w:lang w:eastAsia="bg-BG"/>
        </w:rPr>
      </w:pPr>
      <w:r w:rsidRPr="00761800">
        <w:rPr>
          <w:rFonts w:ascii="Times New Roman" w:hAnsi="Times New Roman"/>
          <w:szCs w:val="24"/>
          <w:lang w:eastAsia="bg-BG"/>
        </w:rPr>
        <w:t>Размер на общата годишна квота за предоставяне на ваучери за храна от 818 067 009,91 евро и общия размер на сумата, подлежаща за възстановяване на земеделските стопани от акциза за газьола - 51 129 188,12 евро;</w:t>
      </w:r>
    </w:p>
    <w:p w14:paraId="2E9D091F" w14:textId="77777777" w:rsidR="00761800" w:rsidRPr="00761800" w:rsidRDefault="00761800" w:rsidP="00F64909">
      <w:pPr>
        <w:numPr>
          <w:ilvl w:val="0"/>
          <w:numId w:val="22"/>
        </w:numPr>
        <w:tabs>
          <w:tab w:val="left" w:pos="993"/>
        </w:tabs>
        <w:spacing w:after="200"/>
        <w:ind w:left="0" w:firstLine="709"/>
        <w:jc w:val="both"/>
        <w:rPr>
          <w:rFonts w:ascii="Times New Roman" w:hAnsi="Times New Roman"/>
          <w:szCs w:val="24"/>
          <w:lang w:eastAsia="bg-BG"/>
        </w:rPr>
      </w:pPr>
      <w:r w:rsidRPr="00761800">
        <w:rPr>
          <w:rFonts w:ascii="Times New Roman" w:hAnsi="Times New Roman"/>
          <w:szCs w:val="24"/>
          <w:lang w:eastAsia="bg-BG"/>
        </w:rPr>
        <w:t>Увеличен размер на данъчните облекчения по чл. 22в и 22г от ЗДДФЛ (за деца и за деца с увреждания), както следва: 3 067,75 евро годишно за едно ненавършило пълнолетие дете, 6 135,50 евро - за две ненавършили пълнолетие деца, 9 203,25 евро - за три и повече ненавършили пълнолетие деца и съответно, за деца с увреждания в размер на 6 135,50 евро годишно, с възможност за авансово ползване през годината.</w:t>
      </w:r>
    </w:p>
    <w:p w14:paraId="5973B5B7" w14:textId="77777777" w:rsidR="00761800" w:rsidRPr="00761800" w:rsidRDefault="00761800" w:rsidP="00761800">
      <w:pPr>
        <w:tabs>
          <w:tab w:val="left" w:pos="993"/>
        </w:tabs>
        <w:spacing w:after="200"/>
        <w:ind w:right="-39"/>
        <w:jc w:val="both"/>
        <w:rPr>
          <w:rFonts w:ascii="Times New Roman" w:hAnsi="Times New Roman"/>
          <w:b/>
          <w:szCs w:val="24"/>
          <w:lang w:eastAsia="bg-BG"/>
        </w:rPr>
      </w:pPr>
      <w:r w:rsidRPr="00761800">
        <w:rPr>
          <w:rFonts w:ascii="Times New Roman" w:hAnsi="Times New Roman"/>
          <w:bCs/>
          <w:szCs w:val="24"/>
          <w:lang w:eastAsia="bg-BG"/>
        </w:rPr>
        <w:t>При прогнозиране на приходите от данъци</w:t>
      </w:r>
      <w:r w:rsidRPr="00761800" w:rsidDel="00F46ACA">
        <w:rPr>
          <w:rFonts w:ascii="Times New Roman" w:hAnsi="Times New Roman"/>
          <w:bCs/>
          <w:szCs w:val="24"/>
          <w:lang w:eastAsia="bg-BG"/>
        </w:rPr>
        <w:t xml:space="preserve"> </w:t>
      </w:r>
      <w:r w:rsidRPr="00761800">
        <w:rPr>
          <w:rFonts w:ascii="Times New Roman" w:hAnsi="Times New Roman"/>
          <w:bCs/>
          <w:szCs w:val="24"/>
          <w:lang w:eastAsia="bg-BG"/>
        </w:rPr>
        <w:t>е отчетено</w:t>
      </w:r>
      <w:r w:rsidRPr="00761800">
        <w:rPr>
          <w:rFonts w:ascii="Times New Roman" w:hAnsi="Times New Roman"/>
          <w:b/>
          <w:bCs/>
          <w:i/>
          <w:color w:val="852010"/>
          <w:szCs w:val="24"/>
          <w:lang w:eastAsia="bg-BG"/>
        </w:rPr>
        <w:t xml:space="preserve"> продължаващото действие на следните мерки в данъчното законодателство</w:t>
      </w:r>
      <w:r w:rsidRPr="00761800">
        <w:rPr>
          <w:rFonts w:ascii="Times New Roman" w:hAnsi="Times New Roman"/>
          <w:b/>
          <w:szCs w:val="24"/>
          <w:lang w:eastAsia="bg-BG"/>
        </w:rPr>
        <w:t>:</w:t>
      </w:r>
    </w:p>
    <w:p w14:paraId="470F03F3" w14:textId="77777777" w:rsidR="00761800" w:rsidRPr="00761800" w:rsidRDefault="00761800" w:rsidP="00F64909">
      <w:pPr>
        <w:numPr>
          <w:ilvl w:val="0"/>
          <w:numId w:val="24"/>
        </w:numPr>
        <w:tabs>
          <w:tab w:val="left" w:pos="709"/>
          <w:tab w:val="left" w:pos="993"/>
        </w:tabs>
        <w:spacing w:after="200"/>
        <w:ind w:left="0" w:right="-40" w:firstLine="709"/>
        <w:jc w:val="both"/>
        <w:rPr>
          <w:rFonts w:ascii="Times New Roman" w:hAnsi="Times New Roman"/>
          <w:bCs/>
          <w:iCs/>
          <w:szCs w:val="24"/>
        </w:rPr>
      </w:pPr>
      <w:r w:rsidRPr="00761800">
        <w:rPr>
          <w:rFonts w:ascii="Times New Roman" w:hAnsi="Times New Roman"/>
          <w:b/>
          <w:szCs w:val="24"/>
          <w:lang w:eastAsia="bg-BG"/>
        </w:rPr>
        <w:t xml:space="preserve">Въведено задължение за подаване на стандартен одитен файл за данъчни цели </w:t>
      </w:r>
      <w:r w:rsidRPr="00761800">
        <w:rPr>
          <w:rFonts w:ascii="Times New Roman" w:hAnsi="Times New Roman"/>
          <w:szCs w:val="24"/>
          <w:lang w:eastAsia="bg-BG"/>
        </w:rPr>
        <w:t>(SAF-T)</w:t>
      </w:r>
      <w:r w:rsidRPr="00761800">
        <w:rPr>
          <w:rFonts w:ascii="Times New Roman" w:hAnsi="Times New Roman"/>
          <w:b/>
          <w:szCs w:val="24"/>
          <w:lang w:eastAsia="bg-BG"/>
        </w:rPr>
        <w:t>.</w:t>
      </w:r>
      <w:r w:rsidRPr="00761800">
        <w:rPr>
          <w:rFonts w:ascii="Times New Roman" w:hAnsi="Times New Roman"/>
          <w:szCs w:val="24"/>
          <w:lang w:eastAsia="bg-BG"/>
        </w:rPr>
        <w:t xml:space="preserve"> </w:t>
      </w:r>
      <w:r w:rsidRPr="00761800">
        <w:rPr>
          <w:rFonts w:ascii="Times New Roman" w:hAnsi="Times New Roman"/>
          <w:b/>
          <w:szCs w:val="24"/>
          <w:lang w:eastAsia="bg-BG"/>
        </w:rPr>
        <w:t xml:space="preserve"> </w:t>
      </w:r>
      <w:r w:rsidRPr="00761800">
        <w:rPr>
          <w:rFonts w:ascii="Times New Roman" w:hAnsi="Times New Roman"/>
          <w:bCs/>
          <w:iCs/>
          <w:szCs w:val="24"/>
        </w:rPr>
        <w:t xml:space="preserve">Въведеният в Данъчно-осигурителния процесуален кодекс (ДВ, обн., бр. 26 от 2025 г.) стандартен одитен файл за данъчни цели съдържа данни относно икономическата дейност и счетоводната отчетност на задълженото лице, подавани в стандартизиран формат. </w:t>
      </w:r>
      <w:r w:rsidRPr="00761800">
        <w:rPr>
          <w:rFonts w:ascii="Times New Roman" w:hAnsi="Times New Roman"/>
          <w:szCs w:val="24"/>
          <w:lang w:eastAsia="bg-BG"/>
        </w:rPr>
        <w:t>От 1 януари 2026 г. стандартен одитен файл ще се подава в НАП от големите данъкоплатци на месечна база, а на следващи етапи от средни, малки и микропредприятия. Внедряването на SAF-T ще подобри спазването на данъчното законодателство и ще улесни комуникацията между данъкоплатците и данъчната администрация;</w:t>
      </w:r>
    </w:p>
    <w:p w14:paraId="26174C48" w14:textId="77777777" w:rsidR="00761800" w:rsidRPr="00761800" w:rsidRDefault="00761800" w:rsidP="00F64909">
      <w:pPr>
        <w:numPr>
          <w:ilvl w:val="0"/>
          <w:numId w:val="21"/>
        </w:numPr>
        <w:tabs>
          <w:tab w:val="left" w:pos="709"/>
          <w:tab w:val="left" w:pos="993"/>
        </w:tabs>
        <w:spacing w:after="200"/>
        <w:ind w:left="0" w:firstLine="709"/>
        <w:jc w:val="both"/>
        <w:rPr>
          <w:rFonts w:ascii="Times New Roman" w:hAnsi="Times New Roman"/>
          <w:bCs/>
          <w:iCs/>
          <w:szCs w:val="24"/>
          <w:lang w:eastAsia="bg-BG"/>
        </w:rPr>
      </w:pPr>
      <w:r w:rsidRPr="00761800">
        <w:rPr>
          <w:rFonts w:ascii="Times New Roman" w:hAnsi="Times New Roman"/>
          <w:b/>
          <w:szCs w:val="24"/>
          <w:lang w:eastAsia="bg-BG"/>
        </w:rPr>
        <w:t xml:space="preserve">Прилагане на </w:t>
      </w:r>
      <w:r w:rsidRPr="00761800">
        <w:rPr>
          <w:rFonts w:ascii="Times New Roman" w:hAnsi="Times New Roman"/>
          <w:b/>
          <w:bCs/>
          <w:szCs w:val="24"/>
          <w:lang w:eastAsia="bg-BG"/>
        </w:rPr>
        <w:t>минимално ефективно корпоративно данъчно облагане на многонационални групи предприятия и на големи национални групи предприятия</w:t>
      </w:r>
      <w:r w:rsidRPr="00761800">
        <w:rPr>
          <w:rFonts w:ascii="Times New Roman" w:hAnsi="Times New Roman"/>
          <w:b/>
          <w:bCs/>
          <w:i/>
          <w:szCs w:val="24"/>
          <w:lang w:eastAsia="bg-BG"/>
        </w:rPr>
        <w:t xml:space="preserve"> </w:t>
      </w:r>
      <w:r w:rsidRPr="00761800">
        <w:rPr>
          <w:rFonts w:ascii="Times New Roman" w:hAnsi="Times New Roman"/>
          <w:szCs w:val="24"/>
          <w:lang w:eastAsia="bg-BG"/>
        </w:rPr>
        <w:t xml:space="preserve">в съответствие с Директива (ЕС) 2022/2523 на Съвета от 14 декември 2022 година за гарантиране на глобално минимално равнище на данъчно облагане на многонационалните групи от предприятия и големите национални групи в Съюза. С разпоредбите на Директива (ЕС) 2022/2523 се въвежда рамка за глобалното минимално равнище от 15 на сто на данъчно облагане на ниво ЕС на многонационална група предприятия. В страната е въведен и национален допълнителен данък, съгласно който съставните образувания на една </w:t>
      </w:r>
      <w:r w:rsidRPr="00761800">
        <w:rPr>
          <w:rFonts w:ascii="Times New Roman" w:hAnsi="Times New Roman"/>
          <w:bCs/>
          <w:szCs w:val="24"/>
          <w:lang w:eastAsia="bg-BG"/>
        </w:rPr>
        <w:t>многонационална група предприятия</w:t>
      </w:r>
      <w:r w:rsidRPr="00761800">
        <w:rPr>
          <w:rFonts w:ascii="Times New Roman" w:hAnsi="Times New Roman"/>
          <w:szCs w:val="24"/>
          <w:lang w:eastAsia="bg-BG"/>
        </w:rPr>
        <w:t>, които се намират в Република България,</w:t>
      </w:r>
      <w:r w:rsidRPr="00761800">
        <w:rPr>
          <w:rFonts w:ascii="Times New Roman" w:hAnsi="Times New Roman"/>
          <w:bCs/>
          <w:szCs w:val="24"/>
          <w:lang w:eastAsia="bg-BG"/>
        </w:rPr>
        <w:t xml:space="preserve"> или на голяма национална група предприятия</w:t>
      </w:r>
      <w:r w:rsidRPr="00761800">
        <w:rPr>
          <w:rFonts w:ascii="Times New Roman" w:hAnsi="Times New Roman"/>
          <w:szCs w:val="24"/>
          <w:lang w:eastAsia="bg-BG"/>
        </w:rPr>
        <w:t>, се предвижда да подлежат на облагане с национален допълнителен данък. В съответствие с установените срокове се очаква през 2026 г. в бюджета да постъпят вноски за този данък;</w:t>
      </w:r>
    </w:p>
    <w:p w14:paraId="66D6392D" w14:textId="77777777" w:rsidR="00761800" w:rsidRPr="00761800" w:rsidRDefault="00761800" w:rsidP="00F64909">
      <w:pPr>
        <w:numPr>
          <w:ilvl w:val="0"/>
          <w:numId w:val="21"/>
        </w:numPr>
        <w:tabs>
          <w:tab w:val="left" w:pos="709"/>
          <w:tab w:val="left" w:pos="993"/>
        </w:tabs>
        <w:spacing w:after="200"/>
        <w:ind w:left="0" w:firstLine="709"/>
        <w:jc w:val="both"/>
        <w:rPr>
          <w:rFonts w:ascii="Times New Roman" w:hAnsi="Times New Roman"/>
          <w:bCs/>
          <w:iCs/>
          <w:szCs w:val="24"/>
          <w:lang w:eastAsia="bg-BG"/>
        </w:rPr>
      </w:pPr>
      <w:r w:rsidRPr="00761800">
        <w:rPr>
          <w:rFonts w:ascii="Times New Roman" w:hAnsi="Times New Roman"/>
          <w:bCs/>
          <w:iCs/>
          <w:szCs w:val="24"/>
          <w:lang w:eastAsia="bg-BG"/>
        </w:rPr>
        <w:t xml:space="preserve">Прилагане на нова схема на </w:t>
      </w:r>
      <w:r w:rsidRPr="00761800">
        <w:rPr>
          <w:rFonts w:ascii="Times New Roman" w:hAnsi="Times New Roman"/>
          <w:b/>
          <w:bCs/>
          <w:iCs/>
          <w:szCs w:val="24"/>
          <w:lang w:eastAsia="bg-BG"/>
        </w:rPr>
        <w:t xml:space="preserve">данъчното облекчение, представляващо държавна помощ за регионално развитие </w:t>
      </w:r>
      <w:r w:rsidRPr="00761800">
        <w:rPr>
          <w:rFonts w:ascii="Times New Roman" w:hAnsi="Times New Roman"/>
          <w:bCs/>
          <w:iCs/>
          <w:szCs w:val="24"/>
          <w:lang w:eastAsia="bg-BG"/>
        </w:rPr>
        <w:t>(одобрено от ЕК в</w:t>
      </w:r>
      <w:r w:rsidRPr="00761800">
        <w:rPr>
          <w:rFonts w:ascii="Times New Roman" w:hAnsi="Times New Roman"/>
          <w:b/>
          <w:bCs/>
          <w:iCs/>
          <w:szCs w:val="24"/>
          <w:lang w:eastAsia="bg-BG"/>
        </w:rPr>
        <w:t xml:space="preserve"> </w:t>
      </w:r>
      <w:r w:rsidRPr="00761800">
        <w:rPr>
          <w:rFonts w:ascii="Times New Roman" w:hAnsi="Times New Roman"/>
          <w:bCs/>
          <w:iCs/>
          <w:szCs w:val="24"/>
          <w:lang w:eastAsia="bg-BG"/>
        </w:rPr>
        <w:t>съответствие с Насоките за регионална държавна помощ 2021/C 153/01), с което започна да се прилага преотстъпването на корпоративен данък съгласно чл. 184 във връзка с чл. 189 от ЗКПО</w:t>
      </w:r>
      <w:r w:rsidRPr="00761800">
        <w:rPr>
          <w:rFonts w:ascii="Times New Roman" w:hAnsi="Times New Roman"/>
          <w:bCs/>
          <w:iCs/>
          <w:position w:val="2"/>
          <w:sz w:val="18"/>
          <w:szCs w:val="24"/>
          <w:vertAlign w:val="superscript"/>
        </w:rPr>
        <w:footnoteReference w:id="46"/>
      </w:r>
      <w:r w:rsidRPr="00761800">
        <w:rPr>
          <w:rFonts w:ascii="Times New Roman" w:hAnsi="Times New Roman"/>
          <w:bCs/>
          <w:iCs/>
          <w:szCs w:val="24"/>
          <w:lang w:eastAsia="bg-BG"/>
        </w:rPr>
        <w:t xml:space="preserve"> в срок до 31 декември 2027 г. Данъчната преференция се предоставя с цел да насърчи </w:t>
      </w:r>
      <w:r w:rsidRPr="00761800">
        <w:rPr>
          <w:rFonts w:ascii="Times New Roman" w:hAnsi="Times New Roman"/>
          <w:bCs/>
          <w:iCs/>
          <w:szCs w:val="24"/>
          <w:lang w:eastAsia="bg-BG"/>
        </w:rPr>
        <w:lastRenderedPageBreak/>
        <w:t>икономическата активност на МСП</w:t>
      </w:r>
      <w:r w:rsidRPr="00761800">
        <w:rPr>
          <w:rFonts w:ascii="Times New Roman" w:hAnsi="Times New Roman"/>
          <w:bCs/>
          <w:iCs/>
          <w:position w:val="2"/>
          <w:sz w:val="18"/>
          <w:szCs w:val="24"/>
          <w:vertAlign w:val="superscript"/>
        </w:rPr>
        <w:footnoteReference w:id="47"/>
      </w:r>
      <w:r w:rsidRPr="00761800">
        <w:rPr>
          <w:rFonts w:ascii="Times New Roman" w:hAnsi="Times New Roman"/>
          <w:bCs/>
          <w:iCs/>
          <w:szCs w:val="24"/>
          <w:lang w:eastAsia="bg-BG"/>
        </w:rPr>
        <w:t>, като ги стимулира да инвестират в материални и нематериални активи в предприятия, намиращи се в общини с безработица, по-висока от средната за страната, като се очаква така да се запазят или увеличат нивата на заетост в тези общини;</w:t>
      </w:r>
    </w:p>
    <w:p w14:paraId="435C5714" w14:textId="77777777" w:rsidR="00761800" w:rsidRPr="00761800" w:rsidRDefault="00761800" w:rsidP="00F64909">
      <w:pPr>
        <w:numPr>
          <w:ilvl w:val="0"/>
          <w:numId w:val="21"/>
        </w:numPr>
        <w:tabs>
          <w:tab w:val="left" w:pos="709"/>
          <w:tab w:val="left" w:pos="993"/>
        </w:tabs>
        <w:spacing w:after="200"/>
        <w:ind w:left="0" w:firstLine="709"/>
        <w:jc w:val="both"/>
        <w:rPr>
          <w:rFonts w:ascii="Times New Roman" w:eastAsia="Calibri" w:hAnsi="Times New Roman"/>
          <w:szCs w:val="24"/>
        </w:rPr>
      </w:pPr>
      <w:r w:rsidRPr="00761800">
        <w:rPr>
          <w:rFonts w:ascii="Times New Roman" w:eastAsia="Calibri" w:hAnsi="Times New Roman"/>
          <w:b/>
          <w:szCs w:val="24"/>
        </w:rPr>
        <w:t xml:space="preserve">Продължаване прилагането на данъчното облекчение за извършване на производствена дейност в общини с безработица, по-висока от средната за страната в случаите на минимална помощ по чл. 188 от ЗКПО. </w:t>
      </w:r>
      <w:r w:rsidRPr="00761800">
        <w:rPr>
          <w:rFonts w:ascii="Times New Roman" w:eastAsia="Calibri" w:hAnsi="Times New Roman"/>
          <w:szCs w:val="24"/>
        </w:rPr>
        <w:t>Целта на мярката е да продължи да се прилага данъчното облекчение за преотстъпване на корпоративен данък по чл. 184 от ЗКПО във връзка с чл. 188 от ЗКПО под формата на минимална помощ, като средство за насърчаване на икономическата активност чрез стимул за инвестиране в материални и нематериални активи в предприятия, намиращи се в общини с безработица по-висока от средната за страната, като се очаква така да се запазят или увеличат нивата на заетост в тези общини. За продължаване прилагането на данъчното облекчение, представляващо минимална помощ са разработени текстове за минимална помощ, които са в съответствие с новия Регламент (ЕС) 2023/2831 на Комисията от 13 декември 2023 г. относно прилагането на членове 107 и 108 от Договора за функционирането на Европейския съюз към помощта de minimis (Регламент (ЕС) 2023/2831), срокът за прилагане на който е от 1 януари 2024 г. до 31 декември 2030 година.</w:t>
      </w:r>
    </w:p>
    <w:p w14:paraId="48856B0A" w14:textId="77777777" w:rsidR="00761800" w:rsidRPr="00761800" w:rsidRDefault="00761800" w:rsidP="00F64909">
      <w:pPr>
        <w:numPr>
          <w:ilvl w:val="0"/>
          <w:numId w:val="21"/>
        </w:numPr>
        <w:tabs>
          <w:tab w:val="left" w:pos="993"/>
        </w:tabs>
        <w:spacing w:after="200"/>
        <w:ind w:left="0" w:firstLine="709"/>
        <w:jc w:val="both"/>
        <w:rPr>
          <w:rFonts w:ascii="Times New Roman" w:hAnsi="Times New Roman"/>
          <w:szCs w:val="24"/>
          <w:lang w:eastAsia="bg-BG"/>
        </w:rPr>
      </w:pPr>
      <w:r w:rsidRPr="00761800">
        <w:rPr>
          <w:rFonts w:ascii="Times New Roman" w:eastAsia="Calibri" w:hAnsi="Times New Roman"/>
          <w:szCs w:val="24"/>
        </w:rPr>
        <w:t xml:space="preserve">Прилагане на </w:t>
      </w:r>
      <w:r w:rsidRPr="00761800">
        <w:rPr>
          <w:rFonts w:ascii="Times New Roman" w:eastAsia="Calibri" w:hAnsi="Times New Roman"/>
          <w:b/>
          <w:szCs w:val="24"/>
        </w:rPr>
        <w:t>нова схема за държавна помощ за земеделски стопани</w:t>
      </w:r>
      <w:r w:rsidRPr="00761800">
        <w:rPr>
          <w:rFonts w:ascii="Times New Roman" w:eastAsia="Calibri" w:hAnsi="Times New Roman"/>
          <w:szCs w:val="24"/>
        </w:rPr>
        <w:t xml:space="preserve"> във връзка с изменение на правната уредба за прилагане на държавна помощ за земеделски стопани под формата на данъчно облекчение по чл. 189б от ЗКПО и чл. 48, ал. 6 от ЗДДФЛ</w:t>
      </w:r>
      <w:r w:rsidRPr="00761800">
        <w:rPr>
          <w:rFonts w:ascii="Times New Roman" w:eastAsia="Calibri" w:hAnsi="Times New Roman"/>
          <w:position w:val="2"/>
          <w:sz w:val="18"/>
          <w:szCs w:val="24"/>
          <w:vertAlign w:val="superscript"/>
        </w:rPr>
        <w:footnoteReference w:id="48"/>
      </w:r>
      <w:r w:rsidRPr="00761800">
        <w:rPr>
          <w:rFonts w:ascii="Times New Roman" w:eastAsia="Calibri" w:hAnsi="Times New Roman"/>
          <w:szCs w:val="24"/>
        </w:rPr>
        <w:t>, съобразно условията на Регламент (ЕС) № 2022/2472 на Комисията от 14 декември 2022 година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ДФЕС</w:t>
      </w:r>
      <w:r w:rsidRPr="00761800">
        <w:rPr>
          <w:rFonts w:ascii="Times New Roman" w:eastAsia="Calibri" w:hAnsi="Times New Roman"/>
          <w:position w:val="2"/>
          <w:sz w:val="18"/>
          <w:szCs w:val="24"/>
          <w:vertAlign w:val="superscript"/>
        </w:rPr>
        <w:footnoteReference w:id="49"/>
      </w:r>
      <w:r w:rsidRPr="00761800">
        <w:rPr>
          <w:rFonts w:ascii="Times New Roman" w:eastAsia="Calibri" w:hAnsi="Times New Roman"/>
          <w:szCs w:val="24"/>
        </w:rPr>
        <w:t xml:space="preserve"> (Регламент (ЕС) № 2022/2472). Новият регламент за групово освобождаване в земеделието - Регламент (ЕС) № 2022/2472 се прилага от 1 януари 2023 г. до 31 декември 2029 година. Регламентът предвижда промяна в интензитета и прага за уведомяване по помощта за инвестиции в земеделски стопанства във връзка с първичното селскостопанско производство, предвид което е разработена нова схема за държавна помощ, която е в съответствие с новите правила на Регламент (ЕС) № 2022/2472 и за прилагането на която се получи одобрение от Комисията на 16.01.2024 г. под номер на помощта SA.111877.</w:t>
      </w:r>
      <w:bookmarkStart w:id="267" w:name="p46759932"/>
      <w:bookmarkEnd w:id="267"/>
    </w:p>
    <w:p w14:paraId="41683121"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bookmarkStart w:id="268" w:name="_Toc464224791"/>
      <w:bookmarkStart w:id="269" w:name="_Toc464225441"/>
      <w:bookmarkStart w:id="270" w:name="_Toc464458988"/>
      <w:bookmarkStart w:id="271" w:name="_Toc464459736"/>
      <w:bookmarkStart w:id="272" w:name="_Toc464460689"/>
      <w:bookmarkStart w:id="273" w:name="_Toc464463088"/>
      <w:bookmarkStart w:id="274" w:name="_Toc464464915"/>
      <w:bookmarkStart w:id="275" w:name="_Toc464465421"/>
      <w:bookmarkStart w:id="276" w:name="_Toc464465609"/>
      <w:bookmarkStart w:id="277" w:name="_Toc464466434"/>
      <w:bookmarkStart w:id="278" w:name="_Toc464466678"/>
      <w:bookmarkStart w:id="279" w:name="_Toc464644993"/>
      <w:bookmarkStart w:id="280" w:name="_Toc465070487"/>
      <w:bookmarkStart w:id="281" w:name="_Toc465205537"/>
      <w:r w:rsidRPr="00761800">
        <w:rPr>
          <w:rFonts w:ascii="Times New Roman" w:hAnsi="Times New Roman"/>
          <w:b/>
          <w:bCs/>
          <w:caps/>
          <w:color w:val="852010"/>
          <w:szCs w:val="22"/>
          <w:lang w:eastAsia="bg-BG"/>
        </w:rPr>
        <w:t>Д</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sidRPr="00761800">
        <w:rPr>
          <w:rFonts w:ascii="Times New Roman" w:hAnsi="Times New Roman"/>
          <w:b/>
          <w:bCs/>
          <w:caps/>
          <w:color w:val="852010"/>
          <w:szCs w:val="22"/>
          <w:lang w:eastAsia="bg-BG"/>
        </w:rPr>
        <w:t>анъчни приходи</w:t>
      </w:r>
    </w:p>
    <w:p w14:paraId="5531984D" w14:textId="77777777" w:rsidR="00761800" w:rsidRPr="00761800" w:rsidRDefault="00761800" w:rsidP="00761800">
      <w:pPr>
        <w:keepNext/>
        <w:keepLines/>
        <w:numPr>
          <w:ilvl w:val="3"/>
          <w:numId w:val="0"/>
        </w:numPr>
        <w:spacing w:before="240" w:after="24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Приходи от корпоративни данъци (вкл. данъци върху дивидентите, ликвидационните дялове и доходите на местни и чуждестранни юридически лица) и други данъци по ЗКПО</w:t>
      </w:r>
    </w:p>
    <w:p w14:paraId="6AACAF97"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Прогнозните приходи от корпоративни данъци и други данъци по ЗКПО за 2026 г. са                3 626,7 млн. евро. </w:t>
      </w:r>
    </w:p>
    <w:p w14:paraId="7DD92A17"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В прогнозата са включени следните данъци по ЗКПО:</w:t>
      </w:r>
    </w:p>
    <w:p w14:paraId="0F30A653" w14:textId="77777777" w:rsidR="00761800" w:rsidRPr="00761800" w:rsidRDefault="00761800" w:rsidP="00F64909">
      <w:pPr>
        <w:numPr>
          <w:ilvl w:val="0"/>
          <w:numId w:val="10"/>
        </w:numPr>
        <w:spacing w:after="20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lastRenderedPageBreak/>
        <w:t xml:space="preserve">Корпоративен данък (от финансови институции и нефинансови предприятия) –  </w:t>
      </w:r>
      <w:r w:rsidRPr="00761800">
        <w:rPr>
          <w:rFonts w:ascii="Times New Roman" w:eastAsia="Batang" w:hAnsi="Times New Roman"/>
          <w:szCs w:val="24"/>
          <w:lang w:eastAsia="bg-BG"/>
        </w:rPr>
        <w:t>3 418,7</w:t>
      </w:r>
      <w:r w:rsidRPr="00761800">
        <w:rPr>
          <w:rFonts w:ascii="Times New Roman" w:eastAsia="Batang" w:hAnsi="Times New Roman"/>
          <w:szCs w:val="22"/>
          <w:lang w:eastAsia="bg-BG"/>
        </w:rPr>
        <w:t xml:space="preserve"> млн. евро;</w:t>
      </w:r>
    </w:p>
    <w:p w14:paraId="58697C44" w14:textId="77777777" w:rsidR="00761800" w:rsidRPr="00761800" w:rsidRDefault="00761800" w:rsidP="00F64909">
      <w:pPr>
        <w:numPr>
          <w:ilvl w:val="0"/>
          <w:numId w:val="10"/>
        </w:numPr>
        <w:spacing w:after="20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 xml:space="preserve">Данъци върху дивидентите, ликвидационните дялове и доходите на местни и чуждестранни юридически лица – </w:t>
      </w:r>
      <w:r w:rsidRPr="00761800">
        <w:rPr>
          <w:rFonts w:ascii="Times New Roman" w:eastAsia="Batang" w:hAnsi="Times New Roman"/>
          <w:szCs w:val="24"/>
          <w:lang w:eastAsia="bg-BG"/>
        </w:rPr>
        <w:t>79,7</w:t>
      </w:r>
      <w:r w:rsidRPr="00761800">
        <w:rPr>
          <w:rFonts w:ascii="Times New Roman" w:eastAsia="Batang" w:hAnsi="Times New Roman"/>
          <w:szCs w:val="22"/>
          <w:lang w:eastAsia="bg-BG"/>
        </w:rPr>
        <w:t xml:space="preserve"> млн. евро;</w:t>
      </w:r>
    </w:p>
    <w:p w14:paraId="61D12CCB" w14:textId="77777777" w:rsidR="00761800" w:rsidRPr="00761800" w:rsidRDefault="00761800" w:rsidP="00F64909">
      <w:pPr>
        <w:numPr>
          <w:ilvl w:val="0"/>
          <w:numId w:val="10"/>
        </w:numPr>
        <w:spacing w:after="20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 xml:space="preserve">Други данъци по ЗКПО – </w:t>
      </w:r>
      <w:r w:rsidRPr="00761800">
        <w:rPr>
          <w:rFonts w:ascii="Times New Roman" w:eastAsia="Batang" w:hAnsi="Times New Roman"/>
          <w:szCs w:val="24"/>
          <w:lang w:eastAsia="bg-BG"/>
        </w:rPr>
        <w:t>128,3</w:t>
      </w:r>
      <w:r w:rsidRPr="00761800">
        <w:rPr>
          <w:rFonts w:ascii="Times New Roman" w:eastAsia="Batang" w:hAnsi="Times New Roman"/>
          <w:szCs w:val="22"/>
          <w:lang w:eastAsia="bg-BG"/>
        </w:rPr>
        <w:t xml:space="preserve"> млн. евро.</w:t>
      </w:r>
    </w:p>
    <w:p w14:paraId="30B05DC2"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Приходите от </w:t>
      </w:r>
      <w:r w:rsidRPr="00761800">
        <w:rPr>
          <w:rFonts w:ascii="Times New Roman" w:eastAsia="Batang" w:hAnsi="Times New Roman"/>
          <w:i/>
          <w:szCs w:val="24"/>
          <w:lang w:eastAsia="bg-BG"/>
        </w:rPr>
        <w:t>корпоративни данъци</w:t>
      </w:r>
      <w:r w:rsidRPr="00761800">
        <w:rPr>
          <w:rFonts w:ascii="Times New Roman" w:eastAsia="Batang" w:hAnsi="Times New Roman"/>
          <w:szCs w:val="24"/>
          <w:lang w:eastAsia="bg-BG"/>
        </w:rPr>
        <w:t xml:space="preserve"> (вкл. корпоративен данък и данъци върху дивидентите, ликвидационните дялове и доходите на местни и чуждестранни юридически лица) са прогнозирани на база показателя „бруто опериращ излишък/смесен доход“ от макрорамката на МФ, данни за изпълнението на приходите от тези данъци през 2025 г. и при отчитане на наличната информация относно: </w:t>
      </w:r>
    </w:p>
    <w:p w14:paraId="7909B889"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размера на декларираната облагаема печалба или загуба за предходната година;</w:t>
      </w:r>
    </w:p>
    <w:p w14:paraId="04F9508A"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размера на авансовите вноски, които правят данъчно задължените лица, формирали данъчна печалба за предходната година;</w:t>
      </w:r>
    </w:p>
    <w:p w14:paraId="6B937FD8"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размера на изравнителната вноска по годишната данъчна декларация;</w:t>
      </w:r>
    </w:p>
    <w:p w14:paraId="149C66C6"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сумата на данъка за възстановяване за надвнесен корпоративен данък по годишни данъчни декларации;</w:t>
      </w:r>
    </w:p>
    <w:p w14:paraId="4F1F8395"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дела на дружествата, ползващи преференцията за пренасяне на данъчни загуби;</w:t>
      </w:r>
    </w:p>
    <w:p w14:paraId="0707DA2D"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размера на плащанията по ревизионни актове и вноски за минали години;</w:t>
      </w:r>
    </w:p>
    <w:p w14:paraId="5349AB2A"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прилагане на възможността за допълнителна еднократна корекция на годишната данъчна декларация при откриване на счетоводни или други грешки и при отразяване на коригиращи събития по смисъла на приложимите счетоводни стандарти в срок до 30 септември на текущата година;</w:t>
      </w:r>
    </w:p>
    <w:p w14:paraId="4C385AA6"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ефекта от въвеждането на национален допълнителен данък (domestic top-up tax) за дружествата от многонационални групи предприятия във връзка с Директива (ЕС) 2022/2523 на Съвета от 14 декември 2022 година за гарантиране на глобално минимално равнище на данъчно облагане на многонационалните групи от предприятия и големите национални групи в Съюза, който се очаква да се прояви касово през 2026 г.;</w:t>
      </w:r>
    </w:p>
    <w:p w14:paraId="28FA7DD4"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ефекта от въвеждане на по-благоприятен режим за амортизиране за данъчни цели по ЗКПО на електрически автомобили;</w:t>
      </w:r>
    </w:p>
    <w:p w14:paraId="2CB9FA98"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ефекта от въвеждане на данъчно облекчение при извършване на научноизследователска и развойна дейност;</w:t>
      </w:r>
    </w:p>
    <w:p w14:paraId="75CF651E"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ефекта от предприемането на активни действия от страна на НАП за справяне със сивата икономика и повишаване приходите от данъци за бюджета.</w:t>
      </w:r>
    </w:p>
    <w:p w14:paraId="3067302D"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По отношение на постъпленията от </w:t>
      </w:r>
      <w:r w:rsidRPr="00761800">
        <w:rPr>
          <w:rFonts w:ascii="Times New Roman" w:eastAsia="Batang" w:hAnsi="Times New Roman"/>
          <w:i/>
          <w:szCs w:val="24"/>
          <w:lang w:eastAsia="bg-BG"/>
        </w:rPr>
        <w:t>данъци върху дивидентите, ликвидационните дялове и доходите на юридически лица</w:t>
      </w:r>
      <w:r w:rsidRPr="00761800">
        <w:rPr>
          <w:rFonts w:ascii="Times New Roman" w:eastAsia="Batang" w:hAnsi="Times New Roman"/>
          <w:szCs w:val="24"/>
          <w:lang w:eastAsia="bg-BG"/>
        </w:rPr>
        <w:t xml:space="preserve"> прогнозите отчитат изпълнението на този данък през 2025 г. и предходните години, състоянието на икономиката, предприетите мерки от правителството, както и провежданите тематични кампании за контрол от страна на органите по приходите.</w:t>
      </w:r>
    </w:p>
    <w:p w14:paraId="01B006FE"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lastRenderedPageBreak/>
        <w:t>Планираните приходи от корпоративни данъци и други данъци по ЗКПО са съответно             в размер на 3 974,8 млн. евро за 2027 г. и 4 256,0 млн. евро за 2028 г.</w:t>
      </w:r>
    </w:p>
    <w:p w14:paraId="5908ED2D" w14:textId="77777777" w:rsidR="00761800" w:rsidRPr="00761800" w:rsidRDefault="00761800" w:rsidP="00761800">
      <w:pPr>
        <w:keepNext/>
        <w:keepLines/>
        <w:numPr>
          <w:ilvl w:val="3"/>
          <w:numId w:val="0"/>
        </w:numPr>
        <w:spacing w:before="240" w:after="24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Приходи от ДДФЛ</w:t>
      </w:r>
    </w:p>
    <w:p w14:paraId="467FCC50"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Прогнозните приходи от данъци върху доходите на физически лица за 2026 г. са в размер на 4 752,0 млн. евро. </w:t>
      </w:r>
    </w:p>
    <w:p w14:paraId="2FCDF84C"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Прогнозата за постъпленията от ДДФЛ</w:t>
      </w:r>
      <w:r w:rsidRPr="00761800">
        <w:rPr>
          <w:rFonts w:ascii="Times New Roman" w:eastAsia="Batang" w:hAnsi="Times New Roman"/>
          <w:position w:val="2"/>
          <w:sz w:val="18"/>
          <w:szCs w:val="24"/>
          <w:vertAlign w:val="superscript"/>
        </w:rPr>
        <w:footnoteReference w:id="50"/>
      </w:r>
      <w:r w:rsidRPr="00761800">
        <w:rPr>
          <w:rFonts w:ascii="Times New Roman" w:eastAsia="Batang" w:hAnsi="Times New Roman"/>
          <w:szCs w:val="24"/>
          <w:lang w:eastAsia="bg-BG"/>
        </w:rPr>
        <w:t xml:space="preserve"> е изготвена, като са взети предвид следните фактори: </w:t>
      </w:r>
    </w:p>
    <w:p w14:paraId="0BBB5048"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номинален ръст на показателя компенсация на наетите лица, съгласно макроикономическата прогноза на МФ;</w:t>
      </w:r>
    </w:p>
    <w:p w14:paraId="2C039760"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прогнозен брой заети лица;</w:t>
      </w:r>
    </w:p>
    <w:p w14:paraId="20D300B7"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ниво на безработицата;</w:t>
      </w:r>
    </w:p>
    <w:p w14:paraId="59CF20DB"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ефектите от увеличението на минималната работна заплата, на размера на минималните осигурителни доходи на наетите лица и самоосигуряващите се и на максималния осигурителен доход;</w:t>
      </w:r>
    </w:p>
    <w:p w14:paraId="7A2C4A1F"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влиянието на увеличението на разходите за персонал в държавния сектор и увеличението на заплатите на педагогическия персонал;</w:t>
      </w:r>
    </w:p>
    <w:p w14:paraId="10247BEE"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влиянието върху ръста на приходите през прогнозния период на увеличения размер на данъчните облекчения за деца по чл. 22в и чл. 22г от ЗДДФЛ;</w:t>
      </w:r>
    </w:p>
    <w:p w14:paraId="62B305E4"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ефектът от планираните мерки за спазване на данъчното законодателство и подобряване събираемостта на приходите, включително провежданите от НАП тематични кампании за контрол;</w:t>
      </w:r>
    </w:p>
    <w:p w14:paraId="08F5F105"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ефектът от планирани мерки за намаляване дела на сивата икономика, за борба с данъчните измами, укриването на данъци и отклонението от данъчно облагане.</w:t>
      </w:r>
    </w:p>
    <w:p w14:paraId="5E2C0396"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За 2027 г. прогнозните постъпления от ДДФЛ са в размер на 5 122,7 млн. евро, а за 2028 г. достигат 5 438,7 млн. евро.</w:t>
      </w:r>
    </w:p>
    <w:p w14:paraId="5992893A" w14:textId="77777777" w:rsidR="00761800" w:rsidRPr="00761800" w:rsidRDefault="00761800" w:rsidP="00761800">
      <w:pPr>
        <w:keepNext/>
        <w:keepLines/>
        <w:numPr>
          <w:ilvl w:val="3"/>
          <w:numId w:val="0"/>
        </w:numPr>
        <w:spacing w:before="240" w:after="24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Приходи от ДДС</w:t>
      </w:r>
    </w:p>
    <w:p w14:paraId="65A759F3"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Прогнозните приходи от данъка върху добавената стойност (ДДС) за 2026 г. са 12 803,8 млн. евро. При прогнозиране на приходите от ДДС са взети предвид следните фактори:</w:t>
      </w:r>
    </w:p>
    <w:p w14:paraId="60329DFC"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валутен курс (щ.д./ евро) - 1,16 евро за целия период;</w:t>
      </w:r>
    </w:p>
    <w:p w14:paraId="10E3BD2B"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ръст на показателите за внос и износ за периода 2026-2028 г. За вноса ръстът е 8,0% за 2026 г., 4,7% за 2027 г. и 5,5% за 2028 г. За износа ръстът е 6,5% за 2026 г., 5,2% за 2027 г. и 4,9% за 2028 г.;</w:t>
      </w:r>
    </w:p>
    <w:p w14:paraId="0BDCCE53"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информация за физическите обеми на стоките, пораждащи ДДС;</w:t>
      </w:r>
    </w:p>
    <w:p w14:paraId="30E4065E"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lastRenderedPageBreak/>
        <w:t xml:space="preserve">прогнозна цена на суровия петрол; </w:t>
      </w:r>
    </w:p>
    <w:p w14:paraId="36D5112D"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ефектът в ДДС от въведения акцизен календар за поетапно увеличаване на акцизните ставки за всички тютюневи изделия, включително от предложеното ускорено реализиране на графика за увеличаване на акцизните ставки за тези продукти;</w:t>
      </w:r>
    </w:p>
    <w:p w14:paraId="2700BAB3"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положителният ефект от оптимизиране на контролната дейност, включваща мерки за намаляване дела на сивата икономика, за борба с данъчните измами, укриването на данъци и отклонението от данъчно облагане, които имат за цел повишаване приходите от данъци за бюджета, в т.ч. от значителното разширяване на обхвата на стоките, подлежащи на фискален контрол и от разширяване на системата за електронно проследяване на движението на транспортните средства, превозващи стоки с висок фискален риск.</w:t>
      </w:r>
    </w:p>
    <w:p w14:paraId="62072637"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Приходите от ДДС за отчетния период се влияят и от промените в икономическата активност в страната, изменението на потреблението, вноса, износа, приетите законодателни изменения и въздействието на фактори, обусловени от промени във външната среда. </w:t>
      </w:r>
    </w:p>
    <w:p w14:paraId="4751E6DE"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За 2027 г. прогнозните постъпления от ДДС са в размер на 13 894,0 млн. евро, а за 2028 г. достигат 14 823,6 млн. евро.</w:t>
      </w:r>
    </w:p>
    <w:p w14:paraId="2C12B927" w14:textId="77777777" w:rsidR="00761800" w:rsidRPr="00761800" w:rsidRDefault="00761800" w:rsidP="00761800">
      <w:pPr>
        <w:keepNext/>
        <w:keepLines/>
        <w:numPr>
          <w:ilvl w:val="3"/>
          <w:numId w:val="0"/>
        </w:numPr>
        <w:spacing w:before="240" w:after="24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Приходи от акцизи</w:t>
      </w:r>
    </w:p>
    <w:p w14:paraId="6555D339"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Прогнозните приходи от акцизи за 2026 г. са 3 963,5 млн. евро.</w:t>
      </w:r>
    </w:p>
    <w:p w14:paraId="28952B8B"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Приходите от акцизи се формират основно от две групи стоки - тютюневи изделия с относителен дял от 56,7% и горива с относителен дял от 38,0% в общата сума на касовите постъпления за 2025 г. Останалите акцизни стоки (вкл. електрическа енергия и други стоки) са с относителен дял в размер на 5,3%. </w:t>
      </w:r>
    </w:p>
    <w:p w14:paraId="7DB4344E"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При прогнозиране на приходите от акцизи е отчетено влиянието на следните фактори:</w:t>
      </w:r>
    </w:p>
    <w:p w14:paraId="0547991D"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относителна устойчивост на структурата на потреблението на акцизните продукти в рамките на различните групи акцизни стоки;</w:t>
      </w:r>
    </w:p>
    <w:p w14:paraId="26C99BEB"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увеличаване на акцизните ставки за всички тютюневи изделия с въведения  акцизен календар (2025-2029 г.), с цел балансирано увеличение на минималното облагане с акциз на цигарите и другите категории тютюневи изделия;</w:t>
      </w:r>
    </w:p>
    <w:p w14:paraId="1F6F4A8F"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ефектът от предложеното изпреварващо реализиране на акцизния календар по ЗАДС;</w:t>
      </w:r>
    </w:p>
    <w:p w14:paraId="0B8C0EAB"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ефектът от прилагането на схема за държавна помощ „Помощ под формата на отстъпка от стойността на акциза върху газьола, използван в първичното селскостопанско производство“, в т.ч. от отпускането на еднократна допълнителна отстъпка от стойността на акциза за 2026 г.;</w:t>
      </w:r>
    </w:p>
    <w:p w14:paraId="171B6AE0"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положителният ефект от оптимизиране на контролната дейност върху търговията с акцизни стоки и подобряване на събираемостта на акцизите.</w:t>
      </w:r>
    </w:p>
    <w:p w14:paraId="11DFC20F"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lastRenderedPageBreak/>
        <w:t>За 2027 г. прогнозираните постъпления от акцизи са 4 157,7 млн. евро, а за 2028 г. – 4 408,1 млн. евро.</w:t>
      </w:r>
    </w:p>
    <w:p w14:paraId="50247325" w14:textId="77777777" w:rsidR="00761800" w:rsidRPr="00761800" w:rsidRDefault="00761800" w:rsidP="00761800">
      <w:pPr>
        <w:keepNext/>
        <w:keepLines/>
        <w:numPr>
          <w:ilvl w:val="3"/>
          <w:numId w:val="0"/>
        </w:numPr>
        <w:spacing w:before="240" w:after="24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Приходи от мита</w:t>
      </w:r>
    </w:p>
    <w:p w14:paraId="2162270A"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Прогнозираните приходи от мита за 2026 г. са в размер на 220,0 млн. евро.</w:t>
      </w:r>
    </w:p>
    <w:p w14:paraId="4D8060E1"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На основание постигнатите договорености в рамките на Световната търговска организация за улесняване на търговията, търговската политика на ЕС е либерална, вследствие на което има множество сключени споразумения или предоставени на автономно основание преференциални мита. </w:t>
      </w:r>
    </w:p>
    <w:p w14:paraId="5111850F"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Приходите от мита са в размер на 230,2 млн. евро за 2027 г. и 243,5 млн. евро за 2028 г.</w:t>
      </w:r>
    </w:p>
    <w:p w14:paraId="282A6AD1" w14:textId="77777777" w:rsidR="00761800" w:rsidRPr="00761800" w:rsidRDefault="00761800" w:rsidP="00761800">
      <w:pPr>
        <w:keepNext/>
        <w:keepLines/>
        <w:numPr>
          <w:ilvl w:val="3"/>
          <w:numId w:val="0"/>
        </w:numPr>
        <w:spacing w:before="240" w:after="24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Приходи от данък върху застрахователните премии</w:t>
      </w:r>
    </w:p>
    <w:p w14:paraId="7E5089A5"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Прогнозните приходи от данък върху застрахователните премии за 2026 г. са 43,4 млн. евро. Допусканията за размера на приходите от данъка върху застрахователните премии са базирани на следните допускания:</w:t>
      </w:r>
    </w:p>
    <w:p w14:paraId="72BD8835"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запазване на ставката от 2% за периода;</w:t>
      </w:r>
    </w:p>
    <w:p w14:paraId="6C1F5076"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запазване на динамиката на нарастване на брутните премийни приходи в общото застраховане;</w:t>
      </w:r>
    </w:p>
    <w:p w14:paraId="085EBEC6" w14:textId="77777777" w:rsidR="00761800" w:rsidRPr="00761800" w:rsidRDefault="00761800" w:rsidP="00F64909">
      <w:pPr>
        <w:numPr>
          <w:ilvl w:val="0"/>
          <w:numId w:val="8"/>
        </w:numPr>
        <w:spacing w:after="200"/>
        <w:ind w:left="993" w:hanging="284"/>
        <w:jc w:val="both"/>
        <w:rPr>
          <w:rFonts w:ascii="Times New Roman" w:eastAsia="Batang" w:hAnsi="Times New Roman"/>
          <w:szCs w:val="24"/>
          <w:lang w:eastAsia="bg-BG"/>
        </w:rPr>
      </w:pPr>
      <w:r w:rsidRPr="00761800">
        <w:rPr>
          <w:rFonts w:ascii="Times New Roman" w:eastAsia="Batang" w:hAnsi="Times New Roman"/>
          <w:szCs w:val="24"/>
          <w:lang w:eastAsia="bg-BG"/>
        </w:rPr>
        <w:t>запазване на тенденцията за разширяване и обогатяване на застрахователните продукти.</w:t>
      </w:r>
    </w:p>
    <w:p w14:paraId="35C967CE"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Очакваните приходи от застрахователни премии са 46,6 млн. евро за 2027 г. и 49,7 млн. евро за 2028 г.</w:t>
      </w:r>
    </w:p>
    <w:p w14:paraId="0AA01451"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bookmarkStart w:id="282" w:name="_Toc464463082"/>
      <w:bookmarkStart w:id="283" w:name="_Toc464464909"/>
      <w:bookmarkStart w:id="284" w:name="_Toc464465415"/>
      <w:bookmarkStart w:id="285" w:name="_Toc464465603"/>
      <w:bookmarkStart w:id="286" w:name="_Toc464466428"/>
      <w:bookmarkStart w:id="287" w:name="_Toc464466672"/>
      <w:bookmarkStart w:id="288" w:name="_Toc464644984"/>
      <w:bookmarkStart w:id="289" w:name="_Toc464224785"/>
      <w:bookmarkStart w:id="290" w:name="_Toc464225435"/>
      <w:bookmarkStart w:id="291" w:name="_Toc464458982"/>
      <w:bookmarkStart w:id="292" w:name="_Toc465070465"/>
      <w:bookmarkStart w:id="293" w:name="_Toc465205515"/>
      <w:r w:rsidRPr="00761800">
        <w:rPr>
          <w:rFonts w:ascii="Times New Roman" w:hAnsi="Times New Roman"/>
          <w:b/>
          <w:bCs/>
          <w:caps/>
          <w:color w:val="852010"/>
          <w:szCs w:val="22"/>
          <w:lang w:eastAsia="bg-BG"/>
        </w:rPr>
        <w:t>О</w:t>
      </w:r>
      <w:bookmarkEnd w:id="282"/>
      <w:bookmarkEnd w:id="283"/>
      <w:bookmarkEnd w:id="284"/>
      <w:bookmarkEnd w:id="285"/>
      <w:bookmarkEnd w:id="286"/>
      <w:bookmarkEnd w:id="287"/>
      <w:bookmarkEnd w:id="288"/>
      <w:bookmarkEnd w:id="289"/>
      <w:bookmarkEnd w:id="290"/>
      <w:bookmarkEnd w:id="291"/>
      <w:bookmarkEnd w:id="292"/>
      <w:bookmarkEnd w:id="293"/>
      <w:r w:rsidRPr="00761800">
        <w:rPr>
          <w:rFonts w:ascii="Times New Roman" w:hAnsi="Times New Roman"/>
          <w:b/>
          <w:bCs/>
          <w:caps/>
          <w:color w:val="852010"/>
          <w:szCs w:val="22"/>
          <w:lang w:eastAsia="bg-BG"/>
        </w:rPr>
        <w:t>сигурителна политика</w:t>
      </w:r>
    </w:p>
    <w:p w14:paraId="3A383008" w14:textId="77777777" w:rsidR="00761800" w:rsidRPr="00761800" w:rsidRDefault="00761800" w:rsidP="00761800">
      <w:pPr>
        <w:spacing w:after="200"/>
        <w:jc w:val="both"/>
        <w:rPr>
          <w:rFonts w:ascii="Times New Roman" w:hAnsi="Times New Roman"/>
          <w:szCs w:val="22"/>
          <w:lang w:eastAsia="bg-BG"/>
        </w:rPr>
      </w:pPr>
      <w:bookmarkStart w:id="294" w:name="_Toc464224786"/>
      <w:bookmarkStart w:id="295" w:name="_Toc464225436"/>
      <w:bookmarkStart w:id="296" w:name="_Toc464458983"/>
      <w:bookmarkStart w:id="297" w:name="_Toc464463083"/>
      <w:bookmarkStart w:id="298" w:name="_Toc464464910"/>
      <w:bookmarkStart w:id="299" w:name="_Toc464465416"/>
      <w:bookmarkStart w:id="300" w:name="_Toc464465604"/>
      <w:bookmarkStart w:id="301" w:name="_Toc464466429"/>
      <w:bookmarkStart w:id="302" w:name="_Toc464466673"/>
      <w:bookmarkStart w:id="303" w:name="_Toc464644985"/>
      <w:bookmarkStart w:id="304" w:name="_Toc465070466"/>
      <w:bookmarkStart w:id="305" w:name="_Toc465205516"/>
      <w:r w:rsidRPr="00761800">
        <w:rPr>
          <w:rFonts w:ascii="Times New Roman" w:hAnsi="Times New Roman"/>
          <w:szCs w:val="22"/>
          <w:lang w:eastAsia="bg-BG"/>
        </w:rPr>
        <w:t>За периода 2026-2028 г. по отношение на социално и здравноосигурителните вноски се предвижда:</w:t>
      </w:r>
    </w:p>
    <w:p w14:paraId="18977D1F" w14:textId="77777777" w:rsidR="00761800" w:rsidRPr="00761800" w:rsidRDefault="00761800" w:rsidP="00F64909">
      <w:pPr>
        <w:numPr>
          <w:ilvl w:val="0"/>
          <w:numId w:val="31"/>
        </w:numPr>
        <w:spacing w:after="200"/>
        <w:jc w:val="both"/>
        <w:rPr>
          <w:rFonts w:ascii="Times New Roman" w:hAnsi="Times New Roman"/>
          <w:bCs/>
          <w:szCs w:val="22"/>
          <w:lang w:eastAsia="bg-BG" w:bidi="bg-BG"/>
        </w:rPr>
      </w:pPr>
      <w:r w:rsidRPr="00761800">
        <w:rPr>
          <w:rFonts w:ascii="Times New Roman" w:hAnsi="Times New Roman"/>
          <w:bCs/>
          <w:szCs w:val="22"/>
          <w:lang w:eastAsia="bg-BG" w:bidi="bg-BG"/>
        </w:rPr>
        <w:t>От 01.08.2026 г. се предвижда поетапно държавните служители по Закона за държавния служител и заетите по Закона за съдебната власт да започнат да плащат лични осигурителни вноски, като съотношението между осигурителя и осигуреното лице е 80:20 разпределено по съответните фондове;</w:t>
      </w:r>
    </w:p>
    <w:p w14:paraId="06A7DC6A" w14:textId="77777777" w:rsidR="00761800" w:rsidRPr="00761800" w:rsidRDefault="00761800" w:rsidP="00F64909">
      <w:pPr>
        <w:numPr>
          <w:ilvl w:val="0"/>
          <w:numId w:val="31"/>
        </w:numPr>
        <w:spacing w:after="200"/>
        <w:ind w:right="-2"/>
        <w:jc w:val="both"/>
        <w:rPr>
          <w:rFonts w:ascii="Times New Roman" w:hAnsi="Times New Roman"/>
          <w:szCs w:val="22"/>
          <w:lang w:eastAsia="bg-BG"/>
        </w:rPr>
      </w:pPr>
      <w:r w:rsidRPr="00761800">
        <w:rPr>
          <w:rFonts w:ascii="Times New Roman" w:hAnsi="Times New Roman"/>
          <w:bCs/>
          <w:szCs w:val="22"/>
          <w:lang w:eastAsia="bg-BG" w:bidi="bg-BG"/>
        </w:rPr>
        <w:t>От 01.01.2027 г. се предвижда държавните служители по Закона за държавния служител и заетите по Закона за съдебната власт да започнат да плащат лични осигурителни вноски, като съотношението между осигурителя и осигуреното лице достига размерите и съотношенията както за категорията лица, които и към момента заплащат личните си осигурителни вноски съобразно установеното в чл. 6, ал. 3, т. 7 от КСО за фонд „Общо заболяване и майчинство“ и фонд „Безработица“ и в чл. 6, ал. 1, т. 4, б. „а“ и б. „б“ и ал. 3, т. 8, б. „а“ и т. 9, б. „б“ от КСО за фонд „Пенсии“;</w:t>
      </w:r>
    </w:p>
    <w:p w14:paraId="70BF934A" w14:textId="77777777" w:rsidR="00761800" w:rsidRPr="00761800" w:rsidRDefault="00761800" w:rsidP="00F64909">
      <w:pPr>
        <w:numPr>
          <w:ilvl w:val="0"/>
          <w:numId w:val="31"/>
        </w:numPr>
        <w:spacing w:after="200"/>
        <w:ind w:right="-2"/>
        <w:jc w:val="both"/>
        <w:rPr>
          <w:rFonts w:ascii="Times New Roman" w:hAnsi="Times New Roman"/>
          <w:szCs w:val="24"/>
        </w:rPr>
      </w:pPr>
      <w:r w:rsidRPr="00761800">
        <w:rPr>
          <w:rFonts w:ascii="Times New Roman" w:hAnsi="Times New Roman"/>
          <w:szCs w:val="24"/>
        </w:rPr>
        <w:lastRenderedPageBreak/>
        <w:t>Допълнително, от 2027 г. се предвижда разработването на подобен механизъм за поемане на личните осигурителни вноски в размерите за останалите категории лица и за заетите лица по реда на специалните закони, като например Закона за МВР, Закона за отбраната и въоръжените сили и др.;</w:t>
      </w:r>
    </w:p>
    <w:p w14:paraId="00827459" w14:textId="77777777" w:rsidR="00761800" w:rsidRPr="00761800" w:rsidRDefault="00761800" w:rsidP="00F64909">
      <w:pPr>
        <w:numPr>
          <w:ilvl w:val="0"/>
          <w:numId w:val="10"/>
        </w:numPr>
        <w:spacing w:after="20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За периода 2026-2028 се запазва размерът на осигурителната вноска за фонд „Пенсии”, както и съотношението между осигурителя и осигуреното лице на нивото от 2025 г.,</w:t>
      </w:r>
      <w:r w:rsidRPr="00761800">
        <w:rPr>
          <w:rFonts w:ascii="Times New Roman" w:hAnsi="Times New Roman"/>
          <w:szCs w:val="22"/>
          <w:lang w:eastAsia="bg-BG"/>
        </w:rPr>
        <w:t xml:space="preserve"> </w:t>
      </w:r>
      <w:r w:rsidRPr="00761800">
        <w:rPr>
          <w:rFonts w:ascii="Times New Roman" w:eastAsia="Batang" w:hAnsi="Times New Roman"/>
          <w:szCs w:val="22"/>
          <w:lang w:eastAsia="bg-BG"/>
        </w:rPr>
        <w:t>като се променя плавно осигурителния режим за служителите по ЗДСл</w:t>
      </w:r>
      <w:r w:rsidRPr="00761800">
        <w:rPr>
          <w:rFonts w:ascii="Times New Roman" w:eastAsia="Batang" w:hAnsi="Times New Roman"/>
          <w:position w:val="2"/>
          <w:sz w:val="18"/>
          <w:szCs w:val="22"/>
          <w:vertAlign w:val="superscript"/>
        </w:rPr>
        <w:footnoteReference w:id="51"/>
      </w:r>
      <w:r w:rsidRPr="00761800">
        <w:rPr>
          <w:rFonts w:ascii="Times New Roman" w:eastAsia="Batang" w:hAnsi="Times New Roman"/>
          <w:szCs w:val="22"/>
          <w:lang w:eastAsia="bg-BG"/>
        </w:rPr>
        <w:t xml:space="preserve"> и ЗСВ</w:t>
      </w:r>
      <w:r w:rsidRPr="00761800">
        <w:rPr>
          <w:rFonts w:ascii="Times New Roman" w:eastAsia="Batang" w:hAnsi="Times New Roman"/>
          <w:position w:val="2"/>
          <w:sz w:val="18"/>
          <w:szCs w:val="22"/>
          <w:vertAlign w:val="superscript"/>
        </w:rPr>
        <w:footnoteReference w:id="52"/>
      </w:r>
      <w:r w:rsidRPr="00761800">
        <w:rPr>
          <w:rFonts w:ascii="Times New Roman" w:eastAsia="Batang" w:hAnsi="Times New Roman"/>
          <w:szCs w:val="22"/>
          <w:lang w:eastAsia="bg-BG"/>
        </w:rPr>
        <w:t>. Запазват се размерите на осигурителните вноски за останалите фондове на ДОО, както и съотношението при разпределянето им между осигурител и осигурено лице се запазват на нивата от 2025 г. и за целия период до 2028 г.,</w:t>
      </w:r>
      <w:r w:rsidRPr="00761800">
        <w:rPr>
          <w:rFonts w:ascii="Times New Roman" w:hAnsi="Times New Roman"/>
          <w:szCs w:val="22"/>
          <w:lang w:eastAsia="bg-BG"/>
        </w:rPr>
        <w:t xml:space="preserve"> </w:t>
      </w:r>
      <w:r w:rsidRPr="00761800">
        <w:rPr>
          <w:rFonts w:ascii="Times New Roman" w:eastAsia="Batang" w:hAnsi="Times New Roman"/>
          <w:szCs w:val="22"/>
          <w:lang w:eastAsia="bg-BG"/>
        </w:rPr>
        <w:t>като се променя плавно осигурителния режим за служителите по ЗДСл и ЗСВ;</w:t>
      </w:r>
    </w:p>
    <w:p w14:paraId="27B6348E" w14:textId="77777777" w:rsidR="00761800" w:rsidRPr="00761800" w:rsidRDefault="00761800" w:rsidP="00F64909">
      <w:pPr>
        <w:numPr>
          <w:ilvl w:val="0"/>
          <w:numId w:val="10"/>
        </w:numPr>
        <w:spacing w:after="200"/>
        <w:ind w:hanging="294"/>
        <w:jc w:val="both"/>
        <w:rPr>
          <w:rFonts w:ascii="Times New Roman" w:eastAsia="Batang" w:hAnsi="Times New Roman"/>
          <w:szCs w:val="22"/>
          <w:lang w:eastAsia="bg-BG"/>
        </w:rPr>
      </w:pPr>
      <w:r w:rsidRPr="00761800">
        <w:rPr>
          <w:rFonts w:ascii="Times New Roman" w:hAnsi="Times New Roman"/>
          <w:szCs w:val="22"/>
          <w:lang w:eastAsia="bg-BG"/>
        </w:rPr>
        <w:t>Минималният осигурителен доход за самоосигуряващите се лица се увеличава от 1  август 2026 г. на 620,20 евро;</w:t>
      </w:r>
    </w:p>
    <w:p w14:paraId="140AE43C" w14:textId="77777777" w:rsidR="00761800" w:rsidRPr="00761800" w:rsidRDefault="00761800" w:rsidP="00F64909">
      <w:pPr>
        <w:numPr>
          <w:ilvl w:val="0"/>
          <w:numId w:val="10"/>
        </w:numPr>
        <w:spacing w:after="200"/>
        <w:ind w:hanging="294"/>
        <w:jc w:val="both"/>
        <w:rPr>
          <w:rFonts w:ascii="Times New Roman" w:eastAsia="Batang" w:hAnsi="Times New Roman"/>
          <w:szCs w:val="22"/>
          <w:lang w:eastAsia="bg-BG"/>
        </w:rPr>
      </w:pPr>
      <w:r w:rsidRPr="00761800">
        <w:rPr>
          <w:rFonts w:ascii="Times New Roman" w:hAnsi="Times New Roman"/>
          <w:szCs w:val="22"/>
          <w:lang w:eastAsia="bg-BG"/>
        </w:rPr>
        <w:t>Изменение на минималните осигурителни прагове по икономически дейности над МРЗ, считано от 01.08.2026 г.;</w:t>
      </w:r>
    </w:p>
    <w:p w14:paraId="00E29D11" w14:textId="77777777" w:rsidR="00761800" w:rsidRPr="00761800" w:rsidRDefault="00761800" w:rsidP="00F64909">
      <w:pPr>
        <w:numPr>
          <w:ilvl w:val="0"/>
          <w:numId w:val="10"/>
        </w:numPr>
        <w:spacing w:after="200"/>
        <w:ind w:hanging="294"/>
        <w:jc w:val="both"/>
        <w:rPr>
          <w:rFonts w:ascii="Times New Roman" w:eastAsia="Batang" w:hAnsi="Times New Roman"/>
          <w:szCs w:val="22"/>
          <w:lang w:eastAsia="bg-BG"/>
        </w:rPr>
      </w:pPr>
      <w:r w:rsidRPr="00761800">
        <w:rPr>
          <w:rFonts w:ascii="Times New Roman" w:hAnsi="Times New Roman"/>
          <w:szCs w:val="22"/>
          <w:lang w:eastAsia="bg-BG"/>
        </w:rPr>
        <w:t>Максималният осигурителен доход за всички осигурени лица се увеличава от 1  август 2026 г. на 2 300 евро и се запазва за периода 2027-2028 г., което цели:</w:t>
      </w:r>
    </w:p>
    <w:p w14:paraId="10B0470B" w14:textId="77777777" w:rsidR="00761800" w:rsidRPr="00761800" w:rsidRDefault="00761800" w:rsidP="00F64909">
      <w:pPr>
        <w:numPr>
          <w:ilvl w:val="0"/>
          <w:numId w:val="8"/>
        </w:numPr>
        <w:spacing w:after="200"/>
        <w:ind w:left="1276" w:hanging="283"/>
        <w:jc w:val="both"/>
        <w:rPr>
          <w:rFonts w:ascii="Times New Roman" w:eastAsia="Batang" w:hAnsi="Times New Roman"/>
          <w:szCs w:val="24"/>
          <w:lang w:eastAsia="bg-BG"/>
        </w:rPr>
      </w:pPr>
      <w:r w:rsidRPr="00761800">
        <w:rPr>
          <w:rFonts w:ascii="Times New Roman" w:eastAsia="Batang" w:hAnsi="Times New Roman"/>
          <w:szCs w:val="24"/>
          <w:lang w:eastAsia="bg-BG"/>
        </w:rPr>
        <w:t>по-добро съответствие между динамиката на доходите и реалната база на осигуряване;</w:t>
      </w:r>
    </w:p>
    <w:p w14:paraId="55A2331F" w14:textId="77777777" w:rsidR="00761800" w:rsidRPr="00761800" w:rsidRDefault="00761800" w:rsidP="00F64909">
      <w:pPr>
        <w:numPr>
          <w:ilvl w:val="0"/>
          <w:numId w:val="8"/>
        </w:numPr>
        <w:spacing w:after="200"/>
        <w:ind w:left="1276" w:hanging="283"/>
        <w:jc w:val="both"/>
        <w:rPr>
          <w:rFonts w:ascii="Times New Roman" w:eastAsia="Batang" w:hAnsi="Times New Roman"/>
          <w:szCs w:val="24"/>
          <w:lang w:eastAsia="bg-BG"/>
        </w:rPr>
      </w:pPr>
      <w:r w:rsidRPr="00761800">
        <w:rPr>
          <w:rFonts w:ascii="Times New Roman" w:eastAsia="Batang" w:hAnsi="Times New Roman"/>
          <w:szCs w:val="24"/>
          <w:lang w:eastAsia="bg-BG"/>
        </w:rPr>
        <w:t>повишаване на справедливостта на системата чрез по-адекватно участие на лицата с високи доходи;</w:t>
      </w:r>
    </w:p>
    <w:p w14:paraId="4A9009D9" w14:textId="77777777" w:rsidR="00761800" w:rsidRPr="00761800" w:rsidRDefault="00761800" w:rsidP="00F64909">
      <w:pPr>
        <w:numPr>
          <w:ilvl w:val="0"/>
          <w:numId w:val="8"/>
        </w:numPr>
        <w:spacing w:after="200"/>
        <w:ind w:left="1276" w:hanging="283"/>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увеличаване на приходите във фонд „Пенсии“ без промяна в осигурителните ставки; </w:t>
      </w:r>
    </w:p>
    <w:p w14:paraId="12D69EA7" w14:textId="77777777" w:rsidR="00761800" w:rsidRPr="00761800" w:rsidRDefault="00761800" w:rsidP="00F64909">
      <w:pPr>
        <w:numPr>
          <w:ilvl w:val="0"/>
          <w:numId w:val="8"/>
        </w:numPr>
        <w:spacing w:after="200"/>
        <w:ind w:left="1276" w:hanging="283"/>
        <w:jc w:val="both"/>
        <w:rPr>
          <w:rFonts w:ascii="Times New Roman" w:eastAsia="Batang" w:hAnsi="Times New Roman"/>
          <w:szCs w:val="24"/>
          <w:lang w:eastAsia="bg-BG"/>
        </w:rPr>
      </w:pPr>
      <w:r w:rsidRPr="00761800">
        <w:rPr>
          <w:rFonts w:ascii="Times New Roman" w:eastAsia="Batang" w:hAnsi="Times New Roman"/>
          <w:szCs w:val="24"/>
          <w:lang w:eastAsia="bg-BG"/>
        </w:rPr>
        <w:t>подкрепа на фискалната устойчивост при минимално влияние върху пазара на труда.</w:t>
      </w:r>
    </w:p>
    <w:p w14:paraId="4E9137D2"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 периода 2026-2028 г. не се правят вноски за фонд „Гарантирани вземания на работниците и служителите”, като се запазва разпоредбата на чл. 22, ал. 2 от ЗГВРСНР</w:t>
      </w:r>
      <w:r w:rsidRPr="00761800">
        <w:rPr>
          <w:rFonts w:ascii="Times New Roman" w:hAnsi="Times New Roman"/>
          <w:position w:val="2"/>
          <w:sz w:val="18"/>
          <w:szCs w:val="22"/>
          <w:vertAlign w:val="superscript"/>
        </w:rPr>
        <w:footnoteReference w:id="53"/>
      </w:r>
      <w:r w:rsidRPr="00761800">
        <w:rPr>
          <w:rFonts w:ascii="Times New Roman" w:hAnsi="Times New Roman"/>
          <w:szCs w:val="22"/>
          <w:lang w:eastAsia="bg-BG"/>
        </w:rPr>
        <w:t>, относно максималния месечен размер на гарантираното вземане, който не може да бъде по-малък от 2,5 минимални работни заплати;</w:t>
      </w:r>
    </w:p>
    <w:p w14:paraId="3417543F"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Запазва се размерът на осигурителната вноска за Учителския пенсионен фонд – 4,3 на сто;</w:t>
      </w:r>
    </w:p>
    <w:p w14:paraId="7E07D05F"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Запазва се размерът на здравноосигурителната вноска – 8 на сто.</w:t>
      </w:r>
    </w:p>
    <w:p w14:paraId="0CD1C467"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lastRenderedPageBreak/>
        <w:t>Н</w:t>
      </w:r>
      <w:bookmarkEnd w:id="294"/>
      <w:bookmarkEnd w:id="295"/>
      <w:bookmarkEnd w:id="296"/>
      <w:bookmarkEnd w:id="297"/>
      <w:bookmarkEnd w:id="298"/>
      <w:bookmarkEnd w:id="299"/>
      <w:bookmarkEnd w:id="300"/>
      <w:bookmarkEnd w:id="301"/>
      <w:bookmarkEnd w:id="302"/>
      <w:bookmarkEnd w:id="303"/>
      <w:bookmarkEnd w:id="304"/>
      <w:bookmarkEnd w:id="305"/>
      <w:r w:rsidRPr="00761800">
        <w:rPr>
          <w:rFonts w:ascii="Times New Roman" w:hAnsi="Times New Roman"/>
          <w:b/>
          <w:bCs/>
          <w:caps/>
          <w:color w:val="852010"/>
          <w:szCs w:val="22"/>
          <w:lang w:eastAsia="bg-BG"/>
        </w:rPr>
        <w:t>еданъчни приходи</w:t>
      </w:r>
    </w:p>
    <w:p w14:paraId="66684881" w14:textId="77777777" w:rsidR="00761800" w:rsidRPr="00761800" w:rsidRDefault="00761800" w:rsidP="00761800">
      <w:pPr>
        <w:keepNext/>
        <w:keepLines/>
        <w:numPr>
          <w:ilvl w:val="3"/>
          <w:numId w:val="0"/>
        </w:numPr>
        <w:spacing w:before="240" w:after="24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Приходи от такси</w:t>
      </w:r>
    </w:p>
    <w:p w14:paraId="49B279B2" w14:textId="77777777" w:rsidR="00761800" w:rsidRPr="00761800" w:rsidRDefault="00761800" w:rsidP="00F64909">
      <w:pPr>
        <w:numPr>
          <w:ilvl w:val="0"/>
          <w:numId w:val="18"/>
        </w:numPr>
        <w:spacing w:after="120"/>
        <w:ind w:hanging="294"/>
        <w:jc w:val="both"/>
        <w:rPr>
          <w:rFonts w:ascii="Times New Roman" w:hAnsi="Times New Roman"/>
          <w:szCs w:val="22"/>
          <w:lang w:eastAsia="bg-BG"/>
        </w:rPr>
      </w:pPr>
      <w:r w:rsidRPr="00761800">
        <w:rPr>
          <w:rFonts w:ascii="Times New Roman" w:hAnsi="Times New Roman"/>
          <w:szCs w:val="22"/>
          <w:lang w:eastAsia="bg-BG"/>
        </w:rPr>
        <w:t>По бюджета на Министерството на регионалното развитие и благоустройството:</w:t>
      </w:r>
    </w:p>
    <w:p w14:paraId="5EF36CA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От 1 януари 2019 г. започна поетапното въвеждане на тол системата с въвеждането на т.нар. „електронна винетка“ за леките автомобили, а от месец март 2020 г. стартира поетапното въвеждане на тол сегменти в обхвата на платената пътна мрежа на база изминато разстояние, с което започна тарифирането и на товарните автомобили над 3,5 т. През 2022 г. беше направена промяна на обхвата на републиканската пътна мрежа и актуализация на тарифата за изминато разстояние. В тази връзка за периода 2024-2028 г. се очаква ръст на приходите от държавни такси. По отчетни данни за 2025 г. изпълнението на приходите от оперирането на тол системата е в размер на 525,0 млн. евро, докато през 2026 г. се очаква същите да възлязат на 642,2 млн. евро. </w:t>
      </w:r>
    </w:p>
    <w:p w14:paraId="3B9CAF2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За периода 2026-2028 г. са планирани приходи в размер на 109,3 млн. евро във връзка със спазване на изискванията за въвеждането на Директива 1999/62/ЕО на Европейския парламент и на Съвета от 17 юни 1999 г., относно заплащането на такси от тежкотоварни автомобили за използване на определени инфраструктури. Планираните допълнителни приходи са в изпълнение на чл. 10б, ал. 6 от Закона за пътищата, съгласно който се предвижда и диференциране на тол таксите в зависимост от клас емисии СО2</w:t>
      </w:r>
      <w:r w:rsidRPr="00761800">
        <w:rPr>
          <w:rFonts w:ascii="Times New Roman" w:hAnsi="Times New Roman"/>
          <w:position w:val="2"/>
          <w:sz w:val="18"/>
          <w:szCs w:val="22"/>
          <w:vertAlign w:val="superscript"/>
        </w:rPr>
        <w:footnoteReference w:id="54"/>
      </w:r>
      <w:r w:rsidRPr="00761800">
        <w:rPr>
          <w:rFonts w:ascii="Times New Roman" w:hAnsi="Times New Roman"/>
          <w:szCs w:val="22"/>
          <w:lang w:eastAsia="bg-BG"/>
        </w:rPr>
        <w:t xml:space="preserve"> и специфични емисии СО2 на пътните превозни средства. Техният първоначален ефект в размер на 63,8 млн. евро от въвеждането им в сила, считано от 01.06.2026 г. е отразен през 2026 г., като за следващите години размерът им се увеличава с 45,5 млн. евро за 2027 г. и запазва на 109,3 млн. евро през 2028 г. </w:t>
      </w:r>
    </w:p>
    <w:p w14:paraId="04F7DBD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Във връзка с поетапното увеличение на тол таксите през 2025 г., както и възстановяването на цената на годишната електронна винетка на нивото от 2021 г., е разчетен допълнителен ефект за 2026 г. в размер на 28,7 млн. евро.</w:t>
      </w:r>
    </w:p>
    <w:p w14:paraId="33B864F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Планирано е увеличение на размера на винетните такси с 30% от 01.08.2026 г. Техният първоначален ефект в размер на 24,6 млн. евро е отразен през 2026 г., като за следващите години размерът им се увеличава с 31,7 млн. евро и се запазва на 53,3 млн. евро за 2028 г.</w:t>
      </w:r>
    </w:p>
    <w:p w14:paraId="440676F4" w14:textId="77777777" w:rsidR="00761800" w:rsidRPr="00761800" w:rsidRDefault="00761800" w:rsidP="00761800">
      <w:pPr>
        <w:keepNext/>
        <w:keepLines/>
        <w:numPr>
          <w:ilvl w:val="3"/>
          <w:numId w:val="0"/>
        </w:numPr>
        <w:spacing w:before="240" w:after="24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Други приходи</w:t>
      </w:r>
    </w:p>
    <w:p w14:paraId="470E47F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За прогнозния период 2026-2028 г. приходите на Фонд „Сигурност на електроенергийната система“ (ФСЕС) са определени, както следва: за 2026 г. – 1 261,3 млн. евро, за 2027 г. – 1 246,3 млн. евро и за 2028 г. – 1 217,5 млн. евро, като същите спрямо тези за 2025 г. се увеличават съответно с 349,6 млн. евро за 2026 г., а за следващите години се прогнозира спад с 15,0 млн. евро за 2027 г. и с 28,9 млн. евро за 2028 г.</w:t>
      </w:r>
    </w:p>
    <w:p w14:paraId="09EB494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Промяната в приходите отразява:</w:t>
      </w:r>
    </w:p>
    <w:p w14:paraId="22665F37" w14:textId="77777777" w:rsidR="00761800" w:rsidRPr="00761800" w:rsidRDefault="00761800" w:rsidP="00F64909">
      <w:pPr>
        <w:numPr>
          <w:ilvl w:val="0"/>
          <w:numId w:val="17"/>
        </w:numPr>
        <w:spacing w:after="120"/>
        <w:ind w:hanging="294"/>
        <w:jc w:val="both"/>
        <w:rPr>
          <w:rFonts w:ascii="Times New Roman" w:hAnsi="Times New Roman"/>
          <w:szCs w:val="22"/>
          <w:lang w:eastAsia="bg-BG"/>
        </w:rPr>
      </w:pPr>
      <w:r w:rsidRPr="00761800">
        <w:rPr>
          <w:rFonts w:ascii="Times New Roman" w:hAnsi="Times New Roman"/>
          <w:szCs w:val="22"/>
          <w:lang w:eastAsia="bg-BG"/>
        </w:rPr>
        <w:lastRenderedPageBreak/>
        <w:t>приходите от вноски на производители на електрическа енергия, търговци на електрическа енергия и др. (за 2026 г. регламентирани с § 2 от ЗСПИР</w:t>
      </w:r>
      <w:r w:rsidRPr="00761800">
        <w:rPr>
          <w:rFonts w:ascii="Times New Roman" w:hAnsi="Times New Roman"/>
          <w:position w:val="2"/>
          <w:sz w:val="18"/>
          <w:szCs w:val="22"/>
          <w:vertAlign w:val="superscript"/>
        </w:rPr>
        <w:footnoteReference w:id="55"/>
      </w:r>
      <w:r w:rsidRPr="00761800">
        <w:rPr>
          <w:rFonts w:ascii="Times New Roman" w:hAnsi="Times New Roman"/>
          <w:szCs w:val="22"/>
          <w:lang w:eastAsia="bg-BG"/>
        </w:rPr>
        <w:t>, а за 2027 и 2028 г. - регламентирани ежегодно със ЗДБРБ);</w:t>
      </w:r>
    </w:p>
    <w:p w14:paraId="4C5F8C95" w14:textId="77777777" w:rsidR="00761800" w:rsidRPr="00761800" w:rsidRDefault="00761800" w:rsidP="00F64909">
      <w:pPr>
        <w:numPr>
          <w:ilvl w:val="0"/>
          <w:numId w:val="17"/>
        </w:numPr>
        <w:spacing w:after="120"/>
        <w:ind w:hanging="294"/>
        <w:jc w:val="both"/>
        <w:rPr>
          <w:rFonts w:ascii="Times New Roman" w:hAnsi="Times New Roman"/>
          <w:szCs w:val="22"/>
          <w:lang w:eastAsia="bg-BG"/>
        </w:rPr>
      </w:pPr>
      <w:r w:rsidRPr="00761800">
        <w:rPr>
          <w:rFonts w:ascii="Times New Roman" w:hAnsi="Times New Roman"/>
          <w:szCs w:val="22"/>
          <w:lang w:eastAsia="bg-BG"/>
        </w:rPr>
        <w:t>приходите от продажба на квоти, при определянето на които: 1) е взета предвид изразената негативна пазарна тенденция за месеците до края на действащия ценови период, вследствие на свръхпредлагането от страна на ЕК, с цел набиране на средства за RePowerEU (което ще продължи и през 2026 г.) и намаляването от 2027 г. нататък на предлагането, което следва да доведе до повишение на цената; 2) отчетено е вливането на част от приходите от търговете на държавите членки в общия бюджет на ЕС като нов собствен ресурс, като при действието на механизма за солидарност отражението му за България ще е в намаление на приходите, както и годишно намаление на броя търгувани квоти съгласно действието на Резерва за пазарна стабилност (MSR);</w:t>
      </w:r>
    </w:p>
    <w:p w14:paraId="08A11489" w14:textId="77777777" w:rsidR="00761800" w:rsidRPr="00761800" w:rsidRDefault="00761800" w:rsidP="00F64909">
      <w:pPr>
        <w:numPr>
          <w:ilvl w:val="0"/>
          <w:numId w:val="17"/>
        </w:numPr>
        <w:spacing w:after="120"/>
        <w:ind w:hanging="294"/>
        <w:jc w:val="both"/>
        <w:rPr>
          <w:rFonts w:ascii="Times New Roman" w:hAnsi="Times New Roman"/>
          <w:szCs w:val="22"/>
          <w:lang w:eastAsia="bg-BG"/>
        </w:rPr>
      </w:pPr>
      <w:r w:rsidRPr="00761800">
        <w:rPr>
          <w:rFonts w:ascii="Times New Roman" w:hAnsi="Times New Roman"/>
          <w:szCs w:val="22"/>
          <w:lang w:eastAsia="bg-BG"/>
        </w:rPr>
        <w:t>приходите от 5%-ни вноски от приходите на производителите и търговците на електрическа енергия, като при определянето на размера им отражение са дали постигнатите по-ниски цени на електроенергията от прогнозните в ценовото решение, вследствие на което се наблюдава трайна тенденция за намаляване на размера на тези приходи.</w:t>
      </w:r>
    </w:p>
    <w:p w14:paraId="269D8E88" w14:textId="77777777" w:rsidR="00761800" w:rsidRPr="00761800" w:rsidRDefault="00761800" w:rsidP="00761800">
      <w:pPr>
        <w:keepNext/>
        <w:keepLines/>
        <w:numPr>
          <w:ilvl w:val="3"/>
          <w:numId w:val="0"/>
        </w:numPr>
        <w:spacing w:before="240" w:after="24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Приходи от дивидент за държавата</w:t>
      </w:r>
    </w:p>
    <w:p w14:paraId="0571CB2E" w14:textId="77777777" w:rsidR="00761800" w:rsidRPr="00761800" w:rsidRDefault="00761800" w:rsidP="00761800">
      <w:p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Приходите от дивидент за държавата за периода 2026-2028 г. са изготвени при 100% отчисления, на база представена от министерствата информация за очакваните финансови резултати на ресорните им предприятия и търговски дружества.</w:t>
      </w:r>
    </w:p>
    <w:p w14:paraId="798C5A08" w14:textId="77777777" w:rsidR="00761800" w:rsidRPr="00761800" w:rsidRDefault="00761800" w:rsidP="00761800">
      <w:p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 xml:space="preserve">Размерът на прогнозираните приходи от дивидент е, както следва: </w:t>
      </w:r>
    </w:p>
    <w:p w14:paraId="1866D933" w14:textId="77777777" w:rsidR="00761800" w:rsidRPr="00761800" w:rsidRDefault="00761800" w:rsidP="00F64909">
      <w:pPr>
        <w:numPr>
          <w:ilvl w:val="0"/>
          <w:numId w:val="9"/>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за 2026 г. – </w:t>
      </w:r>
      <w:r w:rsidRPr="00761800">
        <w:rPr>
          <w:rFonts w:ascii="Times New Roman" w:eastAsia="Batang" w:hAnsi="Times New Roman"/>
          <w:szCs w:val="24"/>
          <w:lang w:eastAsia="bg-BG"/>
        </w:rPr>
        <w:t>331,2</w:t>
      </w:r>
      <w:r w:rsidRPr="00761800">
        <w:rPr>
          <w:rFonts w:ascii="Times New Roman" w:hAnsi="Times New Roman"/>
          <w:szCs w:val="22"/>
          <w:lang w:eastAsia="bg-BG"/>
        </w:rPr>
        <w:t xml:space="preserve"> млн. евро; </w:t>
      </w:r>
    </w:p>
    <w:p w14:paraId="3CA72968" w14:textId="77777777" w:rsidR="00761800" w:rsidRPr="00761800" w:rsidRDefault="00761800" w:rsidP="00F64909">
      <w:pPr>
        <w:numPr>
          <w:ilvl w:val="0"/>
          <w:numId w:val="9"/>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за 2027 г. – </w:t>
      </w:r>
      <w:r w:rsidRPr="00761800">
        <w:rPr>
          <w:rFonts w:ascii="Times New Roman" w:eastAsia="Batang" w:hAnsi="Times New Roman"/>
          <w:szCs w:val="24"/>
          <w:lang w:eastAsia="bg-BG"/>
        </w:rPr>
        <w:t>355,0</w:t>
      </w:r>
      <w:r w:rsidRPr="00761800">
        <w:rPr>
          <w:rFonts w:ascii="Times New Roman" w:hAnsi="Times New Roman"/>
          <w:szCs w:val="22"/>
          <w:lang w:eastAsia="bg-BG"/>
        </w:rPr>
        <w:t xml:space="preserve"> млн. евро; </w:t>
      </w:r>
    </w:p>
    <w:p w14:paraId="73EC573D" w14:textId="77777777" w:rsidR="00761800" w:rsidRPr="00761800" w:rsidRDefault="00761800" w:rsidP="00F64909">
      <w:pPr>
        <w:numPr>
          <w:ilvl w:val="0"/>
          <w:numId w:val="9"/>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за 2028 г. – </w:t>
      </w:r>
      <w:r w:rsidRPr="00761800">
        <w:rPr>
          <w:rFonts w:ascii="Times New Roman" w:eastAsia="Batang" w:hAnsi="Times New Roman"/>
          <w:szCs w:val="24"/>
          <w:lang w:eastAsia="bg-BG"/>
        </w:rPr>
        <w:t>440,0</w:t>
      </w:r>
      <w:r w:rsidRPr="00761800">
        <w:rPr>
          <w:rFonts w:ascii="Times New Roman" w:hAnsi="Times New Roman"/>
          <w:szCs w:val="22"/>
          <w:lang w:eastAsia="bg-BG"/>
        </w:rPr>
        <w:t xml:space="preserve"> млн. евро; </w:t>
      </w:r>
    </w:p>
    <w:p w14:paraId="4CDBC4E8" w14:textId="77777777" w:rsidR="00761800" w:rsidRPr="00761800" w:rsidRDefault="00761800" w:rsidP="00761800">
      <w:p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 xml:space="preserve">Основните допускания, на база на които е изготвена прогнозата за приходите от дивидент, са следните: </w:t>
      </w:r>
    </w:p>
    <w:p w14:paraId="261DDAF7"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ставка за отчисления за периода 2026-2028 г. - 100 на сто; </w:t>
      </w:r>
    </w:p>
    <w:p w14:paraId="6265F1AC"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отчисление от печалбата за съдружниците, съответно разпределяне на дивидент за акционерите в размер 70 на сто от дъщерните дружества на държавните предприятия и търговските дружества с над 50 на сто държавно участие в капитала; </w:t>
      </w:r>
    </w:p>
    <w:p w14:paraId="7BF5394F"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разпределяне и внасяне на междинен дивидент въз основа на междинен финансов отчет към 30.06.2026 г. от публични предприятия - акционерни дружества, при спазване на чл. 247а от Търговския закон. Предвидена е разпоредба в законопроекта за държавния бюджет за 2026 г. в тази посока, даваща възможност и на публичните предприятия да разпределят междинен дивидент; </w:t>
      </w:r>
    </w:p>
    <w:p w14:paraId="09A48623"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lastRenderedPageBreak/>
        <w:t>изключване на лечебните заведения за болнична помощ, центровете за психично здраве, бюджетните организации и дружествата от отрасъл „Водоснабдяване и канализация“ от обхвата на Разпореждането на Министерския съвет за установяване и внасяне в полза на държавата на отчисления от печалбата от държавни предприятия и търговски дружества с държавно участие в капитала.</w:t>
      </w:r>
    </w:p>
    <w:p w14:paraId="07BA98B4" w14:textId="77777777" w:rsidR="00761800" w:rsidRPr="00761800" w:rsidRDefault="00761800" w:rsidP="00761800">
      <w:pPr>
        <w:keepNext/>
        <w:keepLines/>
        <w:numPr>
          <w:ilvl w:val="3"/>
          <w:numId w:val="0"/>
        </w:numPr>
        <w:spacing w:before="240" w:after="24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Приходи от наеми за държавата</w:t>
      </w:r>
    </w:p>
    <w:p w14:paraId="1C80D668" w14:textId="77777777" w:rsidR="00761800" w:rsidRPr="00761800" w:rsidRDefault="00761800" w:rsidP="00761800">
      <w:p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 xml:space="preserve">Приходите от наеми за държавата за периода 2026-2028 г. са разчетени при 50% отчисления от наемите, получени от държавните предприятия и едноличните търговски дружества, в т.ч. от дъщерните им дружества, отдали под наем предоставените им застроени или незастроени недвижими имоти. </w:t>
      </w:r>
    </w:p>
    <w:p w14:paraId="15AE2348" w14:textId="77777777" w:rsidR="00761800" w:rsidRPr="00761800" w:rsidRDefault="00761800" w:rsidP="00761800">
      <w:p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 xml:space="preserve">Размерът на прогнозираните приходи е </w:t>
      </w:r>
      <w:r w:rsidRPr="00761800">
        <w:rPr>
          <w:rFonts w:ascii="Times New Roman" w:eastAsia="Batang" w:hAnsi="Times New Roman"/>
          <w:szCs w:val="24"/>
          <w:lang w:eastAsia="bg-BG"/>
        </w:rPr>
        <w:t xml:space="preserve">6,7 </w:t>
      </w:r>
      <w:r w:rsidRPr="00761800">
        <w:rPr>
          <w:rFonts w:ascii="Times New Roman" w:eastAsia="Calibri" w:hAnsi="Times New Roman"/>
          <w:szCs w:val="24"/>
          <w:lang w:eastAsia="bg-BG"/>
        </w:rPr>
        <w:t xml:space="preserve">млн. евро за 2026 г., </w:t>
      </w:r>
      <w:r w:rsidRPr="00761800">
        <w:rPr>
          <w:rFonts w:ascii="Times New Roman" w:eastAsia="Batang" w:hAnsi="Times New Roman"/>
          <w:szCs w:val="24"/>
          <w:lang w:eastAsia="bg-BG"/>
        </w:rPr>
        <w:t>6,4</w:t>
      </w:r>
      <w:r w:rsidRPr="00761800">
        <w:rPr>
          <w:rFonts w:ascii="Times New Roman" w:eastAsia="Calibri" w:hAnsi="Times New Roman"/>
          <w:szCs w:val="24"/>
          <w:lang w:eastAsia="bg-BG"/>
        </w:rPr>
        <w:t xml:space="preserve"> млн. евро за 2027 г. и </w:t>
      </w:r>
      <w:r w:rsidRPr="00761800">
        <w:rPr>
          <w:rFonts w:ascii="Times New Roman" w:eastAsia="Batang" w:hAnsi="Times New Roman"/>
          <w:szCs w:val="24"/>
          <w:lang w:eastAsia="bg-BG"/>
        </w:rPr>
        <w:t>6,2</w:t>
      </w:r>
      <w:r w:rsidRPr="00761800">
        <w:rPr>
          <w:rFonts w:ascii="Times New Roman" w:eastAsia="Calibri" w:hAnsi="Times New Roman"/>
          <w:szCs w:val="24"/>
          <w:lang w:eastAsia="bg-BG"/>
        </w:rPr>
        <w:t xml:space="preserve"> млн. евро за 2028 г.</w:t>
      </w:r>
    </w:p>
    <w:p w14:paraId="548C5048" w14:textId="77777777" w:rsidR="00761800" w:rsidRPr="00761800" w:rsidRDefault="00761800" w:rsidP="00761800">
      <w:pPr>
        <w:keepNext/>
        <w:keepLines/>
        <w:numPr>
          <w:ilvl w:val="3"/>
          <w:numId w:val="0"/>
        </w:numPr>
        <w:spacing w:before="240" w:after="24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Приходи от концесионни възнаграждения</w:t>
      </w:r>
    </w:p>
    <w:p w14:paraId="25F0ACCE" w14:textId="77777777" w:rsidR="00761800" w:rsidRPr="00761800" w:rsidRDefault="00761800" w:rsidP="00761800">
      <w:p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 xml:space="preserve">Прогнозните приходи от концесии по КФП за 2026 г. възлизат на </w:t>
      </w:r>
      <w:r w:rsidRPr="00761800">
        <w:rPr>
          <w:rFonts w:ascii="Times New Roman" w:eastAsia="Batang" w:hAnsi="Times New Roman"/>
          <w:szCs w:val="24"/>
          <w:lang w:eastAsia="bg-BG"/>
        </w:rPr>
        <w:t>184,1</w:t>
      </w:r>
      <w:r w:rsidRPr="00761800">
        <w:rPr>
          <w:rFonts w:ascii="Times New Roman" w:eastAsia="Calibri" w:hAnsi="Times New Roman"/>
          <w:szCs w:val="24"/>
          <w:lang w:eastAsia="bg-BG"/>
        </w:rPr>
        <w:t xml:space="preserve"> млн. евро, като от тях </w:t>
      </w:r>
      <w:r w:rsidRPr="00761800">
        <w:rPr>
          <w:rFonts w:ascii="Times New Roman" w:eastAsia="Batang" w:hAnsi="Times New Roman"/>
          <w:szCs w:val="24"/>
          <w:lang w:eastAsia="bg-BG"/>
        </w:rPr>
        <w:t>131,5</w:t>
      </w:r>
      <w:r w:rsidRPr="00761800">
        <w:rPr>
          <w:rFonts w:ascii="Times New Roman" w:eastAsia="Calibri" w:hAnsi="Times New Roman"/>
          <w:szCs w:val="24"/>
          <w:lang w:eastAsia="bg-BG"/>
        </w:rPr>
        <w:t xml:space="preserve"> млн. евро се очаква да постъпят по бюджетите на министерствата и Министерския съвет и </w:t>
      </w:r>
      <w:r w:rsidRPr="00761800">
        <w:rPr>
          <w:rFonts w:ascii="Times New Roman" w:eastAsia="Batang" w:hAnsi="Times New Roman"/>
          <w:szCs w:val="24"/>
          <w:lang w:eastAsia="bg-BG"/>
        </w:rPr>
        <w:t>52,6</w:t>
      </w:r>
      <w:r w:rsidRPr="00761800">
        <w:rPr>
          <w:rFonts w:ascii="Times New Roman" w:eastAsia="Calibri" w:hAnsi="Times New Roman"/>
          <w:szCs w:val="24"/>
          <w:lang w:eastAsia="bg-BG"/>
        </w:rPr>
        <w:t xml:space="preserve"> млн. евро по бюджетите на общините, на чиито територии се намират находищата на подземни богатства, минералните води, морските плажове и концесионната площ по концесионния договор „Ски зона с център Банско – част от територията на Национален парк – „Пирин”.</w:t>
      </w:r>
    </w:p>
    <w:p w14:paraId="1D221BBA" w14:textId="77777777" w:rsidR="00761800" w:rsidRPr="00761800" w:rsidRDefault="00761800" w:rsidP="00761800">
      <w:p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 xml:space="preserve">За 2027 г. се предвиждат приходи от концесии по КФП в размер на </w:t>
      </w:r>
      <w:r w:rsidRPr="00761800">
        <w:rPr>
          <w:rFonts w:ascii="Times New Roman" w:eastAsia="Batang" w:hAnsi="Times New Roman"/>
          <w:szCs w:val="24"/>
          <w:lang w:eastAsia="bg-BG"/>
        </w:rPr>
        <w:t>243,5</w:t>
      </w:r>
      <w:r w:rsidRPr="00761800">
        <w:rPr>
          <w:rFonts w:ascii="Times New Roman" w:eastAsia="Calibri" w:hAnsi="Times New Roman"/>
          <w:szCs w:val="24"/>
          <w:lang w:eastAsia="bg-BG"/>
        </w:rPr>
        <w:t xml:space="preserve"> млн. евро, като от тях </w:t>
      </w:r>
      <w:r w:rsidRPr="00761800">
        <w:rPr>
          <w:rFonts w:ascii="Times New Roman" w:eastAsia="Batang" w:hAnsi="Times New Roman"/>
          <w:szCs w:val="24"/>
          <w:lang w:eastAsia="bg-BG"/>
        </w:rPr>
        <w:t>166,7</w:t>
      </w:r>
      <w:r w:rsidRPr="00761800">
        <w:rPr>
          <w:rFonts w:ascii="Times New Roman" w:eastAsia="Calibri" w:hAnsi="Times New Roman"/>
          <w:szCs w:val="24"/>
          <w:lang w:eastAsia="bg-BG"/>
        </w:rPr>
        <w:t xml:space="preserve"> млн. евро се очаква да постъпят по бюджетите на министерствата и Министерския съвет и </w:t>
      </w:r>
      <w:r w:rsidRPr="00761800">
        <w:rPr>
          <w:rFonts w:ascii="Times New Roman" w:eastAsia="Batang" w:hAnsi="Times New Roman"/>
          <w:szCs w:val="24"/>
          <w:lang w:eastAsia="bg-BG"/>
        </w:rPr>
        <w:t>76,8</w:t>
      </w:r>
      <w:r w:rsidRPr="00761800">
        <w:rPr>
          <w:rFonts w:ascii="Times New Roman" w:eastAsia="Calibri" w:hAnsi="Times New Roman"/>
          <w:szCs w:val="24"/>
          <w:lang w:eastAsia="bg-BG"/>
        </w:rPr>
        <w:t xml:space="preserve"> млн. евро по бюджетите на общините.</w:t>
      </w:r>
    </w:p>
    <w:p w14:paraId="408E6D96" w14:textId="77777777" w:rsidR="00761800" w:rsidRPr="00761800" w:rsidRDefault="00761800" w:rsidP="00761800">
      <w:p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 xml:space="preserve">За 2028 г. се предвиждат приходи от концесии по КФП в размер на </w:t>
      </w:r>
      <w:r w:rsidRPr="00761800">
        <w:rPr>
          <w:rFonts w:ascii="Times New Roman" w:eastAsia="Batang" w:hAnsi="Times New Roman"/>
          <w:szCs w:val="24"/>
          <w:lang w:eastAsia="bg-BG"/>
        </w:rPr>
        <w:t>244,3</w:t>
      </w:r>
      <w:r w:rsidRPr="00761800">
        <w:rPr>
          <w:rFonts w:ascii="Times New Roman" w:eastAsia="Calibri" w:hAnsi="Times New Roman"/>
          <w:szCs w:val="24"/>
          <w:lang w:eastAsia="bg-BG"/>
        </w:rPr>
        <w:t xml:space="preserve"> млн. евро, като от тях </w:t>
      </w:r>
      <w:r w:rsidRPr="00761800">
        <w:rPr>
          <w:rFonts w:ascii="Times New Roman" w:eastAsia="Batang" w:hAnsi="Times New Roman"/>
          <w:szCs w:val="24"/>
          <w:lang w:eastAsia="bg-BG"/>
        </w:rPr>
        <w:t>167,5</w:t>
      </w:r>
      <w:r w:rsidRPr="00761800">
        <w:rPr>
          <w:rFonts w:ascii="Times New Roman" w:eastAsia="Calibri" w:hAnsi="Times New Roman"/>
          <w:szCs w:val="24"/>
          <w:lang w:eastAsia="bg-BG"/>
        </w:rPr>
        <w:t xml:space="preserve"> млн. евро се очаква да постъпят по бюджетите на министерствата и Министерския съвет и </w:t>
      </w:r>
      <w:r w:rsidRPr="00761800">
        <w:rPr>
          <w:rFonts w:ascii="Times New Roman" w:eastAsia="Batang" w:hAnsi="Times New Roman"/>
          <w:szCs w:val="24"/>
          <w:lang w:eastAsia="bg-BG"/>
        </w:rPr>
        <w:t>76,8</w:t>
      </w:r>
      <w:r w:rsidRPr="00761800">
        <w:rPr>
          <w:rFonts w:ascii="Times New Roman" w:eastAsia="Calibri" w:hAnsi="Times New Roman"/>
          <w:szCs w:val="24"/>
          <w:lang w:eastAsia="bg-BG"/>
        </w:rPr>
        <w:t xml:space="preserve"> млн. евро по бюджетите на общините.</w:t>
      </w:r>
    </w:p>
    <w:p w14:paraId="330EE41E" w14:textId="77777777" w:rsidR="00761800" w:rsidRPr="00761800" w:rsidRDefault="00761800" w:rsidP="00761800">
      <w:p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 xml:space="preserve">Основните допускания, на базата на които е изготвена прогнозата са: </w:t>
      </w:r>
    </w:p>
    <w:p w14:paraId="5D521775" w14:textId="77777777" w:rsidR="00761800" w:rsidRPr="00761800" w:rsidRDefault="00761800" w:rsidP="00F64909">
      <w:pPr>
        <w:numPr>
          <w:ilvl w:val="0"/>
          <w:numId w:val="9"/>
        </w:num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 xml:space="preserve">завишаване приходите от концесионни възнаграждения по договорите за добив на подземни богатства вследствие от приемане на нова Наредба за определяне на концесионното плащане за добив на подземни богатства, в сила от 30.01.2026 г.; след извършване на промени в Закона за подземните богатства новият ред ще се прилага от всички концесионери по сключени договори за добив на подземни богатства, считано от 2027 г.; </w:t>
      </w:r>
    </w:p>
    <w:p w14:paraId="315AC510" w14:textId="77777777" w:rsidR="00761800" w:rsidRPr="00761800" w:rsidRDefault="00761800" w:rsidP="00F64909">
      <w:pPr>
        <w:numPr>
          <w:ilvl w:val="0"/>
          <w:numId w:val="9"/>
        </w:num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 xml:space="preserve">възобновяване, считано от 2026 г., на плащането на концесионно възнаграждение по Концесионния договор за възлагане на строителство на обект „Гражданско летище за обществено ползване София“ – публична държавна собственост, във връзка с по-бързото възстановяване на предепидемичните нива на показателите за преминали пътници през летището и на общите приходи на концесионера „СОФ Кънект“ – след извършен анализ и оценка на показателите от министъра на транспорта и съобщенията, на основание чл. 3 от Допълнителното споразумение към Концесионния договор, сключено на 9 април 2021 г.; </w:t>
      </w:r>
    </w:p>
    <w:p w14:paraId="0246BD53" w14:textId="77777777" w:rsidR="00761800" w:rsidRPr="00761800" w:rsidRDefault="00761800" w:rsidP="00F64909">
      <w:pPr>
        <w:numPr>
          <w:ilvl w:val="0"/>
          <w:numId w:val="9"/>
        </w:num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lastRenderedPageBreak/>
        <w:t>повишаване събираемостта на приходите от концесии чрез подобряване на контрола върху концесионните договори, както и своевременно начисляване и предявяване на предвидените неустойки по договорите, завеждане на съдебни дела и прекратяване на концесионни договори със стари задължения. Предвижда се и сключване на нови договори за концесия.</w:t>
      </w:r>
    </w:p>
    <w:p w14:paraId="6ED9C9B4" w14:textId="77777777" w:rsidR="00761800" w:rsidRPr="00761800" w:rsidRDefault="00761800" w:rsidP="00761800">
      <w:pPr>
        <w:spacing w:after="200"/>
        <w:ind w:left="720"/>
        <w:jc w:val="both"/>
        <w:rPr>
          <w:rFonts w:ascii="Times New Roman" w:eastAsia="Calibri" w:hAnsi="Times New Roman"/>
          <w:szCs w:val="24"/>
          <w:lang w:eastAsia="bg-BG"/>
        </w:rPr>
      </w:pPr>
    </w:p>
    <w:p w14:paraId="341BF335"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852010"/>
          <w:spacing w:val="10"/>
          <w:w w:val="90"/>
          <w:sz w:val="28"/>
          <w:szCs w:val="26"/>
          <w:lang w:eastAsia="bg-BG"/>
        </w:rPr>
      </w:pPr>
      <w:bookmarkStart w:id="306" w:name="_Toc233717480"/>
      <w:r w:rsidRPr="00761800">
        <w:rPr>
          <w:rFonts w:ascii="Times New Roman" w:hAnsi="Times New Roman"/>
          <w:b/>
          <w:bCs/>
          <w:caps/>
          <w:color w:val="852010"/>
          <w:spacing w:val="10"/>
          <w:w w:val="90"/>
          <w:sz w:val="28"/>
          <w:szCs w:val="26"/>
          <w:lang w:eastAsia="bg-BG"/>
        </w:rPr>
        <w:t>Разходни политики за периода 2026-2028 г.</w:t>
      </w:r>
      <w:bookmarkEnd w:id="256"/>
      <w:bookmarkEnd w:id="257"/>
      <w:bookmarkEnd w:id="258"/>
      <w:bookmarkEnd w:id="259"/>
      <w:bookmarkEnd w:id="260"/>
      <w:bookmarkEnd w:id="261"/>
      <w:bookmarkEnd w:id="262"/>
      <w:bookmarkEnd w:id="263"/>
      <w:bookmarkEnd w:id="264"/>
      <w:bookmarkEnd w:id="265"/>
      <w:bookmarkEnd w:id="266"/>
      <w:bookmarkEnd w:id="306"/>
    </w:p>
    <w:p w14:paraId="2F4E098D" w14:textId="3B5ED7A4" w:rsidR="00761800" w:rsidRPr="00761800" w:rsidRDefault="00761800" w:rsidP="00761800">
      <w:pPr>
        <w:spacing w:before="360" w:after="120"/>
        <w:ind w:left="1418" w:hanging="1418"/>
        <w:rPr>
          <w:rFonts w:ascii="Times New Roman" w:hAnsi="Times New Roman" w:cs="Calibri"/>
          <w:b/>
          <w:bCs/>
          <w:color w:val="000000"/>
          <w:szCs w:val="24"/>
          <w:lang w:eastAsia="bg-BG"/>
        </w:rPr>
      </w:pPr>
      <w:bookmarkStart w:id="307" w:name="_Toc233185133"/>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15</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r>
      <w:r w:rsidRPr="00761800">
        <w:rPr>
          <w:rFonts w:ascii="Times New Roman" w:hAnsi="Times New Roman" w:cs="Calibri"/>
          <w:b/>
          <w:bCs/>
          <w:color w:val="000000"/>
          <w:szCs w:val="24"/>
          <w:lang w:eastAsia="bg-BG"/>
        </w:rPr>
        <w:t>Разходи по функции по КФП за периода 2026-2028 г. с разпределен резерв по функции (без вноска в общия бюджет на ЕС)</w:t>
      </w:r>
      <w:bookmarkEnd w:id="307"/>
    </w:p>
    <w:p w14:paraId="5FD14322" w14:textId="77777777" w:rsidR="00761800" w:rsidRPr="00761800" w:rsidRDefault="00761800" w:rsidP="00761800">
      <w:pPr>
        <w:spacing w:after="200"/>
        <w:jc w:val="both"/>
        <w:rPr>
          <w:rFonts w:ascii="Times New Roman" w:hAnsi="Times New Roman"/>
          <w:szCs w:val="22"/>
          <w:lang w:eastAsia="bg-BG"/>
        </w:rPr>
      </w:pPr>
    </w:p>
    <w:p w14:paraId="7A09522E" w14:textId="77777777" w:rsidR="00761800" w:rsidRPr="00761800" w:rsidRDefault="00761800" w:rsidP="00761800">
      <w:pPr>
        <w:spacing w:after="200"/>
        <w:jc w:val="both"/>
        <w:rPr>
          <w:rFonts w:ascii="Times New Roman" w:hAnsi="Times New Roman"/>
          <w:szCs w:val="22"/>
          <w:lang w:eastAsia="bg-BG"/>
        </w:rPr>
      </w:pPr>
    </w:p>
    <w:p w14:paraId="52A29EF4" w14:textId="77777777" w:rsidR="00761800" w:rsidRPr="00761800" w:rsidRDefault="00761800" w:rsidP="00761800">
      <w:pPr>
        <w:spacing w:after="200"/>
        <w:jc w:val="both"/>
        <w:rPr>
          <w:rFonts w:ascii="Times New Roman" w:hAnsi="Times New Roman"/>
          <w:szCs w:val="22"/>
          <w:lang w:eastAsia="bg-BG"/>
        </w:rPr>
      </w:pPr>
    </w:p>
    <w:p w14:paraId="43B8D460" w14:textId="77777777" w:rsidR="00761800" w:rsidRPr="00761800" w:rsidRDefault="00761800" w:rsidP="00761800">
      <w:pPr>
        <w:spacing w:after="200"/>
        <w:jc w:val="both"/>
        <w:rPr>
          <w:rFonts w:ascii="Times New Roman" w:hAnsi="Times New Roman"/>
          <w:szCs w:val="22"/>
          <w:lang w:eastAsia="bg-BG"/>
        </w:rPr>
      </w:pPr>
    </w:p>
    <w:p w14:paraId="24B849A2" w14:textId="77777777" w:rsidR="00761800" w:rsidRPr="00761800" w:rsidRDefault="00761800" w:rsidP="00761800">
      <w:pPr>
        <w:spacing w:after="200"/>
        <w:jc w:val="both"/>
        <w:rPr>
          <w:rFonts w:ascii="Times New Roman" w:hAnsi="Times New Roman"/>
          <w:szCs w:val="22"/>
          <w:lang w:eastAsia="bg-BG"/>
        </w:rPr>
      </w:pPr>
    </w:p>
    <w:tbl>
      <w:tblPr>
        <w:tblW w:w="9982" w:type="dxa"/>
        <w:tblCellMar>
          <w:left w:w="70" w:type="dxa"/>
          <w:right w:w="70" w:type="dxa"/>
        </w:tblCellMar>
        <w:tblLook w:val="04A0" w:firstRow="1" w:lastRow="0" w:firstColumn="1" w:lastColumn="0" w:noHBand="0" w:noVBand="1"/>
      </w:tblPr>
      <w:tblGrid>
        <w:gridCol w:w="2977"/>
        <w:gridCol w:w="957"/>
        <w:gridCol w:w="739"/>
        <w:gridCol w:w="902"/>
        <w:gridCol w:w="902"/>
        <w:gridCol w:w="865"/>
        <w:gridCol w:w="880"/>
        <w:gridCol w:w="880"/>
        <w:gridCol w:w="880"/>
      </w:tblGrid>
      <w:tr w:rsidR="00761800" w:rsidRPr="00761800" w14:paraId="6BEEE202" w14:textId="77777777" w:rsidTr="00406B4D">
        <w:trPr>
          <w:trHeight w:val="435"/>
          <w:tblHeader/>
        </w:trPr>
        <w:tc>
          <w:tcPr>
            <w:tcW w:w="2977" w:type="dxa"/>
            <w:vMerge w:val="restart"/>
            <w:tcBorders>
              <w:top w:val="single" w:sz="4" w:space="0" w:color="595959"/>
              <w:left w:val="nil"/>
              <w:bottom w:val="single" w:sz="4" w:space="0" w:color="595959"/>
              <w:right w:val="nil"/>
            </w:tcBorders>
            <w:shd w:val="clear" w:color="000000" w:fill="FFFFFF"/>
            <w:vAlign w:val="center"/>
            <w:hideMark/>
          </w:tcPr>
          <w:p w14:paraId="4CED8EC3"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ПОКАЗАТЕЛИ</w:t>
            </w:r>
          </w:p>
        </w:tc>
        <w:tc>
          <w:tcPr>
            <w:tcW w:w="3500" w:type="dxa"/>
            <w:gridSpan w:val="4"/>
            <w:tcBorders>
              <w:top w:val="single" w:sz="4" w:space="0" w:color="auto"/>
              <w:left w:val="nil"/>
              <w:bottom w:val="single" w:sz="4" w:space="0" w:color="auto"/>
              <w:right w:val="nil"/>
            </w:tcBorders>
            <w:shd w:val="clear" w:color="000000" w:fill="FFFFFF"/>
            <w:vAlign w:val="bottom"/>
            <w:hideMark/>
          </w:tcPr>
          <w:p w14:paraId="508AB08C"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млн. евро</w:t>
            </w:r>
          </w:p>
        </w:tc>
        <w:tc>
          <w:tcPr>
            <w:tcW w:w="3505" w:type="dxa"/>
            <w:gridSpan w:val="4"/>
            <w:tcBorders>
              <w:top w:val="single" w:sz="4" w:space="0" w:color="auto"/>
              <w:left w:val="nil"/>
              <w:bottom w:val="single" w:sz="4" w:space="0" w:color="auto"/>
              <w:right w:val="nil"/>
            </w:tcBorders>
            <w:shd w:val="clear" w:color="000000" w:fill="F2F2F2"/>
            <w:vAlign w:val="bottom"/>
            <w:hideMark/>
          </w:tcPr>
          <w:p w14:paraId="73A3BF4D" w14:textId="77777777" w:rsidR="00761800" w:rsidRPr="00761800" w:rsidRDefault="00761800" w:rsidP="00761800">
            <w:pPr>
              <w:jc w:val="cente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 от БВП</w:t>
            </w:r>
          </w:p>
        </w:tc>
      </w:tr>
      <w:tr w:rsidR="00761800" w:rsidRPr="00761800" w14:paraId="79ADFA20" w14:textId="77777777" w:rsidTr="00406B4D">
        <w:trPr>
          <w:trHeight w:val="285"/>
          <w:tblHeader/>
        </w:trPr>
        <w:tc>
          <w:tcPr>
            <w:tcW w:w="2977" w:type="dxa"/>
            <w:vMerge/>
            <w:tcBorders>
              <w:top w:val="single" w:sz="4" w:space="0" w:color="595959"/>
              <w:left w:val="nil"/>
              <w:bottom w:val="single" w:sz="4" w:space="0" w:color="595959"/>
              <w:right w:val="nil"/>
            </w:tcBorders>
            <w:vAlign w:val="center"/>
            <w:hideMark/>
          </w:tcPr>
          <w:p w14:paraId="46615C70" w14:textId="77777777" w:rsidR="00761800" w:rsidRPr="00761800" w:rsidRDefault="00761800" w:rsidP="00761800">
            <w:pPr>
              <w:rPr>
                <w:rFonts w:ascii="Times New Roman" w:hAnsi="Times New Roman"/>
                <w:b/>
                <w:bCs/>
                <w:sz w:val="16"/>
                <w:szCs w:val="16"/>
                <w:lang w:eastAsia="bg-BG"/>
              </w:rPr>
            </w:pPr>
          </w:p>
        </w:tc>
        <w:tc>
          <w:tcPr>
            <w:tcW w:w="957" w:type="dxa"/>
            <w:tcBorders>
              <w:top w:val="nil"/>
              <w:left w:val="nil"/>
              <w:right w:val="nil"/>
            </w:tcBorders>
            <w:shd w:val="clear" w:color="000000" w:fill="FFFFFF"/>
            <w:noWrap/>
            <w:vAlign w:val="center"/>
            <w:hideMark/>
          </w:tcPr>
          <w:p w14:paraId="20241C51"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2025</w:t>
            </w:r>
          </w:p>
        </w:tc>
        <w:tc>
          <w:tcPr>
            <w:tcW w:w="739" w:type="dxa"/>
            <w:tcBorders>
              <w:top w:val="nil"/>
              <w:left w:val="nil"/>
              <w:right w:val="nil"/>
            </w:tcBorders>
            <w:shd w:val="clear" w:color="000000" w:fill="FFFFFF"/>
            <w:noWrap/>
            <w:vAlign w:val="center"/>
            <w:hideMark/>
          </w:tcPr>
          <w:p w14:paraId="245F0AEC"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2026</w:t>
            </w:r>
          </w:p>
        </w:tc>
        <w:tc>
          <w:tcPr>
            <w:tcW w:w="902" w:type="dxa"/>
            <w:tcBorders>
              <w:top w:val="nil"/>
              <w:left w:val="nil"/>
              <w:right w:val="nil"/>
            </w:tcBorders>
            <w:shd w:val="clear" w:color="000000" w:fill="FFFFFF"/>
            <w:noWrap/>
            <w:vAlign w:val="center"/>
            <w:hideMark/>
          </w:tcPr>
          <w:p w14:paraId="6D32BBC0"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2027</w:t>
            </w:r>
          </w:p>
        </w:tc>
        <w:tc>
          <w:tcPr>
            <w:tcW w:w="902" w:type="dxa"/>
            <w:tcBorders>
              <w:top w:val="nil"/>
              <w:left w:val="nil"/>
              <w:right w:val="nil"/>
            </w:tcBorders>
            <w:shd w:val="clear" w:color="000000" w:fill="FFFFFF"/>
            <w:noWrap/>
            <w:vAlign w:val="center"/>
            <w:hideMark/>
          </w:tcPr>
          <w:p w14:paraId="4E59A18C"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2028</w:t>
            </w:r>
          </w:p>
        </w:tc>
        <w:tc>
          <w:tcPr>
            <w:tcW w:w="865" w:type="dxa"/>
            <w:tcBorders>
              <w:top w:val="nil"/>
              <w:left w:val="nil"/>
              <w:right w:val="nil"/>
            </w:tcBorders>
            <w:shd w:val="clear" w:color="000000" w:fill="F2F2F2"/>
            <w:vAlign w:val="center"/>
            <w:hideMark/>
          </w:tcPr>
          <w:p w14:paraId="5F9747CE"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2025</w:t>
            </w:r>
          </w:p>
        </w:tc>
        <w:tc>
          <w:tcPr>
            <w:tcW w:w="880" w:type="dxa"/>
            <w:tcBorders>
              <w:top w:val="nil"/>
              <w:left w:val="nil"/>
              <w:right w:val="nil"/>
            </w:tcBorders>
            <w:shd w:val="clear" w:color="000000" w:fill="F2F2F2"/>
            <w:vAlign w:val="center"/>
            <w:hideMark/>
          </w:tcPr>
          <w:p w14:paraId="49AAA2C5"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2026</w:t>
            </w:r>
          </w:p>
        </w:tc>
        <w:tc>
          <w:tcPr>
            <w:tcW w:w="880" w:type="dxa"/>
            <w:tcBorders>
              <w:top w:val="nil"/>
              <w:left w:val="nil"/>
              <w:right w:val="nil"/>
            </w:tcBorders>
            <w:shd w:val="clear" w:color="000000" w:fill="F2F2F2"/>
            <w:vAlign w:val="center"/>
            <w:hideMark/>
          </w:tcPr>
          <w:p w14:paraId="32333FDA"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2027</w:t>
            </w:r>
          </w:p>
        </w:tc>
        <w:tc>
          <w:tcPr>
            <w:tcW w:w="880" w:type="dxa"/>
            <w:tcBorders>
              <w:top w:val="nil"/>
              <w:left w:val="nil"/>
              <w:right w:val="nil"/>
            </w:tcBorders>
            <w:shd w:val="clear" w:color="000000" w:fill="F2F2F2"/>
            <w:vAlign w:val="center"/>
            <w:hideMark/>
          </w:tcPr>
          <w:p w14:paraId="73255154"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2028</w:t>
            </w:r>
          </w:p>
        </w:tc>
      </w:tr>
      <w:tr w:rsidR="00761800" w:rsidRPr="00761800" w14:paraId="5256AACB" w14:textId="77777777" w:rsidTr="00406B4D">
        <w:trPr>
          <w:trHeight w:val="645"/>
          <w:tblHeader/>
        </w:trPr>
        <w:tc>
          <w:tcPr>
            <w:tcW w:w="2977" w:type="dxa"/>
            <w:vMerge/>
            <w:tcBorders>
              <w:top w:val="single" w:sz="4" w:space="0" w:color="595959"/>
              <w:left w:val="nil"/>
              <w:bottom w:val="single" w:sz="4" w:space="0" w:color="595959"/>
              <w:right w:val="nil"/>
            </w:tcBorders>
            <w:vAlign w:val="center"/>
            <w:hideMark/>
          </w:tcPr>
          <w:p w14:paraId="22618C25" w14:textId="77777777" w:rsidR="00761800" w:rsidRPr="00761800" w:rsidRDefault="00761800" w:rsidP="00761800">
            <w:pPr>
              <w:rPr>
                <w:rFonts w:ascii="Times New Roman" w:hAnsi="Times New Roman"/>
                <w:b/>
                <w:bCs/>
                <w:sz w:val="16"/>
                <w:szCs w:val="16"/>
                <w:lang w:eastAsia="bg-BG"/>
              </w:rPr>
            </w:pPr>
          </w:p>
        </w:tc>
        <w:tc>
          <w:tcPr>
            <w:tcW w:w="957" w:type="dxa"/>
            <w:tcBorders>
              <w:top w:val="nil"/>
              <w:left w:val="nil"/>
              <w:bottom w:val="single" w:sz="4" w:space="0" w:color="auto"/>
              <w:right w:val="nil"/>
            </w:tcBorders>
            <w:shd w:val="clear" w:color="000000" w:fill="FFFFFF"/>
            <w:noWrap/>
            <w:vAlign w:val="center"/>
            <w:hideMark/>
          </w:tcPr>
          <w:p w14:paraId="134A3E49"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Програма</w:t>
            </w:r>
          </w:p>
        </w:tc>
        <w:tc>
          <w:tcPr>
            <w:tcW w:w="739" w:type="dxa"/>
            <w:tcBorders>
              <w:top w:val="nil"/>
              <w:left w:val="nil"/>
              <w:bottom w:val="single" w:sz="4" w:space="0" w:color="auto"/>
              <w:right w:val="nil"/>
            </w:tcBorders>
            <w:shd w:val="clear" w:color="000000" w:fill="FFFFFF"/>
            <w:noWrap/>
            <w:vAlign w:val="center"/>
            <w:hideMark/>
          </w:tcPr>
          <w:p w14:paraId="22443E01"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Проект</w:t>
            </w:r>
          </w:p>
        </w:tc>
        <w:tc>
          <w:tcPr>
            <w:tcW w:w="902" w:type="dxa"/>
            <w:tcBorders>
              <w:top w:val="nil"/>
              <w:left w:val="nil"/>
              <w:bottom w:val="single" w:sz="4" w:space="0" w:color="auto"/>
              <w:right w:val="nil"/>
            </w:tcBorders>
            <w:shd w:val="clear" w:color="000000" w:fill="FFFFFF"/>
            <w:noWrap/>
            <w:vAlign w:val="center"/>
            <w:hideMark/>
          </w:tcPr>
          <w:p w14:paraId="2F0B6AC8"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Прогноза</w:t>
            </w:r>
          </w:p>
        </w:tc>
        <w:tc>
          <w:tcPr>
            <w:tcW w:w="902" w:type="dxa"/>
            <w:tcBorders>
              <w:top w:val="nil"/>
              <w:left w:val="nil"/>
              <w:bottom w:val="single" w:sz="4" w:space="0" w:color="auto"/>
              <w:right w:val="nil"/>
            </w:tcBorders>
            <w:shd w:val="clear" w:color="000000" w:fill="FFFFFF"/>
            <w:noWrap/>
            <w:vAlign w:val="center"/>
            <w:hideMark/>
          </w:tcPr>
          <w:p w14:paraId="640C39E5"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Прогноза</w:t>
            </w:r>
          </w:p>
        </w:tc>
        <w:tc>
          <w:tcPr>
            <w:tcW w:w="865" w:type="dxa"/>
            <w:tcBorders>
              <w:top w:val="nil"/>
              <w:left w:val="nil"/>
              <w:bottom w:val="single" w:sz="4" w:space="0" w:color="auto"/>
              <w:right w:val="nil"/>
            </w:tcBorders>
            <w:shd w:val="clear" w:color="000000" w:fill="F2F2F2"/>
            <w:vAlign w:val="center"/>
            <w:hideMark/>
          </w:tcPr>
          <w:p w14:paraId="4415EBB8"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Програма</w:t>
            </w:r>
          </w:p>
        </w:tc>
        <w:tc>
          <w:tcPr>
            <w:tcW w:w="880" w:type="dxa"/>
            <w:tcBorders>
              <w:top w:val="nil"/>
              <w:left w:val="nil"/>
              <w:bottom w:val="single" w:sz="4" w:space="0" w:color="auto"/>
              <w:right w:val="nil"/>
            </w:tcBorders>
            <w:shd w:val="clear" w:color="000000" w:fill="F2F2F2"/>
            <w:vAlign w:val="center"/>
            <w:hideMark/>
          </w:tcPr>
          <w:p w14:paraId="1800D068"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Проект</w:t>
            </w:r>
          </w:p>
        </w:tc>
        <w:tc>
          <w:tcPr>
            <w:tcW w:w="880" w:type="dxa"/>
            <w:tcBorders>
              <w:top w:val="nil"/>
              <w:left w:val="nil"/>
              <w:bottom w:val="single" w:sz="4" w:space="0" w:color="auto"/>
              <w:right w:val="nil"/>
            </w:tcBorders>
            <w:shd w:val="clear" w:color="000000" w:fill="F2F2F2"/>
            <w:vAlign w:val="center"/>
            <w:hideMark/>
          </w:tcPr>
          <w:p w14:paraId="7247E219"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Прогноза</w:t>
            </w:r>
          </w:p>
        </w:tc>
        <w:tc>
          <w:tcPr>
            <w:tcW w:w="880" w:type="dxa"/>
            <w:tcBorders>
              <w:top w:val="nil"/>
              <w:left w:val="nil"/>
              <w:bottom w:val="single" w:sz="4" w:space="0" w:color="auto"/>
              <w:right w:val="nil"/>
            </w:tcBorders>
            <w:shd w:val="clear" w:color="000000" w:fill="F2F2F2"/>
            <w:vAlign w:val="center"/>
            <w:hideMark/>
          </w:tcPr>
          <w:p w14:paraId="4AB9BB63"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Прогноза</w:t>
            </w:r>
          </w:p>
        </w:tc>
      </w:tr>
      <w:tr w:rsidR="00761800" w:rsidRPr="00761800" w14:paraId="674F984F" w14:textId="77777777" w:rsidTr="00406B4D">
        <w:trPr>
          <w:trHeight w:val="150"/>
        </w:trPr>
        <w:tc>
          <w:tcPr>
            <w:tcW w:w="2977" w:type="dxa"/>
            <w:tcBorders>
              <w:top w:val="nil"/>
              <w:left w:val="nil"/>
              <w:bottom w:val="nil"/>
              <w:right w:val="nil"/>
            </w:tcBorders>
            <w:shd w:val="clear" w:color="000000" w:fill="FFFFFF"/>
            <w:vAlign w:val="center"/>
            <w:hideMark/>
          </w:tcPr>
          <w:p w14:paraId="61E301D0"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 </w:t>
            </w:r>
          </w:p>
        </w:tc>
        <w:tc>
          <w:tcPr>
            <w:tcW w:w="957" w:type="dxa"/>
            <w:tcBorders>
              <w:top w:val="single" w:sz="4" w:space="0" w:color="auto"/>
              <w:left w:val="nil"/>
              <w:bottom w:val="nil"/>
              <w:right w:val="nil"/>
            </w:tcBorders>
            <w:shd w:val="clear" w:color="000000" w:fill="FFFFFF"/>
            <w:noWrap/>
            <w:vAlign w:val="center"/>
            <w:hideMark/>
          </w:tcPr>
          <w:p w14:paraId="5CC9811F" w14:textId="77777777" w:rsidR="00761800" w:rsidRPr="00761800" w:rsidRDefault="00761800" w:rsidP="00761800">
            <w:pPr>
              <w:jc w:val="right"/>
              <w:rPr>
                <w:rFonts w:ascii="Times New Roman" w:hAnsi="Times New Roman"/>
                <w:b/>
                <w:bCs/>
                <w:color w:val="FF0000"/>
                <w:sz w:val="16"/>
                <w:szCs w:val="16"/>
                <w:lang w:eastAsia="bg-BG"/>
              </w:rPr>
            </w:pPr>
            <w:r w:rsidRPr="00761800">
              <w:rPr>
                <w:rFonts w:ascii="Times New Roman" w:hAnsi="Times New Roman"/>
                <w:b/>
                <w:bCs/>
                <w:color w:val="FF0000"/>
                <w:sz w:val="16"/>
                <w:szCs w:val="16"/>
                <w:lang w:eastAsia="bg-BG"/>
              </w:rPr>
              <w:t> </w:t>
            </w:r>
          </w:p>
        </w:tc>
        <w:tc>
          <w:tcPr>
            <w:tcW w:w="739" w:type="dxa"/>
            <w:tcBorders>
              <w:top w:val="single" w:sz="4" w:space="0" w:color="auto"/>
              <w:left w:val="nil"/>
              <w:bottom w:val="nil"/>
              <w:right w:val="nil"/>
            </w:tcBorders>
            <w:shd w:val="clear" w:color="000000" w:fill="FFFFFF"/>
            <w:noWrap/>
            <w:vAlign w:val="center"/>
            <w:hideMark/>
          </w:tcPr>
          <w:p w14:paraId="396B6611"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single" w:sz="4" w:space="0" w:color="auto"/>
              <w:left w:val="nil"/>
              <w:bottom w:val="nil"/>
              <w:right w:val="nil"/>
            </w:tcBorders>
            <w:shd w:val="clear" w:color="000000" w:fill="FFFFFF"/>
            <w:noWrap/>
            <w:vAlign w:val="center"/>
            <w:hideMark/>
          </w:tcPr>
          <w:p w14:paraId="683771EA"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single" w:sz="4" w:space="0" w:color="auto"/>
              <w:left w:val="nil"/>
              <w:bottom w:val="nil"/>
              <w:right w:val="nil"/>
            </w:tcBorders>
            <w:shd w:val="clear" w:color="000000" w:fill="FFFFFF"/>
            <w:noWrap/>
            <w:vAlign w:val="center"/>
            <w:hideMark/>
          </w:tcPr>
          <w:p w14:paraId="321A12BF"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865" w:type="dxa"/>
            <w:tcBorders>
              <w:top w:val="single" w:sz="4" w:space="0" w:color="auto"/>
              <w:left w:val="nil"/>
              <w:bottom w:val="nil"/>
              <w:right w:val="nil"/>
            </w:tcBorders>
            <w:shd w:val="clear" w:color="000000" w:fill="F2F2F2"/>
            <w:noWrap/>
            <w:vAlign w:val="center"/>
            <w:hideMark/>
          </w:tcPr>
          <w:p w14:paraId="2D4E0314"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 </w:t>
            </w:r>
          </w:p>
        </w:tc>
        <w:tc>
          <w:tcPr>
            <w:tcW w:w="880" w:type="dxa"/>
            <w:tcBorders>
              <w:top w:val="single" w:sz="4" w:space="0" w:color="auto"/>
              <w:left w:val="nil"/>
              <w:bottom w:val="nil"/>
              <w:right w:val="nil"/>
            </w:tcBorders>
            <w:shd w:val="clear" w:color="000000" w:fill="F2F2F2"/>
            <w:noWrap/>
            <w:vAlign w:val="center"/>
            <w:hideMark/>
          </w:tcPr>
          <w:p w14:paraId="24D8DA01"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880" w:type="dxa"/>
            <w:tcBorders>
              <w:top w:val="single" w:sz="4" w:space="0" w:color="auto"/>
              <w:left w:val="nil"/>
              <w:bottom w:val="nil"/>
              <w:right w:val="nil"/>
            </w:tcBorders>
            <w:shd w:val="clear" w:color="000000" w:fill="F2F2F2"/>
            <w:noWrap/>
            <w:vAlign w:val="center"/>
            <w:hideMark/>
          </w:tcPr>
          <w:p w14:paraId="2E3013A2"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880" w:type="dxa"/>
            <w:tcBorders>
              <w:top w:val="single" w:sz="4" w:space="0" w:color="auto"/>
              <w:left w:val="nil"/>
              <w:bottom w:val="nil"/>
              <w:right w:val="nil"/>
            </w:tcBorders>
            <w:shd w:val="clear" w:color="000000" w:fill="F2F2F2"/>
            <w:noWrap/>
            <w:vAlign w:val="center"/>
            <w:hideMark/>
          </w:tcPr>
          <w:p w14:paraId="056DFB55"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r>
      <w:tr w:rsidR="00761800" w:rsidRPr="00761800" w14:paraId="72988C51" w14:textId="77777777" w:rsidTr="00406B4D">
        <w:trPr>
          <w:trHeight w:val="240"/>
        </w:trPr>
        <w:tc>
          <w:tcPr>
            <w:tcW w:w="2977" w:type="dxa"/>
            <w:tcBorders>
              <w:top w:val="nil"/>
              <w:left w:val="nil"/>
              <w:bottom w:val="nil"/>
              <w:right w:val="nil"/>
            </w:tcBorders>
            <w:shd w:val="clear" w:color="000000" w:fill="FFFFFF"/>
            <w:vAlign w:val="center"/>
            <w:hideMark/>
          </w:tcPr>
          <w:p w14:paraId="739303E2"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 xml:space="preserve">Общи държавни служби </w:t>
            </w:r>
          </w:p>
        </w:tc>
        <w:tc>
          <w:tcPr>
            <w:tcW w:w="957" w:type="dxa"/>
            <w:tcBorders>
              <w:top w:val="nil"/>
              <w:left w:val="nil"/>
              <w:bottom w:val="nil"/>
              <w:right w:val="nil"/>
            </w:tcBorders>
            <w:shd w:val="clear" w:color="000000" w:fill="FFFFFF"/>
            <w:noWrap/>
            <w:vAlign w:val="bottom"/>
            <w:hideMark/>
          </w:tcPr>
          <w:p w14:paraId="6A08F899"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2 515,8</w:t>
            </w:r>
          </w:p>
        </w:tc>
        <w:tc>
          <w:tcPr>
            <w:tcW w:w="739" w:type="dxa"/>
            <w:tcBorders>
              <w:top w:val="nil"/>
              <w:left w:val="nil"/>
              <w:bottom w:val="nil"/>
              <w:right w:val="nil"/>
            </w:tcBorders>
            <w:shd w:val="clear" w:color="000000" w:fill="FFFFFF"/>
            <w:noWrap/>
            <w:vAlign w:val="bottom"/>
            <w:hideMark/>
          </w:tcPr>
          <w:p w14:paraId="7535FD64"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3 002,6</w:t>
            </w:r>
          </w:p>
        </w:tc>
        <w:tc>
          <w:tcPr>
            <w:tcW w:w="902" w:type="dxa"/>
            <w:tcBorders>
              <w:top w:val="nil"/>
              <w:left w:val="nil"/>
              <w:bottom w:val="nil"/>
              <w:right w:val="nil"/>
            </w:tcBorders>
            <w:shd w:val="clear" w:color="000000" w:fill="FFFFFF"/>
            <w:noWrap/>
            <w:vAlign w:val="bottom"/>
            <w:hideMark/>
          </w:tcPr>
          <w:p w14:paraId="3346D02D"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2 794,9</w:t>
            </w:r>
          </w:p>
        </w:tc>
        <w:tc>
          <w:tcPr>
            <w:tcW w:w="902" w:type="dxa"/>
            <w:tcBorders>
              <w:top w:val="nil"/>
              <w:left w:val="nil"/>
              <w:bottom w:val="nil"/>
              <w:right w:val="nil"/>
            </w:tcBorders>
            <w:shd w:val="clear" w:color="000000" w:fill="FFFFFF"/>
            <w:noWrap/>
            <w:vAlign w:val="bottom"/>
            <w:hideMark/>
          </w:tcPr>
          <w:p w14:paraId="3EAD2916"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2 615,5</w:t>
            </w:r>
          </w:p>
        </w:tc>
        <w:tc>
          <w:tcPr>
            <w:tcW w:w="865" w:type="dxa"/>
            <w:tcBorders>
              <w:top w:val="nil"/>
              <w:left w:val="nil"/>
              <w:bottom w:val="nil"/>
              <w:right w:val="nil"/>
            </w:tcBorders>
            <w:shd w:val="clear" w:color="000000" w:fill="F2F2F2"/>
            <w:noWrap/>
            <w:vAlign w:val="bottom"/>
            <w:hideMark/>
          </w:tcPr>
          <w:p w14:paraId="140E098F"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2,3%</w:t>
            </w:r>
          </w:p>
        </w:tc>
        <w:tc>
          <w:tcPr>
            <w:tcW w:w="880" w:type="dxa"/>
            <w:tcBorders>
              <w:top w:val="nil"/>
              <w:left w:val="nil"/>
              <w:bottom w:val="nil"/>
              <w:right w:val="nil"/>
            </w:tcBorders>
            <w:shd w:val="clear" w:color="000000" w:fill="F2F2F2"/>
            <w:noWrap/>
            <w:vAlign w:val="bottom"/>
            <w:hideMark/>
          </w:tcPr>
          <w:p w14:paraId="7991813F"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2,4%</w:t>
            </w:r>
          </w:p>
        </w:tc>
        <w:tc>
          <w:tcPr>
            <w:tcW w:w="880" w:type="dxa"/>
            <w:tcBorders>
              <w:top w:val="nil"/>
              <w:left w:val="nil"/>
              <w:bottom w:val="nil"/>
              <w:right w:val="nil"/>
            </w:tcBorders>
            <w:shd w:val="clear" w:color="000000" w:fill="F2F2F2"/>
            <w:noWrap/>
            <w:vAlign w:val="bottom"/>
            <w:hideMark/>
          </w:tcPr>
          <w:p w14:paraId="5E1846F8"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2,1%</w:t>
            </w:r>
          </w:p>
        </w:tc>
        <w:tc>
          <w:tcPr>
            <w:tcW w:w="880" w:type="dxa"/>
            <w:tcBorders>
              <w:top w:val="nil"/>
              <w:left w:val="nil"/>
              <w:bottom w:val="nil"/>
              <w:right w:val="nil"/>
            </w:tcBorders>
            <w:shd w:val="clear" w:color="000000" w:fill="F2F2F2"/>
            <w:noWrap/>
            <w:vAlign w:val="bottom"/>
            <w:hideMark/>
          </w:tcPr>
          <w:p w14:paraId="64678650"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1,8%</w:t>
            </w:r>
          </w:p>
        </w:tc>
      </w:tr>
      <w:tr w:rsidR="00761800" w:rsidRPr="00761800" w14:paraId="7205B430" w14:textId="77777777" w:rsidTr="00406B4D">
        <w:trPr>
          <w:trHeight w:val="240"/>
        </w:trPr>
        <w:tc>
          <w:tcPr>
            <w:tcW w:w="2977" w:type="dxa"/>
            <w:tcBorders>
              <w:top w:val="nil"/>
              <w:left w:val="nil"/>
              <w:bottom w:val="nil"/>
              <w:right w:val="nil"/>
            </w:tcBorders>
            <w:shd w:val="clear" w:color="000000" w:fill="FFFFFF"/>
            <w:noWrap/>
            <w:vAlign w:val="bottom"/>
            <w:hideMark/>
          </w:tcPr>
          <w:p w14:paraId="614BF6C9" w14:textId="77777777" w:rsidR="00761800" w:rsidRPr="00761800" w:rsidRDefault="00761800" w:rsidP="00761800">
            <w:pPr>
              <w:rPr>
                <w:rFonts w:ascii="Times New Roman" w:hAnsi="Times New Roman"/>
                <w:sz w:val="16"/>
                <w:szCs w:val="16"/>
                <w:lang w:eastAsia="bg-BG"/>
              </w:rPr>
            </w:pPr>
            <w:r w:rsidRPr="00761800">
              <w:rPr>
                <w:rFonts w:ascii="Times New Roman" w:hAnsi="Times New Roman"/>
                <w:sz w:val="16"/>
                <w:szCs w:val="16"/>
                <w:lang w:eastAsia="bg-BG"/>
              </w:rPr>
              <w:t xml:space="preserve"> - изпълнителни и законодателни органи</w:t>
            </w:r>
          </w:p>
        </w:tc>
        <w:tc>
          <w:tcPr>
            <w:tcW w:w="957" w:type="dxa"/>
            <w:tcBorders>
              <w:top w:val="nil"/>
              <w:left w:val="nil"/>
              <w:bottom w:val="nil"/>
              <w:right w:val="nil"/>
            </w:tcBorders>
            <w:shd w:val="clear" w:color="000000" w:fill="FFFFFF"/>
            <w:noWrap/>
            <w:vAlign w:val="bottom"/>
            <w:hideMark/>
          </w:tcPr>
          <w:p w14:paraId="3A47647F"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1 963,1</w:t>
            </w:r>
          </w:p>
        </w:tc>
        <w:tc>
          <w:tcPr>
            <w:tcW w:w="739" w:type="dxa"/>
            <w:tcBorders>
              <w:top w:val="nil"/>
              <w:left w:val="nil"/>
              <w:bottom w:val="nil"/>
              <w:right w:val="nil"/>
            </w:tcBorders>
            <w:shd w:val="clear" w:color="000000" w:fill="FFFFFF"/>
            <w:noWrap/>
            <w:vAlign w:val="bottom"/>
            <w:hideMark/>
          </w:tcPr>
          <w:p w14:paraId="5FE7300E"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2 335,4</w:t>
            </w:r>
          </w:p>
        </w:tc>
        <w:tc>
          <w:tcPr>
            <w:tcW w:w="902" w:type="dxa"/>
            <w:tcBorders>
              <w:top w:val="nil"/>
              <w:left w:val="nil"/>
              <w:bottom w:val="nil"/>
              <w:right w:val="nil"/>
            </w:tcBorders>
            <w:shd w:val="clear" w:color="000000" w:fill="FFFFFF"/>
            <w:noWrap/>
            <w:vAlign w:val="bottom"/>
            <w:hideMark/>
          </w:tcPr>
          <w:p w14:paraId="432B73B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2 200,7</w:t>
            </w:r>
          </w:p>
        </w:tc>
        <w:tc>
          <w:tcPr>
            <w:tcW w:w="902" w:type="dxa"/>
            <w:tcBorders>
              <w:top w:val="nil"/>
              <w:left w:val="nil"/>
              <w:bottom w:val="nil"/>
              <w:right w:val="nil"/>
            </w:tcBorders>
            <w:shd w:val="clear" w:color="000000" w:fill="FFFFFF"/>
            <w:noWrap/>
            <w:vAlign w:val="bottom"/>
            <w:hideMark/>
          </w:tcPr>
          <w:p w14:paraId="7502D2CC"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2 021,3</w:t>
            </w:r>
          </w:p>
        </w:tc>
        <w:tc>
          <w:tcPr>
            <w:tcW w:w="865" w:type="dxa"/>
            <w:tcBorders>
              <w:top w:val="nil"/>
              <w:left w:val="nil"/>
              <w:bottom w:val="nil"/>
              <w:right w:val="nil"/>
            </w:tcBorders>
            <w:shd w:val="clear" w:color="000000" w:fill="F2F2F2"/>
            <w:noWrap/>
            <w:vAlign w:val="bottom"/>
            <w:hideMark/>
          </w:tcPr>
          <w:p w14:paraId="085DD978"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1,8%</w:t>
            </w:r>
          </w:p>
        </w:tc>
        <w:tc>
          <w:tcPr>
            <w:tcW w:w="880" w:type="dxa"/>
            <w:tcBorders>
              <w:top w:val="nil"/>
              <w:left w:val="nil"/>
              <w:bottom w:val="nil"/>
              <w:right w:val="nil"/>
            </w:tcBorders>
            <w:shd w:val="clear" w:color="000000" w:fill="F2F2F2"/>
            <w:noWrap/>
            <w:vAlign w:val="bottom"/>
            <w:hideMark/>
          </w:tcPr>
          <w:p w14:paraId="136C7FBA"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1,9%</w:t>
            </w:r>
          </w:p>
        </w:tc>
        <w:tc>
          <w:tcPr>
            <w:tcW w:w="880" w:type="dxa"/>
            <w:tcBorders>
              <w:top w:val="nil"/>
              <w:left w:val="nil"/>
              <w:bottom w:val="nil"/>
              <w:right w:val="nil"/>
            </w:tcBorders>
            <w:shd w:val="clear" w:color="000000" w:fill="F2F2F2"/>
            <w:noWrap/>
            <w:vAlign w:val="bottom"/>
            <w:hideMark/>
          </w:tcPr>
          <w:p w14:paraId="446CBFB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1,6%</w:t>
            </w:r>
          </w:p>
        </w:tc>
        <w:tc>
          <w:tcPr>
            <w:tcW w:w="880" w:type="dxa"/>
            <w:tcBorders>
              <w:top w:val="nil"/>
              <w:left w:val="nil"/>
              <w:bottom w:val="nil"/>
              <w:right w:val="nil"/>
            </w:tcBorders>
            <w:shd w:val="clear" w:color="000000" w:fill="F2F2F2"/>
            <w:noWrap/>
            <w:vAlign w:val="bottom"/>
            <w:hideMark/>
          </w:tcPr>
          <w:p w14:paraId="1B038B5A"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1,4%</w:t>
            </w:r>
          </w:p>
        </w:tc>
      </w:tr>
      <w:tr w:rsidR="00761800" w:rsidRPr="00761800" w14:paraId="572C1917" w14:textId="77777777" w:rsidTr="00406B4D">
        <w:trPr>
          <w:trHeight w:val="240"/>
        </w:trPr>
        <w:tc>
          <w:tcPr>
            <w:tcW w:w="2977" w:type="dxa"/>
            <w:tcBorders>
              <w:top w:val="nil"/>
              <w:left w:val="nil"/>
              <w:bottom w:val="nil"/>
              <w:right w:val="nil"/>
            </w:tcBorders>
            <w:shd w:val="clear" w:color="000000" w:fill="FFFFFF"/>
            <w:vAlign w:val="center"/>
            <w:hideMark/>
          </w:tcPr>
          <w:p w14:paraId="5FDE93FD"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общи служби</w:t>
            </w:r>
          </w:p>
        </w:tc>
        <w:tc>
          <w:tcPr>
            <w:tcW w:w="957" w:type="dxa"/>
            <w:tcBorders>
              <w:top w:val="nil"/>
              <w:left w:val="nil"/>
              <w:bottom w:val="nil"/>
              <w:right w:val="nil"/>
            </w:tcBorders>
            <w:shd w:val="clear" w:color="000000" w:fill="FFFFFF"/>
            <w:noWrap/>
            <w:vAlign w:val="bottom"/>
            <w:hideMark/>
          </w:tcPr>
          <w:p w14:paraId="78E0492B"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115,0</w:t>
            </w:r>
          </w:p>
        </w:tc>
        <w:tc>
          <w:tcPr>
            <w:tcW w:w="739" w:type="dxa"/>
            <w:tcBorders>
              <w:top w:val="nil"/>
              <w:left w:val="nil"/>
              <w:bottom w:val="nil"/>
              <w:right w:val="nil"/>
            </w:tcBorders>
            <w:shd w:val="clear" w:color="000000" w:fill="FFFFFF"/>
            <w:noWrap/>
            <w:vAlign w:val="bottom"/>
            <w:hideMark/>
          </w:tcPr>
          <w:p w14:paraId="4F63E4EA"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147,8</w:t>
            </w:r>
          </w:p>
        </w:tc>
        <w:tc>
          <w:tcPr>
            <w:tcW w:w="902" w:type="dxa"/>
            <w:tcBorders>
              <w:top w:val="nil"/>
              <w:left w:val="nil"/>
              <w:bottom w:val="nil"/>
              <w:right w:val="nil"/>
            </w:tcBorders>
            <w:shd w:val="clear" w:color="000000" w:fill="FFFFFF"/>
            <w:noWrap/>
            <w:vAlign w:val="bottom"/>
            <w:hideMark/>
          </w:tcPr>
          <w:p w14:paraId="4651CD3C"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100,4</w:t>
            </w:r>
          </w:p>
        </w:tc>
        <w:tc>
          <w:tcPr>
            <w:tcW w:w="902" w:type="dxa"/>
            <w:tcBorders>
              <w:top w:val="nil"/>
              <w:left w:val="nil"/>
              <w:bottom w:val="nil"/>
              <w:right w:val="nil"/>
            </w:tcBorders>
            <w:shd w:val="clear" w:color="000000" w:fill="FFFFFF"/>
            <w:noWrap/>
            <w:vAlign w:val="bottom"/>
            <w:hideMark/>
          </w:tcPr>
          <w:p w14:paraId="4B3B43AC"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100,2</w:t>
            </w:r>
          </w:p>
        </w:tc>
        <w:tc>
          <w:tcPr>
            <w:tcW w:w="865" w:type="dxa"/>
            <w:tcBorders>
              <w:top w:val="nil"/>
              <w:left w:val="nil"/>
              <w:bottom w:val="nil"/>
              <w:right w:val="nil"/>
            </w:tcBorders>
            <w:shd w:val="clear" w:color="000000" w:fill="F2F2F2"/>
            <w:noWrap/>
            <w:vAlign w:val="bottom"/>
            <w:hideMark/>
          </w:tcPr>
          <w:p w14:paraId="3BA00543"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0,1%</w:t>
            </w:r>
          </w:p>
        </w:tc>
        <w:tc>
          <w:tcPr>
            <w:tcW w:w="880" w:type="dxa"/>
            <w:tcBorders>
              <w:top w:val="nil"/>
              <w:left w:val="nil"/>
              <w:bottom w:val="nil"/>
              <w:right w:val="nil"/>
            </w:tcBorders>
            <w:shd w:val="clear" w:color="000000" w:fill="F2F2F2"/>
            <w:noWrap/>
            <w:vAlign w:val="bottom"/>
            <w:hideMark/>
          </w:tcPr>
          <w:p w14:paraId="04F6A4C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0,1%</w:t>
            </w:r>
          </w:p>
        </w:tc>
        <w:tc>
          <w:tcPr>
            <w:tcW w:w="880" w:type="dxa"/>
            <w:tcBorders>
              <w:top w:val="nil"/>
              <w:left w:val="nil"/>
              <w:bottom w:val="nil"/>
              <w:right w:val="nil"/>
            </w:tcBorders>
            <w:shd w:val="clear" w:color="000000" w:fill="F2F2F2"/>
            <w:noWrap/>
            <w:vAlign w:val="bottom"/>
            <w:hideMark/>
          </w:tcPr>
          <w:p w14:paraId="051BF3B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0,1%</w:t>
            </w:r>
          </w:p>
        </w:tc>
        <w:tc>
          <w:tcPr>
            <w:tcW w:w="880" w:type="dxa"/>
            <w:tcBorders>
              <w:top w:val="nil"/>
              <w:left w:val="nil"/>
              <w:bottom w:val="nil"/>
              <w:right w:val="nil"/>
            </w:tcBorders>
            <w:shd w:val="clear" w:color="000000" w:fill="F2F2F2"/>
            <w:noWrap/>
            <w:vAlign w:val="bottom"/>
            <w:hideMark/>
          </w:tcPr>
          <w:p w14:paraId="1C612DF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0,1%</w:t>
            </w:r>
          </w:p>
        </w:tc>
      </w:tr>
      <w:tr w:rsidR="00761800" w:rsidRPr="00761800" w14:paraId="66C4F7FB" w14:textId="77777777" w:rsidTr="00406B4D">
        <w:trPr>
          <w:trHeight w:val="240"/>
        </w:trPr>
        <w:tc>
          <w:tcPr>
            <w:tcW w:w="2977" w:type="dxa"/>
            <w:tcBorders>
              <w:top w:val="nil"/>
              <w:left w:val="nil"/>
              <w:bottom w:val="single" w:sz="4" w:space="0" w:color="auto"/>
              <w:right w:val="nil"/>
            </w:tcBorders>
            <w:shd w:val="clear" w:color="000000" w:fill="FFFFFF"/>
            <w:vAlign w:val="center"/>
            <w:hideMark/>
          </w:tcPr>
          <w:p w14:paraId="51CB7D71"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наука</w:t>
            </w:r>
          </w:p>
        </w:tc>
        <w:tc>
          <w:tcPr>
            <w:tcW w:w="957" w:type="dxa"/>
            <w:tcBorders>
              <w:top w:val="nil"/>
              <w:left w:val="nil"/>
              <w:bottom w:val="single" w:sz="4" w:space="0" w:color="auto"/>
              <w:right w:val="nil"/>
            </w:tcBorders>
            <w:shd w:val="clear" w:color="000000" w:fill="FFFFFF"/>
            <w:noWrap/>
            <w:vAlign w:val="bottom"/>
            <w:hideMark/>
          </w:tcPr>
          <w:p w14:paraId="06983C15"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437,6</w:t>
            </w:r>
          </w:p>
        </w:tc>
        <w:tc>
          <w:tcPr>
            <w:tcW w:w="739" w:type="dxa"/>
            <w:tcBorders>
              <w:top w:val="nil"/>
              <w:left w:val="nil"/>
              <w:bottom w:val="single" w:sz="4" w:space="0" w:color="auto"/>
              <w:right w:val="nil"/>
            </w:tcBorders>
            <w:shd w:val="clear" w:color="000000" w:fill="FFFFFF"/>
            <w:noWrap/>
            <w:vAlign w:val="bottom"/>
            <w:hideMark/>
          </w:tcPr>
          <w:p w14:paraId="1945B7EA"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519,5</w:t>
            </w:r>
          </w:p>
        </w:tc>
        <w:tc>
          <w:tcPr>
            <w:tcW w:w="902" w:type="dxa"/>
            <w:tcBorders>
              <w:top w:val="nil"/>
              <w:left w:val="nil"/>
              <w:bottom w:val="single" w:sz="4" w:space="0" w:color="auto"/>
              <w:right w:val="nil"/>
            </w:tcBorders>
            <w:shd w:val="clear" w:color="000000" w:fill="FFFFFF"/>
            <w:noWrap/>
            <w:vAlign w:val="bottom"/>
            <w:hideMark/>
          </w:tcPr>
          <w:p w14:paraId="22AD4E0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493,8</w:t>
            </w:r>
          </w:p>
        </w:tc>
        <w:tc>
          <w:tcPr>
            <w:tcW w:w="902" w:type="dxa"/>
            <w:tcBorders>
              <w:top w:val="nil"/>
              <w:left w:val="nil"/>
              <w:bottom w:val="single" w:sz="4" w:space="0" w:color="auto"/>
              <w:right w:val="nil"/>
            </w:tcBorders>
            <w:shd w:val="clear" w:color="000000" w:fill="FFFFFF"/>
            <w:noWrap/>
            <w:vAlign w:val="bottom"/>
            <w:hideMark/>
          </w:tcPr>
          <w:p w14:paraId="6D96F0A1"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494,0</w:t>
            </w:r>
          </w:p>
        </w:tc>
        <w:tc>
          <w:tcPr>
            <w:tcW w:w="865" w:type="dxa"/>
            <w:tcBorders>
              <w:top w:val="nil"/>
              <w:left w:val="nil"/>
              <w:bottom w:val="single" w:sz="4" w:space="0" w:color="auto"/>
              <w:right w:val="nil"/>
            </w:tcBorders>
            <w:shd w:val="clear" w:color="000000" w:fill="F2F2F2"/>
            <w:noWrap/>
            <w:vAlign w:val="bottom"/>
            <w:hideMark/>
          </w:tcPr>
          <w:p w14:paraId="529A3005"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0,4%</w:t>
            </w:r>
          </w:p>
        </w:tc>
        <w:tc>
          <w:tcPr>
            <w:tcW w:w="880" w:type="dxa"/>
            <w:tcBorders>
              <w:top w:val="nil"/>
              <w:left w:val="nil"/>
              <w:bottom w:val="single" w:sz="4" w:space="0" w:color="auto"/>
              <w:right w:val="nil"/>
            </w:tcBorders>
            <w:shd w:val="clear" w:color="000000" w:fill="F2F2F2"/>
            <w:noWrap/>
            <w:vAlign w:val="bottom"/>
            <w:hideMark/>
          </w:tcPr>
          <w:p w14:paraId="0031207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0,4%</w:t>
            </w:r>
          </w:p>
        </w:tc>
        <w:tc>
          <w:tcPr>
            <w:tcW w:w="880" w:type="dxa"/>
            <w:tcBorders>
              <w:top w:val="nil"/>
              <w:left w:val="nil"/>
              <w:bottom w:val="single" w:sz="4" w:space="0" w:color="auto"/>
              <w:right w:val="nil"/>
            </w:tcBorders>
            <w:shd w:val="clear" w:color="000000" w:fill="F2F2F2"/>
            <w:noWrap/>
            <w:vAlign w:val="bottom"/>
            <w:hideMark/>
          </w:tcPr>
          <w:p w14:paraId="77B61C6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0,4%</w:t>
            </w:r>
          </w:p>
        </w:tc>
        <w:tc>
          <w:tcPr>
            <w:tcW w:w="880" w:type="dxa"/>
            <w:tcBorders>
              <w:top w:val="nil"/>
              <w:left w:val="nil"/>
              <w:bottom w:val="single" w:sz="4" w:space="0" w:color="auto"/>
              <w:right w:val="nil"/>
            </w:tcBorders>
            <w:shd w:val="clear" w:color="000000" w:fill="F2F2F2"/>
            <w:noWrap/>
            <w:vAlign w:val="bottom"/>
            <w:hideMark/>
          </w:tcPr>
          <w:p w14:paraId="206BE88C"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0,3%</w:t>
            </w:r>
          </w:p>
        </w:tc>
      </w:tr>
      <w:tr w:rsidR="00761800" w:rsidRPr="00761800" w14:paraId="14BC7C1E" w14:textId="77777777" w:rsidTr="00406B4D">
        <w:trPr>
          <w:trHeight w:val="90"/>
        </w:trPr>
        <w:tc>
          <w:tcPr>
            <w:tcW w:w="2977" w:type="dxa"/>
            <w:tcBorders>
              <w:top w:val="nil"/>
              <w:left w:val="nil"/>
              <w:bottom w:val="nil"/>
              <w:right w:val="nil"/>
            </w:tcBorders>
            <w:shd w:val="clear" w:color="000000" w:fill="FFFFFF"/>
            <w:vAlign w:val="center"/>
            <w:hideMark/>
          </w:tcPr>
          <w:p w14:paraId="2D6A5012"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957" w:type="dxa"/>
            <w:tcBorders>
              <w:top w:val="nil"/>
              <w:left w:val="nil"/>
              <w:bottom w:val="nil"/>
              <w:right w:val="nil"/>
            </w:tcBorders>
            <w:shd w:val="clear" w:color="000000" w:fill="FFFFFF"/>
            <w:noWrap/>
            <w:vAlign w:val="bottom"/>
            <w:hideMark/>
          </w:tcPr>
          <w:p w14:paraId="628E8DFD" w14:textId="77777777" w:rsidR="00761800" w:rsidRPr="00761800" w:rsidRDefault="00761800" w:rsidP="00761800">
            <w:pPr>
              <w:jc w:val="right"/>
              <w:rPr>
                <w:rFonts w:ascii="Times New Roman" w:hAnsi="Times New Roman"/>
                <w:b/>
                <w:bCs/>
                <w:color w:val="FF0000"/>
                <w:sz w:val="16"/>
                <w:szCs w:val="16"/>
                <w:lang w:eastAsia="bg-BG"/>
              </w:rPr>
            </w:pPr>
            <w:r w:rsidRPr="00761800">
              <w:rPr>
                <w:rFonts w:ascii="Times New Roman" w:hAnsi="Times New Roman"/>
                <w:b/>
                <w:bCs/>
                <w:color w:val="FF0000"/>
                <w:sz w:val="16"/>
                <w:szCs w:val="16"/>
                <w:lang w:eastAsia="bg-BG"/>
              </w:rPr>
              <w:t> </w:t>
            </w:r>
          </w:p>
        </w:tc>
        <w:tc>
          <w:tcPr>
            <w:tcW w:w="739" w:type="dxa"/>
            <w:tcBorders>
              <w:top w:val="nil"/>
              <w:left w:val="nil"/>
              <w:bottom w:val="nil"/>
              <w:right w:val="nil"/>
            </w:tcBorders>
            <w:shd w:val="clear" w:color="000000" w:fill="FFFFFF"/>
            <w:noWrap/>
            <w:vAlign w:val="bottom"/>
            <w:hideMark/>
          </w:tcPr>
          <w:p w14:paraId="11EA1FBE"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nil"/>
              <w:left w:val="nil"/>
              <w:bottom w:val="nil"/>
              <w:right w:val="nil"/>
            </w:tcBorders>
            <w:shd w:val="clear" w:color="000000" w:fill="FFFFFF"/>
            <w:noWrap/>
            <w:vAlign w:val="bottom"/>
            <w:hideMark/>
          </w:tcPr>
          <w:p w14:paraId="5DD08706"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nil"/>
              <w:left w:val="nil"/>
              <w:bottom w:val="nil"/>
              <w:right w:val="nil"/>
            </w:tcBorders>
            <w:shd w:val="clear" w:color="000000" w:fill="FFFFFF"/>
            <w:noWrap/>
            <w:vAlign w:val="bottom"/>
            <w:hideMark/>
          </w:tcPr>
          <w:p w14:paraId="23D8EA91"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865" w:type="dxa"/>
            <w:tcBorders>
              <w:top w:val="nil"/>
              <w:left w:val="nil"/>
              <w:bottom w:val="nil"/>
              <w:right w:val="nil"/>
            </w:tcBorders>
            <w:shd w:val="clear" w:color="000000" w:fill="F2F2F2"/>
            <w:noWrap/>
            <w:vAlign w:val="bottom"/>
            <w:hideMark/>
          </w:tcPr>
          <w:p w14:paraId="53AB7A0B"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880" w:type="dxa"/>
            <w:tcBorders>
              <w:top w:val="nil"/>
              <w:left w:val="nil"/>
              <w:bottom w:val="nil"/>
              <w:right w:val="nil"/>
            </w:tcBorders>
            <w:shd w:val="clear" w:color="000000" w:fill="F2F2F2"/>
            <w:noWrap/>
            <w:vAlign w:val="bottom"/>
            <w:hideMark/>
          </w:tcPr>
          <w:p w14:paraId="7475C8C4"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65A4000F"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5FA33F33"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r>
      <w:tr w:rsidR="00761800" w:rsidRPr="00761800" w14:paraId="55D353BD" w14:textId="77777777" w:rsidTr="00406B4D">
        <w:trPr>
          <w:trHeight w:val="240"/>
        </w:trPr>
        <w:tc>
          <w:tcPr>
            <w:tcW w:w="2977" w:type="dxa"/>
            <w:tcBorders>
              <w:top w:val="nil"/>
              <w:left w:val="nil"/>
              <w:bottom w:val="nil"/>
              <w:right w:val="nil"/>
            </w:tcBorders>
            <w:shd w:val="clear" w:color="000000" w:fill="FFFFFF"/>
            <w:vAlign w:val="center"/>
            <w:hideMark/>
          </w:tcPr>
          <w:p w14:paraId="1DF256A7"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Отбрана и сигурност</w:t>
            </w:r>
          </w:p>
        </w:tc>
        <w:tc>
          <w:tcPr>
            <w:tcW w:w="957" w:type="dxa"/>
            <w:tcBorders>
              <w:top w:val="nil"/>
              <w:left w:val="nil"/>
              <w:bottom w:val="nil"/>
              <w:right w:val="nil"/>
            </w:tcBorders>
            <w:shd w:val="clear" w:color="000000" w:fill="FFFFFF"/>
            <w:noWrap/>
            <w:vAlign w:val="bottom"/>
            <w:hideMark/>
          </w:tcPr>
          <w:p w14:paraId="74F310A4"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6 050,7</w:t>
            </w:r>
          </w:p>
        </w:tc>
        <w:tc>
          <w:tcPr>
            <w:tcW w:w="739" w:type="dxa"/>
            <w:tcBorders>
              <w:top w:val="nil"/>
              <w:left w:val="nil"/>
              <w:bottom w:val="nil"/>
              <w:right w:val="nil"/>
            </w:tcBorders>
            <w:shd w:val="clear" w:color="000000" w:fill="FFFFFF"/>
            <w:noWrap/>
            <w:vAlign w:val="bottom"/>
            <w:hideMark/>
          </w:tcPr>
          <w:p w14:paraId="2BD26AD3"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6 460,3</w:t>
            </w:r>
          </w:p>
        </w:tc>
        <w:tc>
          <w:tcPr>
            <w:tcW w:w="902" w:type="dxa"/>
            <w:tcBorders>
              <w:top w:val="nil"/>
              <w:left w:val="nil"/>
              <w:bottom w:val="nil"/>
              <w:right w:val="nil"/>
            </w:tcBorders>
            <w:shd w:val="clear" w:color="000000" w:fill="FFFFFF"/>
            <w:noWrap/>
            <w:vAlign w:val="bottom"/>
            <w:hideMark/>
          </w:tcPr>
          <w:p w14:paraId="4258F53F"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6 743,6</w:t>
            </w:r>
          </w:p>
        </w:tc>
        <w:tc>
          <w:tcPr>
            <w:tcW w:w="902" w:type="dxa"/>
            <w:tcBorders>
              <w:top w:val="nil"/>
              <w:left w:val="nil"/>
              <w:bottom w:val="nil"/>
              <w:right w:val="nil"/>
            </w:tcBorders>
            <w:shd w:val="clear" w:color="000000" w:fill="FFFFFF"/>
            <w:noWrap/>
            <w:vAlign w:val="bottom"/>
            <w:hideMark/>
          </w:tcPr>
          <w:p w14:paraId="69C54E7F"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7 227,2</w:t>
            </w:r>
          </w:p>
        </w:tc>
        <w:tc>
          <w:tcPr>
            <w:tcW w:w="865" w:type="dxa"/>
            <w:tcBorders>
              <w:top w:val="nil"/>
              <w:left w:val="nil"/>
              <w:bottom w:val="nil"/>
              <w:right w:val="nil"/>
            </w:tcBorders>
            <w:shd w:val="clear" w:color="000000" w:fill="F2F2F2"/>
            <w:noWrap/>
            <w:vAlign w:val="bottom"/>
            <w:hideMark/>
          </w:tcPr>
          <w:p w14:paraId="51614B75"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5,5%</w:t>
            </w:r>
          </w:p>
        </w:tc>
        <w:tc>
          <w:tcPr>
            <w:tcW w:w="880" w:type="dxa"/>
            <w:tcBorders>
              <w:top w:val="nil"/>
              <w:left w:val="nil"/>
              <w:bottom w:val="nil"/>
              <w:right w:val="nil"/>
            </w:tcBorders>
            <w:shd w:val="clear" w:color="000000" w:fill="F2F2F2"/>
            <w:noWrap/>
            <w:vAlign w:val="bottom"/>
            <w:hideMark/>
          </w:tcPr>
          <w:p w14:paraId="1C98A1DF"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5,2%</w:t>
            </w:r>
          </w:p>
        </w:tc>
        <w:tc>
          <w:tcPr>
            <w:tcW w:w="880" w:type="dxa"/>
            <w:tcBorders>
              <w:top w:val="nil"/>
              <w:left w:val="nil"/>
              <w:bottom w:val="nil"/>
              <w:right w:val="nil"/>
            </w:tcBorders>
            <w:shd w:val="clear" w:color="000000" w:fill="F2F2F2"/>
            <w:noWrap/>
            <w:vAlign w:val="bottom"/>
            <w:hideMark/>
          </w:tcPr>
          <w:p w14:paraId="26869DBD"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5,0%</w:t>
            </w:r>
          </w:p>
        </w:tc>
        <w:tc>
          <w:tcPr>
            <w:tcW w:w="880" w:type="dxa"/>
            <w:tcBorders>
              <w:top w:val="nil"/>
              <w:left w:val="nil"/>
              <w:bottom w:val="nil"/>
              <w:right w:val="nil"/>
            </w:tcBorders>
            <w:shd w:val="clear" w:color="000000" w:fill="F2F2F2"/>
            <w:noWrap/>
            <w:vAlign w:val="bottom"/>
            <w:hideMark/>
          </w:tcPr>
          <w:p w14:paraId="155E1835"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5,0%</w:t>
            </w:r>
          </w:p>
        </w:tc>
      </w:tr>
      <w:tr w:rsidR="00761800" w:rsidRPr="00761800" w14:paraId="0D501BCD" w14:textId="77777777" w:rsidTr="00406B4D">
        <w:trPr>
          <w:trHeight w:val="240"/>
        </w:trPr>
        <w:tc>
          <w:tcPr>
            <w:tcW w:w="2977" w:type="dxa"/>
            <w:tcBorders>
              <w:top w:val="nil"/>
              <w:left w:val="nil"/>
              <w:bottom w:val="nil"/>
              <w:right w:val="nil"/>
            </w:tcBorders>
            <w:shd w:val="clear" w:color="000000" w:fill="FFFFFF"/>
            <w:vAlign w:val="center"/>
            <w:hideMark/>
          </w:tcPr>
          <w:p w14:paraId="27405320"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отбрана</w:t>
            </w:r>
          </w:p>
        </w:tc>
        <w:tc>
          <w:tcPr>
            <w:tcW w:w="957" w:type="dxa"/>
            <w:tcBorders>
              <w:top w:val="nil"/>
              <w:left w:val="nil"/>
              <w:bottom w:val="nil"/>
              <w:right w:val="nil"/>
            </w:tcBorders>
            <w:shd w:val="clear" w:color="000000" w:fill="FFFFFF"/>
            <w:noWrap/>
            <w:vAlign w:val="bottom"/>
            <w:hideMark/>
          </w:tcPr>
          <w:p w14:paraId="69C1C7D1"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2 126,8</w:t>
            </w:r>
          </w:p>
        </w:tc>
        <w:tc>
          <w:tcPr>
            <w:tcW w:w="739" w:type="dxa"/>
            <w:tcBorders>
              <w:top w:val="nil"/>
              <w:left w:val="nil"/>
              <w:bottom w:val="nil"/>
              <w:right w:val="nil"/>
            </w:tcBorders>
            <w:shd w:val="clear" w:color="000000" w:fill="FFFFFF"/>
            <w:noWrap/>
            <w:vAlign w:val="bottom"/>
            <w:hideMark/>
          </w:tcPr>
          <w:p w14:paraId="4A1B8AEC"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2 467,8</w:t>
            </w:r>
          </w:p>
        </w:tc>
        <w:tc>
          <w:tcPr>
            <w:tcW w:w="902" w:type="dxa"/>
            <w:tcBorders>
              <w:top w:val="nil"/>
              <w:left w:val="nil"/>
              <w:bottom w:val="nil"/>
              <w:right w:val="nil"/>
            </w:tcBorders>
            <w:shd w:val="clear" w:color="000000" w:fill="FFFFFF"/>
            <w:noWrap/>
            <w:vAlign w:val="bottom"/>
            <w:hideMark/>
          </w:tcPr>
          <w:p w14:paraId="1DAD4C17"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2 903,1</w:t>
            </w:r>
          </w:p>
        </w:tc>
        <w:tc>
          <w:tcPr>
            <w:tcW w:w="902" w:type="dxa"/>
            <w:tcBorders>
              <w:top w:val="nil"/>
              <w:left w:val="nil"/>
              <w:bottom w:val="nil"/>
              <w:right w:val="nil"/>
            </w:tcBorders>
            <w:shd w:val="clear" w:color="000000" w:fill="FFFFFF"/>
            <w:noWrap/>
            <w:vAlign w:val="bottom"/>
            <w:hideMark/>
          </w:tcPr>
          <w:p w14:paraId="1C4CC55B"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3 395,2</w:t>
            </w:r>
          </w:p>
        </w:tc>
        <w:tc>
          <w:tcPr>
            <w:tcW w:w="865" w:type="dxa"/>
            <w:tcBorders>
              <w:top w:val="nil"/>
              <w:left w:val="nil"/>
              <w:bottom w:val="nil"/>
              <w:right w:val="nil"/>
            </w:tcBorders>
            <w:shd w:val="clear" w:color="000000" w:fill="F2F2F2"/>
            <w:noWrap/>
            <w:vAlign w:val="bottom"/>
            <w:hideMark/>
          </w:tcPr>
          <w:p w14:paraId="483BF3F9"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1,9%</w:t>
            </w:r>
          </w:p>
        </w:tc>
        <w:tc>
          <w:tcPr>
            <w:tcW w:w="880" w:type="dxa"/>
            <w:tcBorders>
              <w:top w:val="nil"/>
              <w:left w:val="nil"/>
              <w:bottom w:val="nil"/>
              <w:right w:val="nil"/>
            </w:tcBorders>
            <w:shd w:val="clear" w:color="000000" w:fill="F2F2F2"/>
            <w:noWrap/>
            <w:vAlign w:val="bottom"/>
            <w:hideMark/>
          </w:tcPr>
          <w:p w14:paraId="3F0B6EF9"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2,0%</w:t>
            </w:r>
          </w:p>
        </w:tc>
        <w:tc>
          <w:tcPr>
            <w:tcW w:w="880" w:type="dxa"/>
            <w:tcBorders>
              <w:top w:val="nil"/>
              <w:left w:val="nil"/>
              <w:bottom w:val="nil"/>
              <w:right w:val="nil"/>
            </w:tcBorders>
            <w:shd w:val="clear" w:color="000000" w:fill="F2F2F2"/>
            <w:noWrap/>
            <w:vAlign w:val="bottom"/>
            <w:hideMark/>
          </w:tcPr>
          <w:p w14:paraId="34AD264B"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2,2%</w:t>
            </w:r>
          </w:p>
        </w:tc>
        <w:tc>
          <w:tcPr>
            <w:tcW w:w="880" w:type="dxa"/>
            <w:tcBorders>
              <w:top w:val="nil"/>
              <w:left w:val="nil"/>
              <w:bottom w:val="nil"/>
              <w:right w:val="nil"/>
            </w:tcBorders>
            <w:shd w:val="clear" w:color="000000" w:fill="F2F2F2"/>
            <w:noWrap/>
            <w:vAlign w:val="bottom"/>
            <w:hideMark/>
          </w:tcPr>
          <w:p w14:paraId="71A2CAEF"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2,4%</w:t>
            </w:r>
          </w:p>
        </w:tc>
      </w:tr>
      <w:tr w:rsidR="00761800" w:rsidRPr="00761800" w14:paraId="5A144C2B" w14:textId="77777777" w:rsidTr="00406B4D">
        <w:trPr>
          <w:trHeight w:val="240"/>
        </w:trPr>
        <w:tc>
          <w:tcPr>
            <w:tcW w:w="2977" w:type="dxa"/>
            <w:tcBorders>
              <w:top w:val="nil"/>
              <w:left w:val="nil"/>
              <w:bottom w:val="nil"/>
              <w:right w:val="nil"/>
            </w:tcBorders>
            <w:shd w:val="clear" w:color="000000" w:fill="FFFFFF"/>
            <w:vAlign w:val="center"/>
            <w:hideMark/>
          </w:tcPr>
          <w:p w14:paraId="55474D61"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полиция, вътрешен ред и сигурност</w:t>
            </w:r>
          </w:p>
        </w:tc>
        <w:tc>
          <w:tcPr>
            <w:tcW w:w="957" w:type="dxa"/>
            <w:tcBorders>
              <w:top w:val="nil"/>
              <w:left w:val="nil"/>
              <w:bottom w:val="nil"/>
              <w:right w:val="nil"/>
            </w:tcBorders>
            <w:shd w:val="clear" w:color="000000" w:fill="FFFFFF"/>
            <w:noWrap/>
            <w:vAlign w:val="bottom"/>
            <w:hideMark/>
          </w:tcPr>
          <w:p w14:paraId="2B706E23"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2 750,4</w:t>
            </w:r>
          </w:p>
        </w:tc>
        <w:tc>
          <w:tcPr>
            <w:tcW w:w="739" w:type="dxa"/>
            <w:tcBorders>
              <w:top w:val="nil"/>
              <w:left w:val="nil"/>
              <w:bottom w:val="nil"/>
              <w:right w:val="nil"/>
            </w:tcBorders>
            <w:shd w:val="clear" w:color="000000" w:fill="FFFFFF"/>
            <w:noWrap/>
            <w:vAlign w:val="bottom"/>
            <w:hideMark/>
          </w:tcPr>
          <w:p w14:paraId="133DFDC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2 750,3</w:t>
            </w:r>
          </w:p>
        </w:tc>
        <w:tc>
          <w:tcPr>
            <w:tcW w:w="902" w:type="dxa"/>
            <w:tcBorders>
              <w:top w:val="nil"/>
              <w:left w:val="nil"/>
              <w:bottom w:val="nil"/>
              <w:right w:val="nil"/>
            </w:tcBorders>
            <w:shd w:val="clear" w:color="000000" w:fill="FFFFFF"/>
            <w:noWrap/>
            <w:vAlign w:val="bottom"/>
            <w:hideMark/>
          </w:tcPr>
          <w:p w14:paraId="4C3D4C3A"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2 645,0</w:t>
            </w:r>
          </w:p>
        </w:tc>
        <w:tc>
          <w:tcPr>
            <w:tcW w:w="902" w:type="dxa"/>
            <w:tcBorders>
              <w:top w:val="nil"/>
              <w:left w:val="nil"/>
              <w:bottom w:val="nil"/>
              <w:right w:val="nil"/>
            </w:tcBorders>
            <w:shd w:val="clear" w:color="000000" w:fill="FFFFFF"/>
            <w:noWrap/>
            <w:vAlign w:val="bottom"/>
            <w:hideMark/>
          </w:tcPr>
          <w:p w14:paraId="66A228DB"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2 639,7</w:t>
            </w:r>
          </w:p>
        </w:tc>
        <w:tc>
          <w:tcPr>
            <w:tcW w:w="865" w:type="dxa"/>
            <w:tcBorders>
              <w:top w:val="nil"/>
              <w:left w:val="nil"/>
              <w:bottom w:val="nil"/>
              <w:right w:val="nil"/>
            </w:tcBorders>
            <w:shd w:val="clear" w:color="000000" w:fill="F2F2F2"/>
            <w:noWrap/>
            <w:vAlign w:val="bottom"/>
            <w:hideMark/>
          </w:tcPr>
          <w:p w14:paraId="760646F3"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2,5%</w:t>
            </w:r>
          </w:p>
        </w:tc>
        <w:tc>
          <w:tcPr>
            <w:tcW w:w="880" w:type="dxa"/>
            <w:tcBorders>
              <w:top w:val="nil"/>
              <w:left w:val="nil"/>
              <w:bottom w:val="nil"/>
              <w:right w:val="nil"/>
            </w:tcBorders>
            <w:shd w:val="clear" w:color="000000" w:fill="F2F2F2"/>
            <w:noWrap/>
            <w:vAlign w:val="bottom"/>
            <w:hideMark/>
          </w:tcPr>
          <w:p w14:paraId="69DCDFF8"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2,2%</w:t>
            </w:r>
          </w:p>
        </w:tc>
        <w:tc>
          <w:tcPr>
            <w:tcW w:w="880" w:type="dxa"/>
            <w:tcBorders>
              <w:top w:val="nil"/>
              <w:left w:val="nil"/>
              <w:bottom w:val="nil"/>
              <w:right w:val="nil"/>
            </w:tcBorders>
            <w:shd w:val="clear" w:color="000000" w:fill="F2F2F2"/>
            <w:noWrap/>
            <w:vAlign w:val="bottom"/>
            <w:hideMark/>
          </w:tcPr>
          <w:p w14:paraId="59892B7F"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2,0%</w:t>
            </w:r>
          </w:p>
        </w:tc>
        <w:tc>
          <w:tcPr>
            <w:tcW w:w="880" w:type="dxa"/>
            <w:tcBorders>
              <w:top w:val="nil"/>
              <w:left w:val="nil"/>
              <w:bottom w:val="nil"/>
              <w:right w:val="nil"/>
            </w:tcBorders>
            <w:shd w:val="clear" w:color="000000" w:fill="F2F2F2"/>
            <w:noWrap/>
            <w:vAlign w:val="bottom"/>
            <w:hideMark/>
          </w:tcPr>
          <w:p w14:paraId="7E569162"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1,8%</w:t>
            </w:r>
          </w:p>
        </w:tc>
      </w:tr>
      <w:tr w:rsidR="00761800" w:rsidRPr="00761800" w14:paraId="2B5A59D0" w14:textId="77777777" w:rsidTr="00406B4D">
        <w:trPr>
          <w:trHeight w:val="240"/>
        </w:trPr>
        <w:tc>
          <w:tcPr>
            <w:tcW w:w="2977" w:type="dxa"/>
            <w:tcBorders>
              <w:top w:val="nil"/>
              <w:left w:val="nil"/>
              <w:bottom w:val="nil"/>
              <w:right w:val="nil"/>
            </w:tcBorders>
            <w:shd w:val="clear" w:color="000000" w:fill="FFFFFF"/>
            <w:vAlign w:val="center"/>
            <w:hideMark/>
          </w:tcPr>
          <w:p w14:paraId="57BAF94B"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съдебна власт</w:t>
            </w:r>
          </w:p>
        </w:tc>
        <w:tc>
          <w:tcPr>
            <w:tcW w:w="957" w:type="dxa"/>
            <w:tcBorders>
              <w:top w:val="nil"/>
              <w:left w:val="nil"/>
              <w:bottom w:val="nil"/>
              <w:right w:val="nil"/>
            </w:tcBorders>
            <w:shd w:val="clear" w:color="000000" w:fill="FFFFFF"/>
            <w:noWrap/>
            <w:vAlign w:val="bottom"/>
            <w:hideMark/>
          </w:tcPr>
          <w:p w14:paraId="3AFA8CC3"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819,5</w:t>
            </w:r>
          </w:p>
        </w:tc>
        <w:tc>
          <w:tcPr>
            <w:tcW w:w="739" w:type="dxa"/>
            <w:tcBorders>
              <w:top w:val="nil"/>
              <w:left w:val="nil"/>
              <w:bottom w:val="nil"/>
              <w:right w:val="nil"/>
            </w:tcBorders>
            <w:shd w:val="clear" w:color="000000" w:fill="FFFFFF"/>
            <w:noWrap/>
            <w:vAlign w:val="bottom"/>
            <w:hideMark/>
          </w:tcPr>
          <w:p w14:paraId="38F6D88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870,6</w:t>
            </w:r>
          </w:p>
        </w:tc>
        <w:tc>
          <w:tcPr>
            <w:tcW w:w="902" w:type="dxa"/>
            <w:tcBorders>
              <w:top w:val="nil"/>
              <w:left w:val="nil"/>
              <w:bottom w:val="nil"/>
              <w:right w:val="nil"/>
            </w:tcBorders>
            <w:shd w:val="clear" w:color="000000" w:fill="FFFFFF"/>
            <w:noWrap/>
            <w:vAlign w:val="bottom"/>
            <w:hideMark/>
          </w:tcPr>
          <w:p w14:paraId="70DC8129"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814,1</w:t>
            </w:r>
          </w:p>
        </w:tc>
        <w:tc>
          <w:tcPr>
            <w:tcW w:w="902" w:type="dxa"/>
            <w:tcBorders>
              <w:top w:val="nil"/>
              <w:left w:val="nil"/>
              <w:bottom w:val="nil"/>
              <w:right w:val="nil"/>
            </w:tcBorders>
            <w:shd w:val="clear" w:color="000000" w:fill="FFFFFF"/>
            <w:noWrap/>
            <w:vAlign w:val="bottom"/>
            <w:hideMark/>
          </w:tcPr>
          <w:p w14:paraId="5653F9DB"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809,4</w:t>
            </w:r>
          </w:p>
        </w:tc>
        <w:tc>
          <w:tcPr>
            <w:tcW w:w="865" w:type="dxa"/>
            <w:tcBorders>
              <w:top w:val="nil"/>
              <w:left w:val="nil"/>
              <w:bottom w:val="nil"/>
              <w:right w:val="nil"/>
            </w:tcBorders>
            <w:shd w:val="clear" w:color="000000" w:fill="F2F2F2"/>
            <w:noWrap/>
            <w:vAlign w:val="bottom"/>
            <w:hideMark/>
          </w:tcPr>
          <w:p w14:paraId="6EA5190D"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0,7%</w:t>
            </w:r>
          </w:p>
        </w:tc>
        <w:tc>
          <w:tcPr>
            <w:tcW w:w="880" w:type="dxa"/>
            <w:tcBorders>
              <w:top w:val="nil"/>
              <w:left w:val="nil"/>
              <w:bottom w:val="nil"/>
              <w:right w:val="nil"/>
            </w:tcBorders>
            <w:shd w:val="clear" w:color="000000" w:fill="F2F2F2"/>
            <w:noWrap/>
            <w:vAlign w:val="bottom"/>
            <w:hideMark/>
          </w:tcPr>
          <w:p w14:paraId="4EBF076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0,7%</w:t>
            </w:r>
          </w:p>
        </w:tc>
        <w:tc>
          <w:tcPr>
            <w:tcW w:w="880" w:type="dxa"/>
            <w:tcBorders>
              <w:top w:val="nil"/>
              <w:left w:val="nil"/>
              <w:bottom w:val="nil"/>
              <w:right w:val="nil"/>
            </w:tcBorders>
            <w:shd w:val="clear" w:color="000000" w:fill="F2F2F2"/>
            <w:noWrap/>
            <w:vAlign w:val="bottom"/>
            <w:hideMark/>
          </w:tcPr>
          <w:p w14:paraId="118BC1AE"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0,6%</w:t>
            </w:r>
          </w:p>
        </w:tc>
        <w:tc>
          <w:tcPr>
            <w:tcW w:w="880" w:type="dxa"/>
            <w:tcBorders>
              <w:top w:val="nil"/>
              <w:left w:val="nil"/>
              <w:bottom w:val="nil"/>
              <w:right w:val="nil"/>
            </w:tcBorders>
            <w:shd w:val="clear" w:color="000000" w:fill="F2F2F2"/>
            <w:noWrap/>
            <w:vAlign w:val="bottom"/>
            <w:hideMark/>
          </w:tcPr>
          <w:p w14:paraId="3991D9B9"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0,6%</w:t>
            </w:r>
          </w:p>
        </w:tc>
      </w:tr>
      <w:tr w:rsidR="00761800" w:rsidRPr="00761800" w14:paraId="3BCB9CCB" w14:textId="77777777" w:rsidTr="00406B4D">
        <w:trPr>
          <w:trHeight w:val="240"/>
        </w:trPr>
        <w:tc>
          <w:tcPr>
            <w:tcW w:w="2977" w:type="dxa"/>
            <w:tcBorders>
              <w:top w:val="nil"/>
              <w:left w:val="nil"/>
              <w:bottom w:val="nil"/>
              <w:right w:val="nil"/>
            </w:tcBorders>
            <w:shd w:val="clear" w:color="000000" w:fill="FFFFFF"/>
            <w:vAlign w:val="center"/>
            <w:hideMark/>
          </w:tcPr>
          <w:p w14:paraId="44343E9A"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администрация на затворите</w:t>
            </w:r>
          </w:p>
        </w:tc>
        <w:tc>
          <w:tcPr>
            <w:tcW w:w="957" w:type="dxa"/>
            <w:tcBorders>
              <w:top w:val="nil"/>
              <w:left w:val="nil"/>
              <w:bottom w:val="nil"/>
              <w:right w:val="nil"/>
            </w:tcBorders>
            <w:shd w:val="clear" w:color="000000" w:fill="FFFFFF"/>
            <w:noWrap/>
            <w:vAlign w:val="bottom"/>
            <w:hideMark/>
          </w:tcPr>
          <w:p w14:paraId="23528312"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222,3</w:t>
            </w:r>
          </w:p>
        </w:tc>
        <w:tc>
          <w:tcPr>
            <w:tcW w:w="739" w:type="dxa"/>
            <w:tcBorders>
              <w:top w:val="nil"/>
              <w:left w:val="nil"/>
              <w:bottom w:val="nil"/>
              <w:right w:val="nil"/>
            </w:tcBorders>
            <w:shd w:val="clear" w:color="000000" w:fill="FFFFFF"/>
            <w:noWrap/>
            <w:vAlign w:val="bottom"/>
            <w:hideMark/>
          </w:tcPr>
          <w:p w14:paraId="2F7B1D4F"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229,1</w:t>
            </w:r>
          </w:p>
        </w:tc>
        <w:tc>
          <w:tcPr>
            <w:tcW w:w="902" w:type="dxa"/>
            <w:tcBorders>
              <w:top w:val="nil"/>
              <w:left w:val="nil"/>
              <w:bottom w:val="nil"/>
              <w:right w:val="nil"/>
            </w:tcBorders>
            <w:shd w:val="clear" w:color="000000" w:fill="FFFFFF"/>
            <w:noWrap/>
            <w:vAlign w:val="bottom"/>
            <w:hideMark/>
          </w:tcPr>
          <w:p w14:paraId="21203C6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238,9</w:t>
            </w:r>
          </w:p>
        </w:tc>
        <w:tc>
          <w:tcPr>
            <w:tcW w:w="902" w:type="dxa"/>
            <w:tcBorders>
              <w:top w:val="nil"/>
              <w:left w:val="nil"/>
              <w:bottom w:val="nil"/>
              <w:right w:val="nil"/>
            </w:tcBorders>
            <w:shd w:val="clear" w:color="000000" w:fill="FFFFFF"/>
            <w:noWrap/>
            <w:vAlign w:val="bottom"/>
            <w:hideMark/>
          </w:tcPr>
          <w:p w14:paraId="6CB96FE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240,5</w:t>
            </w:r>
          </w:p>
        </w:tc>
        <w:tc>
          <w:tcPr>
            <w:tcW w:w="865" w:type="dxa"/>
            <w:tcBorders>
              <w:top w:val="nil"/>
              <w:left w:val="nil"/>
              <w:bottom w:val="nil"/>
              <w:right w:val="nil"/>
            </w:tcBorders>
            <w:shd w:val="clear" w:color="000000" w:fill="F2F2F2"/>
            <w:noWrap/>
            <w:vAlign w:val="bottom"/>
            <w:hideMark/>
          </w:tcPr>
          <w:p w14:paraId="21065413"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0,2%</w:t>
            </w:r>
          </w:p>
        </w:tc>
        <w:tc>
          <w:tcPr>
            <w:tcW w:w="880" w:type="dxa"/>
            <w:tcBorders>
              <w:top w:val="nil"/>
              <w:left w:val="nil"/>
              <w:bottom w:val="nil"/>
              <w:right w:val="nil"/>
            </w:tcBorders>
            <w:shd w:val="clear" w:color="000000" w:fill="F2F2F2"/>
            <w:noWrap/>
            <w:vAlign w:val="bottom"/>
            <w:hideMark/>
          </w:tcPr>
          <w:p w14:paraId="0AD41314"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0,2%</w:t>
            </w:r>
          </w:p>
        </w:tc>
        <w:tc>
          <w:tcPr>
            <w:tcW w:w="880" w:type="dxa"/>
            <w:tcBorders>
              <w:top w:val="nil"/>
              <w:left w:val="nil"/>
              <w:bottom w:val="nil"/>
              <w:right w:val="nil"/>
            </w:tcBorders>
            <w:shd w:val="clear" w:color="000000" w:fill="F2F2F2"/>
            <w:noWrap/>
            <w:vAlign w:val="bottom"/>
            <w:hideMark/>
          </w:tcPr>
          <w:p w14:paraId="04ECA642"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0,2%</w:t>
            </w:r>
          </w:p>
        </w:tc>
        <w:tc>
          <w:tcPr>
            <w:tcW w:w="880" w:type="dxa"/>
            <w:tcBorders>
              <w:top w:val="nil"/>
              <w:left w:val="nil"/>
              <w:bottom w:val="nil"/>
              <w:right w:val="nil"/>
            </w:tcBorders>
            <w:shd w:val="clear" w:color="000000" w:fill="F2F2F2"/>
            <w:noWrap/>
            <w:vAlign w:val="bottom"/>
            <w:hideMark/>
          </w:tcPr>
          <w:p w14:paraId="05B2EA1A"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0,2%</w:t>
            </w:r>
          </w:p>
        </w:tc>
      </w:tr>
      <w:tr w:rsidR="00761800" w:rsidRPr="00761800" w14:paraId="356ADA74" w14:textId="77777777" w:rsidTr="00406B4D">
        <w:trPr>
          <w:trHeight w:val="525"/>
        </w:trPr>
        <w:tc>
          <w:tcPr>
            <w:tcW w:w="2977" w:type="dxa"/>
            <w:tcBorders>
              <w:top w:val="nil"/>
              <w:left w:val="nil"/>
              <w:bottom w:val="single" w:sz="4" w:space="0" w:color="auto"/>
              <w:right w:val="nil"/>
            </w:tcBorders>
            <w:shd w:val="clear" w:color="000000" w:fill="FFFFFF"/>
            <w:vAlign w:val="center"/>
            <w:hideMark/>
          </w:tcPr>
          <w:p w14:paraId="0D4AFE2D"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защита на населението, управление и дейности при стихийни бедствия и аварии</w:t>
            </w:r>
          </w:p>
        </w:tc>
        <w:tc>
          <w:tcPr>
            <w:tcW w:w="957" w:type="dxa"/>
            <w:tcBorders>
              <w:top w:val="nil"/>
              <w:left w:val="nil"/>
              <w:bottom w:val="single" w:sz="4" w:space="0" w:color="auto"/>
              <w:right w:val="nil"/>
            </w:tcBorders>
            <w:shd w:val="clear" w:color="000000" w:fill="FFFFFF"/>
            <w:noWrap/>
            <w:vAlign w:val="bottom"/>
            <w:hideMark/>
          </w:tcPr>
          <w:p w14:paraId="1105C371"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131,6</w:t>
            </w:r>
          </w:p>
        </w:tc>
        <w:tc>
          <w:tcPr>
            <w:tcW w:w="739" w:type="dxa"/>
            <w:tcBorders>
              <w:top w:val="nil"/>
              <w:left w:val="nil"/>
              <w:bottom w:val="single" w:sz="4" w:space="0" w:color="auto"/>
              <w:right w:val="nil"/>
            </w:tcBorders>
            <w:shd w:val="clear" w:color="000000" w:fill="FFFFFF"/>
            <w:noWrap/>
            <w:vAlign w:val="bottom"/>
            <w:hideMark/>
          </w:tcPr>
          <w:p w14:paraId="25277748"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142,4</w:t>
            </w:r>
          </w:p>
        </w:tc>
        <w:tc>
          <w:tcPr>
            <w:tcW w:w="902" w:type="dxa"/>
            <w:tcBorders>
              <w:top w:val="nil"/>
              <w:left w:val="nil"/>
              <w:bottom w:val="single" w:sz="4" w:space="0" w:color="auto"/>
              <w:right w:val="nil"/>
            </w:tcBorders>
            <w:shd w:val="clear" w:color="000000" w:fill="FFFFFF"/>
            <w:noWrap/>
            <w:vAlign w:val="bottom"/>
            <w:hideMark/>
          </w:tcPr>
          <w:p w14:paraId="7617C597"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142,5</w:t>
            </w:r>
          </w:p>
        </w:tc>
        <w:tc>
          <w:tcPr>
            <w:tcW w:w="902" w:type="dxa"/>
            <w:tcBorders>
              <w:top w:val="nil"/>
              <w:left w:val="nil"/>
              <w:bottom w:val="single" w:sz="4" w:space="0" w:color="auto"/>
              <w:right w:val="nil"/>
            </w:tcBorders>
            <w:shd w:val="clear" w:color="000000" w:fill="FFFFFF"/>
            <w:noWrap/>
            <w:vAlign w:val="bottom"/>
            <w:hideMark/>
          </w:tcPr>
          <w:p w14:paraId="09043A27"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142,4</w:t>
            </w:r>
          </w:p>
        </w:tc>
        <w:tc>
          <w:tcPr>
            <w:tcW w:w="865" w:type="dxa"/>
            <w:tcBorders>
              <w:top w:val="nil"/>
              <w:left w:val="nil"/>
              <w:bottom w:val="single" w:sz="4" w:space="0" w:color="auto"/>
              <w:right w:val="nil"/>
            </w:tcBorders>
            <w:shd w:val="clear" w:color="000000" w:fill="F2F2F2"/>
            <w:noWrap/>
            <w:vAlign w:val="bottom"/>
            <w:hideMark/>
          </w:tcPr>
          <w:p w14:paraId="0237AD3C"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0,1%</w:t>
            </w:r>
          </w:p>
        </w:tc>
        <w:tc>
          <w:tcPr>
            <w:tcW w:w="880" w:type="dxa"/>
            <w:tcBorders>
              <w:top w:val="nil"/>
              <w:left w:val="nil"/>
              <w:bottom w:val="single" w:sz="4" w:space="0" w:color="auto"/>
              <w:right w:val="nil"/>
            </w:tcBorders>
            <w:shd w:val="clear" w:color="000000" w:fill="F2F2F2"/>
            <w:noWrap/>
            <w:vAlign w:val="bottom"/>
            <w:hideMark/>
          </w:tcPr>
          <w:p w14:paraId="2CFD79B7"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0,1%</w:t>
            </w:r>
          </w:p>
        </w:tc>
        <w:tc>
          <w:tcPr>
            <w:tcW w:w="880" w:type="dxa"/>
            <w:tcBorders>
              <w:top w:val="nil"/>
              <w:left w:val="nil"/>
              <w:bottom w:val="single" w:sz="4" w:space="0" w:color="auto"/>
              <w:right w:val="nil"/>
            </w:tcBorders>
            <w:shd w:val="clear" w:color="000000" w:fill="F2F2F2"/>
            <w:noWrap/>
            <w:vAlign w:val="bottom"/>
            <w:hideMark/>
          </w:tcPr>
          <w:p w14:paraId="13332DB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0,1%</w:t>
            </w:r>
          </w:p>
        </w:tc>
        <w:tc>
          <w:tcPr>
            <w:tcW w:w="880" w:type="dxa"/>
            <w:tcBorders>
              <w:top w:val="nil"/>
              <w:left w:val="nil"/>
              <w:bottom w:val="single" w:sz="4" w:space="0" w:color="auto"/>
              <w:right w:val="nil"/>
            </w:tcBorders>
            <w:shd w:val="clear" w:color="000000" w:fill="F2F2F2"/>
            <w:noWrap/>
            <w:vAlign w:val="bottom"/>
            <w:hideMark/>
          </w:tcPr>
          <w:p w14:paraId="2D6C7901"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0,1%</w:t>
            </w:r>
          </w:p>
        </w:tc>
      </w:tr>
      <w:tr w:rsidR="00761800" w:rsidRPr="00761800" w14:paraId="5F9BF121" w14:textId="77777777" w:rsidTr="00406B4D">
        <w:trPr>
          <w:trHeight w:val="75"/>
        </w:trPr>
        <w:tc>
          <w:tcPr>
            <w:tcW w:w="2977" w:type="dxa"/>
            <w:tcBorders>
              <w:top w:val="nil"/>
              <w:left w:val="nil"/>
              <w:bottom w:val="nil"/>
              <w:right w:val="nil"/>
            </w:tcBorders>
            <w:shd w:val="clear" w:color="000000" w:fill="FFFFFF"/>
            <w:vAlign w:val="center"/>
            <w:hideMark/>
          </w:tcPr>
          <w:p w14:paraId="5F4B6BBB"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957" w:type="dxa"/>
            <w:tcBorders>
              <w:top w:val="nil"/>
              <w:left w:val="nil"/>
              <w:bottom w:val="nil"/>
              <w:right w:val="nil"/>
            </w:tcBorders>
            <w:shd w:val="clear" w:color="000000" w:fill="FFFFFF"/>
            <w:noWrap/>
            <w:vAlign w:val="bottom"/>
            <w:hideMark/>
          </w:tcPr>
          <w:p w14:paraId="6B70CBBC"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739" w:type="dxa"/>
            <w:tcBorders>
              <w:top w:val="nil"/>
              <w:left w:val="nil"/>
              <w:bottom w:val="nil"/>
              <w:right w:val="nil"/>
            </w:tcBorders>
            <w:shd w:val="clear" w:color="000000" w:fill="FFFFFF"/>
            <w:noWrap/>
            <w:vAlign w:val="bottom"/>
            <w:hideMark/>
          </w:tcPr>
          <w:p w14:paraId="6144CD3A"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902" w:type="dxa"/>
            <w:tcBorders>
              <w:top w:val="nil"/>
              <w:left w:val="nil"/>
              <w:bottom w:val="nil"/>
              <w:right w:val="nil"/>
            </w:tcBorders>
            <w:shd w:val="clear" w:color="000000" w:fill="FFFFFF"/>
            <w:noWrap/>
            <w:vAlign w:val="bottom"/>
            <w:hideMark/>
          </w:tcPr>
          <w:p w14:paraId="2782137F"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902" w:type="dxa"/>
            <w:tcBorders>
              <w:top w:val="nil"/>
              <w:left w:val="nil"/>
              <w:bottom w:val="nil"/>
              <w:right w:val="nil"/>
            </w:tcBorders>
            <w:shd w:val="clear" w:color="000000" w:fill="FFFFFF"/>
            <w:noWrap/>
            <w:vAlign w:val="bottom"/>
            <w:hideMark/>
          </w:tcPr>
          <w:p w14:paraId="4432B86B"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65" w:type="dxa"/>
            <w:tcBorders>
              <w:top w:val="nil"/>
              <w:left w:val="nil"/>
              <w:bottom w:val="nil"/>
              <w:right w:val="nil"/>
            </w:tcBorders>
            <w:shd w:val="clear" w:color="000000" w:fill="F2F2F2"/>
            <w:noWrap/>
            <w:vAlign w:val="bottom"/>
            <w:hideMark/>
          </w:tcPr>
          <w:p w14:paraId="68D9AD12"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880" w:type="dxa"/>
            <w:tcBorders>
              <w:top w:val="nil"/>
              <w:left w:val="nil"/>
              <w:bottom w:val="nil"/>
              <w:right w:val="nil"/>
            </w:tcBorders>
            <w:shd w:val="clear" w:color="000000" w:fill="F2F2F2"/>
            <w:noWrap/>
            <w:vAlign w:val="bottom"/>
            <w:hideMark/>
          </w:tcPr>
          <w:p w14:paraId="01D18155"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5D5B3BAC"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100D0C42"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r>
      <w:tr w:rsidR="00761800" w:rsidRPr="00761800" w14:paraId="6B78D425" w14:textId="77777777" w:rsidTr="00406B4D">
        <w:trPr>
          <w:trHeight w:val="240"/>
        </w:trPr>
        <w:tc>
          <w:tcPr>
            <w:tcW w:w="2977" w:type="dxa"/>
            <w:tcBorders>
              <w:top w:val="nil"/>
              <w:left w:val="nil"/>
              <w:bottom w:val="single" w:sz="4" w:space="0" w:color="auto"/>
              <w:right w:val="nil"/>
            </w:tcBorders>
            <w:shd w:val="clear" w:color="000000" w:fill="FFFFFF"/>
            <w:vAlign w:val="center"/>
            <w:hideMark/>
          </w:tcPr>
          <w:p w14:paraId="7C7E5ED1"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 xml:space="preserve">Образование </w:t>
            </w:r>
          </w:p>
        </w:tc>
        <w:tc>
          <w:tcPr>
            <w:tcW w:w="957" w:type="dxa"/>
            <w:tcBorders>
              <w:top w:val="nil"/>
              <w:left w:val="nil"/>
              <w:bottom w:val="single" w:sz="4" w:space="0" w:color="auto"/>
              <w:right w:val="nil"/>
            </w:tcBorders>
            <w:shd w:val="clear" w:color="000000" w:fill="FFFFFF"/>
            <w:noWrap/>
            <w:vAlign w:val="bottom"/>
            <w:hideMark/>
          </w:tcPr>
          <w:p w14:paraId="17088458"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5 233,9</w:t>
            </w:r>
          </w:p>
        </w:tc>
        <w:tc>
          <w:tcPr>
            <w:tcW w:w="739" w:type="dxa"/>
            <w:tcBorders>
              <w:top w:val="nil"/>
              <w:left w:val="nil"/>
              <w:bottom w:val="single" w:sz="4" w:space="0" w:color="auto"/>
              <w:right w:val="nil"/>
            </w:tcBorders>
            <w:shd w:val="clear" w:color="000000" w:fill="FFFFFF"/>
            <w:noWrap/>
            <w:vAlign w:val="bottom"/>
            <w:hideMark/>
          </w:tcPr>
          <w:p w14:paraId="3CC9E6BB"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5 599,7</w:t>
            </w:r>
          </w:p>
        </w:tc>
        <w:tc>
          <w:tcPr>
            <w:tcW w:w="902" w:type="dxa"/>
            <w:tcBorders>
              <w:top w:val="nil"/>
              <w:left w:val="nil"/>
              <w:bottom w:val="single" w:sz="4" w:space="0" w:color="auto"/>
              <w:right w:val="nil"/>
            </w:tcBorders>
            <w:shd w:val="clear" w:color="000000" w:fill="FFFFFF"/>
            <w:noWrap/>
            <w:vAlign w:val="bottom"/>
            <w:hideMark/>
          </w:tcPr>
          <w:p w14:paraId="28A567B5"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5 390,4</w:t>
            </w:r>
          </w:p>
        </w:tc>
        <w:tc>
          <w:tcPr>
            <w:tcW w:w="902" w:type="dxa"/>
            <w:tcBorders>
              <w:top w:val="nil"/>
              <w:left w:val="nil"/>
              <w:bottom w:val="single" w:sz="4" w:space="0" w:color="auto"/>
              <w:right w:val="nil"/>
            </w:tcBorders>
            <w:shd w:val="clear" w:color="000000" w:fill="FFFFFF"/>
            <w:noWrap/>
            <w:vAlign w:val="bottom"/>
            <w:hideMark/>
          </w:tcPr>
          <w:p w14:paraId="6C884113"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5 435,7</w:t>
            </w:r>
          </w:p>
        </w:tc>
        <w:tc>
          <w:tcPr>
            <w:tcW w:w="865" w:type="dxa"/>
            <w:tcBorders>
              <w:top w:val="nil"/>
              <w:left w:val="nil"/>
              <w:bottom w:val="single" w:sz="4" w:space="0" w:color="auto"/>
              <w:right w:val="nil"/>
            </w:tcBorders>
            <w:shd w:val="clear" w:color="000000" w:fill="F2F2F2"/>
            <w:noWrap/>
            <w:vAlign w:val="bottom"/>
            <w:hideMark/>
          </w:tcPr>
          <w:p w14:paraId="42356A31"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4,8%</w:t>
            </w:r>
          </w:p>
        </w:tc>
        <w:tc>
          <w:tcPr>
            <w:tcW w:w="880" w:type="dxa"/>
            <w:tcBorders>
              <w:top w:val="nil"/>
              <w:left w:val="nil"/>
              <w:bottom w:val="single" w:sz="4" w:space="0" w:color="auto"/>
              <w:right w:val="nil"/>
            </w:tcBorders>
            <w:shd w:val="clear" w:color="000000" w:fill="F2F2F2"/>
            <w:noWrap/>
            <w:vAlign w:val="bottom"/>
            <w:hideMark/>
          </w:tcPr>
          <w:p w14:paraId="1637B00C"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4,5%</w:t>
            </w:r>
          </w:p>
        </w:tc>
        <w:tc>
          <w:tcPr>
            <w:tcW w:w="880" w:type="dxa"/>
            <w:tcBorders>
              <w:top w:val="nil"/>
              <w:left w:val="nil"/>
              <w:bottom w:val="single" w:sz="4" w:space="0" w:color="auto"/>
              <w:right w:val="nil"/>
            </w:tcBorders>
            <w:shd w:val="clear" w:color="000000" w:fill="F2F2F2"/>
            <w:noWrap/>
            <w:vAlign w:val="bottom"/>
            <w:hideMark/>
          </w:tcPr>
          <w:p w14:paraId="71697274"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4,0%</w:t>
            </w:r>
          </w:p>
        </w:tc>
        <w:tc>
          <w:tcPr>
            <w:tcW w:w="880" w:type="dxa"/>
            <w:tcBorders>
              <w:top w:val="nil"/>
              <w:left w:val="nil"/>
              <w:bottom w:val="single" w:sz="4" w:space="0" w:color="auto"/>
              <w:right w:val="nil"/>
            </w:tcBorders>
            <w:shd w:val="clear" w:color="000000" w:fill="F2F2F2"/>
            <w:noWrap/>
            <w:vAlign w:val="bottom"/>
            <w:hideMark/>
          </w:tcPr>
          <w:p w14:paraId="7558D1E2"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3,8%</w:t>
            </w:r>
          </w:p>
        </w:tc>
      </w:tr>
      <w:tr w:rsidR="00761800" w:rsidRPr="00761800" w14:paraId="2F5C5424" w14:textId="77777777" w:rsidTr="00406B4D">
        <w:trPr>
          <w:trHeight w:val="75"/>
        </w:trPr>
        <w:tc>
          <w:tcPr>
            <w:tcW w:w="2977" w:type="dxa"/>
            <w:tcBorders>
              <w:top w:val="nil"/>
              <w:left w:val="nil"/>
              <w:bottom w:val="nil"/>
              <w:right w:val="nil"/>
            </w:tcBorders>
            <w:shd w:val="clear" w:color="000000" w:fill="FFFFFF"/>
            <w:vAlign w:val="center"/>
            <w:hideMark/>
          </w:tcPr>
          <w:p w14:paraId="156F71D3"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957" w:type="dxa"/>
            <w:tcBorders>
              <w:top w:val="nil"/>
              <w:left w:val="nil"/>
              <w:bottom w:val="nil"/>
              <w:right w:val="nil"/>
            </w:tcBorders>
            <w:shd w:val="clear" w:color="000000" w:fill="FFFFFF"/>
            <w:noWrap/>
            <w:vAlign w:val="bottom"/>
            <w:hideMark/>
          </w:tcPr>
          <w:p w14:paraId="6F6E7228"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739" w:type="dxa"/>
            <w:tcBorders>
              <w:top w:val="nil"/>
              <w:left w:val="nil"/>
              <w:bottom w:val="nil"/>
              <w:right w:val="nil"/>
            </w:tcBorders>
            <w:shd w:val="clear" w:color="000000" w:fill="FFFFFF"/>
            <w:noWrap/>
            <w:vAlign w:val="bottom"/>
            <w:hideMark/>
          </w:tcPr>
          <w:p w14:paraId="7B1E65CF"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902" w:type="dxa"/>
            <w:tcBorders>
              <w:top w:val="nil"/>
              <w:left w:val="nil"/>
              <w:bottom w:val="nil"/>
              <w:right w:val="nil"/>
            </w:tcBorders>
            <w:shd w:val="clear" w:color="000000" w:fill="FFFFFF"/>
            <w:noWrap/>
            <w:vAlign w:val="bottom"/>
            <w:hideMark/>
          </w:tcPr>
          <w:p w14:paraId="5834AB03"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902" w:type="dxa"/>
            <w:tcBorders>
              <w:top w:val="nil"/>
              <w:left w:val="nil"/>
              <w:bottom w:val="nil"/>
              <w:right w:val="nil"/>
            </w:tcBorders>
            <w:shd w:val="clear" w:color="000000" w:fill="FFFFFF"/>
            <w:noWrap/>
            <w:vAlign w:val="bottom"/>
            <w:hideMark/>
          </w:tcPr>
          <w:p w14:paraId="779172D2"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65" w:type="dxa"/>
            <w:tcBorders>
              <w:top w:val="nil"/>
              <w:left w:val="nil"/>
              <w:bottom w:val="nil"/>
              <w:right w:val="nil"/>
            </w:tcBorders>
            <w:shd w:val="clear" w:color="000000" w:fill="F2F2F2"/>
            <w:noWrap/>
            <w:vAlign w:val="bottom"/>
            <w:hideMark/>
          </w:tcPr>
          <w:p w14:paraId="21EECF3D"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880" w:type="dxa"/>
            <w:tcBorders>
              <w:top w:val="nil"/>
              <w:left w:val="nil"/>
              <w:bottom w:val="nil"/>
              <w:right w:val="nil"/>
            </w:tcBorders>
            <w:shd w:val="clear" w:color="000000" w:fill="F2F2F2"/>
            <w:noWrap/>
            <w:vAlign w:val="bottom"/>
            <w:hideMark/>
          </w:tcPr>
          <w:p w14:paraId="61910ED5"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14F2D9A6"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439467BB"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r>
      <w:tr w:rsidR="00761800" w:rsidRPr="00761800" w14:paraId="057CDD8F" w14:textId="77777777" w:rsidTr="00406B4D">
        <w:trPr>
          <w:trHeight w:val="240"/>
        </w:trPr>
        <w:tc>
          <w:tcPr>
            <w:tcW w:w="2977" w:type="dxa"/>
            <w:tcBorders>
              <w:top w:val="nil"/>
              <w:left w:val="nil"/>
              <w:bottom w:val="single" w:sz="4" w:space="0" w:color="auto"/>
              <w:right w:val="nil"/>
            </w:tcBorders>
            <w:shd w:val="clear" w:color="000000" w:fill="FFFFFF"/>
            <w:vAlign w:val="center"/>
            <w:hideMark/>
          </w:tcPr>
          <w:p w14:paraId="0414AF71"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Здравеопазване</w:t>
            </w:r>
          </w:p>
        </w:tc>
        <w:tc>
          <w:tcPr>
            <w:tcW w:w="957" w:type="dxa"/>
            <w:tcBorders>
              <w:top w:val="nil"/>
              <w:left w:val="nil"/>
              <w:bottom w:val="single" w:sz="4" w:space="0" w:color="auto"/>
              <w:right w:val="nil"/>
            </w:tcBorders>
            <w:shd w:val="clear" w:color="000000" w:fill="FFFFFF"/>
            <w:noWrap/>
            <w:vAlign w:val="bottom"/>
            <w:hideMark/>
          </w:tcPr>
          <w:p w14:paraId="289B24AB"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6 043,8</w:t>
            </w:r>
          </w:p>
        </w:tc>
        <w:tc>
          <w:tcPr>
            <w:tcW w:w="739" w:type="dxa"/>
            <w:tcBorders>
              <w:top w:val="nil"/>
              <w:left w:val="nil"/>
              <w:bottom w:val="single" w:sz="4" w:space="0" w:color="auto"/>
              <w:right w:val="nil"/>
            </w:tcBorders>
            <w:shd w:val="clear" w:color="000000" w:fill="FFFFFF"/>
            <w:noWrap/>
            <w:vAlign w:val="bottom"/>
            <w:hideMark/>
          </w:tcPr>
          <w:p w14:paraId="62DA8AD0"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6 664,4</w:t>
            </w:r>
          </w:p>
        </w:tc>
        <w:tc>
          <w:tcPr>
            <w:tcW w:w="902" w:type="dxa"/>
            <w:tcBorders>
              <w:top w:val="nil"/>
              <w:left w:val="nil"/>
              <w:bottom w:val="single" w:sz="4" w:space="0" w:color="auto"/>
              <w:right w:val="nil"/>
            </w:tcBorders>
            <w:shd w:val="clear" w:color="000000" w:fill="FFFFFF"/>
            <w:noWrap/>
            <w:vAlign w:val="bottom"/>
            <w:hideMark/>
          </w:tcPr>
          <w:p w14:paraId="750C2D78"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6 765,9</w:t>
            </w:r>
          </w:p>
        </w:tc>
        <w:tc>
          <w:tcPr>
            <w:tcW w:w="902" w:type="dxa"/>
            <w:tcBorders>
              <w:top w:val="nil"/>
              <w:left w:val="nil"/>
              <w:bottom w:val="single" w:sz="4" w:space="0" w:color="auto"/>
              <w:right w:val="nil"/>
            </w:tcBorders>
            <w:shd w:val="clear" w:color="000000" w:fill="FFFFFF"/>
            <w:noWrap/>
            <w:vAlign w:val="bottom"/>
            <w:hideMark/>
          </w:tcPr>
          <w:p w14:paraId="6F39419D"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6 981,4</w:t>
            </w:r>
          </w:p>
        </w:tc>
        <w:tc>
          <w:tcPr>
            <w:tcW w:w="865" w:type="dxa"/>
            <w:tcBorders>
              <w:top w:val="nil"/>
              <w:left w:val="nil"/>
              <w:bottom w:val="single" w:sz="4" w:space="0" w:color="auto"/>
              <w:right w:val="nil"/>
            </w:tcBorders>
            <w:shd w:val="clear" w:color="000000" w:fill="F2F2F2"/>
            <w:noWrap/>
            <w:vAlign w:val="bottom"/>
            <w:hideMark/>
          </w:tcPr>
          <w:p w14:paraId="029708F8"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5,5%</w:t>
            </w:r>
          </w:p>
        </w:tc>
        <w:tc>
          <w:tcPr>
            <w:tcW w:w="880" w:type="dxa"/>
            <w:tcBorders>
              <w:top w:val="nil"/>
              <w:left w:val="nil"/>
              <w:bottom w:val="single" w:sz="4" w:space="0" w:color="auto"/>
              <w:right w:val="nil"/>
            </w:tcBorders>
            <w:shd w:val="clear" w:color="000000" w:fill="F2F2F2"/>
            <w:noWrap/>
            <w:vAlign w:val="bottom"/>
            <w:hideMark/>
          </w:tcPr>
          <w:p w14:paraId="773FB8FA"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5,3%</w:t>
            </w:r>
          </w:p>
        </w:tc>
        <w:tc>
          <w:tcPr>
            <w:tcW w:w="880" w:type="dxa"/>
            <w:tcBorders>
              <w:top w:val="nil"/>
              <w:left w:val="nil"/>
              <w:bottom w:val="single" w:sz="4" w:space="0" w:color="auto"/>
              <w:right w:val="nil"/>
            </w:tcBorders>
            <w:shd w:val="clear" w:color="000000" w:fill="F2F2F2"/>
            <w:noWrap/>
            <w:vAlign w:val="bottom"/>
            <w:hideMark/>
          </w:tcPr>
          <w:p w14:paraId="62A85970"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5,0%</w:t>
            </w:r>
          </w:p>
        </w:tc>
        <w:tc>
          <w:tcPr>
            <w:tcW w:w="880" w:type="dxa"/>
            <w:tcBorders>
              <w:top w:val="nil"/>
              <w:left w:val="nil"/>
              <w:bottom w:val="single" w:sz="4" w:space="0" w:color="auto"/>
              <w:right w:val="nil"/>
            </w:tcBorders>
            <w:shd w:val="clear" w:color="000000" w:fill="F2F2F2"/>
            <w:noWrap/>
            <w:vAlign w:val="bottom"/>
            <w:hideMark/>
          </w:tcPr>
          <w:p w14:paraId="6F7C0FF3"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4,9%</w:t>
            </w:r>
          </w:p>
        </w:tc>
      </w:tr>
      <w:tr w:rsidR="00761800" w:rsidRPr="00761800" w14:paraId="38513C4B" w14:textId="77777777" w:rsidTr="00406B4D">
        <w:trPr>
          <w:trHeight w:val="75"/>
        </w:trPr>
        <w:tc>
          <w:tcPr>
            <w:tcW w:w="2977" w:type="dxa"/>
            <w:tcBorders>
              <w:top w:val="nil"/>
              <w:left w:val="nil"/>
              <w:bottom w:val="nil"/>
              <w:right w:val="nil"/>
            </w:tcBorders>
            <w:shd w:val="clear" w:color="000000" w:fill="FFFFFF"/>
            <w:vAlign w:val="center"/>
            <w:hideMark/>
          </w:tcPr>
          <w:p w14:paraId="224C693A"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957" w:type="dxa"/>
            <w:tcBorders>
              <w:top w:val="nil"/>
              <w:left w:val="nil"/>
              <w:bottom w:val="nil"/>
              <w:right w:val="nil"/>
            </w:tcBorders>
            <w:shd w:val="clear" w:color="000000" w:fill="FFFFFF"/>
            <w:noWrap/>
            <w:vAlign w:val="bottom"/>
            <w:hideMark/>
          </w:tcPr>
          <w:p w14:paraId="686DAB56" w14:textId="77777777" w:rsidR="00761800" w:rsidRPr="00761800" w:rsidRDefault="00761800" w:rsidP="00761800">
            <w:pPr>
              <w:jc w:val="right"/>
              <w:rPr>
                <w:rFonts w:ascii="Times New Roman" w:hAnsi="Times New Roman"/>
                <w:b/>
                <w:bCs/>
                <w:color w:val="FF0000"/>
                <w:sz w:val="16"/>
                <w:szCs w:val="16"/>
                <w:lang w:eastAsia="bg-BG"/>
              </w:rPr>
            </w:pPr>
            <w:r w:rsidRPr="00761800">
              <w:rPr>
                <w:rFonts w:ascii="Times New Roman" w:hAnsi="Times New Roman"/>
                <w:b/>
                <w:bCs/>
                <w:color w:val="FF0000"/>
                <w:sz w:val="16"/>
                <w:szCs w:val="16"/>
                <w:lang w:eastAsia="bg-BG"/>
              </w:rPr>
              <w:t> </w:t>
            </w:r>
          </w:p>
        </w:tc>
        <w:tc>
          <w:tcPr>
            <w:tcW w:w="739" w:type="dxa"/>
            <w:tcBorders>
              <w:top w:val="nil"/>
              <w:left w:val="nil"/>
              <w:bottom w:val="nil"/>
              <w:right w:val="nil"/>
            </w:tcBorders>
            <w:shd w:val="clear" w:color="000000" w:fill="FFFFFF"/>
            <w:noWrap/>
            <w:vAlign w:val="bottom"/>
            <w:hideMark/>
          </w:tcPr>
          <w:p w14:paraId="5252F734"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nil"/>
              <w:left w:val="nil"/>
              <w:bottom w:val="nil"/>
              <w:right w:val="nil"/>
            </w:tcBorders>
            <w:shd w:val="clear" w:color="000000" w:fill="FFFFFF"/>
            <w:noWrap/>
            <w:vAlign w:val="bottom"/>
            <w:hideMark/>
          </w:tcPr>
          <w:p w14:paraId="53E2747C"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nil"/>
              <w:left w:val="nil"/>
              <w:bottom w:val="nil"/>
              <w:right w:val="nil"/>
            </w:tcBorders>
            <w:shd w:val="clear" w:color="000000" w:fill="FFFFFF"/>
            <w:noWrap/>
            <w:vAlign w:val="bottom"/>
            <w:hideMark/>
          </w:tcPr>
          <w:p w14:paraId="319B96C9"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865" w:type="dxa"/>
            <w:tcBorders>
              <w:top w:val="nil"/>
              <w:left w:val="nil"/>
              <w:bottom w:val="nil"/>
              <w:right w:val="nil"/>
            </w:tcBorders>
            <w:shd w:val="clear" w:color="000000" w:fill="F2F2F2"/>
            <w:noWrap/>
            <w:vAlign w:val="bottom"/>
            <w:hideMark/>
          </w:tcPr>
          <w:p w14:paraId="38F4596A"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880" w:type="dxa"/>
            <w:tcBorders>
              <w:top w:val="nil"/>
              <w:left w:val="nil"/>
              <w:bottom w:val="nil"/>
              <w:right w:val="nil"/>
            </w:tcBorders>
            <w:shd w:val="clear" w:color="000000" w:fill="F2F2F2"/>
            <w:noWrap/>
            <w:vAlign w:val="bottom"/>
            <w:hideMark/>
          </w:tcPr>
          <w:p w14:paraId="1116FA6C"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3991BC94"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26FC4E36"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r>
      <w:tr w:rsidR="00761800" w:rsidRPr="00761800" w14:paraId="57779B10" w14:textId="77777777" w:rsidTr="00406B4D">
        <w:trPr>
          <w:trHeight w:val="285"/>
        </w:trPr>
        <w:tc>
          <w:tcPr>
            <w:tcW w:w="2977" w:type="dxa"/>
            <w:tcBorders>
              <w:top w:val="nil"/>
              <w:left w:val="nil"/>
              <w:bottom w:val="nil"/>
              <w:right w:val="nil"/>
            </w:tcBorders>
            <w:shd w:val="clear" w:color="000000" w:fill="FFFFFF"/>
            <w:vAlign w:val="center"/>
            <w:hideMark/>
          </w:tcPr>
          <w:p w14:paraId="1F82D873"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 xml:space="preserve">Социално осигуряване, подпомагане и грижи </w:t>
            </w:r>
          </w:p>
        </w:tc>
        <w:tc>
          <w:tcPr>
            <w:tcW w:w="957" w:type="dxa"/>
            <w:tcBorders>
              <w:top w:val="nil"/>
              <w:left w:val="nil"/>
              <w:bottom w:val="nil"/>
              <w:right w:val="nil"/>
            </w:tcBorders>
            <w:shd w:val="clear" w:color="000000" w:fill="FFFFFF"/>
            <w:noWrap/>
            <w:vAlign w:val="bottom"/>
            <w:hideMark/>
          </w:tcPr>
          <w:p w14:paraId="79B66706"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17 341,9</w:t>
            </w:r>
          </w:p>
        </w:tc>
        <w:tc>
          <w:tcPr>
            <w:tcW w:w="739" w:type="dxa"/>
            <w:tcBorders>
              <w:top w:val="nil"/>
              <w:left w:val="nil"/>
              <w:bottom w:val="nil"/>
              <w:right w:val="nil"/>
            </w:tcBorders>
            <w:shd w:val="clear" w:color="000000" w:fill="FFFFFF"/>
            <w:noWrap/>
            <w:vAlign w:val="bottom"/>
            <w:hideMark/>
          </w:tcPr>
          <w:p w14:paraId="659B5AAC"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19 240,7</w:t>
            </w:r>
          </w:p>
        </w:tc>
        <w:tc>
          <w:tcPr>
            <w:tcW w:w="902" w:type="dxa"/>
            <w:tcBorders>
              <w:top w:val="nil"/>
              <w:left w:val="nil"/>
              <w:bottom w:val="nil"/>
              <w:right w:val="nil"/>
            </w:tcBorders>
            <w:shd w:val="clear" w:color="000000" w:fill="FFFFFF"/>
            <w:noWrap/>
            <w:vAlign w:val="bottom"/>
            <w:hideMark/>
          </w:tcPr>
          <w:p w14:paraId="13F25E51"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20 047,5</w:t>
            </w:r>
          </w:p>
        </w:tc>
        <w:tc>
          <w:tcPr>
            <w:tcW w:w="902" w:type="dxa"/>
            <w:tcBorders>
              <w:top w:val="nil"/>
              <w:left w:val="nil"/>
              <w:bottom w:val="nil"/>
              <w:right w:val="nil"/>
            </w:tcBorders>
            <w:shd w:val="clear" w:color="000000" w:fill="FFFFFF"/>
            <w:noWrap/>
            <w:vAlign w:val="bottom"/>
            <w:hideMark/>
          </w:tcPr>
          <w:p w14:paraId="5418F722"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21 268,6</w:t>
            </w:r>
          </w:p>
        </w:tc>
        <w:tc>
          <w:tcPr>
            <w:tcW w:w="865" w:type="dxa"/>
            <w:tcBorders>
              <w:top w:val="nil"/>
              <w:left w:val="nil"/>
              <w:bottom w:val="nil"/>
              <w:right w:val="nil"/>
            </w:tcBorders>
            <w:shd w:val="clear" w:color="000000" w:fill="F2F2F2"/>
            <w:noWrap/>
            <w:vAlign w:val="bottom"/>
            <w:hideMark/>
          </w:tcPr>
          <w:p w14:paraId="5CCDA58C"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15,8%</w:t>
            </w:r>
          </w:p>
        </w:tc>
        <w:tc>
          <w:tcPr>
            <w:tcW w:w="880" w:type="dxa"/>
            <w:tcBorders>
              <w:top w:val="nil"/>
              <w:left w:val="nil"/>
              <w:bottom w:val="nil"/>
              <w:right w:val="nil"/>
            </w:tcBorders>
            <w:shd w:val="clear" w:color="000000" w:fill="F2F2F2"/>
            <w:noWrap/>
            <w:vAlign w:val="bottom"/>
            <w:hideMark/>
          </w:tcPr>
          <w:p w14:paraId="5854CFAA"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15,4%</w:t>
            </w:r>
          </w:p>
        </w:tc>
        <w:tc>
          <w:tcPr>
            <w:tcW w:w="880" w:type="dxa"/>
            <w:tcBorders>
              <w:top w:val="nil"/>
              <w:left w:val="nil"/>
              <w:bottom w:val="nil"/>
              <w:right w:val="nil"/>
            </w:tcBorders>
            <w:shd w:val="clear" w:color="000000" w:fill="F2F2F2"/>
            <w:noWrap/>
            <w:vAlign w:val="bottom"/>
            <w:hideMark/>
          </w:tcPr>
          <w:p w14:paraId="48AF8480"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14,9%</w:t>
            </w:r>
          </w:p>
        </w:tc>
        <w:tc>
          <w:tcPr>
            <w:tcW w:w="880" w:type="dxa"/>
            <w:tcBorders>
              <w:top w:val="nil"/>
              <w:left w:val="nil"/>
              <w:bottom w:val="nil"/>
              <w:right w:val="nil"/>
            </w:tcBorders>
            <w:shd w:val="clear" w:color="000000" w:fill="F2F2F2"/>
            <w:noWrap/>
            <w:vAlign w:val="bottom"/>
            <w:hideMark/>
          </w:tcPr>
          <w:p w14:paraId="107AF0E1"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14,8%</w:t>
            </w:r>
          </w:p>
        </w:tc>
      </w:tr>
      <w:tr w:rsidR="00761800" w:rsidRPr="00761800" w14:paraId="38AEBA4A" w14:textId="77777777" w:rsidTr="00406B4D">
        <w:trPr>
          <w:trHeight w:val="225"/>
        </w:trPr>
        <w:tc>
          <w:tcPr>
            <w:tcW w:w="2977" w:type="dxa"/>
            <w:tcBorders>
              <w:top w:val="nil"/>
              <w:left w:val="nil"/>
              <w:bottom w:val="nil"/>
              <w:right w:val="nil"/>
            </w:tcBorders>
            <w:shd w:val="clear" w:color="000000" w:fill="FFFFFF"/>
            <w:vAlign w:val="center"/>
            <w:hideMark/>
          </w:tcPr>
          <w:p w14:paraId="22849EEA"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пенсии</w:t>
            </w:r>
          </w:p>
        </w:tc>
        <w:tc>
          <w:tcPr>
            <w:tcW w:w="957" w:type="dxa"/>
            <w:tcBorders>
              <w:top w:val="nil"/>
              <w:left w:val="nil"/>
              <w:bottom w:val="nil"/>
              <w:right w:val="nil"/>
            </w:tcBorders>
            <w:shd w:val="clear" w:color="000000" w:fill="FFFFFF"/>
            <w:noWrap/>
            <w:vAlign w:val="bottom"/>
            <w:hideMark/>
          </w:tcPr>
          <w:p w14:paraId="54D13246"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12 389,0</w:t>
            </w:r>
          </w:p>
        </w:tc>
        <w:tc>
          <w:tcPr>
            <w:tcW w:w="739" w:type="dxa"/>
            <w:tcBorders>
              <w:top w:val="nil"/>
              <w:left w:val="nil"/>
              <w:bottom w:val="nil"/>
              <w:right w:val="nil"/>
            </w:tcBorders>
            <w:shd w:val="clear" w:color="000000" w:fill="FFFFFF"/>
            <w:noWrap/>
            <w:vAlign w:val="bottom"/>
            <w:hideMark/>
          </w:tcPr>
          <w:p w14:paraId="78829B44"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13 578,7</w:t>
            </w:r>
          </w:p>
        </w:tc>
        <w:tc>
          <w:tcPr>
            <w:tcW w:w="902" w:type="dxa"/>
            <w:tcBorders>
              <w:top w:val="nil"/>
              <w:left w:val="nil"/>
              <w:bottom w:val="nil"/>
              <w:right w:val="nil"/>
            </w:tcBorders>
            <w:shd w:val="clear" w:color="000000" w:fill="FFFFFF"/>
            <w:noWrap/>
            <w:vAlign w:val="bottom"/>
            <w:hideMark/>
          </w:tcPr>
          <w:p w14:paraId="458B78DD"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14 655,4</w:t>
            </w:r>
          </w:p>
        </w:tc>
        <w:tc>
          <w:tcPr>
            <w:tcW w:w="902" w:type="dxa"/>
            <w:tcBorders>
              <w:top w:val="nil"/>
              <w:left w:val="nil"/>
              <w:bottom w:val="nil"/>
              <w:right w:val="nil"/>
            </w:tcBorders>
            <w:shd w:val="clear" w:color="000000" w:fill="FFFFFF"/>
            <w:noWrap/>
            <w:vAlign w:val="bottom"/>
            <w:hideMark/>
          </w:tcPr>
          <w:p w14:paraId="12A8853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15 708,5</w:t>
            </w:r>
          </w:p>
        </w:tc>
        <w:tc>
          <w:tcPr>
            <w:tcW w:w="865" w:type="dxa"/>
            <w:tcBorders>
              <w:top w:val="nil"/>
              <w:left w:val="nil"/>
              <w:bottom w:val="nil"/>
              <w:right w:val="nil"/>
            </w:tcBorders>
            <w:shd w:val="clear" w:color="000000" w:fill="F2F2F2"/>
            <w:noWrap/>
            <w:vAlign w:val="bottom"/>
            <w:hideMark/>
          </w:tcPr>
          <w:p w14:paraId="660A402D"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11,3%</w:t>
            </w:r>
          </w:p>
        </w:tc>
        <w:tc>
          <w:tcPr>
            <w:tcW w:w="880" w:type="dxa"/>
            <w:tcBorders>
              <w:top w:val="nil"/>
              <w:left w:val="nil"/>
              <w:bottom w:val="nil"/>
              <w:right w:val="nil"/>
            </w:tcBorders>
            <w:shd w:val="clear" w:color="000000" w:fill="F2F2F2"/>
            <w:noWrap/>
            <w:vAlign w:val="bottom"/>
            <w:hideMark/>
          </w:tcPr>
          <w:p w14:paraId="324CF1F7"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10,8%</w:t>
            </w:r>
          </w:p>
        </w:tc>
        <w:tc>
          <w:tcPr>
            <w:tcW w:w="880" w:type="dxa"/>
            <w:tcBorders>
              <w:top w:val="nil"/>
              <w:left w:val="nil"/>
              <w:bottom w:val="nil"/>
              <w:right w:val="nil"/>
            </w:tcBorders>
            <w:shd w:val="clear" w:color="000000" w:fill="F2F2F2"/>
            <w:noWrap/>
            <w:vAlign w:val="bottom"/>
            <w:hideMark/>
          </w:tcPr>
          <w:p w14:paraId="4CEB4E9F"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10,9%</w:t>
            </w:r>
          </w:p>
        </w:tc>
        <w:tc>
          <w:tcPr>
            <w:tcW w:w="880" w:type="dxa"/>
            <w:tcBorders>
              <w:top w:val="nil"/>
              <w:left w:val="nil"/>
              <w:bottom w:val="nil"/>
              <w:right w:val="nil"/>
            </w:tcBorders>
            <w:shd w:val="clear" w:color="000000" w:fill="F2F2F2"/>
            <w:noWrap/>
            <w:vAlign w:val="bottom"/>
            <w:hideMark/>
          </w:tcPr>
          <w:p w14:paraId="7A3404F2"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11,0%</w:t>
            </w:r>
          </w:p>
        </w:tc>
      </w:tr>
      <w:tr w:rsidR="00761800" w:rsidRPr="00761800" w14:paraId="29B25E52" w14:textId="77777777" w:rsidTr="00406B4D">
        <w:trPr>
          <w:trHeight w:val="225"/>
        </w:trPr>
        <w:tc>
          <w:tcPr>
            <w:tcW w:w="2977" w:type="dxa"/>
            <w:tcBorders>
              <w:top w:val="nil"/>
              <w:left w:val="nil"/>
              <w:bottom w:val="nil"/>
              <w:right w:val="nil"/>
            </w:tcBorders>
            <w:shd w:val="clear" w:color="000000" w:fill="FFFFFF"/>
            <w:vAlign w:val="center"/>
            <w:hideMark/>
          </w:tcPr>
          <w:p w14:paraId="222D84D2"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социални помощи и обезщетения</w:t>
            </w:r>
          </w:p>
        </w:tc>
        <w:tc>
          <w:tcPr>
            <w:tcW w:w="957" w:type="dxa"/>
            <w:tcBorders>
              <w:top w:val="nil"/>
              <w:left w:val="nil"/>
              <w:bottom w:val="nil"/>
              <w:right w:val="nil"/>
            </w:tcBorders>
            <w:shd w:val="clear" w:color="000000" w:fill="FFFFFF"/>
            <w:noWrap/>
            <w:vAlign w:val="bottom"/>
            <w:hideMark/>
          </w:tcPr>
          <w:p w14:paraId="474D4142"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3 217,4</w:t>
            </w:r>
          </w:p>
        </w:tc>
        <w:tc>
          <w:tcPr>
            <w:tcW w:w="739" w:type="dxa"/>
            <w:tcBorders>
              <w:top w:val="nil"/>
              <w:left w:val="nil"/>
              <w:bottom w:val="nil"/>
              <w:right w:val="nil"/>
            </w:tcBorders>
            <w:shd w:val="clear" w:color="000000" w:fill="FFFFFF"/>
            <w:noWrap/>
            <w:vAlign w:val="bottom"/>
            <w:hideMark/>
          </w:tcPr>
          <w:p w14:paraId="79CD5A1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3 596,8</w:t>
            </w:r>
          </w:p>
        </w:tc>
        <w:tc>
          <w:tcPr>
            <w:tcW w:w="902" w:type="dxa"/>
            <w:tcBorders>
              <w:top w:val="nil"/>
              <w:left w:val="nil"/>
              <w:bottom w:val="nil"/>
              <w:right w:val="nil"/>
            </w:tcBorders>
            <w:shd w:val="clear" w:color="000000" w:fill="FFFFFF"/>
            <w:noWrap/>
            <w:vAlign w:val="bottom"/>
            <w:hideMark/>
          </w:tcPr>
          <w:p w14:paraId="560516E4"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3 818,5</w:t>
            </w:r>
          </w:p>
        </w:tc>
        <w:tc>
          <w:tcPr>
            <w:tcW w:w="902" w:type="dxa"/>
            <w:tcBorders>
              <w:top w:val="nil"/>
              <w:left w:val="nil"/>
              <w:bottom w:val="nil"/>
              <w:right w:val="nil"/>
            </w:tcBorders>
            <w:shd w:val="clear" w:color="000000" w:fill="FFFFFF"/>
            <w:noWrap/>
            <w:vAlign w:val="bottom"/>
            <w:hideMark/>
          </w:tcPr>
          <w:p w14:paraId="1C4C0511"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3 892,7</w:t>
            </w:r>
          </w:p>
        </w:tc>
        <w:tc>
          <w:tcPr>
            <w:tcW w:w="865" w:type="dxa"/>
            <w:tcBorders>
              <w:top w:val="nil"/>
              <w:left w:val="nil"/>
              <w:bottom w:val="nil"/>
              <w:right w:val="nil"/>
            </w:tcBorders>
            <w:shd w:val="clear" w:color="000000" w:fill="F2F2F2"/>
            <w:noWrap/>
            <w:vAlign w:val="bottom"/>
            <w:hideMark/>
          </w:tcPr>
          <w:p w14:paraId="2B6B27A8"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2,9%</w:t>
            </w:r>
          </w:p>
        </w:tc>
        <w:tc>
          <w:tcPr>
            <w:tcW w:w="880" w:type="dxa"/>
            <w:tcBorders>
              <w:top w:val="nil"/>
              <w:left w:val="nil"/>
              <w:bottom w:val="nil"/>
              <w:right w:val="nil"/>
            </w:tcBorders>
            <w:shd w:val="clear" w:color="000000" w:fill="F2F2F2"/>
            <w:noWrap/>
            <w:vAlign w:val="bottom"/>
            <w:hideMark/>
          </w:tcPr>
          <w:p w14:paraId="48DD20A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2,9%</w:t>
            </w:r>
          </w:p>
        </w:tc>
        <w:tc>
          <w:tcPr>
            <w:tcW w:w="880" w:type="dxa"/>
            <w:tcBorders>
              <w:top w:val="nil"/>
              <w:left w:val="nil"/>
              <w:bottom w:val="nil"/>
              <w:right w:val="nil"/>
            </w:tcBorders>
            <w:shd w:val="clear" w:color="000000" w:fill="F2F2F2"/>
            <w:noWrap/>
            <w:vAlign w:val="bottom"/>
            <w:hideMark/>
          </w:tcPr>
          <w:p w14:paraId="6639E76D"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2,8%</w:t>
            </w:r>
          </w:p>
        </w:tc>
        <w:tc>
          <w:tcPr>
            <w:tcW w:w="880" w:type="dxa"/>
            <w:tcBorders>
              <w:top w:val="nil"/>
              <w:left w:val="nil"/>
              <w:bottom w:val="nil"/>
              <w:right w:val="nil"/>
            </w:tcBorders>
            <w:shd w:val="clear" w:color="000000" w:fill="F2F2F2"/>
            <w:noWrap/>
            <w:vAlign w:val="bottom"/>
            <w:hideMark/>
          </w:tcPr>
          <w:p w14:paraId="5670351C"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2,7%</w:t>
            </w:r>
          </w:p>
        </w:tc>
      </w:tr>
      <w:tr w:rsidR="00761800" w:rsidRPr="00761800" w14:paraId="73FC217C" w14:textId="77777777" w:rsidTr="00406B4D">
        <w:trPr>
          <w:trHeight w:val="450"/>
        </w:trPr>
        <w:tc>
          <w:tcPr>
            <w:tcW w:w="2977" w:type="dxa"/>
            <w:tcBorders>
              <w:top w:val="nil"/>
              <w:left w:val="nil"/>
              <w:bottom w:val="single" w:sz="4" w:space="0" w:color="auto"/>
              <w:right w:val="nil"/>
            </w:tcBorders>
            <w:shd w:val="clear" w:color="000000" w:fill="FFFFFF"/>
            <w:vAlign w:val="center"/>
            <w:hideMark/>
          </w:tcPr>
          <w:p w14:paraId="3AD93FE3"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програми, дейности и служби по социалното осигуряване, подпомагане и заетостта</w:t>
            </w:r>
          </w:p>
        </w:tc>
        <w:tc>
          <w:tcPr>
            <w:tcW w:w="957" w:type="dxa"/>
            <w:tcBorders>
              <w:top w:val="nil"/>
              <w:left w:val="nil"/>
              <w:bottom w:val="single" w:sz="4" w:space="0" w:color="auto"/>
              <w:right w:val="nil"/>
            </w:tcBorders>
            <w:shd w:val="clear" w:color="000000" w:fill="FFFFFF"/>
            <w:noWrap/>
            <w:vAlign w:val="bottom"/>
            <w:hideMark/>
          </w:tcPr>
          <w:p w14:paraId="3B74C7F9"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1 735,6</w:t>
            </w:r>
          </w:p>
        </w:tc>
        <w:tc>
          <w:tcPr>
            <w:tcW w:w="739" w:type="dxa"/>
            <w:tcBorders>
              <w:top w:val="nil"/>
              <w:left w:val="nil"/>
              <w:bottom w:val="single" w:sz="4" w:space="0" w:color="auto"/>
              <w:right w:val="nil"/>
            </w:tcBorders>
            <w:shd w:val="clear" w:color="000000" w:fill="FFFFFF"/>
            <w:noWrap/>
            <w:vAlign w:val="bottom"/>
            <w:hideMark/>
          </w:tcPr>
          <w:p w14:paraId="0A28738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2 065,2</w:t>
            </w:r>
          </w:p>
        </w:tc>
        <w:tc>
          <w:tcPr>
            <w:tcW w:w="902" w:type="dxa"/>
            <w:tcBorders>
              <w:top w:val="nil"/>
              <w:left w:val="nil"/>
              <w:bottom w:val="single" w:sz="4" w:space="0" w:color="auto"/>
              <w:right w:val="nil"/>
            </w:tcBorders>
            <w:shd w:val="clear" w:color="000000" w:fill="FFFFFF"/>
            <w:noWrap/>
            <w:vAlign w:val="bottom"/>
            <w:hideMark/>
          </w:tcPr>
          <w:p w14:paraId="4CE3B962"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1 573,6</w:t>
            </w:r>
          </w:p>
        </w:tc>
        <w:tc>
          <w:tcPr>
            <w:tcW w:w="902" w:type="dxa"/>
            <w:tcBorders>
              <w:top w:val="nil"/>
              <w:left w:val="nil"/>
              <w:bottom w:val="single" w:sz="4" w:space="0" w:color="auto"/>
              <w:right w:val="nil"/>
            </w:tcBorders>
            <w:shd w:val="clear" w:color="000000" w:fill="FFFFFF"/>
            <w:noWrap/>
            <w:vAlign w:val="bottom"/>
            <w:hideMark/>
          </w:tcPr>
          <w:p w14:paraId="574BD42B"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1 667,4</w:t>
            </w:r>
          </w:p>
        </w:tc>
        <w:tc>
          <w:tcPr>
            <w:tcW w:w="865" w:type="dxa"/>
            <w:tcBorders>
              <w:top w:val="nil"/>
              <w:left w:val="nil"/>
              <w:bottom w:val="single" w:sz="4" w:space="0" w:color="auto"/>
              <w:right w:val="nil"/>
            </w:tcBorders>
            <w:shd w:val="clear" w:color="000000" w:fill="F2F2F2"/>
            <w:noWrap/>
            <w:vAlign w:val="bottom"/>
            <w:hideMark/>
          </w:tcPr>
          <w:p w14:paraId="13176139"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1,6%</w:t>
            </w:r>
          </w:p>
        </w:tc>
        <w:tc>
          <w:tcPr>
            <w:tcW w:w="880" w:type="dxa"/>
            <w:tcBorders>
              <w:top w:val="nil"/>
              <w:left w:val="nil"/>
              <w:bottom w:val="single" w:sz="4" w:space="0" w:color="auto"/>
              <w:right w:val="nil"/>
            </w:tcBorders>
            <w:shd w:val="clear" w:color="000000" w:fill="F2F2F2"/>
            <w:noWrap/>
            <w:vAlign w:val="bottom"/>
            <w:hideMark/>
          </w:tcPr>
          <w:p w14:paraId="02F974E5"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1,6%</w:t>
            </w:r>
          </w:p>
        </w:tc>
        <w:tc>
          <w:tcPr>
            <w:tcW w:w="880" w:type="dxa"/>
            <w:tcBorders>
              <w:top w:val="nil"/>
              <w:left w:val="nil"/>
              <w:bottom w:val="single" w:sz="4" w:space="0" w:color="auto"/>
              <w:right w:val="nil"/>
            </w:tcBorders>
            <w:shd w:val="clear" w:color="000000" w:fill="F2F2F2"/>
            <w:noWrap/>
            <w:vAlign w:val="bottom"/>
            <w:hideMark/>
          </w:tcPr>
          <w:p w14:paraId="3706169C"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1,2%</w:t>
            </w:r>
          </w:p>
        </w:tc>
        <w:tc>
          <w:tcPr>
            <w:tcW w:w="880" w:type="dxa"/>
            <w:tcBorders>
              <w:top w:val="nil"/>
              <w:left w:val="nil"/>
              <w:bottom w:val="single" w:sz="4" w:space="0" w:color="auto"/>
              <w:right w:val="nil"/>
            </w:tcBorders>
            <w:shd w:val="clear" w:color="000000" w:fill="F2F2F2"/>
            <w:noWrap/>
            <w:vAlign w:val="bottom"/>
            <w:hideMark/>
          </w:tcPr>
          <w:p w14:paraId="7F9E38F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1,2%</w:t>
            </w:r>
          </w:p>
        </w:tc>
      </w:tr>
      <w:tr w:rsidR="00761800" w:rsidRPr="00761800" w14:paraId="38818D65" w14:textId="77777777" w:rsidTr="00406B4D">
        <w:trPr>
          <w:trHeight w:val="75"/>
        </w:trPr>
        <w:tc>
          <w:tcPr>
            <w:tcW w:w="2977" w:type="dxa"/>
            <w:tcBorders>
              <w:top w:val="nil"/>
              <w:left w:val="nil"/>
              <w:bottom w:val="nil"/>
              <w:right w:val="nil"/>
            </w:tcBorders>
            <w:shd w:val="clear" w:color="000000" w:fill="FFFFFF"/>
            <w:vAlign w:val="center"/>
            <w:hideMark/>
          </w:tcPr>
          <w:p w14:paraId="2A9D9672"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957" w:type="dxa"/>
            <w:tcBorders>
              <w:top w:val="nil"/>
              <w:left w:val="nil"/>
              <w:bottom w:val="nil"/>
              <w:right w:val="nil"/>
            </w:tcBorders>
            <w:shd w:val="clear" w:color="000000" w:fill="FFFFFF"/>
            <w:noWrap/>
            <w:vAlign w:val="bottom"/>
            <w:hideMark/>
          </w:tcPr>
          <w:p w14:paraId="7AA16BC0" w14:textId="77777777" w:rsidR="00761800" w:rsidRPr="00761800" w:rsidRDefault="00761800" w:rsidP="00761800">
            <w:pPr>
              <w:jc w:val="right"/>
              <w:rPr>
                <w:rFonts w:ascii="Times New Roman" w:hAnsi="Times New Roman"/>
                <w:b/>
                <w:bCs/>
                <w:color w:val="FF0000"/>
                <w:sz w:val="16"/>
                <w:szCs w:val="16"/>
                <w:lang w:eastAsia="bg-BG"/>
              </w:rPr>
            </w:pPr>
            <w:r w:rsidRPr="00761800">
              <w:rPr>
                <w:rFonts w:ascii="Times New Roman" w:hAnsi="Times New Roman"/>
                <w:b/>
                <w:bCs/>
                <w:color w:val="FF0000"/>
                <w:sz w:val="16"/>
                <w:szCs w:val="16"/>
                <w:lang w:eastAsia="bg-BG"/>
              </w:rPr>
              <w:t> </w:t>
            </w:r>
          </w:p>
        </w:tc>
        <w:tc>
          <w:tcPr>
            <w:tcW w:w="739" w:type="dxa"/>
            <w:tcBorders>
              <w:top w:val="nil"/>
              <w:left w:val="nil"/>
              <w:bottom w:val="nil"/>
              <w:right w:val="nil"/>
            </w:tcBorders>
            <w:shd w:val="clear" w:color="000000" w:fill="FFFFFF"/>
            <w:noWrap/>
            <w:vAlign w:val="bottom"/>
            <w:hideMark/>
          </w:tcPr>
          <w:p w14:paraId="1DAFAAE0"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nil"/>
              <w:left w:val="nil"/>
              <w:bottom w:val="nil"/>
              <w:right w:val="nil"/>
            </w:tcBorders>
            <w:shd w:val="clear" w:color="000000" w:fill="FFFFFF"/>
            <w:noWrap/>
            <w:vAlign w:val="bottom"/>
            <w:hideMark/>
          </w:tcPr>
          <w:p w14:paraId="773B0C3E"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nil"/>
              <w:left w:val="nil"/>
              <w:bottom w:val="nil"/>
              <w:right w:val="nil"/>
            </w:tcBorders>
            <w:shd w:val="clear" w:color="000000" w:fill="FFFFFF"/>
            <w:noWrap/>
            <w:vAlign w:val="bottom"/>
            <w:hideMark/>
          </w:tcPr>
          <w:p w14:paraId="2F51A18F"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865" w:type="dxa"/>
            <w:tcBorders>
              <w:top w:val="nil"/>
              <w:left w:val="nil"/>
              <w:bottom w:val="nil"/>
              <w:right w:val="nil"/>
            </w:tcBorders>
            <w:shd w:val="clear" w:color="000000" w:fill="F2F2F2"/>
            <w:noWrap/>
            <w:vAlign w:val="bottom"/>
            <w:hideMark/>
          </w:tcPr>
          <w:p w14:paraId="69AFA850"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880" w:type="dxa"/>
            <w:tcBorders>
              <w:top w:val="nil"/>
              <w:left w:val="nil"/>
              <w:bottom w:val="nil"/>
              <w:right w:val="nil"/>
            </w:tcBorders>
            <w:shd w:val="clear" w:color="000000" w:fill="F2F2F2"/>
            <w:noWrap/>
            <w:vAlign w:val="bottom"/>
            <w:hideMark/>
          </w:tcPr>
          <w:p w14:paraId="12D8FC34"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29500306"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7D90D67E"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r>
      <w:tr w:rsidR="00761800" w:rsidRPr="00761800" w14:paraId="7B22F0E5" w14:textId="77777777" w:rsidTr="00406B4D">
        <w:trPr>
          <w:trHeight w:val="540"/>
        </w:trPr>
        <w:tc>
          <w:tcPr>
            <w:tcW w:w="2977" w:type="dxa"/>
            <w:tcBorders>
              <w:top w:val="nil"/>
              <w:left w:val="nil"/>
              <w:bottom w:val="nil"/>
              <w:right w:val="nil"/>
            </w:tcBorders>
            <w:shd w:val="clear" w:color="000000" w:fill="FFFFFF"/>
            <w:vAlign w:val="center"/>
            <w:hideMark/>
          </w:tcPr>
          <w:p w14:paraId="5D1A2BA3"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lastRenderedPageBreak/>
              <w:t>Жилищно строителство, благоустройство, комунално стопанство и опазване на околната среда</w:t>
            </w:r>
          </w:p>
        </w:tc>
        <w:tc>
          <w:tcPr>
            <w:tcW w:w="957" w:type="dxa"/>
            <w:tcBorders>
              <w:top w:val="nil"/>
              <w:left w:val="nil"/>
              <w:bottom w:val="nil"/>
              <w:right w:val="nil"/>
            </w:tcBorders>
            <w:shd w:val="clear" w:color="000000" w:fill="FFFFFF"/>
            <w:noWrap/>
            <w:vAlign w:val="bottom"/>
            <w:hideMark/>
          </w:tcPr>
          <w:p w14:paraId="50090526"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2 086,3</w:t>
            </w:r>
          </w:p>
        </w:tc>
        <w:tc>
          <w:tcPr>
            <w:tcW w:w="739" w:type="dxa"/>
            <w:tcBorders>
              <w:top w:val="nil"/>
              <w:left w:val="nil"/>
              <w:bottom w:val="nil"/>
              <w:right w:val="nil"/>
            </w:tcBorders>
            <w:shd w:val="clear" w:color="000000" w:fill="FFFFFF"/>
            <w:noWrap/>
            <w:vAlign w:val="bottom"/>
            <w:hideMark/>
          </w:tcPr>
          <w:p w14:paraId="05176317"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2 710,8</w:t>
            </w:r>
          </w:p>
        </w:tc>
        <w:tc>
          <w:tcPr>
            <w:tcW w:w="902" w:type="dxa"/>
            <w:tcBorders>
              <w:top w:val="nil"/>
              <w:left w:val="nil"/>
              <w:bottom w:val="nil"/>
              <w:right w:val="nil"/>
            </w:tcBorders>
            <w:shd w:val="clear" w:color="000000" w:fill="FFFFFF"/>
            <w:noWrap/>
            <w:vAlign w:val="bottom"/>
            <w:hideMark/>
          </w:tcPr>
          <w:p w14:paraId="6D412C7D"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2 560,3</w:t>
            </w:r>
          </w:p>
        </w:tc>
        <w:tc>
          <w:tcPr>
            <w:tcW w:w="902" w:type="dxa"/>
            <w:tcBorders>
              <w:top w:val="nil"/>
              <w:left w:val="nil"/>
              <w:bottom w:val="nil"/>
              <w:right w:val="nil"/>
            </w:tcBorders>
            <w:shd w:val="clear" w:color="000000" w:fill="FFFFFF"/>
            <w:noWrap/>
            <w:vAlign w:val="bottom"/>
            <w:hideMark/>
          </w:tcPr>
          <w:p w14:paraId="7854AE05"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3 329,6</w:t>
            </w:r>
          </w:p>
        </w:tc>
        <w:tc>
          <w:tcPr>
            <w:tcW w:w="865" w:type="dxa"/>
            <w:tcBorders>
              <w:top w:val="nil"/>
              <w:left w:val="nil"/>
              <w:bottom w:val="nil"/>
              <w:right w:val="nil"/>
            </w:tcBorders>
            <w:shd w:val="clear" w:color="000000" w:fill="F2F2F2"/>
            <w:noWrap/>
            <w:vAlign w:val="bottom"/>
            <w:hideMark/>
          </w:tcPr>
          <w:p w14:paraId="63A4E455"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1,9%</w:t>
            </w:r>
          </w:p>
        </w:tc>
        <w:tc>
          <w:tcPr>
            <w:tcW w:w="880" w:type="dxa"/>
            <w:tcBorders>
              <w:top w:val="nil"/>
              <w:left w:val="nil"/>
              <w:bottom w:val="nil"/>
              <w:right w:val="nil"/>
            </w:tcBorders>
            <w:shd w:val="clear" w:color="000000" w:fill="F2F2F2"/>
            <w:noWrap/>
            <w:vAlign w:val="bottom"/>
            <w:hideMark/>
          </w:tcPr>
          <w:p w14:paraId="47D88E15"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2,2%</w:t>
            </w:r>
          </w:p>
        </w:tc>
        <w:tc>
          <w:tcPr>
            <w:tcW w:w="880" w:type="dxa"/>
            <w:tcBorders>
              <w:top w:val="nil"/>
              <w:left w:val="nil"/>
              <w:bottom w:val="nil"/>
              <w:right w:val="nil"/>
            </w:tcBorders>
            <w:shd w:val="clear" w:color="000000" w:fill="F2F2F2"/>
            <w:noWrap/>
            <w:vAlign w:val="bottom"/>
            <w:hideMark/>
          </w:tcPr>
          <w:p w14:paraId="59CFA979"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1,9%</w:t>
            </w:r>
          </w:p>
        </w:tc>
        <w:tc>
          <w:tcPr>
            <w:tcW w:w="880" w:type="dxa"/>
            <w:tcBorders>
              <w:top w:val="nil"/>
              <w:left w:val="nil"/>
              <w:bottom w:val="nil"/>
              <w:right w:val="nil"/>
            </w:tcBorders>
            <w:shd w:val="clear" w:color="000000" w:fill="F2F2F2"/>
            <w:noWrap/>
            <w:vAlign w:val="bottom"/>
            <w:hideMark/>
          </w:tcPr>
          <w:p w14:paraId="0EA56BBD"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2,3%</w:t>
            </w:r>
          </w:p>
        </w:tc>
      </w:tr>
      <w:tr w:rsidR="00761800" w:rsidRPr="00761800" w14:paraId="0EA2CEBD" w14:textId="77777777" w:rsidTr="00406B4D">
        <w:trPr>
          <w:trHeight w:val="450"/>
        </w:trPr>
        <w:tc>
          <w:tcPr>
            <w:tcW w:w="2977" w:type="dxa"/>
            <w:tcBorders>
              <w:top w:val="nil"/>
              <w:left w:val="nil"/>
              <w:bottom w:val="nil"/>
              <w:right w:val="nil"/>
            </w:tcBorders>
            <w:shd w:val="clear" w:color="000000" w:fill="FFFFFF"/>
            <w:vAlign w:val="center"/>
            <w:hideMark/>
          </w:tcPr>
          <w:p w14:paraId="06808D16"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жилищно строителство, благоустройство, комунално стопанство</w:t>
            </w:r>
          </w:p>
        </w:tc>
        <w:tc>
          <w:tcPr>
            <w:tcW w:w="957" w:type="dxa"/>
            <w:tcBorders>
              <w:top w:val="nil"/>
              <w:left w:val="nil"/>
              <w:bottom w:val="nil"/>
              <w:right w:val="nil"/>
            </w:tcBorders>
            <w:shd w:val="clear" w:color="000000" w:fill="FFFFFF"/>
            <w:noWrap/>
            <w:vAlign w:val="bottom"/>
            <w:hideMark/>
          </w:tcPr>
          <w:p w14:paraId="0CB13D44"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1 259,2</w:t>
            </w:r>
          </w:p>
        </w:tc>
        <w:tc>
          <w:tcPr>
            <w:tcW w:w="739" w:type="dxa"/>
            <w:tcBorders>
              <w:top w:val="nil"/>
              <w:left w:val="nil"/>
              <w:bottom w:val="nil"/>
              <w:right w:val="nil"/>
            </w:tcBorders>
            <w:shd w:val="clear" w:color="000000" w:fill="FFFFFF"/>
            <w:noWrap/>
            <w:vAlign w:val="bottom"/>
            <w:hideMark/>
          </w:tcPr>
          <w:p w14:paraId="06881CFE"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1 886,4</w:t>
            </w:r>
          </w:p>
        </w:tc>
        <w:tc>
          <w:tcPr>
            <w:tcW w:w="902" w:type="dxa"/>
            <w:tcBorders>
              <w:top w:val="nil"/>
              <w:left w:val="nil"/>
              <w:bottom w:val="nil"/>
              <w:right w:val="nil"/>
            </w:tcBorders>
            <w:shd w:val="clear" w:color="000000" w:fill="FFFFFF"/>
            <w:noWrap/>
            <w:vAlign w:val="bottom"/>
            <w:hideMark/>
          </w:tcPr>
          <w:p w14:paraId="2ECCF419"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1 554,6</w:t>
            </w:r>
          </w:p>
        </w:tc>
        <w:tc>
          <w:tcPr>
            <w:tcW w:w="902" w:type="dxa"/>
            <w:tcBorders>
              <w:top w:val="nil"/>
              <w:left w:val="nil"/>
              <w:bottom w:val="nil"/>
              <w:right w:val="nil"/>
            </w:tcBorders>
            <w:shd w:val="clear" w:color="000000" w:fill="FFFFFF"/>
            <w:noWrap/>
            <w:vAlign w:val="bottom"/>
            <w:hideMark/>
          </w:tcPr>
          <w:p w14:paraId="07BD22ED"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2 071,9</w:t>
            </w:r>
          </w:p>
        </w:tc>
        <w:tc>
          <w:tcPr>
            <w:tcW w:w="865" w:type="dxa"/>
            <w:tcBorders>
              <w:top w:val="nil"/>
              <w:left w:val="nil"/>
              <w:bottom w:val="nil"/>
              <w:right w:val="nil"/>
            </w:tcBorders>
            <w:shd w:val="clear" w:color="000000" w:fill="F2F2F2"/>
            <w:noWrap/>
            <w:vAlign w:val="bottom"/>
            <w:hideMark/>
          </w:tcPr>
          <w:p w14:paraId="7DF18847"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1,1%</w:t>
            </w:r>
          </w:p>
        </w:tc>
        <w:tc>
          <w:tcPr>
            <w:tcW w:w="880" w:type="dxa"/>
            <w:tcBorders>
              <w:top w:val="nil"/>
              <w:left w:val="nil"/>
              <w:bottom w:val="nil"/>
              <w:right w:val="nil"/>
            </w:tcBorders>
            <w:shd w:val="clear" w:color="000000" w:fill="F2F2F2"/>
            <w:noWrap/>
            <w:vAlign w:val="bottom"/>
            <w:hideMark/>
          </w:tcPr>
          <w:p w14:paraId="3606161D"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1,5%</w:t>
            </w:r>
          </w:p>
        </w:tc>
        <w:tc>
          <w:tcPr>
            <w:tcW w:w="880" w:type="dxa"/>
            <w:tcBorders>
              <w:top w:val="nil"/>
              <w:left w:val="nil"/>
              <w:bottom w:val="nil"/>
              <w:right w:val="nil"/>
            </w:tcBorders>
            <w:shd w:val="clear" w:color="000000" w:fill="F2F2F2"/>
            <w:noWrap/>
            <w:vAlign w:val="bottom"/>
            <w:hideMark/>
          </w:tcPr>
          <w:p w14:paraId="228B160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1,2%</w:t>
            </w:r>
          </w:p>
        </w:tc>
        <w:tc>
          <w:tcPr>
            <w:tcW w:w="880" w:type="dxa"/>
            <w:tcBorders>
              <w:top w:val="nil"/>
              <w:left w:val="nil"/>
              <w:bottom w:val="nil"/>
              <w:right w:val="nil"/>
            </w:tcBorders>
            <w:shd w:val="clear" w:color="000000" w:fill="F2F2F2"/>
            <w:noWrap/>
            <w:vAlign w:val="bottom"/>
            <w:hideMark/>
          </w:tcPr>
          <w:p w14:paraId="4CD7D212"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1,4%</w:t>
            </w:r>
          </w:p>
        </w:tc>
      </w:tr>
      <w:tr w:rsidR="00761800" w:rsidRPr="00761800" w14:paraId="6A83A581" w14:textId="77777777" w:rsidTr="00406B4D">
        <w:trPr>
          <w:trHeight w:val="225"/>
        </w:trPr>
        <w:tc>
          <w:tcPr>
            <w:tcW w:w="2977" w:type="dxa"/>
            <w:tcBorders>
              <w:top w:val="nil"/>
              <w:left w:val="nil"/>
              <w:bottom w:val="single" w:sz="4" w:space="0" w:color="auto"/>
              <w:right w:val="nil"/>
            </w:tcBorders>
            <w:shd w:val="clear" w:color="000000" w:fill="FFFFFF"/>
            <w:vAlign w:val="center"/>
            <w:hideMark/>
          </w:tcPr>
          <w:p w14:paraId="16E1E61B"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опазване на околната среда</w:t>
            </w:r>
          </w:p>
        </w:tc>
        <w:tc>
          <w:tcPr>
            <w:tcW w:w="957" w:type="dxa"/>
            <w:tcBorders>
              <w:top w:val="nil"/>
              <w:left w:val="nil"/>
              <w:bottom w:val="single" w:sz="4" w:space="0" w:color="auto"/>
              <w:right w:val="nil"/>
            </w:tcBorders>
            <w:shd w:val="clear" w:color="000000" w:fill="FFFFFF"/>
            <w:noWrap/>
            <w:vAlign w:val="bottom"/>
            <w:hideMark/>
          </w:tcPr>
          <w:p w14:paraId="73454B2F"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827,1</w:t>
            </w:r>
          </w:p>
        </w:tc>
        <w:tc>
          <w:tcPr>
            <w:tcW w:w="739" w:type="dxa"/>
            <w:tcBorders>
              <w:top w:val="nil"/>
              <w:left w:val="nil"/>
              <w:bottom w:val="single" w:sz="4" w:space="0" w:color="auto"/>
              <w:right w:val="nil"/>
            </w:tcBorders>
            <w:shd w:val="clear" w:color="000000" w:fill="FFFFFF"/>
            <w:noWrap/>
            <w:vAlign w:val="bottom"/>
            <w:hideMark/>
          </w:tcPr>
          <w:p w14:paraId="44623ED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824,4</w:t>
            </w:r>
          </w:p>
        </w:tc>
        <w:tc>
          <w:tcPr>
            <w:tcW w:w="902" w:type="dxa"/>
            <w:tcBorders>
              <w:top w:val="nil"/>
              <w:left w:val="nil"/>
              <w:bottom w:val="single" w:sz="4" w:space="0" w:color="auto"/>
              <w:right w:val="nil"/>
            </w:tcBorders>
            <w:shd w:val="clear" w:color="000000" w:fill="FFFFFF"/>
            <w:noWrap/>
            <w:vAlign w:val="bottom"/>
            <w:hideMark/>
          </w:tcPr>
          <w:p w14:paraId="08108B68"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1 005,7</w:t>
            </w:r>
          </w:p>
        </w:tc>
        <w:tc>
          <w:tcPr>
            <w:tcW w:w="902" w:type="dxa"/>
            <w:tcBorders>
              <w:top w:val="nil"/>
              <w:left w:val="nil"/>
              <w:bottom w:val="single" w:sz="4" w:space="0" w:color="auto"/>
              <w:right w:val="nil"/>
            </w:tcBorders>
            <w:shd w:val="clear" w:color="000000" w:fill="FFFFFF"/>
            <w:noWrap/>
            <w:vAlign w:val="bottom"/>
            <w:hideMark/>
          </w:tcPr>
          <w:p w14:paraId="7DC0C01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1 257,8</w:t>
            </w:r>
          </w:p>
        </w:tc>
        <w:tc>
          <w:tcPr>
            <w:tcW w:w="865" w:type="dxa"/>
            <w:tcBorders>
              <w:top w:val="nil"/>
              <w:left w:val="nil"/>
              <w:bottom w:val="single" w:sz="4" w:space="0" w:color="auto"/>
              <w:right w:val="nil"/>
            </w:tcBorders>
            <w:shd w:val="clear" w:color="000000" w:fill="F2F2F2"/>
            <w:noWrap/>
            <w:vAlign w:val="bottom"/>
            <w:hideMark/>
          </w:tcPr>
          <w:p w14:paraId="66960BBE"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0,8%</w:t>
            </w:r>
          </w:p>
        </w:tc>
        <w:tc>
          <w:tcPr>
            <w:tcW w:w="880" w:type="dxa"/>
            <w:tcBorders>
              <w:top w:val="nil"/>
              <w:left w:val="nil"/>
              <w:bottom w:val="single" w:sz="4" w:space="0" w:color="auto"/>
              <w:right w:val="nil"/>
            </w:tcBorders>
            <w:shd w:val="clear" w:color="000000" w:fill="F2F2F2"/>
            <w:noWrap/>
            <w:vAlign w:val="bottom"/>
            <w:hideMark/>
          </w:tcPr>
          <w:p w14:paraId="254D6CB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0,7%</w:t>
            </w:r>
          </w:p>
        </w:tc>
        <w:tc>
          <w:tcPr>
            <w:tcW w:w="880" w:type="dxa"/>
            <w:tcBorders>
              <w:top w:val="nil"/>
              <w:left w:val="nil"/>
              <w:bottom w:val="single" w:sz="4" w:space="0" w:color="auto"/>
              <w:right w:val="nil"/>
            </w:tcBorders>
            <w:shd w:val="clear" w:color="000000" w:fill="F2F2F2"/>
            <w:noWrap/>
            <w:vAlign w:val="bottom"/>
            <w:hideMark/>
          </w:tcPr>
          <w:p w14:paraId="264F6EA9"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0,7%</w:t>
            </w:r>
          </w:p>
        </w:tc>
        <w:tc>
          <w:tcPr>
            <w:tcW w:w="880" w:type="dxa"/>
            <w:tcBorders>
              <w:top w:val="nil"/>
              <w:left w:val="nil"/>
              <w:bottom w:val="single" w:sz="4" w:space="0" w:color="auto"/>
              <w:right w:val="nil"/>
            </w:tcBorders>
            <w:shd w:val="clear" w:color="000000" w:fill="F2F2F2"/>
            <w:noWrap/>
            <w:vAlign w:val="bottom"/>
            <w:hideMark/>
          </w:tcPr>
          <w:p w14:paraId="5055114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0,9%</w:t>
            </w:r>
          </w:p>
        </w:tc>
      </w:tr>
      <w:tr w:rsidR="00761800" w:rsidRPr="00761800" w14:paraId="7338229E" w14:textId="77777777" w:rsidTr="00406B4D">
        <w:trPr>
          <w:trHeight w:val="75"/>
        </w:trPr>
        <w:tc>
          <w:tcPr>
            <w:tcW w:w="2977" w:type="dxa"/>
            <w:tcBorders>
              <w:top w:val="nil"/>
              <w:left w:val="nil"/>
              <w:bottom w:val="nil"/>
              <w:right w:val="nil"/>
            </w:tcBorders>
            <w:shd w:val="clear" w:color="000000" w:fill="FFFFFF"/>
            <w:vAlign w:val="center"/>
            <w:hideMark/>
          </w:tcPr>
          <w:p w14:paraId="57713D39"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957" w:type="dxa"/>
            <w:tcBorders>
              <w:top w:val="nil"/>
              <w:left w:val="nil"/>
              <w:bottom w:val="nil"/>
              <w:right w:val="nil"/>
            </w:tcBorders>
            <w:shd w:val="clear" w:color="000000" w:fill="FFFFFF"/>
            <w:noWrap/>
            <w:vAlign w:val="bottom"/>
            <w:hideMark/>
          </w:tcPr>
          <w:p w14:paraId="2E469B1C" w14:textId="77777777" w:rsidR="00761800" w:rsidRPr="00761800" w:rsidRDefault="00761800" w:rsidP="00761800">
            <w:pPr>
              <w:jc w:val="right"/>
              <w:rPr>
                <w:rFonts w:ascii="Times New Roman" w:hAnsi="Times New Roman"/>
                <w:b/>
                <w:bCs/>
                <w:color w:val="FF0000"/>
                <w:sz w:val="16"/>
                <w:szCs w:val="16"/>
                <w:lang w:eastAsia="bg-BG"/>
              </w:rPr>
            </w:pPr>
            <w:r w:rsidRPr="00761800">
              <w:rPr>
                <w:rFonts w:ascii="Times New Roman" w:hAnsi="Times New Roman"/>
                <w:b/>
                <w:bCs/>
                <w:color w:val="FF0000"/>
                <w:sz w:val="16"/>
                <w:szCs w:val="16"/>
                <w:lang w:eastAsia="bg-BG"/>
              </w:rPr>
              <w:t> </w:t>
            </w:r>
          </w:p>
        </w:tc>
        <w:tc>
          <w:tcPr>
            <w:tcW w:w="739" w:type="dxa"/>
            <w:tcBorders>
              <w:top w:val="nil"/>
              <w:left w:val="nil"/>
              <w:bottom w:val="nil"/>
              <w:right w:val="nil"/>
            </w:tcBorders>
            <w:shd w:val="clear" w:color="000000" w:fill="FFFFFF"/>
            <w:noWrap/>
            <w:vAlign w:val="bottom"/>
            <w:hideMark/>
          </w:tcPr>
          <w:p w14:paraId="65B94E1F"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nil"/>
              <w:left w:val="nil"/>
              <w:bottom w:val="nil"/>
              <w:right w:val="nil"/>
            </w:tcBorders>
            <w:shd w:val="clear" w:color="000000" w:fill="FFFFFF"/>
            <w:noWrap/>
            <w:vAlign w:val="bottom"/>
            <w:hideMark/>
          </w:tcPr>
          <w:p w14:paraId="10F6EA02"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nil"/>
              <w:left w:val="nil"/>
              <w:bottom w:val="nil"/>
              <w:right w:val="nil"/>
            </w:tcBorders>
            <w:shd w:val="clear" w:color="000000" w:fill="FFFFFF"/>
            <w:noWrap/>
            <w:vAlign w:val="bottom"/>
            <w:hideMark/>
          </w:tcPr>
          <w:p w14:paraId="6B7C1408"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865" w:type="dxa"/>
            <w:tcBorders>
              <w:top w:val="nil"/>
              <w:left w:val="nil"/>
              <w:bottom w:val="nil"/>
              <w:right w:val="nil"/>
            </w:tcBorders>
            <w:shd w:val="clear" w:color="000000" w:fill="F2F2F2"/>
            <w:noWrap/>
            <w:vAlign w:val="bottom"/>
            <w:hideMark/>
          </w:tcPr>
          <w:p w14:paraId="121977C9"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880" w:type="dxa"/>
            <w:tcBorders>
              <w:top w:val="nil"/>
              <w:left w:val="nil"/>
              <w:bottom w:val="nil"/>
              <w:right w:val="nil"/>
            </w:tcBorders>
            <w:shd w:val="clear" w:color="000000" w:fill="F2F2F2"/>
            <w:noWrap/>
            <w:vAlign w:val="bottom"/>
            <w:hideMark/>
          </w:tcPr>
          <w:p w14:paraId="76151DAD"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232076E0"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2F7D4120"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r>
      <w:tr w:rsidR="00761800" w:rsidRPr="00761800" w14:paraId="609ABF1B" w14:textId="77777777" w:rsidTr="00406B4D">
        <w:trPr>
          <w:trHeight w:val="300"/>
        </w:trPr>
        <w:tc>
          <w:tcPr>
            <w:tcW w:w="2977" w:type="dxa"/>
            <w:tcBorders>
              <w:top w:val="nil"/>
              <w:left w:val="nil"/>
              <w:bottom w:val="nil"/>
              <w:right w:val="nil"/>
            </w:tcBorders>
            <w:shd w:val="clear" w:color="000000" w:fill="FFFFFF"/>
            <w:vAlign w:val="center"/>
            <w:hideMark/>
          </w:tcPr>
          <w:p w14:paraId="4B94F7DE"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Култура, спорт, почивни дейности и религиозно дело</w:t>
            </w:r>
          </w:p>
        </w:tc>
        <w:tc>
          <w:tcPr>
            <w:tcW w:w="957" w:type="dxa"/>
            <w:tcBorders>
              <w:top w:val="nil"/>
              <w:left w:val="nil"/>
              <w:bottom w:val="nil"/>
              <w:right w:val="nil"/>
            </w:tcBorders>
            <w:shd w:val="clear" w:color="000000" w:fill="FFFFFF"/>
            <w:noWrap/>
            <w:vAlign w:val="bottom"/>
            <w:hideMark/>
          </w:tcPr>
          <w:p w14:paraId="2CF5CBDA"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776,2</w:t>
            </w:r>
          </w:p>
        </w:tc>
        <w:tc>
          <w:tcPr>
            <w:tcW w:w="739" w:type="dxa"/>
            <w:tcBorders>
              <w:top w:val="nil"/>
              <w:left w:val="nil"/>
              <w:bottom w:val="nil"/>
              <w:right w:val="nil"/>
            </w:tcBorders>
            <w:shd w:val="clear" w:color="000000" w:fill="FFFFFF"/>
            <w:noWrap/>
            <w:vAlign w:val="bottom"/>
            <w:hideMark/>
          </w:tcPr>
          <w:p w14:paraId="6C9A399E"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963,7</w:t>
            </w:r>
          </w:p>
        </w:tc>
        <w:tc>
          <w:tcPr>
            <w:tcW w:w="902" w:type="dxa"/>
            <w:tcBorders>
              <w:top w:val="nil"/>
              <w:left w:val="nil"/>
              <w:bottom w:val="nil"/>
              <w:right w:val="nil"/>
            </w:tcBorders>
            <w:shd w:val="clear" w:color="000000" w:fill="FFFFFF"/>
            <w:noWrap/>
            <w:vAlign w:val="bottom"/>
            <w:hideMark/>
          </w:tcPr>
          <w:p w14:paraId="73A150EA"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899,9</w:t>
            </w:r>
          </w:p>
        </w:tc>
        <w:tc>
          <w:tcPr>
            <w:tcW w:w="902" w:type="dxa"/>
            <w:tcBorders>
              <w:top w:val="nil"/>
              <w:left w:val="nil"/>
              <w:bottom w:val="nil"/>
              <w:right w:val="nil"/>
            </w:tcBorders>
            <w:shd w:val="clear" w:color="000000" w:fill="FFFFFF"/>
            <w:noWrap/>
            <w:vAlign w:val="bottom"/>
            <w:hideMark/>
          </w:tcPr>
          <w:p w14:paraId="0EAA1E37"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853,0</w:t>
            </w:r>
          </w:p>
        </w:tc>
        <w:tc>
          <w:tcPr>
            <w:tcW w:w="865" w:type="dxa"/>
            <w:tcBorders>
              <w:top w:val="nil"/>
              <w:left w:val="nil"/>
              <w:bottom w:val="nil"/>
              <w:right w:val="nil"/>
            </w:tcBorders>
            <w:shd w:val="clear" w:color="000000" w:fill="F2F2F2"/>
            <w:noWrap/>
            <w:vAlign w:val="bottom"/>
            <w:hideMark/>
          </w:tcPr>
          <w:p w14:paraId="2F55EB8A"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0,7%</w:t>
            </w:r>
          </w:p>
        </w:tc>
        <w:tc>
          <w:tcPr>
            <w:tcW w:w="880" w:type="dxa"/>
            <w:tcBorders>
              <w:top w:val="nil"/>
              <w:left w:val="nil"/>
              <w:bottom w:val="nil"/>
              <w:right w:val="nil"/>
            </w:tcBorders>
            <w:shd w:val="clear" w:color="000000" w:fill="F2F2F2"/>
            <w:noWrap/>
            <w:vAlign w:val="bottom"/>
            <w:hideMark/>
          </w:tcPr>
          <w:p w14:paraId="0E39D285"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0,8%</w:t>
            </w:r>
          </w:p>
        </w:tc>
        <w:tc>
          <w:tcPr>
            <w:tcW w:w="880" w:type="dxa"/>
            <w:tcBorders>
              <w:top w:val="nil"/>
              <w:left w:val="nil"/>
              <w:bottom w:val="nil"/>
              <w:right w:val="nil"/>
            </w:tcBorders>
            <w:shd w:val="clear" w:color="000000" w:fill="F2F2F2"/>
            <w:noWrap/>
            <w:vAlign w:val="bottom"/>
            <w:hideMark/>
          </w:tcPr>
          <w:p w14:paraId="5B4DF36F"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0,7%</w:t>
            </w:r>
          </w:p>
        </w:tc>
        <w:tc>
          <w:tcPr>
            <w:tcW w:w="880" w:type="dxa"/>
            <w:tcBorders>
              <w:top w:val="nil"/>
              <w:left w:val="nil"/>
              <w:bottom w:val="nil"/>
              <w:right w:val="nil"/>
            </w:tcBorders>
            <w:shd w:val="clear" w:color="000000" w:fill="F2F2F2"/>
            <w:noWrap/>
            <w:vAlign w:val="bottom"/>
            <w:hideMark/>
          </w:tcPr>
          <w:p w14:paraId="5880CF3A"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0,6%</w:t>
            </w:r>
          </w:p>
        </w:tc>
      </w:tr>
      <w:tr w:rsidR="00761800" w:rsidRPr="00761800" w14:paraId="22EFCA60" w14:textId="77777777" w:rsidTr="00406B4D">
        <w:trPr>
          <w:trHeight w:val="240"/>
        </w:trPr>
        <w:tc>
          <w:tcPr>
            <w:tcW w:w="2977" w:type="dxa"/>
            <w:tcBorders>
              <w:top w:val="nil"/>
              <w:left w:val="nil"/>
              <w:bottom w:val="nil"/>
              <w:right w:val="nil"/>
            </w:tcBorders>
            <w:shd w:val="clear" w:color="000000" w:fill="FFFFFF"/>
            <w:vAlign w:val="center"/>
            <w:hideMark/>
          </w:tcPr>
          <w:p w14:paraId="2BA26340"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почивни дейности</w:t>
            </w:r>
          </w:p>
        </w:tc>
        <w:tc>
          <w:tcPr>
            <w:tcW w:w="957" w:type="dxa"/>
            <w:tcBorders>
              <w:top w:val="nil"/>
              <w:left w:val="nil"/>
              <w:bottom w:val="nil"/>
              <w:right w:val="nil"/>
            </w:tcBorders>
            <w:shd w:val="clear" w:color="000000" w:fill="FFFFFF"/>
            <w:noWrap/>
            <w:vAlign w:val="bottom"/>
            <w:hideMark/>
          </w:tcPr>
          <w:p w14:paraId="0FC64C12"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13,5</w:t>
            </w:r>
          </w:p>
        </w:tc>
        <w:tc>
          <w:tcPr>
            <w:tcW w:w="739" w:type="dxa"/>
            <w:tcBorders>
              <w:top w:val="nil"/>
              <w:left w:val="nil"/>
              <w:bottom w:val="nil"/>
              <w:right w:val="nil"/>
            </w:tcBorders>
            <w:shd w:val="clear" w:color="000000" w:fill="FFFFFF"/>
            <w:noWrap/>
            <w:vAlign w:val="bottom"/>
            <w:hideMark/>
          </w:tcPr>
          <w:p w14:paraId="4560FC65"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18,2</w:t>
            </w:r>
          </w:p>
        </w:tc>
        <w:tc>
          <w:tcPr>
            <w:tcW w:w="902" w:type="dxa"/>
            <w:tcBorders>
              <w:top w:val="nil"/>
              <w:left w:val="nil"/>
              <w:bottom w:val="nil"/>
              <w:right w:val="nil"/>
            </w:tcBorders>
            <w:shd w:val="clear" w:color="000000" w:fill="FFFFFF"/>
            <w:noWrap/>
            <w:vAlign w:val="bottom"/>
            <w:hideMark/>
          </w:tcPr>
          <w:p w14:paraId="34BF8ED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16,2</w:t>
            </w:r>
          </w:p>
        </w:tc>
        <w:tc>
          <w:tcPr>
            <w:tcW w:w="902" w:type="dxa"/>
            <w:tcBorders>
              <w:top w:val="nil"/>
              <w:left w:val="nil"/>
              <w:bottom w:val="nil"/>
              <w:right w:val="nil"/>
            </w:tcBorders>
            <w:shd w:val="clear" w:color="000000" w:fill="FFFFFF"/>
            <w:noWrap/>
            <w:vAlign w:val="bottom"/>
            <w:hideMark/>
          </w:tcPr>
          <w:p w14:paraId="33D71037"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16,5</w:t>
            </w:r>
          </w:p>
        </w:tc>
        <w:tc>
          <w:tcPr>
            <w:tcW w:w="865" w:type="dxa"/>
            <w:tcBorders>
              <w:top w:val="nil"/>
              <w:left w:val="nil"/>
              <w:bottom w:val="nil"/>
              <w:right w:val="nil"/>
            </w:tcBorders>
            <w:shd w:val="clear" w:color="000000" w:fill="F2F2F2"/>
            <w:noWrap/>
            <w:vAlign w:val="bottom"/>
            <w:hideMark/>
          </w:tcPr>
          <w:p w14:paraId="5C95E678"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0,0%</w:t>
            </w:r>
          </w:p>
        </w:tc>
        <w:tc>
          <w:tcPr>
            <w:tcW w:w="880" w:type="dxa"/>
            <w:tcBorders>
              <w:top w:val="nil"/>
              <w:left w:val="nil"/>
              <w:bottom w:val="nil"/>
              <w:right w:val="nil"/>
            </w:tcBorders>
            <w:shd w:val="clear" w:color="000000" w:fill="F2F2F2"/>
            <w:noWrap/>
            <w:vAlign w:val="bottom"/>
            <w:hideMark/>
          </w:tcPr>
          <w:p w14:paraId="7DB77749"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c>
          <w:tcPr>
            <w:tcW w:w="880" w:type="dxa"/>
            <w:tcBorders>
              <w:top w:val="nil"/>
              <w:left w:val="nil"/>
              <w:bottom w:val="nil"/>
              <w:right w:val="nil"/>
            </w:tcBorders>
            <w:shd w:val="clear" w:color="000000" w:fill="F2F2F2"/>
            <w:noWrap/>
            <w:vAlign w:val="bottom"/>
            <w:hideMark/>
          </w:tcPr>
          <w:p w14:paraId="026828BB"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c>
          <w:tcPr>
            <w:tcW w:w="880" w:type="dxa"/>
            <w:tcBorders>
              <w:top w:val="nil"/>
              <w:left w:val="nil"/>
              <w:bottom w:val="nil"/>
              <w:right w:val="nil"/>
            </w:tcBorders>
            <w:shd w:val="clear" w:color="000000" w:fill="F2F2F2"/>
            <w:noWrap/>
            <w:vAlign w:val="bottom"/>
            <w:hideMark/>
          </w:tcPr>
          <w:p w14:paraId="70EF2F2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r>
      <w:tr w:rsidR="00761800" w:rsidRPr="00761800" w14:paraId="1219038B" w14:textId="77777777" w:rsidTr="00406B4D">
        <w:trPr>
          <w:trHeight w:val="240"/>
        </w:trPr>
        <w:tc>
          <w:tcPr>
            <w:tcW w:w="2977" w:type="dxa"/>
            <w:tcBorders>
              <w:top w:val="nil"/>
              <w:left w:val="nil"/>
              <w:bottom w:val="nil"/>
              <w:right w:val="nil"/>
            </w:tcBorders>
            <w:shd w:val="clear" w:color="000000" w:fill="FFFFFF"/>
            <w:vAlign w:val="center"/>
            <w:hideMark/>
          </w:tcPr>
          <w:p w14:paraId="64339712"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физическа култура и спорт</w:t>
            </w:r>
          </w:p>
        </w:tc>
        <w:tc>
          <w:tcPr>
            <w:tcW w:w="957" w:type="dxa"/>
            <w:tcBorders>
              <w:top w:val="nil"/>
              <w:left w:val="nil"/>
              <w:bottom w:val="nil"/>
              <w:right w:val="nil"/>
            </w:tcBorders>
            <w:shd w:val="clear" w:color="000000" w:fill="FFFFFF"/>
            <w:noWrap/>
            <w:vAlign w:val="bottom"/>
            <w:hideMark/>
          </w:tcPr>
          <w:p w14:paraId="2A377158"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127,9</w:t>
            </w:r>
          </w:p>
        </w:tc>
        <w:tc>
          <w:tcPr>
            <w:tcW w:w="739" w:type="dxa"/>
            <w:tcBorders>
              <w:top w:val="nil"/>
              <w:left w:val="nil"/>
              <w:bottom w:val="nil"/>
              <w:right w:val="nil"/>
            </w:tcBorders>
            <w:shd w:val="clear" w:color="000000" w:fill="FFFFFF"/>
            <w:noWrap/>
            <w:vAlign w:val="bottom"/>
            <w:hideMark/>
          </w:tcPr>
          <w:p w14:paraId="2C0414B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162,6</w:t>
            </w:r>
          </w:p>
        </w:tc>
        <w:tc>
          <w:tcPr>
            <w:tcW w:w="902" w:type="dxa"/>
            <w:tcBorders>
              <w:top w:val="nil"/>
              <w:left w:val="nil"/>
              <w:bottom w:val="nil"/>
              <w:right w:val="nil"/>
            </w:tcBorders>
            <w:shd w:val="clear" w:color="000000" w:fill="FFFFFF"/>
            <w:noWrap/>
            <w:vAlign w:val="bottom"/>
            <w:hideMark/>
          </w:tcPr>
          <w:p w14:paraId="339B587E"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145,1</w:t>
            </w:r>
          </w:p>
        </w:tc>
        <w:tc>
          <w:tcPr>
            <w:tcW w:w="902" w:type="dxa"/>
            <w:tcBorders>
              <w:top w:val="nil"/>
              <w:left w:val="nil"/>
              <w:bottom w:val="nil"/>
              <w:right w:val="nil"/>
            </w:tcBorders>
            <w:shd w:val="clear" w:color="000000" w:fill="FFFFFF"/>
            <w:noWrap/>
            <w:vAlign w:val="bottom"/>
            <w:hideMark/>
          </w:tcPr>
          <w:p w14:paraId="699EB37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146,9</w:t>
            </w:r>
          </w:p>
        </w:tc>
        <w:tc>
          <w:tcPr>
            <w:tcW w:w="865" w:type="dxa"/>
            <w:tcBorders>
              <w:top w:val="nil"/>
              <w:left w:val="nil"/>
              <w:bottom w:val="nil"/>
              <w:right w:val="nil"/>
            </w:tcBorders>
            <w:shd w:val="clear" w:color="000000" w:fill="F2F2F2"/>
            <w:noWrap/>
            <w:vAlign w:val="bottom"/>
            <w:hideMark/>
          </w:tcPr>
          <w:p w14:paraId="08579FF8"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0,1%</w:t>
            </w:r>
          </w:p>
        </w:tc>
        <w:tc>
          <w:tcPr>
            <w:tcW w:w="880" w:type="dxa"/>
            <w:tcBorders>
              <w:top w:val="nil"/>
              <w:left w:val="nil"/>
              <w:bottom w:val="nil"/>
              <w:right w:val="nil"/>
            </w:tcBorders>
            <w:shd w:val="clear" w:color="000000" w:fill="F2F2F2"/>
            <w:noWrap/>
            <w:vAlign w:val="bottom"/>
            <w:hideMark/>
          </w:tcPr>
          <w:p w14:paraId="24A0A85D"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0,1%</w:t>
            </w:r>
          </w:p>
        </w:tc>
        <w:tc>
          <w:tcPr>
            <w:tcW w:w="880" w:type="dxa"/>
            <w:tcBorders>
              <w:top w:val="nil"/>
              <w:left w:val="nil"/>
              <w:bottom w:val="nil"/>
              <w:right w:val="nil"/>
            </w:tcBorders>
            <w:shd w:val="clear" w:color="000000" w:fill="F2F2F2"/>
            <w:noWrap/>
            <w:vAlign w:val="bottom"/>
            <w:hideMark/>
          </w:tcPr>
          <w:p w14:paraId="4267C54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0,1%</w:t>
            </w:r>
          </w:p>
        </w:tc>
        <w:tc>
          <w:tcPr>
            <w:tcW w:w="880" w:type="dxa"/>
            <w:tcBorders>
              <w:top w:val="nil"/>
              <w:left w:val="nil"/>
              <w:bottom w:val="nil"/>
              <w:right w:val="nil"/>
            </w:tcBorders>
            <w:shd w:val="clear" w:color="000000" w:fill="F2F2F2"/>
            <w:noWrap/>
            <w:vAlign w:val="bottom"/>
            <w:hideMark/>
          </w:tcPr>
          <w:p w14:paraId="22076E2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0,1%</w:t>
            </w:r>
          </w:p>
        </w:tc>
      </w:tr>
      <w:tr w:rsidR="00761800" w:rsidRPr="00761800" w14:paraId="358EF12D" w14:textId="77777777" w:rsidTr="00406B4D">
        <w:trPr>
          <w:trHeight w:val="240"/>
        </w:trPr>
        <w:tc>
          <w:tcPr>
            <w:tcW w:w="2977" w:type="dxa"/>
            <w:tcBorders>
              <w:top w:val="nil"/>
              <w:left w:val="nil"/>
              <w:bottom w:val="nil"/>
              <w:right w:val="nil"/>
            </w:tcBorders>
            <w:shd w:val="clear" w:color="000000" w:fill="FFFFFF"/>
            <w:vAlign w:val="center"/>
            <w:hideMark/>
          </w:tcPr>
          <w:p w14:paraId="64A9A244"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култура</w:t>
            </w:r>
          </w:p>
        </w:tc>
        <w:tc>
          <w:tcPr>
            <w:tcW w:w="957" w:type="dxa"/>
            <w:tcBorders>
              <w:top w:val="nil"/>
              <w:left w:val="nil"/>
              <w:bottom w:val="nil"/>
              <w:right w:val="nil"/>
            </w:tcBorders>
            <w:shd w:val="clear" w:color="000000" w:fill="FFFFFF"/>
            <w:noWrap/>
            <w:vAlign w:val="bottom"/>
            <w:hideMark/>
          </w:tcPr>
          <w:p w14:paraId="5AC30270"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588,7</w:t>
            </w:r>
          </w:p>
        </w:tc>
        <w:tc>
          <w:tcPr>
            <w:tcW w:w="739" w:type="dxa"/>
            <w:tcBorders>
              <w:top w:val="nil"/>
              <w:left w:val="nil"/>
              <w:bottom w:val="nil"/>
              <w:right w:val="nil"/>
            </w:tcBorders>
            <w:shd w:val="clear" w:color="000000" w:fill="FFFFFF"/>
            <w:noWrap/>
            <w:vAlign w:val="bottom"/>
            <w:hideMark/>
          </w:tcPr>
          <w:p w14:paraId="06416692"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732,4</w:t>
            </w:r>
          </w:p>
        </w:tc>
        <w:tc>
          <w:tcPr>
            <w:tcW w:w="902" w:type="dxa"/>
            <w:tcBorders>
              <w:top w:val="nil"/>
              <w:left w:val="nil"/>
              <w:bottom w:val="nil"/>
              <w:right w:val="nil"/>
            </w:tcBorders>
            <w:shd w:val="clear" w:color="000000" w:fill="FFFFFF"/>
            <w:noWrap/>
            <w:vAlign w:val="bottom"/>
            <w:hideMark/>
          </w:tcPr>
          <w:p w14:paraId="1608A76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692,4</w:t>
            </w:r>
          </w:p>
        </w:tc>
        <w:tc>
          <w:tcPr>
            <w:tcW w:w="902" w:type="dxa"/>
            <w:tcBorders>
              <w:top w:val="nil"/>
              <w:left w:val="nil"/>
              <w:bottom w:val="nil"/>
              <w:right w:val="nil"/>
            </w:tcBorders>
            <w:shd w:val="clear" w:color="000000" w:fill="FFFFFF"/>
            <w:noWrap/>
            <w:vAlign w:val="bottom"/>
            <w:hideMark/>
          </w:tcPr>
          <w:p w14:paraId="650A4B38"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643,3</w:t>
            </w:r>
          </w:p>
        </w:tc>
        <w:tc>
          <w:tcPr>
            <w:tcW w:w="865" w:type="dxa"/>
            <w:tcBorders>
              <w:top w:val="nil"/>
              <w:left w:val="nil"/>
              <w:bottom w:val="nil"/>
              <w:right w:val="nil"/>
            </w:tcBorders>
            <w:shd w:val="clear" w:color="000000" w:fill="F2F2F2"/>
            <w:noWrap/>
            <w:vAlign w:val="bottom"/>
            <w:hideMark/>
          </w:tcPr>
          <w:p w14:paraId="56F47D68"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0,5%</w:t>
            </w:r>
          </w:p>
        </w:tc>
        <w:tc>
          <w:tcPr>
            <w:tcW w:w="880" w:type="dxa"/>
            <w:tcBorders>
              <w:top w:val="nil"/>
              <w:left w:val="nil"/>
              <w:bottom w:val="nil"/>
              <w:right w:val="nil"/>
            </w:tcBorders>
            <w:shd w:val="clear" w:color="000000" w:fill="F2F2F2"/>
            <w:noWrap/>
            <w:vAlign w:val="bottom"/>
            <w:hideMark/>
          </w:tcPr>
          <w:p w14:paraId="7C7BE55B"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0,6%</w:t>
            </w:r>
          </w:p>
        </w:tc>
        <w:tc>
          <w:tcPr>
            <w:tcW w:w="880" w:type="dxa"/>
            <w:tcBorders>
              <w:top w:val="nil"/>
              <w:left w:val="nil"/>
              <w:bottom w:val="nil"/>
              <w:right w:val="nil"/>
            </w:tcBorders>
            <w:shd w:val="clear" w:color="000000" w:fill="F2F2F2"/>
            <w:noWrap/>
            <w:vAlign w:val="bottom"/>
            <w:hideMark/>
          </w:tcPr>
          <w:p w14:paraId="381AC77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0,5%</w:t>
            </w:r>
          </w:p>
        </w:tc>
        <w:tc>
          <w:tcPr>
            <w:tcW w:w="880" w:type="dxa"/>
            <w:tcBorders>
              <w:top w:val="nil"/>
              <w:left w:val="nil"/>
              <w:bottom w:val="nil"/>
              <w:right w:val="nil"/>
            </w:tcBorders>
            <w:shd w:val="clear" w:color="000000" w:fill="F2F2F2"/>
            <w:noWrap/>
            <w:vAlign w:val="bottom"/>
            <w:hideMark/>
          </w:tcPr>
          <w:p w14:paraId="7662562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0,4%</w:t>
            </w:r>
          </w:p>
        </w:tc>
      </w:tr>
      <w:tr w:rsidR="00761800" w:rsidRPr="00761800" w14:paraId="1A84B756" w14:textId="77777777" w:rsidTr="00406B4D">
        <w:trPr>
          <w:trHeight w:val="240"/>
        </w:trPr>
        <w:tc>
          <w:tcPr>
            <w:tcW w:w="2977" w:type="dxa"/>
            <w:tcBorders>
              <w:top w:val="nil"/>
              <w:left w:val="nil"/>
              <w:bottom w:val="single" w:sz="4" w:space="0" w:color="auto"/>
              <w:right w:val="nil"/>
            </w:tcBorders>
            <w:shd w:val="clear" w:color="000000" w:fill="FFFFFF"/>
            <w:vAlign w:val="center"/>
            <w:hideMark/>
          </w:tcPr>
          <w:p w14:paraId="47C72663"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религиозно дело</w:t>
            </w:r>
          </w:p>
        </w:tc>
        <w:tc>
          <w:tcPr>
            <w:tcW w:w="957" w:type="dxa"/>
            <w:tcBorders>
              <w:top w:val="nil"/>
              <w:left w:val="nil"/>
              <w:bottom w:val="single" w:sz="4" w:space="0" w:color="auto"/>
              <w:right w:val="nil"/>
            </w:tcBorders>
            <w:shd w:val="clear" w:color="000000" w:fill="FFFFFF"/>
            <w:noWrap/>
            <w:vAlign w:val="bottom"/>
            <w:hideMark/>
          </w:tcPr>
          <w:p w14:paraId="3E18720A"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46,2</w:t>
            </w:r>
          </w:p>
        </w:tc>
        <w:tc>
          <w:tcPr>
            <w:tcW w:w="739" w:type="dxa"/>
            <w:tcBorders>
              <w:top w:val="nil"/>
              <w:left w:val="nil"/>
              <w:bottom w:val="single" w:sz="4" w:space="0" w:color="auto"/>
              <w:right w:val="nil"/>
            </w:tcBorders>
            <w:shd w:val="clear" w:color="000000" w:fill="FFFFFF"/>
            <w:noWrap/>
            <w:vAlign w:val="bottom"/>
            <w:hideMark/>
          </w:tcPr>
          <w:p w14:paraId="4ADBCDD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50,6</w:t>
            </w:r>
          </w:p>
        </w:tc>
        <w:tc>
          <w:tcPr>
            <w:tcW w:w="902" w:type="dxa"/>
            <w:tcBorders>
              <w:top w:val="nil"/>
              <w:left w:val="nil"/>
              <w:bottom w:val="single" w:sz="4" w:space="0" w:color="auto"/>
              <w:right w:val="nil"/>
            </w:tcBorders>
            <w:shd w:val="clear" w:color="000000" w:fill="FFFFFF"/>
            <w:noWrap/>
            <w:vAlign w:val="bottom"/>
            <w:hideMark/>
          </w:tcPr>
          <w:p w14:paraId="6D7378C8"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46,2</w:t>
            </w:r>
          </w:p>
        </w:tc>
        <w:tc>
          <w:tcPr>
            <w:tcW w:w="902" w:type="dxa"/>
            <w:tcBorders>
              <w:top w:val="nil"/>
              <w:left w:val="nil"/>
              <w:bottom w:val="single" w:sz="4" w:space="0" w:color="auto"/>
              <w:right w:val="nil"/>
            </w:tcBorders>
            <w:shd w:val="clear" w:color="000000" w:fill="FFFFFF"/>
            <w:noWrap/>
            <w:vAlign w:val="bottom"/>
            <w:hideMark/>
          </w:tcPr>
          <w:p w14:paraId="01ED70CB"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46,2</w:t>
            </w:r>
          </w:p>
        </w:tc>
        <w:tc>
          <w:tcPr>
            <w:tcW w:w="865" w:type="dxa"/>
            <w:tcBorders>
              <w:top w:val="nil"/>
              <w:left w:val="nil"/>
              <w:bottom w:val="single" w:sz="4" w:space="0" w:color="auto"/>
              <w:right w:val="nil"/>
            </w:tcBorders>
            <w:shd w:val="clear" w:color="000000" w:fill="F2F2F2"/>
            <w:noWrap/>
            <w:vAlign w:val="bottom"/>
            <w:hideMark/>
          </w:tcPr>
          <w:p w14:paraId="0D0CD106"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0,0%</w:t>
            </w:r>
          </w:p>
        </w:tc>
        <w:tc>
          <w:tcPr>
            <w:tcW w:w="880" w:type="dxa"/>
            <w:tcBorders>
              <w:top w:val="nil"/>
              <w:left w:val="nil"/>
              <w:bottom w:val="single" w:sz="4" w:space="0" w:color="auto"/>
              <w:right w:val="nil"/>
            </w:tcBorders>
            <w:shd w:val="clear" w:color="000000" w:fill="F2F2F2"/>
            <w:noWrap/>
            <w:vAlign w:val="bottom"/>
            <w:hideMark/>
          </w:tcPr>
          <w:p w14:paraId="3FBB8C47"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c>
          <w:tcPr>
            <w:tcW w:w="880" w:type="dxa"/>
            <w:tcBorders>
              <w:top w:val="nil"/>
              <w:left w:val="nil"/>
              <w:bottom w:val="single" w:sz="4" w:space="0" w:color="auto"/>
              <w:right w:val="nil"/>
            </w:tcBorders>
            <w:shd w:val="clear" w:color="000000" w:fill="F2F2F2"/>
            <w:noWrap/>
            <w:vAlign w:val="bottom"/>
            <w:hideMark/>
          </w:tcPr>
          <w:p w14:paraId="19015A00"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c>
          <w:tcPr>
            <w:tcW w:w="880" w:type="dxa"/>
            <w:tcBorders>
              <w:top w:val="nil"/>
              <w:left w:val="nil"/>
              <w:bottom w:val="single" w:sz="4" w:space="0" w:color="auto"/>
              <w:right w:val="nil"/>
            </w:tcBorders>
            <w:shd w:val="clear" w:color="000000" w:fill="F2F2F2"/>
            <w:noWrap/>
            <w:vAlign w:val="bottom"/>
            <w:hideMark/>
          </w:tcPr>
          <w:p w14:paraId="63E670DD"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r>
      <w:tr w:rsidR="00761800" w:rsidRPr="00761800" w14:paraId="77FB0B93" w14:textId="77777777" w:rsidTr="00406B4D">
        <w:trPr>
          <w:trHeight w:val="120"/>
        </w:trPr>
        <w:tc>
          <w:tcPr>
            <w:tcW w:w="2977" w:type="dxa"/>
            <w:tcBorders>
              <w:top w:val="nil"/>
              <w:left w:val="nil"/>
              <w:bottom w:val="nil"/>
              <w:right w:val="nil"/>
            </w:tcBorders>
            <w:shd w:val="clear" w:color="000000" w:fill="FFFFFF"/>
            <w:vAlign w:val="center"/>
            <w:hideMark/>
          </w:tcPr>
          <w:p w14:paraId="707A2B0B"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957" w:type="dxa"/>
            <w:tcBorders>
              <w:top w:val="nil"/>
              <w:left w:val="nil"/>
              <w:bottom w:val="nil"/>
              <w:right w:val="nil"/>
            </w:tcBorders>
            <w:shd w:val="clear" w:color="000000" w:fill="FFFFFF"/>
            <w:noWrap/>
            <w:vAlign w:val="bottom"/>
            <w:hideMark/>
          </w:tcPr>
          <w:p w14:paraId="19D225CE" w14:textId="77777777" w:rsidR="00761800" w:rsidRPr="00761800" w:rsidRDefault="00761800" w:rsidP="00761800">
            <w:pPr>
              <w:jc w:val="right"/>
              <w:rPr>
                <w:rFonts w:ascii="Times New Roman" w:hAnsi="Times New Roman"/>
                <w:b/>
                <w:bCs/>
                <w:color w:val="FF0000"/>
                <w:sz w:val="16"/>
                <w:szCs w:val="16"/>
                <w:lang w:eastAsia="bg-BG"/>
              </w:rPr>
            </w:pPr>
            <w:r w:rsidRPr="00761800">
              <w:rPr>
                <w:rFonts w:ascii="Times New Roman" w:hAnsi="Times New Roman"/>
                <w:b/>
                <w:bCs/>
                <w:color w:val="FF0000"/>
                <w:sz w:val="16"/>
                <w:szCs w:val="16"/>
                <w:lang w:eastAsia="bg-BG"/>
              </w:rPr>
              <w:t> </w:t>
            </w:r>
          </w:p>
        </w:tc>
        <w:tc>
          <w:tcPr>
            <w:tcW w:w="739" w:type="dxa"/>
            <w:tcBorders>
              <w:top w:val="nil"/>
              <w:left w:val="nil"/>
              <w:bottom w:val="nil"/>
              <w:right w:val="nil"/>
            </w:tcBorders>
            <w:shd w:val="clear" w:color="000000" w:fill="FFFFFF"/>
            <w:noWrap/>
            <w:vAlign w:val="bottom"/>
            <w:hideMark/>
          </w:tcPr>
          <w:p w14:paraId="2E011D63"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nil"/>
              <w:left w:val="nil"/>
              <w:bottom w:val="nil"/>
              <w:right w:val="nil"/>
            </w:tcBorders>
            <w:shd w:val="clear" w:color="000000" w:fill="FFFFFF"/>
            <w:noWrap/>
            <w:vAlign w:val="bottom"/>
            <w:hideMark/>
          </w:tcPr>
          <w:p w14:paraId="7BD138BA"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902" w:type="dxa"/>
            <w:tcBorders>
              <w:top w:val="nil"/>
              <w:left w:val="nil"/>
              <w:bottom w:val="nil"/>
              <w:right w:val="nil"/>
            </w:tcBorders>
            <w:shd w:val="clear" w:color="000000" w:fill="FFFFFF"/>
            <w:noWrap/>
            <w:vAlign w:val="bottom"/>
            <w:hideMark/>
          </w:tcPr>
          <w:p w14:paraId="247A28A4"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 </w:t>
            </w:r>
          </w:p>
        </w:tc>
        <w:tc>
          <w:tcPr>
            <w:tcW w:w="865" w:type="dxa"/>
            <w:tcBorders>
              <w:top w:val="nil"/>
              <w:left w:val="nil"/>
              <w:bottom w:val="nil"/>
              <w:right w:val="nil"/>
            </w:tcBorders>
            <w:shd w:val="clear" w:color="000000" w:fill="F2F2F2"/>
            <w:noWrap/>
            <w:vAlign w:val="bottom"/>
            <w:hideMark/>
          </w:tcPr>
          <w:p w14:paraId="7D75D2CC"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880" w:type="dxa"/>
            <w:tcBorders>
              <w:top w:val="nil"/>
              <w:left w:val="nil"/>
              <w:bottom w:val="nil"/>
              <w:right w:val="nil"/>
            </w:tcBorders>
            <w:shd w:val="clear" w:color="000000" w:fill="F2F2F2"/>
            <w:noWrap/>
            <w:vAlign w:val="bottom"/>
            <w:hideMark/>
          </w:tcPr>
          <w:p w14:paraId="2C24D74B"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1C642367"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48AEE103"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r>
      <w:tr w:rsidR="00761800" w:rsidRPr="00761800" w14:paraId="1E9D2054" w14:textId="77777777" w:rsidTr="00406B4D">
        <w:trPr>
          <w:trHeight w:val="240"/>
        </w:trPr>
        <w:tc>
          <w:tcPr>
            <w:tcW w:w="2977" w:type="dxa"/>
            <w:tcBorders>
              <w:top w:val="nil"/>
              <w:left w:val="nil"/>
              <w:bottom w:val="nil"/>
              <w:right w:val="nil"/>
            </w:tcBorders>
            <w:shd w:val="clear" w:color="000000" w:fill="FFFFFF"/>
            <w:vAlign w:val="center"/>
            <w:hideMark/>
          </w:tcPr>
          <w:p w14:paraId="74F7FE49"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Икономически дейности и услуги</w:t>
            </w:r>
          </w:p>
        </w:tc>
        <w:tc>
          <w:tcPr>
            <w:tcW w:w="957" w:type="dxa"/>
            <w:tcBorders>
              <w:top w:val="nil"/>
              <w:left w:val="nil"/>
              <w:bottom w:val="nil"/>
              <w:right w:val="nil"/>
            </w:tcBorders>
            <w:shd w:val="clear" w:color="000000" w:fill="FFFFFF"/>
            <w:noWrap/>
            <w:vAlign w:val="bottom"/>
            <w:hideMark/>
          </w:tcPr>
          <w:p w14:paraId="68E32855"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7 533,3</w:t>
            </w:r>
          </w:p>
        </w:tc>
        <w:tc>
          <w:tcPr>
            <w:tcW w:w="739" w:type="dxa"/>
            <w:tcBorders>
              <w:top w:val="nil"/>
              <w:left w:val="nil"/>
              <w:bottom w:val="nil"/>
              <w:right w:val="nil"/>
            </w:tcBorders>
            <w:shd w:val="clear" w:color="000000" w:fill="FFFFFF"/>
            <w:noWrap/>
            <w:vAlign w:val="bottom"/>
            <w:hideMark/>
          </w:tcPr>
          <w:p w14:paraId="6D8F41C8"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9 823,6</w:t>
            </w:r>
          </w:p>
        </w:tc>
        <w:tc>
          <w:tcPr>
            <w:tcW w:w="902" w:type="dxa"/>
            <w:tcBorders>
              <w:top w:val="nil"/>
              <w:left w:val="nil"/>
              <w:bottom w:val="nil"/>
              <w:right w:val="nil"/>
            </w:tcBorders>
            <w:shd w:val="clear" w:color="000000" w:fill="FFFFFF"/>
            <w:noWrap/>
            <w:vAlign w:val="bottom"/>
            <w:hideMark/>
          </w:tcPr>
          <w:p w14:paraId="2BDB8DFE"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7 332,7</w:t>
            </w:r>
          </w:p>
        </w:tc>
        <w:tc>
          <w:tcPr>
            <w:tcW w:w="902" w:type="dxa"/>
            <w:tcBorders>
              <w:top w:val="nil"/>
              <w:left w:val="nil"/>
              <w:bottom w:val="nil"/>
              <w:right w:val="nil"/>
            </w:tcBorders>
            <w:shd w:val="clear" w:color="000000" w:fill="FFFFFF"/>
            <w:noWrap/>
            <w:vAlign w:val="bottom"/>
            <w:hideMark/>
          </w:tcPr>
          <w:p w14:paraId="20E31853"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6 401,4</w:t>
            </w:r>
          </w:p>
        </w:tc>
        <w:tc>
          <w:tcPr>
            <w:tcW w:w="865" w:type="dxa"/>
            <w:tcBorders>
              <w:top w:val="nil"/>
              <w:left w:val="nil"/>
              <w:bottom w:val="nil"/>
              <w:right w:val="nil"/>
            </w:tcBorders>
            <w:shd w:val="clear" w:color="000000" w:fill="F2F2F2"/>
            <w:noWrap/>
            <w:vAlign w:val="bottom"/>
            <w:hideMark/>
          </w:tcPr>
          <w:p w14:paraId="4328F3D4"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6,8%</w:t>
            </w:r>
          </w:p>
        </w:tc>
        <w:tc>
          <w:tcPr>
            <w:tcW w:w="880" w:type="dxa"/>
            <w:tcBorders>
              <w:top w:val="nil"/>
              <w:left w:val="nil"/>
              <w:bottom w:val="nil"/>
              <w:right w:val="nil"/>
            </w:tcBorders>
            <w:shd w:val="clear" w:color="000000" w:fill="F2F2F2"/>
            <w:noWrap/>
            <w:vAlign w:val="bottom"/>
            <w:hideMark/>
          </w:tcPr>
          <w:p w14:paraId="151EF764"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7,8%</w:t>
            </w:r>
          </w:p>
        </w:tc>
        <w:tc>
          <w:tcPr>
            <w:tcW w:w="880" w:type="dxa"/>
            <w:tcBorders>
              <w:top w:val="nil"/>
              <w:left w:val="nil"/>
              <w:bottom w:val="nil"/>
              <w:right w:val="nil"/>
            </w:tcBorders>
            <w:shd w:val="clear" w:color="000000" w:fill="F2F2F2"/>
            <w:noWrap/>
            <w:vAlign w:val="bottom"/>
            <w:hideMark/>
          </w:tcPr>
          <w:p w14:paraId="600575F7"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5,4%</w:t>
            </w:r>
          </w:p>
        </w:tc>
        <w:tc>
          <w:tcPr>
            <w:tcW w:w="880" w:type="dxa"/>
            <w:tcBorders>
              <w:top w:val="nil"/>
              <w:left w:val="nil"/>
              <w:bottom w:val="nil"/>
              <w:right w:val="nil"/>
            </w:tcBorders>
            <w:shd w:val="clear" w:color="000000" w:fill="F2F2F2"/>
            <w:noWrap/>
            <w:vAlign w:val="bottom"/>
            <w:hideMark/>
          </w:tcPr>
          <w:p w14:paraId="4C8B7F3D"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4,5%</w:t>
            </w:r>
          </w:p>
        </w:tc>
      </w:tr>
      <w:tr w:rsidR="00761800" w:rsidRPr="00761800" w14:paraId="489AB2C8" w14:textId="77777777" w:rsidTr="00406B4D">
        <w:trPr>
          <w:trHeight w:val="240"/>
        </w:trPr>
        <w:tc>
          <w:tcPr>
            <w:tcW w:w="2977" w:type="dxa"/>
            <w:tcBorders>
              <w:top w:val="nil"/>
              <w:left w:val="nil"/>
              <w:bottom w:val="nil"/>
              <w:right w:val="nil"/>
            </w:tcBorders>
            <w:shd w:val="clear" w:color="000000" w:fill="FFFFFF"/>
            <w:vAlign w:val="center"/>
            <w:hideMark/>
          </w:tcPr>
          <w:p w14:paraId="0CEDEFD7"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минно дело, горива и енергия</w:t>
            </w:r>
          </w:p>
        </w:tc>
        <w:tc>
          <w:tcPr>
            <w:tcW w:w="957" w:type="dxa"/>
            <w:tcBorders>
              <w:top w:val="nil"/>
              <w:left w:val="nil"/>
              <w:bottom w:val="nil"/>
              <w:right w:val="nil"/>
            </w:tcBorders>
            <w:shd w:val="clear" w:color="000000" w:fill="FFFFFF"/>
            <w:noWrap/>
            <w:vAlign w:val="bottom"/>
            <w:hideMark/>
          </w:tcPr>
          <w:p w14:paraId="1F16BCDC"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1 613,4</w:t>
            </w:r>
          </w:p>
        </w:tc>
        <w:tc>
          <w:tcPr>
            <w:tcW w:w="739" w:type="dxa"/>
            <w:tcBorders>
              <w:top w:val="nil"/>
              <w:left w:val="nil"/>
              <w:bottom w:val="nil"/>
              <w:right w:val="nil"/>
            </w:tcBorders>
            <w:shd w:val="clear" w:color="000000" w:fill="FFFFFF"/>
            <w:noWrap/>
            <w:vAlign w:val="bottom"/>
            <w:hideMark/>
          </w:tcPr>
          <w:p w14:paraId="46580EC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2 801,2</w:t>
            </w:r>
          </w:p>
        </w:tc>
        <w:tc>
          <w:tcPr>
            <w:tcW w:w="902" w:type="dxa"/>
            <w:tcBorders>
              <w:top w:val="nil"/>
              <w:left w:val="nil"/>
              <w:bottom w:val="nil"/>
              <w:right w:val="nil"/>
            </w:tcBorders>
            <w:shd w:val="clear" w:color="000000" w:fill="FFFFFF"/>
            <w:noWrap/>
            <w:vAlign w:val="bottom"/>
            <w:hideMark/>
          </w:tcPr>
          <w:p w14:paraId="3B3BAD61"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1 354,4</w:t>
            </w:r>
          </w:p>
        </w:tc>
        <w:tc>
          <w:tcPr>
            <w:tcW w:w="902" w:type="dxa"/>
            <w:tcBorders>
              <w:top w:val="nil"/>
              <w:left w:val="nil"/>
              <w:bottom w:val="nil"/>
              <w:right w:val="nil"/>
            </w:tcBorders>
            <w:shd w:val="clear" w:color="000000" w:fill="FFFFFF"/>
            <w:noWrap/>
            <w:vAlign w:val="bottom"/>
            <w:hideMark/>
          </w:tcPr>
          <w:p w14:paraId="7B7727D8"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1 279,2</w:t>
            </w:r>
          </w:p>
        </w:tc>
        <w:tc>
          <w:tcPr>
            <w:tcW w:w="865" w:type="dxa"/>
            <w:tcBorders>
              <w:top w:val="nil"/>
              <w:left w:val="nil"/>
              <w:bottom w:val="nil"/>
              <w:right w:val="nil"/>
            </w:tcBorders>
            <w:shd w:val="clear" w:color="000000" w:fill="F2F2F2"/>
            <w:noWrap/>
            <w:vAlign w:val="bottom"/>
            <w:hideMark/>
          </w:tcPr>
          <w:p w14:paraId="25407FDB"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1,5%</w:t>
            </w:r>
          </w:p>
        </w:tc>
        <w:tc>
          <w:tcPr>
            <w:tcW w:w="880" w:type="dxa"/>
            <w:tcBorders>
              <w:top w:val="nil"/>
              <w:left w:val="nil"/>
              <w:bottom w:val="nil"/>
              <w:right w:val="nil"/>
            </w:tcBorders>
            <w:shd w:val="clear" w:color="000000" w:fill="F2F2F2"/>
            <w:noWrap/>
            <w:vAlign w:val="bottom"/>
            <w:hideMark/>
          </w:tcPr>
          <w:p w14:paraId="3675CE19"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2,2%</w:t>
            </w:r>
          </w:p>
        </w:tc>
        <w:tc>
          <w:tcPr>
            <w:tcW w:w="880" w:type="dxa"/>
            <w:tcBorders>
              <w:top w:val="nil"/>
              <w:left w:val="nil"/>
              <w:bottom w:val="nil"/>
              <w:right w:val="nil"/>
            </w:tcBorders>
            <w:shd w:val="clear" w:color="000000" w:fill="F2F2F2"/>
            <w:noWrap/>
            <w:vAlign w:val="bottom"/>
            <w:hideMark/>
          </w:tcPr>
          <w:p w14:paraId="6070713E"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1,0%</w:t>
            </w:r>
          </w:p>
        </w:tc>
        <w:tc>
          <w:tcPr>
            <w:tcW w:w="880" w:type="dxa"/>
            <w:tcBorders>
              <w:top w:val="nil"/>
              <w:left w:val="nil"/>
              <w:bottom w:val="nil"/>
              <w:right w:val="nil"/>
            </w:tcBorders>
            <w:shd w:val="clear" w:color="000000" w:fill="F2F2F2"/>
            <w:noWrap/>
            <w:vAlign w:val="bottom"/>
            <w:hideMark/>
          </w:tcPr>
          <w:p w14:paraId="54B54165"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0,9%</w:t>
            </w:r>
          </w:p>
        </w:tc>
      </w:tr>
      <w:tr w:rsidR="00761800" w:rsidRPr="00761800" w14:paraId="7545A046" w14:textId="77777777" w:rsidTr="00406B4D">
        <w:trPr>
          <w:trHeight w:val="240"/>
        </w:trPr>
        <w:tc>
          <w:tcPr>
            <w:tcW w:w="2977" w:type="dxa"/>
            <w:tcBorders>
              <w:top w:val="nil"/>
              <w:left w:val="nil"/>
              <w:bottom w:val="nil"/>
              <w:right w:val="nil"/>
            </w:tcBorders>
            <w:shd w:val="clear" w:color="000000" w:fill="FFFFFF"/>
            <w:vAlign w:val="center"/>
            <w:hideMark/>
          </w:tcPr>
          <w:p w14:paraId="71C97C7E"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селско стопанство, горско стопанство, лов и риболов</w:t>
            </w:r>
          </w:p>
        </w:tc>
        <w:tc>
          <w:tcPr>
            <w:tcW w:w="957" w:type="dxa"/>
            <w:tcBorders>
              <w:top w:val="nil"/>
              <w:left w:val="nil"/>
              <w:bottom w:val="nil"/>
              <w:right w:val="nil"/>
            </w:tcBorders>
            <w:shd w:val="clear" w:color="000000" w:fill="FFFFFF"/>
            <w:noWrap/>
            <w:vAlign w:val="bottom"/>
            <w:hideMark/>
          </w:tcPr>
          <w:p w14:paraId="59B9E5CF"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1 924,9</w:t>
            </w:r>
          </w:p>
        </w:tc>
        <w:tc>
          <w:tcPr>
            <w:tcW w:w="739" w:type="dxa"/>
            <w:tcBorders>
              <w:top w:val="nil"/>
              <w:left w:val="nil"/>
              <w:bottom w:val="nil"/>
              <w:right w:val="nil"/>
            </w:tcBorders>
            <w:shd w:val="clear" w:color="000000" w:fill="FFFFFF"/>
            <w:noWrap/>
            <w:vAlign w:val="bottom"/>
            <w:hideMark/>
          </w:tcPr>
          <w:p w14:paraId="4BB20FBD"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1 409,4</w:t>
            </w:r>
          </w:p>
        </w:tc>
        <w:tc>
          <w:tcPr>
            <w:tcW w:w="902" w:type="dxa"/>
            <w:tcBorders>
              <w:top w:val="nil"/>
              <w:left w:val="nil"/>
              <w:bottom w:val="nil"/>
              <w:right w:val="nil"/>
            </w:tcBorders>
            <w:shd w:val="clear" w:color="000000" w:fill="FFFFFF"/>
            <w:noWrap/>
            <w:vAlign w:val="bottom"/>
            <w:hideMark/>
          </w:tcPr>
          <w:p w14:paraId="0912A1D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1 273,4</w:t>
            </w:r>
          </w:p>
        </w:tc>
        <w:tc>
          <w:tcPr>
            <w:tcW w:w="902" w:type="dxa"/>
            <w:tcBorders>
              <w:top w:val="nil"/>
              <w:left w:val="nil"/>
              <w:bottom w:val="nil"/>
              <w:right w:val="nil"/>
            </w:tcBorders>
            <w:shd w:val="clear" w:color="000000" w:fill="FFFFFF"/>
            <w:noWrap/>
            <w:vAlign w:val="bottom"/>
            <w:hideMark/>
          </w:tcPr>
          <w:p w14:paraId="2AD6DF2A"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1 291,3</w:t>
            </w:r>
          </w:p>
        </w:tc>
        <w:tc>
          <w:tcPr>
            <w:tcW w:w="865" w:type="dxa"/>
            <w:tcBorders>
              <w:top w:val="nil"/>
              <w:left w:val="nil"/>
              <w:bottom w:val="nil"/>
              <w:right w:val="nil"/>
            </w:tcBorders>
            <w:shd w:val="clear" w:color="000000" w:fill="F2F2F2"/>
            <w:noWrap/>
            <w:vAlign w:val="bottom"/>
            <w:hideMark/>
          </w:tcPr>
          <w:p w14:paraId="103C1AFD"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1,7%</w:t>
            </w:r>
          </w:p>
        </w:tc>
        <w:tc>
          <w:tcPr>
            <w:tcW w:w="880" w:type="dxa"/>
            <w:tcBorders>
              <w:top w:val="nil"/>
              <w:left w:val="nil"/>
              <w:bottom w:val="nil"/>
              <w:right w:val="nil"/>
            </w:tcBorders>
            <w:shd w:val="clear" w:color="000000" w:fill="F2F2F2"/>
            <w:noWrap/>
            <w:vAlign w:val="bottom"/>
            <w:hideMark/>
          </w:tcPr>
          <w:p w14:paraId="6CE40F62"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1,1%</w:t>
            </w:r>
          </w:p>
        </w:tc>
        <w:tc>
          <w:tcPr>
            <w:tcW w:w="880" w:type="dxa"/>
            <w:tcBorders>
              <w:top w:val="nil"/>
              <w:left w:val="nil"/>
              <w:bottom w:val="nil"/>
              <w:right w:val="nil"/>
            </w:tcBorders>
            <w:shd w:val="clear" w:color="000000" w:fill="F2F2F2"/>
            <w:noWrap/>
            <w:vAlign w:val="bottom"/>
            <w:hideMark/>
          </w:tcPr>
          <w:p w14:paraId="042F1AA4"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0,9%</w:t>
            </w:r>
          </w:p>
        </w:tc>
        <w:tc>
          <w:tcPr>
            <w:tcW w:w="880" w:type="dxa"/>
            <w:tcBorders>
              <w:top w:val="nil"/>
              <w:left w:val="nil"/>
              <w:bottom w:val="nil"/>
              <w:right w:val="nil"/>
            </w:tcBorders>
            <w:shd w:val="clear" w:color="000000" w:fill="F2F2F2"/>
            <w:noWrap/>
            <w:vAlign w:val="bottom"/>
            <w:hideMark/>
          </w:tcPr>
          <w:p w14:paraId="1E1DB8C2"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0,9%</w:t>
            </w:r>
          </w:p>
        </w:tc>
      </w:tr>
      <w:tr w:rsidR="00761800" w:rsidRPr="00761800" w14:paraId="17945CE8" w14:textId="77777777" w:rsidTr="00406B4D">
        <w:trPr>
          <w:trHeight w:val="240"/>
        </w:trPr>
        <w:tc>
          <w:tcPr>
            <w:tcW w:w="2977" w:type="dxa"/>
            <w:tcBorders>
              <w:top w:val="nil"/>
              <w:left w:val="nil"/>
              <w:bottom w:val="nil"/>
              <w:right w:val="nil"/>
            </w:tcBorders>
            <w:shd w:val="clear" w:color="000000" w:fill="FFFFFF"/>
            <w:vAlign w:val="center"/>
            <w:hideMark/>
          </w:tcPr>
          <w:p w14:paraId="0B22874F"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транспорт и съобщения</w:t>
            </w:r>
          </w:p>
        </w:tc>
        <w:tc>
          <w:tcPr>
            <w:tcW w:w="957" w:type="dxa"/>
            <w:tcBorders>
              <w:top w:val="nil"/>
              <w:left w:val="nil"/>
              <w:bottom w:val="nil"/>
              <w:right w:val="nil"/>
            </w:tcBorders>
            <w:shd w:val="clear" w:color="000000" w:fill="FFFFFF"/>
            <w:noWrap/>
            <w:vAlign w:val="bottom"/>
            <w:hideMark/>
          </w:tcPr>
          <w:p w14:paraId="46AD8823"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2 921,5</w:t>
            </w:r>
          </w:p>
        </w:tc>
        <w:tc>
          <w:tcPr>
            <w:tcW w:w="739" w:type="dxa"/>
            <w:tcBorders>
              <w:top w:val="nil"/>
              <w:left w:val="nil"/>
              <w:bottom w:val="nil"/>
              <w:right w:val="nil"/>
            </w:tcBorders>
            <w:shd w:val="clear" w:color="000000" w:fill="FFFFFF"/>
            <w:noWrap/>
            <w:vAlign w:val="bottom"/>
            <w:hideMark/>
          </w:tcPr>
          <w:p w14:paraId="0A4C8787"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3 449,4</w:t>
            </w:r>
          </w:p>
        </w:tc>
        <w:tc>
          <w:tcPr>
            <w:tcW w:w="902" w:type="dxa"/>
            <w:tcBorders>
              <w:top w:val="nil"/>
              <w:left w:val="nil"/>
              <w:bottom w:val="nil"/>
              <w:right w:val="nil"/>
            </w:tcBorders>
            <w:shd w:val="clear" w:color="000000" w:fill="FFFFFF"/>
            <w:noWrap/>
            <w:vAlign w:val="bottom"/>
            <w:hideMark/>
          </w:tcPr>
          <w:p w14:paraId="34F7ED3B"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3 191,5</w:t>
            </w:r>
          </w:p>
        </w:tc>
        <w:tc>
          <w:tcPr>
            <w:tcW w:w="902" w:type="dxa"/>
            <w:tcBorders>
              <w:top w:val="nil"/>
              <w:left w:val="nil"/>
              <w:bottom w:val="nil"/>
              <w:right w:val="nil"/>
            </w:tcBorders>
            <w:shd w:val="clear" w:color="000000" w:fill="FFFFFF"/>
            <w:noWrap/>
            <w:vAlign w:val="bottom"/>
            <w:hideMark/>
          </w:tcPr>
          <w:p w14:paraId="2654CA3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3 085,5</w:t>
            </w:r>
          </w:p>
        </w:tc>
        <w:tc>
          <w:tcPr>
            <w:tcW w:w="865" w:type="dxa"/>
            <w:tcBorders>
              <w:top w:val="nil"/>
              <w:left w:val="nil"/>
              <w:bottom w:val="nil"/>
              <w:right w:val="nil"/>
            </w:tcBorders>
            <w:shd w:val="clear" w:color="000000" w:fill="F2F2F2"/>
            <w:noWrap/>
            <w:vAlign w:val="bottom"/>
            <w:hideMark/>
          </w:tcPr>
          <w:p w14:paraId="1DDDD13C"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2,7%</w:t>
            </w:r>
          </w:p>
        </w:tc>
        <w:tc>
          <w:tcPr>
            <w:tcW w:w="880" w:type="dxa"/>
            <w:tcBorders>
              <w:top w:val="nil"/>
              <w:left w:val="nil"/>
              <w:bottom w:val="nil"/>
              <w:right w:val="nil"/>
            </w:tcBorders>
            <w:shd w:val="clear" w:color="000000" w:fill="F2F2F2"/>
            <w:noWrap/>
            <w:vAlign w:val="bottom"/>
            <w:hideMark/>
          </w:tcPr>
          <w:p w14:paraId="61B0A1F1"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2,8%</w:t>
            </w:r>
          </w:p>
        </w:tc>
        <w:tc>
          <w:tcPr>
            <w:tcW w:w="880" w:type="dxa"/>
            <w:tcBorders>
              <w:top w:val="nil"/>
              <w:left w:val="nil"/>
              <w:bottom w:val="nil"/>
              <w:right w:val="nil"/>
            </w:tcBorders>
            <w:shd w:val="clear" w:color="000000" w:fill="F2F2F2"/>
            <w:noWrap/>
            <w:vAlign w:val="bottom"/>
            <w:hideMark/>
          </w:tcPr>
          <w:p w14:paraId="50418EC4"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2,4%</w:t>
            </w:r>
          </w:p>
        </w:tc>
        <w:tc>
          <w:tcPr>
            <w:tcW w:w="880" w:type="dxa"/>
            <w:tcBorders>
              <w:top w:val="nil"/>
              <w:left w:val="nil"/>
              <w:bottom w:val="nil"/>
              <w:right w:val="nil"/>
            </w:tcBorders>
            <w:shd w:val="clear" w:color="000000" w:fill="F2F2F2"/>
            <w:noWrap/>
            <w:vAlign w:val="bottom"/>
            <w:hideMark/>
          </w:tcPr>
          <w:p w14:paraId="7E0EC479"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2,2%</w:t>
            </w:r>
          </w:p>
        </w:tc>
      </w:tr>
      <w:tr w:rsidR="00761800" w:rsidRPr="00761800" w14:paraId="27CB0D93" w14:textId="77777777" w:rsidTr="00406B4D">
        <w:trPr>
          <w:trHeight w:val="240"/>
        </w:trPr>
        <w:tc>
          <w:tcPr>
            <w:tcW w:w="2977" w:type="dxa"/>
            <w:tcBorders>
              <w:top w:val="nil"/>
              <w:left w:val="nil"/>
              <w:bottom w:val="nil"/>
              <w:right w:val="nil"/>
            </w:tcBorders>
            <w:shd w:val="clear" w:color="000000" w:fill="FFFFFF"/>
            <w:vAlign w:val="center"/>
            <w:hideMark/>
          </w:tcPr>
          <w:p w14:paraId="31BCE901"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промишленост и строителство</w:t>
            </w:r>
          </w:p>
        </w:tc>
        <w:tc>
          <w:tcPr>
            <w:tcW w:w="957" w:type="dxa"/>
            <w:tcBorders>
              <w:top w:val="nil"/>
              <w:left w:val="nil"/>
              <w:bottom w:val="nil"/>
              <w:right w:val="nil"/>
            </w:tcBorders>
            <w:shd w:val="clear" w:color="000000" w:fill="FFFFFF"/>
            <w:noWrap/>
            <w:vAlign w:val="bottom"/>
            <w:hideMark/>
          </w:tcPr>
          <w:p w14:paraId="37439219"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2,7</w:t>
            </w:r>
          </w:p>
        </w:tc>
        <w:tc>
          <w:tcPr>
            <w:tcW w:w="739" w:type="dxa"/>
            <w:tcBorders>
              <w:top w:val="nil"/>
              <w:left w:val="nil"/>
              <w:bottom w:val="nil"/>
              <w:right w:val="nil"/>
            </w:tcBorders>
            <w:shd w:val="clear" w:color="000000" w:fill="FFFFFF"/>
            <w:noWrap/>
            <w:vAlign w:val="bottom"/>
            <w:hideMark/>
          </w:tcPr>
          <w:p w14:paraId="36488E8B"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1,5</w:t>
            </w:r>
          </w:p>
        </w:tc>
        <w:tc>
          <w:tcPr>
            <w:tcW w:w="902" w:type="dxa"/>
            <w:tcBorders>
              <w:top w:val="nil"/>
              <w:left w:val="nil"/>
              <w:bottom w:val="nil"/>
              <w:right w:val="nil"/>
            </w:tcBorders>
            <w:shd w:val="clear" w:color="000000" w:fill="FFFFFF"/>
            <w:noWrap/>
            <w:vAlign w:val="bottom"/>
            <w:hideMark/>
          </w:tcPr>
          <w:p w14:paraId="18912C9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1,5</w:t>
            </w:r>
          </w:p>
        </w:tc>
        <w:tc>
          <w:tcPr>
            <w:tcW w:w="902" w:type="dxa"/>
            <w:tcBorders>
              <w:top w:val="nil"/>
              <w:left w:val="nil"/>
              <w:bottom w:val="nil"/>
              <w:right w:val="nil"/>
            </w:tcBorders>
            <w:shd w:val="clear" w:color="000000" w:fill="FFFFFF"/>
            <w:noWrap/>
            <w:vAlign w:val="bottom"/>
            <w:hideMark/>
          </w:tcPr>
          <w:p w14:paraId="146831EA"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1,5</w:t>
            </w:r>
          </w:p>
        </w:tc>
        <w:tc>
          <w:tcPr>
            <w:tcW w:w="865" w:type="dxa"/>
            <w:tcBorders>
              <w:top w:val="nil"/>
              <w:left w:val="nil"/>
              <w:bottom w:val="nil"/>
              <w:right w:val="nil"/>
            </w:tcBorders>
            <w:shd w:val="clear" w:color="000000" w:fill="F2F2F2"/>
            <w:noWrap/>
            <w:vAlign w:val="bottom"/>
            <w:hideMark/>
          </w:tcPr>
          <w:p w14:paraId="7C4F930E"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0,0%</w:t>
            </w:r>
          </w:p>
        </w:tc>
        <w:tc>
          <w:tcPr>
            <w:tcW w:w="880" w:type="dxa"/>
            <w:tcBorders>
              <w:top w:val="nil"/>
              <w:left w:val="nil"/>
              <w:bottom w:val="nil"/>
              <w:right w:val="nil"/>
            </w:tcBorders>
            <w:shd w:val="clear" w:color="000000" w:fill="F2F2F2"/>
            <w:noWrap/>
            <w:vAlign w:val="bottom"/>
            <w:hideMark/>
          </w:tcPr>
          <w:p w14:paraId="13C97102"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c>
          <w:tcPr>
            <w:tcW w:w="880" w:type="dxa"/>
            <w:tcBorders>
              <w:top w:val="nil"/>
              <w:left w:val="nil"/>
              <w:bottom w:val="nil"/>
              <w:right w:val="nil"/>
            </w:tcBorders>
            <w:shd w:val="clear" w:color="000000" w:fill="F2F2F2"/>
            <w:noWrap/>
            <w:vAlign w:val="bottom"/>
            <w:hideMark/>
          </w:tcPr>
          <w:p w14:paraId="3201030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c>
          <w:tcPr>
            <w:tcW w:w="880" w:type="dxa"/>
            <w:tcBorders>
              <w:top w:val="nil"/>
              <w:left w:val="nil"/>
              <w:bottom w:val="nil"/>
              <w:right w:val="nil"/>
            </w:tcBorders>
            <w:shd w:val="clear" w:color="000000" w:fill="F2F2F2"/>
            <w:noWrap/>
            <w:vAlign w:val="bottom"/>
            <w:hideMark/>
          </w:tcPr>
          <w:p w14:paraId="6BDD6726"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r>
      <w:tr w:rsidR="00761800" w:rsidRPr="00761800" w14:paraId="364A0406" w14:textId="77777777" w:rsidTr="00406B4D">
        <w:trPr>
          <w:trHeight w:val="240"/>
        </w:trPr>
        <w:tc>
          <w:tcPr>
            <w:tcW w:w="2977" w:type="dxa"/>
            <w:tcBorders>
              <w:top w:val="nil"/>
              <w:left w:val="nil"/>
              <w:bottom w:val="nil"/>
              <w:right w:val="nil"/>
            </w:tcBorders>
            <w:shd w:val="clear" w:color="000000" w:fill="FFFFFF"/>
            <w:vAlign w:val="center"/>
            <w:hideMark/>
          </w:tcPr>
          <w:p w14:paraId="33D4821E"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туризъм</w:t>
            </w:r>
          </w:p>
        </w:tc>
        <w:tc>
          <w:tcPr>
            <w:tcW w:w="957" w:type="dxa"/>
            <w:tcBorders>
              <w:top w:val="nil"/>
              <w:left w:val="nil"/>
              <w:bottom w:val="nil"/>
              <w:right w:val="nil"/>
            </w:tcBorders>
            <w:shd w:val="clear" w:color="000000" w:fill="FFFFFF"/>
            <w:noWrap/>
            <w:vAlign w:val="bottom"/>
            <w:hideMark/>
          </w:tcPr>
          <w:p w14:paraId="7A9077D6"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41,4</w:t>
            </w:r>
          </w:p>
        </w:tc>
        <w:tc>
          <w:tcPr>
            <w:tcW w:w="739" w:type="dxa"/>
            <w:tcBorders>
              <w:top w:val="nil"/>
              <w:left w:val="nil"/>
              <w:bottom w:val="nil"/>
              <w:right w:val="nil"/>
            </w:tcBorders>
            <w:shd w:val="clear" w:color="000000" w:fill="FFFFFF"/>
            <w:noWrap/>
            <w:vAlign w:val="bottom"/>
            <w:hideMark/>
          </w:tcPr>
          <w:p w14:paraId="13523CC3"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41,4</w:t>
            </w:r>
          </w:p>
        </w:tc>
        <w:tc>
          <w:tcPr>
            <w:tcW w:w="902" w:type="dxa"/>
            <w:tcBorders>
              <w:top w:val="nil"/>
              <w:left w:val="nil"/>
              <w:bottom w:val="nil"/>
              <w:right w:val="nil"/>
            </w:tcBorders>
            <w:shd w:val="clear" w:color="000000" w:fill="FFFFFF"/>
            <w:noWrap/>
            <w:vAlign w:val="bottom"/>
            <w:hideMark/>
          </w:tcPr>
          <w:p w14:paraId="54F1CD98"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25,6</w:t>
            </w:r>
          </w:p>
        </w:tc>
        <w:tc>
          <w:tcPr>
            <w:tcW w:w="902" w:type="dxa"/>
            <w:tcBorders>
              <w:top w:val="nil"/>
              <w:left w:val="nil"/>
              <w:bottom w:val="nil"/>
              <w:right w:val="nil"/>
            </w:tcBorders>
            <w:shd w:val="clear" w:color="000000" w:fill="FFFFFF"/>
            <w:noWrap/>
            <w:vAlign w:val="bottom"/>
            <w:hideMark/>
          </w:tcPr>
          <w:p w14:paraId="5B69285E"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27,0</w:t>
            </w:r>
          </w:p>
        </w:tc>
        <w:tc>
          <w:tcPr>
            <w:tcW w:w="865" w:type="dxa"/>
            <w:tcBorders>
              <w:top w:val="nil"/>
              <w:left w:val="nil"/>
              <w:bottom w:val="nil"/>
              <w:right w:val="nil"/>
            </w:tcBorders>
            <w:shd w:val="clear" w:color="000000" w:fill="F2F2F2"/>
            <w:noWrap/>
            <w:vAlign w:val="bottom"/>
            <w:hideMark/>
          </w:tcPr>
          <w:p w14:paraId="6C3E8A6B"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0,0%</w:t>
            </w:r>
          </w:p>
        </w:tc>
        <w:tc>
          <w:tcPr>
            <w:tcW w:w="880" w:type="dxa"/>
            <w:tcBorders>
              <w:top w:val="nil"/>
              <w:left w:val="nil"/>
              <w:bottom w:val="nil"/>
              <w:right w:val="nil"/>
            </w:tcBorders>
            <w:shd w:val="clear" w:color="000000" w:fill="F2F2F2"/>
            <w:noWrap/>
            <w:vAlign w:val="bottom"/>
            <w:hideMark/>
          </w:tcPr>
          <w:p w14:paraId="365116C5"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c>
          <w:tcPr>
            <w:tcW w:w="880" w:type="dxa"/>
            <w:tcBorders>
              <w:top w:val="nil"/>
              <w:left w:val="nil"/>
              <w:bottom w:val="nil"/>
              <w:right w:val="nil"/>
            </w:tcBorders>
            <w:shd w:val="clear" w:color="000000" w:fill="F2F2F2"/>
            <w:noWrap/>
            <w:vAlign w:val="bottom"/>
            <w:hideMark/>
          </w:tcPr>
          <w:p w14:paraId="5FE34C9F"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c>
          <w:tcPr>
            <w:tcW w:w="880" w:type="dxa"/>
            <w:tcBorders>
              <w:top w:val="nil"/>
              <w:left w:val="nil"/>
              <w:bottom w:val="nil"/>
              <w:right w:val="nil"/>
            </w:tcBorders>
            <w:shd w:val="clear" w:color="000000" w:fill="F2F2F2"/>
            <w:noWrap/>
            <w:vAlign w:val="bottom"/>
            <w:hideMark/>
          </w:tcPr>
          <w:p w14:paraId="2DFF4D6C"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0,0%</w:t>
            </w:r>
          </w:p>
        </w:tc>
      </w:tr>
      <w:tr w:rsidR="00761800" w:rsidRPr="00761800" w14:paraId="2C7537CA" w14:textId="77777777" w:rsidTr="00406B4D">
        <w:trPr>
          <w:trHeight w:val="240"/>
        </w:trPr>
        <w:tc>
          <w:tcPr>
            <w:tcW w:w="2977" w:type="dxa"/>
            <w:tcBorders>
              <w:top w:val="nil"/>
              <w:left w:val="nil"/>
              <w:bottom w:val="single" w:sz="4" w:space="0" w:color="auto"/>
              <w:right w:val="nil"/>
            </w:tcBorders>
            <w:shd w:val="clear" w:color="000000" w:fill="FFFFFF"/>
            <w:vAlign w:val="center"/>
            <w:hideMark/>
          </w:tcPr>
          <w:p w14:paraId="50892136" w14:textId="77777777" w:rsidR="00761800" w:rsidRPr="00761800" w:rsidRDefault="00761800" w:rsidP="00761800">
            <w:pPr>
              <w:rPr>
                <w:rFonts w:ascii="Times New Roman" w:hAnsi="Times New Roman"/>
                <w:color w:val="000000"/>
                <w:sz w:val="16"/>
                <w:szCs w:val="16"/>
                <w:lang w:eastAsia="bg-BG"/>
              </w:rPr>
            </w:pPr>
            <w:r w:rsidRPr="00761800">
              <w:rPr>
                <w:rFonts w:ascii="Times New Roman" w:hAnsi="Times New Roman"/>
                <w:color w:val="000000"/>
                <w:sz w:val="16"/>
                <w:szCs w:val="16"/>
                <w:lang w:eastAsia="bg-BG"/>
              </w:rPr>
              <w:t xml:space="preserve"> - други дейности по икономиката</w:t>
            </w:r>
          </w:p>
        </w:tc>
        <w:tc>
          <w:tcPr>
            <w:tcW w:w="957" w:type="dxa"/>
            <w:tcBorders>
              <w:top w:val="nil"/>
              <w:left w:val="nil"/>
              <w:bottom w:val="single" w:sz="4" w:space="0" w:color="auto"/>
              <w:right w:val="nil"/>
            </w:tcBorders>
            <w:shd w:val="clear" w:color="000000" w:fill="FFFFFF"/>
            <w:noWrap/>
            <w:vAlign w:val="bottom"/>
            <w:hideMark/>
          </w:tcPr>
          <w:p w14:paraId="37CBF5F3"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1 029,4</w:t>
            </w:r>
          </w:p>
        </w:tc>
        <w:tc>
          <w:tcPr>
            <w:tcW w:w="739" w:type="dxa"/>
            <w:tcBorders>
              <w:top w:val="nil"/>
              <w:left w:val="nil"/>
              <w:bottom w:val="single" w:sz="4" w:space="0" w:color="auto"/>
              <w:right w:val="nil"/>
            </w:tcBorders>
            <w:shd w:val="clear" w:color="000000" w:fill="FFFFFF"/>
            <w:noWrap/>
            <w:vAlign w:val="bottom"/>
            <w:hideMark/>
          </w:tcPr>
          <w:p w14:paraId="26A7433F"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2 120,6</w:t>
            </w:r>
          </w:p>
        </w:tc>
        <w:tc>
          <w:tcPr>
            <w:tcW w:w="902" w:type="dxa"/>
            <w:tcBorders>
              <w:top w:val="nil"/>
              <w:left w:val="nil"/>
              <w:bottom w:val="single" w:sz="4" w:space="0" w:color="auto"/>
              <w:right w:val="nil"/>
            </w:tcBorders>
            <w:shd w:val="clear" w:color="000000" w:fill="FFFFFF"/>
            <w:noWrap/>
            <w:vAlign w:val="bottom"/>
            <w:hideMark/>
          </w:tcPr>
          <w:p w14:paraId="79CB84CD"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1 486,3</w:t>
            </w:r>
          </w:p>
        </w:tc>
        <w:tc>
          <w:tcPr>
            <w:tcW w:w="902" w:type="dxa"/>
            <w:tcBorders>
              <w:top w:val="nil"/>
              <w:left w:val="nil"/>
              <w:bottom w:val="single" w:sz="4" w:space="0" w:color="auto"/>
              <w:right w:val="nil"/>
            </w:tcBorders>
            <w:shd w:val="clear" w:color="000000" w:fill="FFFFFF"/>
            <w:noWrap/>
            <w:vAlign w:val="bottom"/>
            <w:hideMark/>
          </w:tcPr>
          <w:p w14:paraId="0FB2A02A"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716,9</w:t>
            </w:r>
          </w:p>
        </w:tc>
        <w:tc>
          <w:tcPr>
            <w:tcW w:w="865" w:type="dxa"/>
            <w:tcBorders>
              <w:top w:val="nil"/>
              <w:left w:val="nil"/>
              <w:bottom w:val="single" w:sz="4" w:space="0" w:color="auto"/>
              <w:right w:val="nil"/>
            </w:tcBorders>
            <w:shd w:val="clear" w:color="000000" w:fill="F2F2F2"/>
            <w:noWrap/>
            <w:vAlign w:val="bottom"/>
            <w:hideMark/>
          </w:tcPr>
          <w:p w14:paraId="52B7301E" w14:textId="77777777" w:rsidR="00761800" w:rsidRPr="00761800" w:rsidRDefault="00761800" w:rsidP="00761800">
            <w:pPr>
              <w:jc w:val="right"/>
              <w:rPr>
                <w:rFonts w:ascii="Times New Roman" w:hAnsi="Times New Roman"/>
                <w:color w:val="000000"/>
                <w:sz w:val="16"/>
                <w:szCs w:val="16"/>
                <w:lang w:eastAsia="bg-BG"/>
              </w:rPr>
            </w:pPr>
            <w:r w:rsidRPr="00761800">
              <w:rPr>
                <w:rFonts w:ascii="Times New Roman" w:hAnsi="Times New Roman"/>
                <w:color w:val="000000"/>
                <w:sz w:val="16"/>
                <w:szCs w:val="16"/>
                <w:lang w:eastAsia="bg-BG"/>
              </w:rPr>
              <w:t>0,9%</w:t>
            </w:r>
          </w:p>
        </w:tc>
        <w:tc>
          <w:tcPr>
            <w:tcW w:w="880" w:type="dxa"/>
            <w:tcBorders>
              <w:top w:val="nil"/>
              <w:left w:val="nil"/>
              <w:bottom w:val="single" w:sz="4" w:space="0" w:color="auto"/>
              <w:right w:val="nil"/>
            </w:tcBorders>
            <w:shd w:val="clear" w:color="000000" w:fill="F2F2F2"/>
            <w:noWrap/>
            <w:vAlign w:val="bottom"/>
            <w:hideMark/>
          </w:tcPr>
          <w:p w14:paraId="58BDC5F7"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1,7%</w:t>
            </w:r>
          </w:p>
        </w:tc>
        <w:tc>
          <w:tcPr>
            <w:tcW w:w="880" w:type="dxa"/>
            <w:tcBorders>
              <w:top w:val="nil"/>
              <w:left w:val="nil"/>
              <w:bottom w:val="single" w:sz="4" w:space="0" w:color="auto"/>
              <w:right w:val="nil"/>
            </w:tcBorders>
            <w:shd w:val="clear" w:color="000000" w:fill="F2F2F2"/>
            <w:noWrap/>
            <w:vAlign w:val="bottom"/>
            <w:hideMark/>
          </w:tcPr>
          <w:p w14:paraId="0360711F"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1,1%</w:t>
            </w:r>
          </w:p>
        </w:tc>
        <w:tc>
          <w:tcPr>
            <w:tcW w:w="880" w:type="dxa"/>
            <w:tcBorders>
              <w:top w:val="nil"/>
              <w:left w:val="nil"/>
              <w:bottom w:val="single" w:sz="4" w:space="0" w:color="auto"/>
              <w:right w:val="nil"/>
            </w:tcBorders>
            <w:shd w:val="clear" w:color="000000" w:fill="F2F2F2"/>
            <w:noWrap/>
            <w:vAlign w:val="bottom"/>
            <w:hideMark/>
          </w:tcPr>
          <w:p w14:paraId="25E06451" w14:textId="77777777" w:rsidR="00761800" w:rsidRPr="00761800" w:rsidRDefault="00761800" w:rsidP="00761800">
            <w:pPr>
              <w:jc w:val="right"/>
              <w:rPr>
                <w:rFonts w:ascii="Times New Roman" w:hAnsi="Times New Roman"/>
                <w:sz w:val="16"/>
                <w:szCs w:val="16"/>
                <w:lang w:eastAsia="bg-BG"/>
              </w:rPr>
            </w:pPr>
            <w:r w:rsidRPr="00761800">
              <w:rPr>
                <w:rFonts w:ascii="Times New Roman" w:hAnsi="Times New Roman"/>
                <w:sz w:val="16"/>
                <w:szCs w:val="16"/>
                <w:lang w:eastAsia="bg-BG"/>
              </w:rPr>
              <w:t>0,5%</w:t>
            </w:r>
          </w:p>
        </w:tc>
      </w:tr>
      <w:tr w:rsidR="00761800" w:rsidRPr="00761800" w14:paraId="4E54A460" w14:textId="77777777" w:rsidTr="00406B4D">
        <w:trPr>
          <w:trHeight w:val="75"/>
        </w:trPr>
        <w:tc>
          <w:tcPr>
            <w:tcW w:w="2977" w:type="dxa"/>
            <w:tcBorders>
              <w:top w:val="nil"/>
              <w:left w:val="nil"/>
              <w:bottom w:val="nil"/>
              <w:right w:val="nil"/>
            </w:tcBorders>
            <w:shd w:val="clear" w:color="000000" w:fill="FFFFFF"/>
            <w:vAlign w:val="center"/>
            <w:hideMark/>
          </w:tcPr>
          <w:p w14:paraId="27EA1B59"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957" w:type="dxa"/>
            <w:tcBorders>
              <w:top w:val="nil"/>
              <w:left w:val="nil"/>
              <w:bottom w:val="nil"/>
              <w:right w:val="nil"/>
            </w:tcBorders>
            <w:shd w:val="clear" w:color="000000" w:fill="FFFFFF"/>
            <w:noWrap/>
            <w:vAlign w:val="bottom"/>
            <w:hideMark/>
          </w:tcPr>
          <w:p w14:paraId="5B27EC70"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739" w:type="dxa"/>
            <w:tcBorders>
              <w:top w:val="nil"/>
              <w:left w:val="nil"/>
              <w:bottom w:val="nil"/>
              <w:right w:val="nil"/>
            </w:tcBorders>
            <w:shd w:val="clear" w:color="000000" w:fill="FFFFFF"/>
            <w:noWrap/>
            <w:vAlign w:val="bottom"/>
            <w:hideMark/>
          </w:tcPr>
          <w:p w14:paraId="25A66CFD"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902" w:type="dxa"/>
            <w:tcBorders>
              <w:top w:val="nil"/>
              <w:left w:val="nil"/>
              <w:bottom w:val="nil"/>
              <w:right w:val="nil"/>
            </w:tcBorders>
            <w:shd w:val="clear" w:color="000000" w:fill="FFFFFF"/>
            <w:noWrap/>
            <w:vAlign w:val="bottom"/>
            <w:hideMark/>
          </w:tcPr>
          <w:p w14:paraId="7CAFF9C0"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902" w:type="dxa"/>
            <w:tcBorders>
              <w:top w:val="nil"/>
              <w:left w:val="nil"/>
              <w:bottom w:val="nil"/>
              <w:right w:val="nil"/>
            </w:tcBorders>
            <w:shd w:val="clear" w:color="000000" w:fill="FFFFFF"/>
            <w:noWrap/>
            <w:vAlign w:val="bottom"/>
            <w:hideMark/>
          </w:tcPr>
          <w:p w14:paraId="060D44C6"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65" w:type="dxa"/>
            <w:tcBorders>
              <w:top w:val="nil"/>
              <w:left w:val="nil"/>
              <w:bottom w:val="nil"/>
              <w:right w:val="nil"/>
            </w:tcBorders>
            <w:shd w:val="clear" w:color="000000" w:fill="F2F2F2"/>
            <w:noWrap/>
            <w:vAlign w:val="bottom"/>
            <w:hideMark/>
          </w:tcPr>
          <w:p w14:paraId="46140385" w14:textId="77777777" w:rsidR="00761800" w:rsidRPr="00761800" w:rsidRDefault="00761800" w:rsidP="00761800">
            <w:pPr>
              <w:jc w:val="right"/>
              <w:rPr>
                <w:rFonts w:ascii="Times New Roman" w:hAnsi="Times New Roman"/>
                <w:b/>
                <w:bCs/>
                <w:i/>
                <w:iCs/>
                <w:color w:val="000000"/>
                <w:sz w:val="16"/>
                <w:szCs w:val="16"/>
                <w:lang w:eastAsia="bg-BG"/>
              </w:rPr>
            </w:pPr>
            <w:r w:rsidRPr="00761800">
              <w:rPr>
                <w:rFonts w:ascii="Times New Roman" w:hAnsi="Times New Roman"/>
                <w:b/>
                <w:bCs/>
                <w:i/>
                <w:iCs/>
                <w:color w:val="000000"/>
                <w:sz w:val="16"/>
                <w:szCs w:val="16"/>
                <w:lang w:eastAsia="bg-BG"/>
              </w:rPr>
              <w:t> </w:t>
            </w:r>
          </w:p>
        </w:tc>
        <w:tc>
          <w:tcPr>
            <w:tcW w:w="880" w:type="dxa"/>
            <w:tcBorders>
              <w:top w:val="nil"/>
              <w:left w:val="nil"/>
              <w:bottom w:val="nil"/>
              <w:right w:val="nil"/>
            </w:tcBorders>
            <w:shd w:val="clear" w:color="000000" w:fill="F2F2F2"/>
            <w:noWrap/>
            <w:vAlign w:val="bottom"/>
            <w:hideMark/>
          </w:tcPr>
          <w:p w14:paraId="08D7E9E0"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5E33E0B5"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c>
          <w:tcPr>
            <w:tcW w:w="880" w:type="dxa"/>
            <w:tcBorders>
              <w:top w:val="nil"/>
              <w:left w:val="nil"/>
              <w:bottom w:val="nil"/>
              <w:right w:val="nil"/>
            </w:tcBorders>
            <w:shd w:val="clear" w:color="000000" w:fill="F2F2F2"/>
            <w:noWrap/>
            <w:vAlign w:val="bottom"/>
            <w:hideMark/>
          </w:tcPr>
          <w:p w14:paraId="074071A6" w14:textId="77777777" w:rsidR="00761800" w:rsidRPr="00761800" w:rsidRDefault="00761800" w:rsidP="00761800">
            <w:pPr>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 </w:t>
            </w:r>
          </w:p>
        </w:tc>
      </w:tr>
      <w:tr w:rsidR="00761800" w:rsidRPr="00761800" w14:paraId="62BE0811" w14:textId="77777777" w:rsidTr="00406B4D">
        <w:trPr>
          <w:trHeight w:val="210"/>
        </w:trPr>
        <w:tc>
          <w:tcPr>
            <w:tcW w:w="2977" w:type="dxa"/>
            <w:tcBorders>
              <w:top w:val="nil"/>
              <w:left w:val="nil"/>
              <w:bottom w:val="single" w:sz="4" w:space="0" w:color="595959"/>
              <w:right w:val="nil"/>
            </w:tcBorders>
            <w:shd w:val="clear" w:color="000000" w:fill="FFFFFF"/>
            <w:vAlign w:val="center"/>
            <w:hideMark/>
          </w:tcPr>
          <w:p w14:paraId="2032E41F" w14:textId="77777777" w:rsidR="00761800" w:rsidRPr="00761800" w:rsidRDefault="00761800" w:rsidP="00761800">
            <w:pPr>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Р-ди некласифицирани в другите функции</w:t>
            </w:r>
          </w:p>
        </w:tc>
        <w:tc>
          <w:tcPr>
            <w:tcW w:w="957" w:type="dxa"/>
            <w:tcBorders>
              <w:top w:val="nil"/>
              <w:left w:val="nil"/>
              <w:bottom w:val="single" w:sz="4" w:space="0" w:color="595959"/>
              <w:right w:val="nil"/>
            </w:tcBorders>
            <w:shd w:val="clear" w:color="000000" w:fill="FFFFFF"/>
            <w:noWrap/>
            <w:vAlign w:val="bottom"/>
            <w:hideMark/>
          </w:tcPr>
          <w:p w14:paraId="5B664CA8"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830,0</w:t>
            </w:r>
          </w:p>
        </w:tc>
        <w:tc>
          <w:tcPr>
            <w:tcW w:w="739" w:type="dxa"/>
            <w:tcBorders>
              <w:top w:val="nil"/>
              <w:left w:val="nil"/>
              <w:bottom w:val="single" w:sz="4" w:space="0" w:color="595959"/>
              <w:right w:val="nil"/>
            </w:tcBorders>
            <w:shd w:val="clear" w:color="000000" w:fill="FFFFFF"/>
            <w:noWrap/>
            <w:vAlign w:val="bottom"/>
            <w:hideMark/>
          </w:tcPr>
          <w:p w14:paraId="7E97A93C"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1 059,2</w:t>
            </w:r>
          </w:p>
        </w:tc>
        <w:tc>
          <w:tcPr>
            <w:tcW w:w="902" w:type="dxa"/>
            <w:tcBorders>
              <w:top w:val="nil"/>
              <w:left w:val="nil"/>
              <w:bottom w:val="single" w:sz="4" w:space="0" w:color="595959"/>
              <w:right w:val="nil"/>
            </w:tcBorders>
            <w:shd w:val="clear" w:color="000000" w:fill="FFFFFF"/>
            <w:noWrap/>
            <w:vAlign w:val="bottom"/>
            <w:hideMark/>
          </w:tcPr>
          <w:p w14:paraId="1B446BB2"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1 429,2</w:t>
            </w:r>
          </w:p>
        </w:tc>
        <w:tc>
          <w:tcPr>
            <w:tcW w:w="902" w:type="dxa"/>
            <w:tcBorders>
              <w:top w:val="nil"/>
              <w:left w:val="nil"/>
              <w:bottom w:val="single" w:sz="4" w:space="0" w:color="595959"/>
              <w:right w:val="nil"/>
            </w:tcBorders>
            <w:shd w:val="clear" w:color="000000" w:fill="FFFFFF"/>
            <w:noWrap/>
            <w:vAlign w:val="bottom"/>
            <w:hideMark/>
          </w:tcPr>
          <w:p w14:paraId="2AE439BF"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1 785,1</w:t>
            </w:r>
          </w:p>
        </w:tc>
        <w:tc>
          <w:tcPr>
            <w:tcW w:w="865" w:type="dxa"/>
            <w:tcBorders>
              <w:top w:val="nil"/>
              <w:left w:val="nil"/>
              <w:bottom w:val="single" w:sz="4" w:space="0" w:color="595959"/>
              <w:right w:val="nil"/>
            </w:tcBorders>
            <w:shd w:val="clear" w:color="000000" w:fill="F2F2F2"/>
            <w:noWrap/>
            <w:vAlign w:val="bottom"/>
            <w:hideMark/>
          </w:tcPr>
          <w:p w14:paraId="10882311" w14:textId="77777777" w:rsidR="00761800" w:rsidRPr="00761800" w:rsidRDefault="00761800" w:rsidP="00761800">
            <w:pPr>
              <w:jc w:val="right"/>
              <w:rPr>
                <w:rFonts w:ascii="Times New Roman" w:hAnsi="Times New Roman"/>
                <w:b/>
                <w:bCs/>
                <w:color w:val="000000"/>
                <w:sz w:val="16"/>
                <w:szCs w:val="16"/>
                <w:lang w:eastAsia="bg-BG"/>
              </w:rPr>
            </w:pPr>
            <w:r w:rsidRPr="00761800">
              <w:rPr>
                <w:rFonts w:ascii="Times New Roman" w:hAnsi="Times New Roman"/>
                <w:b/>
                <w:bCs/>
                <w:color w:val="000000"/>
                <w:sz w:val="16"/>
                <w:szCs w:val="16"/>
                <w:lang w:eastAsia="bg-BG"/>
              </w:rPr>
              <w:t>0,8%</w:t>
            </w:r>
          </w:p>
        </w:tc>
        <w:tc>
          <w:tcPr>
            <w:tcW w:w="880" w:type="dxa"/>
            <w:tcBorders>
              <w:top w:val="nil"/>
              <w:left w:val="nil"/>
              <w:bottom w:val="single" w:sz="4" w:space="0" w:color="595959"/>
              <w:right w:val="nil"/>
            </w:tcBorders>
            <w:shd w:val="clear" w:color="000000" w:fill="F2F2F2"/>
            <w:noWrap/>
            <w:vAlign w:val="bottom"/>
            <w:hideMark/>
          </w:tcPr>
          <w:p w14:paraId="51B5EC03"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0,8%</w:t>
            </w:r>
          </w:p>
        </w:tc>
        <w:tc>
          <w:tcPr>
            <w:tcW w:w="880" w:type="dxa"/>
            <w:tcBorders>
              <w:top w:val="nil"/>
              <w:left w:val="nil"/>
              <w:bottom w:val="single" w:sz="4" w:space="0" w:color="595959"/>
              <w:right w:val="nil"/>
            </w:tcBorders>
            <w:shd w:val="clear" w:color="000000" w:fill="F2F2F2"/>
            <w:noWrap/>
            <w:vAlign w:val="bottom"/>
            <w:hideMark/>
          </w:tcPr>
          <w:p w14:paraId="4B2C08B4"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1,1%</w:t>
            </w:r>
          </w:p>
        </w:tc>
        <w:tc>
          <w:tcPr>
            <w:tcW w:w="880" w:type="dxa"/>
            <w:tcBorders>
              <w:top w:val="nil"/>
              <w:left w:val="nil"/>
              <w:bottom w:val="single" w:sz="4" w:space="0" w:color="595959"/>
              <w:right w:val="nil"/>
            </w:tcBorders>
            <w:shd w:val="clear" w:color="000000" w:fill="F2F2F2"/>
            <w:noWrap/>
            <w:vAlign w:val="bottom"/>
            <w:hideMark/>
          </w:tcPr>
          <w:p w14:paraId="7356C485" w14:textId="77777777" w:rsidR="00761800" w:rsidRPr="00761800" w:rsidRDefault="00761800" w:rsidP="00761800">
            <w:pPr>
              <w:jc w:val="right"/>
              <w:rPr>
                <w:rFonts w:ascii="Times New Roman" w:hAnsi="Times New Roman"/>
                <w:b/>
                <w:bCs/>
                <w:sz w:val="16"/>
                <w:szCs w:val="16"/>
                <w:lang w:eastAsia="bg-BG"/>
              </w:rPr>
            </w:pPr>
            <w:r w:rsidRPr="00761800">
              <w:rPr>
                <w:rFonts w:ascii="Times New Roman" w:hAnsi="Times New Roman"/>
                <w:b/>
                <w:bCs/>
                <w:sz w:val="16"/>
                <w:szCs w:val="16"/>
                <w:lang w:eastAsia="bg-BG"/>
              </w:rPr>
              <w:t>1,2%</w:t>
            </w:r>
          </w:p>
        </w:tc>
      </w:tr>
    </w:tbl>
    <w:p w14:paraId="2F4867CB" w14:textId="77777777" w:rsidR="00761800" w:rsidRPr="00761800" w:rsidRDefault="00761800" w:rsidP="00761800">
      <w:pPr>
        <w:spacing w:after="200"/>
        <w:ind w:right="-706"/>
        <w:contextualSpacing/>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Източник: МФ</w:t>
      </w:r>
    </w:p>
    <w:p w14:paraId="07C294A4"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bookmarkStart w:id="308" w:name="_Toc465070468"/>
      <w:bookmarkStart w:id="309" w:name="_Toc465205518"/>
      <w:r w:rsidRPr="00761800">
        <w:rPr>
          <w:rFonts w:ascii="Times New Roman" w:hAnsi="Times New Roman"/>
          <w:b/>
          <w:bCs/>
          <w:caps/>
          <w:color w:val="852010"/>
          <w:szCs w:val="22"/>
          <w:lang w:eastAsia="bg-BG"/>
        </w:rPr>
        <w:t>Политика по доходите</w:t>
      </w:r>
      <w:bookmarkEnd w:id="308"/>
      <w:bookmarkEnd w:id="309"/>
    </w:p>
    <w:p w14:paraId="4ECD0C6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В разчетите за периода 2026-2028 г. е взето предвид увеличението на размера на минималната работна заплата от 1 януари 2026 г. на 620,20 евро.</w:t>
      </w:r>
    </w:p>
    <w:p w14:paraId="2B61A76E"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bCs/>
          <w:szCs w:val="24"/>
          <w:lang w:eastAsia="bg-BG" w:bidi="bg-BG"/>
        </w:rPr>
        <w:t>За 2026 г. е приложена еднократна индексация за всички бюджетни организации от 5% увеличение на индивидуалните работни заплати, достигнати към 31.12.2025 г., в изпълнение на чл. 3, ал. 2, изречение трето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w:t>
      </w:r>
    </w:p>
    <w:p w14:paraId="5C6102E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Не се разчита увеличение на разходите за персонал (в т.ч. за длъжностите, които се заемат въз основа на избор), по механизми, политики и нормативни разпоредби, свързани с определяне, преизчисляване или индексация на възнагражденията на база ръста на средната брутна работна заплата/минимална работна заплата. Ангажиметите по  колективните трудови договори се изпълняват, като се отчитат предвидените разходи по бюджетите на съответните първостепенни разпоредители с бюджет.</w:t>
      </w:r>
    </w:p>
    <w:p w14:paraId="10B9068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Предвидено е намаляване с 10 на сто, считано от 1 септември 2026 г. (за 4 месеца за 2026 г. и целогодишно за периода 2027-2028 г.) на разходите за заплати и възнаграждения на персонала по трудови и служебни правоотношения и свързаните с тях задължителни осигурителни вноски от работодатели по бюджетите на ПРБ, с изключение на:</w:t>
      </w:r>
    </w:p>
    <w:p w14:paraId="253C1BC5" w14:textId="77777777" w:rsidR="00761800" w:rsidRPr="00761800" w:rsidRDefault="00761800" w:rsidP="00F64909">
      <w:pPr>
        <w:numPr>
          <w:ilvl w:val="0"/>
          <w:numId w:val="29"/>
        </w:numPr>
        <w:spacing w:after="120"/>
        <w:ind w:hanging="294"/>
        <w:jc w:val="both"/>
        <w:rPr>
          <w:rFonts w:ascii="Times New Roman" w:hAnsi="Times New Roman"/>
          <w:szCs w:val="24"/>
          <w:lang w:eastAsia="bg-BG"/>
        </w:rPr>
      </w:pPr>
      <w:r w:rsidRPr="00761800">
        <w:rPr>
          <w:rFonts w:ascii="Times New Roman" w:hAnsi="Times New Roman"/>
          <w:szCs w:val="24"/>
          <w:lang w:eastAsia="bg-BG"/>
        </w:rPr>
        <w:lastRenderedPageBreak/>
        <w:t>общините;</w:t>
      </w:r>
    </w:p>
    <w:p w14:paraId="0E022D49" w14:textId="77777777" w:rsidR="00761800" w:rsidRPr="00761800" w:rsidRDefault="00761800" w:rsidP="00F64909">
      <w:pPr>
        <w:numPr>
          <w:ilvl w:val="0"/>
          <w:numId w:val="29"/>
        </w:numPr>
        <w:spacing w:after="120"/>
        <w:ind w:hanging="294"/>
        <w:jc w:val="both"/>
        <w:rPr>
          <w:rFonts w:ascii="Times New Roman" w:hAnsi="Times New Roman"/>
          <w:szCs w:val="24"/>
          <w:lang w:eastAsia="bg-BG"/>
        </w:rPr>
      </w:pPr>
      <w:r w:rsidRPr="00761800">
        <w:rPr>
          <w:rFonts w:ascii="Times New Roman" w:hAnsi="Times New Roman"/>
          <w:szCs w:val="24"/>
          <w:lang w:eastAsia="bg-BG"/>
        </w:rPr>
        <w:t>лицата по чл. 69 от КСО - военнослужещите по Закона за отбраната и въоръжените сили на Република България; по Закона за Министерството на вътрешните работи; по Закона за Държавна агенция „Национална сигурност“; по Закона за Националната служба за охрана; по Закона за Държавна агенция „Разузнаване“; по Закона за изпълнение на наказанията и задържането под стража и др.;</w:t>
      </w:r>
    </w:p>
    <w:p w14:paraId="048FFF66" w14:textId="77777777" w:rsidR="00761800" w:rsidRPr="00761800" w:rsidRDefault="00761800" w:rsidP="00F64909">
      <w:pPr>
        <w:numPr>
          <w:ilvl w:val="0"/>
          <w:numId w:val="29"/>
        </w:numPr>
        <w:spacing w:after="120"/>
        <w:ind w:hanging="294"/>
        <w:jc w:val="both"/>
        <w:rPr>
          <w:rFonts w:ascii="Times New Roman" w:hAnsi="Times New Roman"/>
          <w:szCs w:val="24"/>
          <w:lang w:eastAsia="bg-BG"/>
        </w:rPr>
      </w:pPr>
      <w:r w:rsidRPr="00761800">
        <w:rPr>
          <w:rFonts w:ascii="Times New Roman" w:hAnsi="Times New Roman"/>
          <w:szCs w:val="24"/>
          <w:lang w:eastAsia="bg-BG"/>
        </w:rPr>
        <w:t>разпоредители с бюджет, прилагащи делегиран бюджет;</w:t>
      </w:r>
    </w:p>
    <w:p w14:paraId="2345902C" w14:textId="77777777" w:rsidR="00761800" w:rsidRPr="00761800" w:rsidRDefault="00761800" w:rsidP="00F64909">
      <w:pPr>
        <w:numPr>
          <w:ilvl w:val="0"/>
          <w:numId w:val="29"/>
        </w:numPr>
        <w:spacing w:after="120"/>
        <w:ind w:hanging="294"/>
        <w:jc w:val="both"/>
        <w:rPr>
          <w:rFonts w:ascii="Times New Roman" w:hAnsi="Times New Roman"/>
          <w:szCs w:val="24"/>
          <w:lang w:eastAsia="bg-BG"/>
        </w:rPr>
      </w:pPr>
      <w:r w:rsidRPr="00761800">
        <w:rPr>
          <w:rFonts w:ascii="Times New Roman" w:hAnsi="Times New Roman"/>
          <w:szCs w:val="24"/>
          <w:lang w:eastAsia="bg-BG"/>
        </w:rPr>
        <w:t>разпоредители с бюджет – лечебни заведения по чл. 5 от Закона за лечебните заведения.</w:t>
      </w:r>
    </w:p>
    <w:p w14:paraId="3EB8B09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Във връзка с предвидените промени в модела на осигуряване на всички държавни служители по Закона за държавния служител и на заетите по Закона за съдебната власт считано от 1 август 2026 г. се предвижда индивидуалните основни месечни заплати на засегнатите лица да се определят така, че същите, намалени със задължителните осигурителни вноски за сметка на осигуреното лице и дължимия данък, да не са по-ниски от получаваните към 31 юли 2026 г.  индивидуални основни месечни заплати, намалени с дължимия данък.</w:t>
      </w:r>
    </w:p>
    <w:p w14:paraId="4E5B6B12"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bookmarkStart w:id="310" w:name="_Toc465070469"/>
      <w:bookmarkStart w:id="311" w:name="_Toc465205519"/>
      <w:r w:rsidRPr="00761800">
        <w:rPr>
          <w:rFonts w:ascii="Times New Roman" w:hAnsi="Times New Roman"/>
          <w:b/>
          <w:bCs/>
          <w:caps/>
          <w:color w:val="852010"/>
          <w:szCs w:val="22"/>
          <w:lang w:eastAsia="bg-BG"/>
        </w:rPr>
        <w:t>Пенсионна политика</w:t>
      </w:r>
      <w:bookmarkEnd w:id="310"/>
      <w:bookmarkEnd w:id="311"/>
    </w:p>
    <w:p w14:paraId="24275FB1" w14:textId="77777777" w:rsidR="00761800" w:rsidRPr="00761800" w:rsidRDefault="00761800" w:rsidP="00761800">
      <w:pPr>
        <w:shd w:val="clear" w:color="auto" w:fill="FFFFFF"/>
        <w:spacing w:after="200"/>
        <w:jc w:val="both"/>
        <w:rPr>
          <w:rFonts w:ascii="Times New Roman" w:hAnsi="Times New Roman"/>
          <w:szCs w:val="24"/>
          <w:lang w:eastAsia="bg-BG"/>
        </w:rPr>
      </w:pPr>
      <w:r w:rsidRPr="00761800">
        <w:rPr>
          <w:rFonts w:ascii="Times New Roman" w:hAnsi="Times New Roman"/>
          <w:szCs w:val="24"/>
          <w:lang w:eastAsia="bg-BG"/>
        </w:rPr>
        <w:t>При разработването на прогнозата за разходите за пенсии за периода 2026-2028 г. са взети предвид действащото законодателство в Кодекса за социално осигуряване (КСО) и параметрите на Закона за бюджета на държавното обществено осигуряване (ЗБДОО) за 2025 г. (обн., ДВ, бр. 25 от 2025 г.), в т.ч.:</w:t>
      </w:r>
    </w:p>
    <w:p w14:paraId="158ECE16"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чл. 68, ал. 1-2 от КСО – от 1 януари на всяка календарна година продължава увеличаването на възрастта за придобиване право на пенсия с по 2 месеца за жените и с по 1 месец за мъжете, както и на необходимия осигурителен стаж за придобиване право на пенсия с по 2 месеца и за двата пола до достигане на 37 години за жените и 40 години за мъжете през 2027 г. През 2026 г. необходимите условия за пенсиониране за работещите при условията на трета категория труд са 62 години и 6 месеца навършена възраст и 36 години и 10 месеца осигурителен стаж за жените и 64 години и 9 месеца навършена възраст и 39 години и 10 месеца осигурителен стаж за мъжете;</w:t>
      </w:r>
    </w:p>
    <w:p w14:paraId="2284F218"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чл. 68, ал. 3 от КСО – в периода 2026-2028 г. пенсионната възраст се запазва на достигнатото през 2023 г. ниво от 67 години за двата пола;</w:t>
      </w:r>
    </w:p>
    <w:p w14:paraId="61483CDD"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чл. 69, ал. 1, 2, 3, 5, 5а и 6 на КСО – минималната възраст за пенсиониране на работещите в сектор „Отбрана и сигурност” продължава да се увеличава с по 2 месеца до достигане на 54 години и 10 месеца през 2028 г.; </w:t>
      </w:r>
    </w:p>
    <w:p w14:paraId="2B53C254"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чл. 69б – минималната възраст за пенсиониране на лицата, работили при условията на първа и втора категория труд, които не отговарят на условията за пенсиониране от професионален пенсионен фонд по чл. 168 на КСО или са променили осигуряването си по чл. 4в на КСО, продължава да се увеличава с по 4 месеца за жените и с по 2 месеца за мъжете до достигане в 2028 г. на 52 години за жените и 54 години и 10 месеца за мъжете от първа категория и на 57 години за жените и 59 години и 10 месеца за мъжете от втора категория труд;</w:t>
      </w:r>
    </w:p>
    <w:p w14:paraId="4752D467"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lastRenderedPageBreak/>
        <w:t xml:space="preserve">В периода 2026-2028 г. пенсиите за трудова дейност, отпуснати до 31 декември на предходната година, се осъвременяват от 1 юли всяка година с процент по чл. 100 от КСО, определен като сбора от 50 на сто от нарастването на осигурителния доход и 50 на сто от индекса на потребителските цени през предходната календарна година; </w:t>
      </w:r>
    </w:p>
    <w:p w14:paraId="4FAB3C9F"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Считано от 1 юли 2026 г. минималният размер на пенсията за осигурителен стаж и възраст и свързаните с нея минимални размери на пенсиите за трудова дейност се увеличават с процента, определен по чл. 100 от КСО; </w:t>
      </w:r>
    </w:p>
    <w:p w14:paraId="77418B5B"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Считано от 1 юли 2026 г. размерът на социалната пенсия за старост и свързаните с нея пенсии и добавки се увеличава с процента, определен по чл. 100 от КСО;</w:t>
      </w:r>
    </w:p>
    <w:p w14:paraId="288C1BF8" w14:textId="77777777" w:rsidR="00761800" w:rsidRPr="00761800" w:rsidRDefault="00761800" w:rsidP="00F64909">
      <w:pPr>
        <w:numPr>
          <w:ilvl w:val="0"/>
          <w:numId w:val="10"/>
        </w:numPr>
        <w:spacing w:after="120"/>
        <w:jc w:val="both"/>
        <w:rPr>
          <w:rFonts w:ascii="Times New Roman" w:hAnsi="Times New Roman"/>
          <w:szCs w:val="22"/>
          <w:lang w:eastAsia="bg-BG"/>
        </w:rPr>
      </w:pPr>
      <w:r w:rsidRPr="00761800">
        <w:rPr>
          <w:rFonts w:ascii="Times New Roman" w:hAnsi="Times New Roman"/>
          <w:szCs w:val="22"/>
          <w:lang w:eastAsia="bg-BG"/>
        </w:rPr>
        <w:t>Считано от 1 юли 2026 г. се премахва ковид добавката към пенсиите за новоотпуснатите пенсии;</w:t>
      </w:r>
    </w:p>
    <w:p w14:paraId="2219C0F4"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В периода 2026-2028 г. максималният размер на получаваните една или повече пенсии се запазва на достигнато през 2022 г. ниво от 1 738,40 евро.</w:t>
      </w:r>
    </w:p>
    <w:p w14:paraId="510C0B89" w14:textId="77777777" w:rsidR="00761800" w:rsidRPr="00761800" w:rsidRDefault="00761800" w:rsidP="00761800">
      <w:pPr>
        <w:shd w:val="clear" w:color="auto" w:fill="FFFFFF"/>
        <w:spacing w:after="200"/>
        <w:jc w:val="both"/>
        <w:rPr>
          <w:rFonts w:ascii="Times New Roman" w:hAnsi="Times New Roman"/>
          <w:szCs w:val="24"/>
          <w:lang w:eastAsia="bg-BG"/>
        </w:rPr>
      </w:pPr>
      <w:r w:rsidRPr="00761800">
        <w:rPr>
          <w:rFonts w:ascii="Times New Roman" w:hAnsi="Times New Roman"/>
          <w:szCs w:val="24"/>
          <w:lang w:eastAsia="bg-BG"/>
        </w:rPr>
        <w:t>В резултат на посочените по-горе допускания през 2026 г. разходите за пенсии по бюджета на ДОО нарастват с 1 179,9 млн. евро спрямо закона за 2025 г.</w:t>
      </w:r>
    </w:p>
    <w:p w14:paraId="562357C4" w14:textId="77777777" w:rsidR="00761800" w:rsidRPr="00761800" w:rsidRDefault="00761800" w:rsidP="00761800">
      <w:pPr>
        <w:shd w:val="clear" w:color="auto" w:fill="FFFFFF"/>
        <w:spacing w:after="200"/>
        <w:jc w:val="both"/>
        <w:rPr>
          <w:rFonts w:ascii="Times New Roman" w:hAnsi="Times New Roman"/>
          <w:szCs w:val="24"/>
          <w:lang w:eastAsia="bg-BG"/>
        </w:rPr>
      </w:pPr>
      <w:r w:rsidRPr="00761800">
        <w:rPr>
          <w:rFonts w:ascii="Times New Roman" w:hAnsi="Times New Roman"/>
          <w:szCs w:val="24"/>
          <w:lang w:eastAsia="bg-BG"/>
        </w:rPr>
        <w:t>През 2027 г. и 2028 г. ръстовете в разходите за пенсии по бюджета на ДОО спрямо предходната година са съответно  1 062,4 млн. евро и  1 037,5 млн. евро.</w:t>
      </w:r>
    </w:p>
    <w:p w14:paraId="24EAE19B"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Социална политика</w:t>
      </w:r>
    </w:p>
    <w:p w14:paraId="61DDC442"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По отношение на политиката, свързана със социалните помощи и обезщетения, изплащани от бюджета на ДОО в съответствие с действащото законодателство в КСО, се предвижда:</w:t>
      </w:r>
    </w:p>
    <w:p w14:paraId="13BF06B9"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 периода 2026-2028 г. се запазват минималният и максималният дневен размер на обезщетението за безработица на достигнатите през 2025 г. нива;</w:t>
      </w:r>
    </w:p>
    <w:p w14:paraId="2271AC85"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Запазва се периодът на изплащане на паричното обезщетение за бременност и раждане – 410 дни, както и периодът от два месеца за изплащане на паричното обезщетение за отглеждане на дете до 8-годишна възраст от бащата (осиновителя);</w:t>
      </w:r>
    </w:p>
    <w:p w14:paraId="7DF41E77"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Запазва се размерът на обезщетението за отглеждане на дете до 2-годишна възраст и за отглеждане на дете до 8-годишна възраст от бащата (осиновителя) на достигнатото през 2025 г. ниво;</w:t>
      </w:r>
    </w:p>
    <w:p w14:paraId="1941A542"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Запазва се режимът на изплащане на паричните обезщетения за временна неработоспособност съгласно чл. 40, ал. 5 от Кодекса за социално осигуряване – първите два работни дни се изплащат от осигурителя, а от 3-тия ден на настъпване на временната неработоспособност – от ДОО, за целия период до 2028 г. включително;</w:t>
      </w:r>
    </w:p>
    <w:p w14:paraId="066D895B"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Запазва се периодът, от който се изчисляват краткосрочните обезщетения при временна неработоспособност – 18 календарни месеца, бременност и раждане и безработица – 24 месеца за целия период до 2028 г. включително;</w:t>
      </w:r>
    </w:p>
    <w:p w14:paraId="333B1A43"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lastRenderedPageBreak/>
        <w:t>Запазва се размерът на еднократната помощ при смърт на осигурено лице –  на достигнатото през 2025 г. ниво;</w:t>
      </w:r>
    </w:p>
    <w:p w14:paraId="7D6B4AA3"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 периода 2026-2028 г. не се правят вноски за фонд „Гарантирани вземания на работниците и служителите”, като се запазва разпоредбата на чл. 22, ал. 2 от ЗГВРСНР, относно максималния месечен размер на гарантираното вземане, който не може да бъде по-малък от 2,5 минимални работни заплати.</w:t>
      </w:r>
    </w:p>
    <w:p w14:paraId="181B484D"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Прогнозата за разходите за обезщетения и помощи за периода 2026-2028 г. по проектобюджета на държавното обществено осигуряване е съобразена с отчетените разходи за 2024 г. и  за 2025 г., динамиката в прогнозирания брой на осигурените лица, нарастването на осигурителния им доход, в т.ч. и за предходни години, доколкото размерът на повечето парични обезщетения се определя от референтен доход за предишните 18 или 24 календарни месеца преди настъпване на риска, както и с отчетни данни за броя на получателите на парични обезщетения и помощи, дневните размери на паричните обезщетения и изплатените работни дни на осигурените лица, и др.</w:t>
      </w:r>
    </w:p>
    <w:p w14:paraId="69B179D4"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В резултат на тези допускания разходите за обезщетения и помощи по бюджета на ДОО през 2026 г. нарастват с  81,9 млн. евро спрямо закона за 2025 г.</w:t>
      </w:r>
    </w:p>
    <w:p w14:paraId="589B9B45"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bCs/>
          <w:szCs w:val="24"/>
          <w:lang w:eastAsia="bg-BG"/>
        </w:rPr>
        <w:t>По проектобюджета на Министерството на труда и социалната политика за 2026 г. за помощи и обезщетения са предвидени допълнителни разходи в размер на</w:t>
      </w:r>
      <w:r w:rsidRPr="00761800">
        <w:rPr>
          <w:rFonts w:ascii="Times New Roman" w:eastAsia="Batang" w:hAnsi="Times New Roman"/>
          <w:szCs w:val="24"/>
          <w:lang w:eastAsia="bg-BG"/>
        </w:rPr>
        <w:t xml:space="preserve"> 311,7 млн. евро, във връзка с РМС № 224 от 2026 г. за одобряване на финансиране на МТСП за 2026 г. за изпълнение на Програмата за компенсиране на физически лица за увеличените цени на горивата след избухване на конфликта в Близкия изток, ефект от увеличението на МРЗ на 620,20 евро считано от 1 януари 2026 г., ефект от увеличението на линията на бедност на 390,63 евро за 2026 г., динамиката в броя на ползвателите, както и оптимизиращи мерки за подобряване на ефективността на механизмите за оценка и контрол при определяне правото на достъп до социални плащания - лична помощ, социална помощ, финансова подкрепа на хора с увреждания и други. </w:t>
      </w:r>
    </w:p>
    <w:p w14:paraId="64A09D6D"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i/>
          <w:szCs w:val="24"/>
          <w:lang w:eastAsia="bg-BG"/>
        </w:rPr>
        <w:t>За делегираните от държавата дейности</w:t>
      </w:r>
      <w:r w:rsidRPr="00761800">
        <w:rPr>
          <w:rFonts w:ascii="Times New Roman" w:eastAsia="Batang" w:hAnsi="Times New Roman"/>
          <w:szCs w:val="24"/>
          <w:lang w:eastAsia="bg-BG"/>
        </w:rPr>
        <w:t xml:space="preserve"> в сферата на социалните услуги, финансирани чрез бюджетите на общините за 2026 г., са предвидени допълнителни разходи в размер на 73,2 млн. евро във връзка с ефекта от увеличението на минималната работна заплата от 1 януари 2026 г. и промяната в натуралните показатели. С предвидените средства за 2026 г. се осигурява финансирането на специализираните институции за предоставяне на социални услуги, социалните услуги, предоставяни в общността, и на асистентската подкрепа. </w:t>
      </w:r>
    </w:p>
    <w:p w14:paraId="00C44601"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пазара на труда, свободното движение на работници и трудовата миграция</w:t>
      </w:r>
    </w:p>
    <w:p w14:paraId="04BE3AF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Политиката в областта на пазара на труда, свободното движение на работници и трудовата миграция се изпълнява от Министерството на труда и социалната политика (МТСП), като са ангажирани и изпълнителните агенции към министъра на труда и социалната политика – Агенцията по заетостта, Изпълнителната агенция „Главна инспекция по труда“, Държавната агенция за закрила на детето, Агенцията за социално подпомагане и се реализира чрез ежегодно приемания Национален план за действие по заетостта. </w:t>
      </w:r>
    </w:p>
    <w:p w14:paraId="10E86B0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Стратегическите цели в областта на пазара на труда включват повишаване качеството на работната сила в контекста на дигитализацията на икономиката и зеления преход и </w:t>
      </w:r>
      <w:r w:rsidRPr="00761800">
        <w:rPr>
          <w:rFonts w:ascii="Times New Roman" w:hAnsi="Times New Roman"/>
          <w:szCs w:val="22"/>
          <w:lang w:eastAsia="bg-BG"/>
        </w:rPr>
        <w:lastRenderedPageBreak/>
        <w:t xml:space="preserve">подобряване адаптивността на заетите лица, повишаване предлагането на труд чрез насърчаване икономическата активност на населението, привличане на българи, живеещи в чужбина и подобряване достъпа до пазара на труда за работници от трети страни, и насърчаване на заетостта чрез създаване на възможности за интеграция на неравнопоставените групи на пазара на труда, вкл. лица с увреждания. </w:t>
      </w:r>
    </w:p>
    <w:p w14:paraId="3F5E95F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Програмата в областта на свободното движение на работници и трудовата миграция, като част от посочената политика, се реализира на основание на Закона за трудовата миграция и трудовата мобилност и на Правилника за неговото прилагане. Стратегическата цел в областта на свободното движение на работници и трудовата миграция е ограничаване на недостига на кадри за пазара на труда в България, чрез регулиране на трудовата миграция, както и чрез гарантиране правата на българските работници, упражняващи правото си на свободно движение и заетост в ЕС/ЕИП</w:t>
      </w:r>
      <w:r w:rsidRPr="00761800">
        <w:rPr>
          <w:rFonts w:ascii="Times New Roman" w:hAnsi="Times New Roman"/>
          <w:sz w:val="20"/>
          <w:vertAlign w:val="superscript"/>
          <w:lang w:eastAsia="bg-BG"/>
        </w:rPr>
        <w:footnoteReference w:id="56"/>
      </w:r>
      <w:r w:rsidRPr="00761800">
        <w:rPr>
          <w:rFonts w:ascii="Times New Roman" w:hAnsi="Times New Roman"/>
          <w:szCs w:val="22"/>
          <w:lang w:eastAsia="bg-BG"/>
        </w:rPr>
        <w:t>. Дейностите в тази област ще бъдат насочени към осигуряване на работна сила за сектори и икономически дейности, където е идентифициран недостиг на кадри, като се използват възможностите за осъществяване на свободното движение на работници в ЕС и механизмите на трудовата миграция, включително чрез спогодби за регулирането ѝ.</w:t>
      </w:r>
    </w:p>
    <w:p w14:paraId="2AACC616"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в областта на трудовите отношения </w:t>
      </w:r>
    </w:p>
    <w:p w14:paraId="4138085E"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Стратегическата цел на политиката в областта на трудовите отношения на МТСП съчетава три основни стратегически направления: повишаване на качеството и сигурността на труда; гарантиране на адекватността и устойчивостта на пенсионната система и защита на правата на българите зад граница в областта на социалната сигурност.</w:t>
      </w:r>
    </w:p>
    <w:p w14:paraId="1DA5D7D7"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Политиката в областта на трудовите отношения допринася за успешно функциониращ пазар на труда, основан на адекватна регулация на трудовите отношения, балансирана система за социална сигурност и ефективен социален диалог. Основните предизвикателства, които определят насоките за действие в областта на трудовите отношения са: новите тенденции в заетостта, свързани с атипични форми на трудови отношения, включително надомна работа, работа от разстояние и работа чрез предприятия, които осигуряват временна заетост, както и повишаващата се заетост в микро-, малките и средни предприятия, промените на работното място и възникването на нови професионални рискове; тенденцията към увеличаване и/или неравномерно разпределение на работното време и интензивността на труда, демографските промени и застаряването на работещото население. Важно значение имат и въпросите, свързани с улесняването на работодателите за изпълнението на законовите им задължения в областта на трудовите и осигурителните отношения и безопасните и здравословни условия на труд.</w:t>
      </w:r>
    </w:p>
    <w:p w14:paraId="7E5616D6"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 xml:space="preserve">За изпълнението на заложената стратегическа цел се поставят пет оперативни цели: защита на трудовите и социалните права на работниците и служителите и развитие на законодателството в съответствие с принципите за по-доброто регулиране, подобряване на условията на труд в предприятията и на мотивацията и производителността на работната сила, повишаване на ефективността и ефикасността на контрола по спазване на трудовото законодателство, гарантиране на социалноосигурителните права на гражданите и защита на правата на българите зад граница в областта на социалната сигурност и усъвършенстване и развитие на социалния диалог и съдействие за уреждане </w:t>
      </w:r>
      <w:r w:rsidRPr="00761800">
        <w:rPr>
          <w:rFonts w:ascii="Times New Roman" w:eastAsia="Batang" w:hAnsi="Times New Roman"/>
          <w:szCs w:val="22"/>
          <w:lang w:eastAsia="bg-BG"/>
        </w:rPr>
        <w:lastRenderedPageBreak/>
        <w:t>на колективни трудови спорове. Изпълнението на оперативните цели се осъществява чрез Програма 1500.02.01 „Осигуряване на подходящи условия на труд”.</w:t>
      </w:r>
    </w:p>
    <w:p w14:paraId="47B717BD"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Разработването и провеждането на политиката в областта на трудовите отношения се осъществява в сътрудничество с признатите за представителни на национално равнище организации на работодателите и на работниците и служителите. Принос в политиката има Изпълнителна агенция „Главна инспекция по труда“ чрез осъществяване на цялостен контрол за спазване на трудовото законодателство във всички отрасли и дейности в Република България. За постигане целите на политиката допринасят всички участници на пазара на труда.</w:t>
      </w:r>
    </w:p>
    <w:p w14:paraId="56167B36"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социалното подпомагане и равнопоставеността на жените и мъжете</w:t>
      </w:r>
    </w:p>
    <w:p w14:paraId="3781A062"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Стратегическите цели на политиката в областта на социалното подпомагане и равнопоставеността на жените и мъжете са: оптимизиране на системата за социална подкрепа на най-уязвимите групи от населението, повишаване ефективността на програмите и дейностите за социално подпомагане и насърчаване на равнопоставеността на мъжете и жените в различни сфери на обществения живот.</w:t>
      </w:r>
    </w:p>
    <w:p w14:paraId="02F29A4F"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Политиката по социално подпомагане е насочена към гарантиране задоволяването на основните жизненоважни потребности на хората, изпаднали в критична ситуация, като се прилага ясен, точен и обективно обоснован механизъм. За периода 2026-2028 г. приоритет остават оптимизиране на социалното подпомагане на уязвимите групи от населението, гарантиране на тяхната социална защита чрез по-добра целенасоченост на социалните помощи, повишаване ефективността на програмите и усъвършенстване на нормативната уредба в сферата на социалните помощи в съответствие с динамично променящите се условия на средата.</w:t>
      </w:r>
    </w:p>
    <w:p w14:paraId="30167FD9"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Равнопоставеността на жените и мъжете е основополагащ принцип в обществото, който гарантира равноправно участие в създаването, управлението и потреблението на обществените блага и услуги. Политиката в областта на равнопоставеността на жените и мъжете има хоризонтален, междусекторен характер. Провеждането ѝ се основава на Закона за равнопоставеност на жените и мъжете чрез интегриране на въпросите за равнопоставеността на жените и мъжете в отделните секторни политики.</w:t>
      </w:r>
    </w:p>
    <w:p w14:paraId="6A3375AF"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в областта на хората с увреждания </w:t>
      </w:r>
    </w:p>
    <w:p w14:paraId="5336A0DA" w14:textId="77777777" w:rsidR="00761800" w:rsidRPr="00761800" w:rsidRDefault="00761800" w:rsidP="00761800">
      <w:pPr>
        <w:spacing w:after="200"/>
        <w:ind w:right="-1"/>
        <w:jc w:val="both"/>
        <w:rPr>
          <w:rFonts w:ascii="Times New Roman" w:eastAsia="Batang" w:hAnsi="Times New Roman"/>
          <w:szCs w:val="22"/>
          <w:lang w:eastAsia="bg-BG"/>
        </w:rPr>
      </w:pPr>
      <w:r w:rsidRPr="00761800">
        <w:rPr>
          <w:rFonts w:ascii="Times New Roman" w:eastAsia="Batang" w:hAnsi="Times New Roman"/>
          <w:szCs w:val="22"/>
          <w:lang w:eastAsia="bg-BG"/>
        </w:rPr>
        <w:t xml:space="preserve">Политиката за правата на хората с увреждания е свързана с универсалността, неделимостта и взаимната зависимост на всички права на човека и основни свободи и осигуряване на правни гаранции за недопускане на дискриминация по признак „увреждане“. Основният фокус е поставен върху създаване на условия и възможности за социално приобщаване и предоставяне на целенасочени подкрепящи и насърчителни мерки на уязвимите групи от хора с увреждания, имащи благоприятно въздействие върху качеството на живот и превенция от социалното изключване. Тази политика е тясно свързана с прилагането на интегриран подход с хоризонтално въздействие, обединяващ ресурсите в различни секторни политики. Развива се в съответствие с изпълнението на националните ангажименти, съгласно изискванията на Конвенцията на ООН за правата на хората с увреждания и при спазване на приоритетите на релевантните стратегически документи. </w:t>
      </w:r>
    </w:p>
    <w:p w14:paraId="71C5A2B5" w14:textId="77777777" w:rsidR="00761800" w:rsidRPr="00761800" w:rsidRDefault="00761800" w:rsidP="00761800">
      <w:pPr>
        <w:spacing w:after="200"/>
        <w:ind w:right="-1"/>
        <w:jc w:val="both"/>
        <w:rPr>
          <w:rFonts w:ascii="Times New Roman" w:eastAsia="Batang" w:hAnsi="Times New Roman"/>
          <w:szCs w:val="22"/>
          <w:lang w:eastAsia="bg-BG"/>
        </w:rPr>
      </w:pPr>
      <w:r w:rsidRPr="00761800">
        <w:rPr>
          <w:rFonts w:ascii="Times New Roman" w:eastAsia="Batang" w:hAnsi="Times New Roman"/>
          <w:szCs w:val="22"/>
          <w:lang w:eastAsia="bg-BG"/>
        </w:rPr>
        <w:lastRenderedPageBreak/>
        <w:t xml:space="preserve">Стратегическите цели в тази област са гарантиране на достъпа </w:t>
      </w:r>
      <w:r w:rsidRPr="00761800">
        <w:rPr>
          <w:rFonts w:ascii="Times New Roman" w:eastAsia="Batang" w:hAnsi="Times New Roman"/>
          <w:bCs/>
          <w:szCs w:val="22"/>
          <w:lang w:eastAsia="bg-BG"/>
        </w:rPr>
        <w:t>до ефективна социална подкрепа, повишаване възможностите за независим социален живот в условията на достъпна среда и активно участие на национално представителните организации на и за хората с увреждания в процеса на социално приобщаване на хората с увреждания.</w:t>
      </w:r>
    </w:p>
    <w:p w14:paraId="45FFFFF3" w14:textId="77777777" w:rsidR="00761800" w:rsidRPr="00761800" w:rsidRDefault="00761800" w:rsidP="00761800">
      <w:pPr>
        <w:spacing w:after="200"/>
        <w:ind w:right="-1"/>
        <w:jc w:val="both"/>
        <w:rPr>
          <w:rFonts w:ascii="Times New Roman" w:eastAsia="Batang" w:hAnsi="Times New Roman"/>
          <w:szCs w:val="22"/>
          <w:lang w:eastAsia="bg-BG"/>
        </w:rPr>
      </w:pPr>
      <w:r w:rsidRPr="00761800">
        <w:rPr>
          <w:rFonts w:ascii="Times New Roman" w:eastAsia="Batang" w:hAnsi="Times New Roman"/>
          <w:szCs w:val="22"/>
          <w:lang w:eastAsia="bg-BG"/>
        </w:rPr>
        <w:t>Държавните и местните органи в сътрудничество с национално представителните организации на и за хората с увреждания, национално представителните организации на работодателите и национално представителните организации на работниците и служителите създават условия и съдействат за реализирането на програми и проекти в областта на хората с увреждания.</w:t>
      </w:r>
    </w:p>
    <w:p w14:paraId="090AF369"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в областта на социалното включване </w:t>
      </w:r>
    </w:p>
    <w:p w14:paraId="0428A65D"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Политиката в областта на социалното включване е многосекторна политика, свързана с подобряване на целенасочеността на мерките и прилагане на интегриран подход за насърчаване на социалното включване, реализирана не само от Министерството на труда и социалната политика, но и от други министерства и институции, включително и от местните и регионални власти. За постигане на целите на политиката за социално включване се прилагат редица законодателни мерки и се изпълняват стратегически документи и планове, приети на национално ниво, сред които Националната стратегия за намаляване на бедността и насърчаване на социалното включване 2030 (приета с Решение № 976 на Министерския съвет от 31.12.2020 г., изменена и допълнена с Решение № 368 на Министерския съвет от 02.06.2022 г.). Мерките, които ще се изпълняват в рамките на политиката, адресират стратегическата цел за насърчаване на социалното включване.</w:t>
      </w:r>
    </w:p>
    <w:p w14:paraId="2682FF80"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Стратегическата цел е насърчаване на социалното включване. Тази стратегическа цел се постига чрез прилагане на комплексни цели и мерки по политиките в сферата на образованието, здравеопазването, доходите, заетостта, социалните услуги и др. За постигането на стратегическите приоритети, свързани с гарантиране на правата на всички деца и осигуряване на равен достъп до качествени социални услуги и деинституционализация са предвидени стратегически подцели, насочени към осигуряване на повече възможности за подкрепа на децата и семействата и продължаване на процеса на деинституционализация.</w:t>
      </w:r>
    </w:p>
    <w:p w14:paraId="0A909071"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 xml:space="preserve">Съществена част от политиката за социално включване е предоставянето на материална подкрепа за семействата с деца и семействата, които полагат грижи за деца в риск. Децата са специфична уязвима група, в много по-голяма степен застрашени от риск от бедност и социално изключване, отколкото възрастните. Те са силно зависими от възрастните, с които живеят и не могат сами да осигурят своето съществуване. Отчитайки факторите, пораждащи бедност – безработица, ниско образование, ниски доходи и т.н., е от особена важност да се предотврати предаването на бедността между поколенията, да се намали възможността ограниченият достъп до пазара на труда и ниският образователен статус на родителите да се предаде на техните деца. </w:t>
      </w:r>
    </w:p>
    <w:p w14:paraId="670208B4"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За периода 2026-2028 г.  за семейните помощи за деца по Закона за семейни помощи за деца (ЗСПД) се предвижда:</w:t>
      </w:r>
    </w:p>
    <w:p w14:paraId="5414D06F" w14:textId="77777777" w:rsidR="00761800" w:rsidRPr="00761800" w:rsidRDefault="00761800" w:rsidP="00F64909">
      <w:pPr>
        <w:numPr>
          <w:ilvl w:val="0"/>
          <w:numId w:val="41"/>
        </w:num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от 1 януари 2026 г. до 31 юли 2026 г. запазване на размерите на доходните критерии съгласно разпоредбите на ЗСПИР;</w:t>
      </w:r>
    </w:p>
    <w:p w14:paraId="3D8D1382" w14:textId="77777777" w:rsidR="00761800" w:rsidRPr="00761800" w:rsidRDefault="00761800" w:rsidP="00F64909">
      <w:pPr>
        <w:numPr>
          <w:ilvl w:val="0"/>
          <w:numId w:val="41"/>
        </w:num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lastRenderedPageBreak/>
        <w:t>увеличение от 1 август 2026 г. и за 2027-2028 г. на размера на доходния критерий за месечните семейни помощи за отглеждане на дете до завършване на средно образование, но не повече от 20-годишна възраст (чл. 7 от ЗСПД), съответно от 388,58 евро на 415 евро – за получаване на пълния размер на помощта и от 388,59 евро до 439,71 евро на 415,01 евро до 466 евро, включително – за получаване на 80 на сто от пълния размер на помощта;</w:t>
      </w:r>
    </w:p>
    <w:p w14:paraId="68322C41" w14:textId="77777777" w:rsidR="00761800" w:rsidRPr="00761800" w:rsidRDefault="00761800" w:rsidP="00F64909">
      <w:pPr>
        <w:numPr>
          <w:ilvl w:val="0"/>
          <w:numId w:val="41"/>
        </w:num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увеличение от 1 август 2026 г. и за 2027-2028 г. на размера на доходния критерий за достъп до останалите две семейни помощи за деца, които се предоставят с доходен критерий – еднократната помощ при бременност и месечните помощи за отглеждане на дете до навършване на една година – от 439,71 евро на 466 евро;</w:t>
      </w:r>
    </w:p>
    <w:p w14:paraId="67D8A522" w14:textId="77777777" w:rsidR="00761800" w:rsidRPr="00761800" w:rsidRDefault="00761800" w:rsidP="00F64909">
      <w:pPr>
        <w:numPr>
          <w:ilvl w:val="0"/>
          <w:numId w:val="41"/>
        </w:num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запазване на размерите на семейните помощи за деца съгласно разпоредбите на ЗСПИР.</w:t>
      </w:r>
    </w:p>
    <w:p w14:paraId="7D43FC4A"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жизненото равнище, демографското развитие и социалните инвестиции</w:t>
      </w:r>
    </w:p>
    <w:p w14:paraId="34329526"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Политиката в областта на жизненото равнище, демографското развитие и социалните инвестиции се разработва в съответствие с приоритетите, заложени в Националната програма за развитие България 2030, Актуализираната национална стратегия за демографско развитие на населението в Република България (2012-2030 г.), Закона за предприятията на социалната и солидарна икономика, Политиката за насърчаване развитието на корпоративната социална отговорност и е насочена към създаване на съвременни мерки, които да са хармонизирани с прилаганите политики на Европейския съюз за намаляване на бедността сред работещите, постигането на социална кохезия и създаването на равни възможности за пълноценен социален и продуктивен живот за всички социални групи от населението, което е в пълно съответствие с утвърдените практики в страните-членки на ЕС за защита на доходите и жизнения стандарт на нископлатените работници и на „работещите бедни“, както и за прилагането на минимални стандарти за гарантиране на приемливо жизнено равнище. Посрещането на демографските предизвикателства има пряко значение за изпълнение на заложените приоритети. Повишаването на качествените параметри на възпроизводството на населението се превръща в основно предизвикателство пред демографската политика на страната в контекста на концепцията за устойчиво развитие в процеса на пълноправно европейско членство на България и изграждане на икономика, основана на знанията. Стратегическата цел на политиката в тази област е усъвършенстване на инструментариума в съответствие с актуалните изисквания при формирането на минималните подоходни показатели и задаване и развитие на стратегическа рамка за ефективна и ефикасна координация на изпълнението на демографската политика и насърчаване на активния живот на възрастните хора.</w:t>
      </w:r>
    </w:p>
    <w:p w14:paraId="1390ACCC"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 xml:space="preserve">Социалната икономика и социалното предприемачество са израз на социалната ангажираност на държавата за стимулиране на предприемаческата активност на лица от уязвими групи. Политиката в тази област се осъществява в подкрепа на цифровия, социалния и зеления преход. Допринася за икономическата устойчивост на страната и социалното приобщаване на гражданите, както и за въвеждане на социални иновации. Социалните инвестиции и социалните иновации имат ключово значение за реализиране на социално отговорни и устойчиви практики, като въздействат и върху средата в областта на социалната икономика. Реализирането на дейности в областта на корпоративната социална отговорност, съвместно със заинтересованите страни от </w:t>
      </w:r>
      <w:r w:rsidRPr="00761800">
        <w:rPr>
          <w:rFonts w:ascii="Times New Roman" w:eastAsia="Batang" w:hAnsi="Times New Roman"/>
          <w:szCs w:val="22"/>
          <w:lang w:eastAsia="bg-BG"/>
        </w:rPr>
        <w:lastRenderedPageBreak/>
        <w:t>бизнеса, публичния и гражданския сектор осигурява важни ползи за предприятията по отношение на управлението на риска, спестяване на разходи, достъп до капитал, връзки с клиентите, управление на човешките ресурси, способност за иновации и се основава на ценности, върху които се гради по-сплотено и социално ангажирано общество. Дейностите в тази област допринасят за смекчаване на последиците от горепосочените преходи.</w:t>
      </w:r>
    </w:p>
    <w:p w14:paraId="3041C75B"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Приоритетите в областта на социалната икономика и корпоративната социална отговорност се реализират в изпълнение на Националната концепция за социална икономика и Закона за предприятията на социалната и солидарна икономика. Стратегическата цел в тази област е повишаване приноса на субектите от социалната и солидарна икономика и социалните инвестиции към БВП.</w:t>
      </w:r>
    </w:p>
    <w:p w14:paraId="6689BF34"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Здравна политика</w:t>
      </w:r>
    </w:p>
    <w:p w14:paraId="4D79233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Здравната политика за периода 2026-2028 г. е насочена към подобряване на здравния статус на населението чрез осигуряване на достъпни, качествени, своевременни и устойчиво финансирани здравни услуги, повишаване на ефективността и устойчивостта на здравната система. Политиката се основава на принципите на солидарност, ефективност, прозрачност и ориентираност към здравните резултати, като същевременно цели гарантиране на финансовата устойчивост на системата и ефективното използване на публичния ресурс. Основен приоритет е засилването на ролята на профилактиката, превенцията, ранната диагностика и навременната медицинска намеса като най-ефективни инструменти за подобряване на общественото здраве и ограничаване на нарастващата тежест на хроничните незаразни заболявания. В тази връзка здравната политика е насочена към укрепване на доболничната медицинска помощ и на интегрираните здравни грижи, развитието на електронното здравеопазване и цифровите технологии, насърчаването на иновациите в диагностиката и лечението, както и укрепването на кадровия капацитет на здравната система чрез подобряване на условията на труд, професионалното развитие, специализацията и повишаване на мотивацията на медицинските специалисти и предприемане на мерки за преодоляване на регионалния кадрови дефицит.</w:t>
      </w:r>
    </w:p>
    <w:p w14:paraId="3B495325"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промоцията, превенцията и контрола на общественото здраве</w:t>
      </w:r>
    </w:p>
    <w:p w14:paraId="07077B9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Основният обхват на политиката в областта на промоцията, превенцията и контрола на общественото здраве е насочен към намаляване на предотвратимата заболеваемост и смъртност, чрез реализиране на ефективни дейности за промоция на здравето, ранна диагностика, организирани скринингови програми, надзор на заразните болести и ефективен държавен здравен контрол върху факторите на жизнената среда. Особено внимание се отделя на ограничаването на рисковите фактори за социално значимите заболявания, повишаването на здравната грамотност на населението и насърчаването на здравословния начин на живот.</w:t>
      </w:r>
    </w:p>
    <w:p w14:paraId="451C74A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За изпълнение на политиката се реализират редица превантивни дейности, свързани с поддържането на готовност за реагиране при възникнала необходимост, включително поддържане на висок имунизационен обхват и организиране на бърз отговор при възникване на епидемични ситуации чрез ваксинопрофилактиката, повишаване готовността на страната за посрещане на грипни пандемии, взривове и епидемии от </w:t>
      </w:r>
      <w:r w:rsidRPr="00761800">
        <w:rPr>
          <w:rFonts w:ascii="Times New Roman" w:hAnsi="Times New Roman"/>
          <w:szCs w:val="22"/>
          <w:lang w:eastAsia="bg-BG"/>
        </w:rPr>
        <w:lastRenderedPageBreak/>
        <w:t>други заразни болести, както и опазване на страната от разпространение на инфекции с висок епидемичен потенциал чрез ефективни механизми за своевременна реакция при заплахи за общественото здраве. Основен принос към реализацията на националната политика в областта на превенцията и контрола на общественото здраве имат Министерството на здравеопазването, регионалните здравни инспекции и националните центрове по проблемите на общественото здраве.</w:t>
      </w:r>
    </w:p>
    <w:p w14:paraId="6FB49BC9"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диагностиката и лечението</w:t>
      </w:r>
    </w:p>
    <w:p w14:paraId="7EC95BC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в областта на диагностиката и лечението е насочена към подобряване на достъпа до качествена медицинска помощ и повишаване на здравните резултати чрез развитие на първичната и специализираната извънболнична медицинска помощ, укрепване на профилактиката и ранната диагностика, намаляване на регионалните различия в достъпа до здравни услуги и повишаване на ефективността и координацията между отделните нива на медицинска помощ. За постигане на целите на тази политика се прилага интегриран подход, насочен към пациентите с хронични заболявания, децата, възрастните хора и други уязвими групи от населението. Особено внимание се отделя на подобряването на достъпа до медицинска помощ в отдалечените и труднодостъпни райони чрез използване на съвременни организационни и технологични решения. Политиката е дефинирана въз основа на анализ на здравно-демографските показатели и състоянието на здравната система, които показват необходимост от ускоряване на реформите за подобряване на достъпа, качеството и ефективността на медицинската помощ и за доближаване на здравните показатели на страната до средните европейски нива. Дейностите, финансирани чрез програмите на настоящата политика, допълват и надграждат дейностите, финансирани от Националната здравноосигурителна каса в областта на диагностиката и лечението на заболяванията, като чрез тях Министерството на здравеопазването реализира своите отговорности по отношение на осигуряването на специфични медицински дейности извън обхвата на задължителното здравно осигуряване.</w:t>
      </w:r>
    </w:p>
    <w:p w14:paraId="0DD33245"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лекарствените продукти и медицинските изделия</w:t>
      </w:r>
    </w:p>
    <w:p w14:paraId="7A3C4B78" w14:textId="77777777" w:rsidR="00761800" w:rsidRPr="00761800" w:rsidRDefault="00761800" w:rsidP="00761800">
      <w:pPr>
        <w:spacing w:after="200"/>
        <w:jc w:val="both"/>
        <w:rPr>
          <w:rFonts w:ascii="Times New Roman" w:hAnsi="Times New Roman"/>
          <w:szCs w:val="22"/>
          <w:highlight w:val="yellow"/>
          <w:lang w:eastAsia="bg-BG"/>
        </w:rPr>
      </w:pPr>
      <w:r w:rsidRPr="00761800">
        <w:rPr>
          <w:rFonts w:ascii="Times New Roman" w:hAnsi="Times New Roman"/>
          <w:szCs w:val="22"/>
          <w:lang w:eastAsia="bg-BG"/>
        </w:rPr>
        <w:t>Политиката в областта на лекарствените продукти и медицинските изделия е насочена към гарантиране на равнопоставен, навременен и устойчив достъп на пациентите до качествени, безопасни, ефективни и иновативни лекарствени продукти и медицински изделия при осигуряване на финансовата устойчивост на публичното финансиране. За постигането на тази цел се прилагат механизми за оценка на здравните технологии, проследяване на здравните резултати и насърчаване на рационалната употреба на лекарствените продукти въз основа на научни доказателства и принципите на ефективното управление на публичните средства. Достъпът до лекарства и тяхната рационална употреба са основна потребност за поддържане на живота, облекчаване на страданията, удължаване на продължителността на живота и подобряване на неговото качество, поради което лекарствената политика има съществено значение за общественото здраве. Основен принос към реализацията на тази политика имат Министерството на здравеопазването, Националната здравноосигурителна каса, Изпълнителната агенция по лекарствата и Националният съвет по цени и реимбурсиране на лекарствените продукти.</w:t>
      </w:r>
    </w:p>
    <w:p w14:paraId="7628229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За </w:t>
      </w:r>
      <w:r w:rsidRPr="00761800">
        <w:rPr>
          <w:rFonts w:ascii="Times New Roman" w:hAnsi="Times New Roman"/>
          <w:i/>
          <w:szCs w:val="22"/>
          <w:lang w:eastAsia="bg-BG"/>
        </w:rPr>
        <w:t>делегираните от държавата дейности по здравеопазване</w:t>
      </w:r>
      <w:r w:rsidRPr="00761800">
        <w:rPr>
          <w:rFonts w:ascii="Times New Roman" w:hAnsi="Times New Roman"/>
          <w:szCs w:val="22"/>
          <w:lang w:eastAsia="bg-BG"/>
        </w:rPr>
        <w:t xml:space="preserve">, финансирани чрез бюджетите на общините за 2026 г., са предвидени допълнителни средства в размер на </w:t>
      </w:r>
      <w:r w:rsidRPr="00761800">
        <w:rPr>
          <w:rFonts w:ascii="Times New Roman" w:hAnsi="Times New Roman"/>
          <w:szCs w:val="22"/>
          <w:lang w:eastAsia="bg-BG"/>
        </w:rPr>
        <w:lastRenderedPageBreak/>
        <w:t xml:space="preserve">14,6 млн. евро за увеличение на минималната работна заплата от 1 януари 2026 г. за заетия персонал, ангажиран на минимална работна заплата в детските ясли, детските кухни, в общинските съвети по наркотични вещества и превантивно-информационните центрове, и за здравните медиатори, както и за увеличение на възнагражденията на останалия персонал извън наетия на минимална работна заплата, с 5% в съответствие с предвидената политика по доходите за 2026 г. </w:t>
      </w:r>
    </w:p>
    <w:p w14:paraId="7CC3FF8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Осигурени са средства за продължаване на политиката за компенсирането на разходите за отглеждане, възпитание и обучение на деца, които не са приети поради липса на места в общински детски ясли и яслени групи в държавни и общински детски градини.</w:t>
      </w:r>
    </w:p>
    <w:p w14:paraId="062FB871"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Политика в областта на образованието и науката</w:t>
      </w:r>
    </w:p>
    <w:p w14:paraId="6FC3700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Политиките и мерките за развитие на образованието и науката в Република България са заложени в Приоритет 1 „Образование и умения“ и Приоритет 2 „Наука и научна инфраструктура“ на Националната програма за развитие България 2030.</w:t>
      </w:r>
    </w:p>
    <w:p w14:paraId="37ADF0D2"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всеобхватното, достъпно и качествено предучилищно и училищно образование. Учене през целия живот</w:t>
      </w:r>
    </w:p>
    <w:p w14:paraId="26FC8354" w14:textId="77777777" w:rsidR="00761800" w:rsidRPr="00761800" w:rsidRDefault="00761800" w:rsidP="00761800">
      <w:pPr>
        <w:spacing w:after="200"/>
        <w:jc w:val="both"/>
        <w:rPr>
          <w:rFonts w:ascii="Times New Roman" w:hAnsi="Times New Roman"/>
          <w:szCs w:val="24"/>
          <w:highlight w:val="yellow"/>
          <w:lang w:eastAsia="bg-BG"/>
        </w:rPr>
      </w:pPr>
      <w:r w:rsidRPr="00761800">
        <w:rPr>
          <w:rFonts w:ascii="Times New Roman" w:hAnsi="Times New Roman"/>
          <w:szCs w:val="24"/>
          <w:lang w:eastAsia="bg-BG"/>
        </w:rPr>
        <w:t>Политиките в предучилищното и училищното образование са насочени към ефективна социализация на деца от ранна детска възраст, качествено и достъпно образование и обучение, мотивация за усвояване на ключови компетентности, насърчаване на иновациите, квалификация на педагогическите специалисти, модернизиране на образователните институции, дигитализация на образованието. Изпълняват се мерки, насочени към развитие на личностния потенциал на децата и учениците, откриване и развитие на заложбите и талантите им; включване в извънкласни дейности в областта на природните и приложните науки, изкуствата и спорта. В обхвата на политиката се включват и мерки/дейности, свързани с разширяване на професионалното образование и обучение, дуалното обучение, насърчаване и разширяване на възможностите за учене през целия живот; с подкрепа за приобщаващо образование, намаляване на неравенствата и насърчаване на социалното включване. Политиките за обхващане на подлежащи на образование деца и ученици, за превенция на отпадането от училище и за намаляване дела на преждевременно напусналите се реализират чрез ефективно взаимодействие между институциите и съвместните усилия на педагогическите специалисти, родителите на децата и учениците и всички заинтересовани страни. Провежда се ефективна образователна политика сред българските общности в чужбина за съхраняване и разширяване на българското етнокултурно пространство извън пределите на Република България. Акцентът се поставя върху стимулиране навлизането на млади и квалифицирани педагози в системата на предучилищното и училищното образование.</w:t>
      </w:r>
    </w:p>
    <w:p w14:paraId="4046FB9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Осигурени са средства</w:t>
      </w:r>
      <w:r w:rsidRPr="00761800">
        <w:rPr>
          <w:rFonts w:ascii="Times New Roman" w:hAnsi="Times New Roman"/>
          <w:szCs w:val="22"/>
          <w:lang w:eastAsia="bg-BG"/>
        </w:rPr>
        <w:t xml:space="preserve"> </w:t>
      </w:r>
      <w:r w:rsidRPr="00761800">
        <w:rPr>
          <w:rFonts w:ascii="Times New Roman" w:hAnsi="Times New Roman"/>
          <w:szCs w:val="24"/>
          <w:lang w:eastAsia="bg-BG"/>
        </w:rPr>
        <w:t>за закупуване на познавателни книжки, учебници, електронно четими учебници, учебни комплекти и учебни помагала за децата и за учениците от I до ХII клас, за продължаване на политиката за компенсиране на разходите за отглеждане и обучение на деца, които не са приети поради липса на места в държавни и общински детски градини и училища и за транспорт на деца и ученици по чл. 283, ал. 2 от Закона за предучилищното и училищното образование.</w:t>
      </w:r>
    </w:p>
    <w:p w14:paraId="7E2EB408"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lastRenderedPageBreak/>
        <w:t>Политика в областта на равен достъп до качествено висше образование и развитие на научния потенциал</w:t>
      </w:r>
    </w:p>
    <w:p w14:paraId="60BD917D"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Политиката в областта на висшето образование включва мерки, насочени към подобряване на достъпа и увеличаване дела на завършилите висше образование, повишаване на качеството на обучение и на съвместимостта му с европейските системи за висше образование, изграждане на устойчива и ефективна връзка между висшите училища и пазара на труда, целяща успешна реализация през целия живот и постигане на динамично съответствие между търсенето и предлагането на специалисти с висше образование. Създават се условия за усвояване на добрите практики на висшите училища от държавите-членки на ЕС, включително и чрез изграждането на университетски мрежи. Стимулира се по-тясното сътрудничество и комуникация между висшите училища, научните институти и бизнеса в рамките на учебния процес и практическото обучение и в научно-изследователските дейности. Политиката за развитие на науката в България се свързва с повишаване на качеството и международната разпознаваемост на научноизследователската и иновационна дейност. Акцентът се поставя върху финансиране на научни изследвания в приоритетни и конкурентни области за решаване на важни обществено значими предизвикателства, подпомагане на млади учени и осъществяване на съвместни научни изследвания с български учени в чужбина и привличане на водещи учени от чужбина.</w:t>
      </w:r>
    </w:p>
    <w:p w14:paraId="6383488B"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 xml:space="preserve">Политика в областта на отбраната </w:t>
      </w:r>
    </w:p>
    <w:p w14:paraId="3E82D80F"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Политиката в областта на отбраната е свързана с поддържането на оперативно съвместими модерни въоръжени сили (ВС). За нейното реализиране ще се поддържа и развива ефективно и ефикасно планиране на отбраната, базирано на способности, в съответствие с процеса на отбранително планиране на НАТО, Координирания годишен преглед на отбраната в ЕС и в контекста на Постоянното структурирано сътрудничество в отбраната на ЕС. Целта е изграждане, поддържане и използване на необходимите способности на ВС</w:t>
      </w:r>
      <w:r w:rsidRPr="00761800">
        <w:rPr>
          <w:rFonts w:ascii="Times New Roman" w:hAnsi="Times New Roman"/>
          <w:position w:val="2"/>
          <w:sz w:val="18"/>
          <w:szCs w:val="24"/>
          <w:vertAlign w:val="superscript"/>
        </w:rPr>
        <w:footnoteReference w:id="57"/>
      </w:r>
      <w:r w:rsidRPr="00761800">
        <w:rPr>
          <w:rFonts w:ascii="Times New Roman" w:hAnsi="Times New Roman"/>
          <w:szCs w:val="24"/>
          <w:lang w:eastAsia="bg-BG"/>
        </w:rPr>
        <w:t xml:space="preserve"> за изпълнение на задачите по отбрана на страната в рамките на колективната отбрана на НАТО, принос към колективната отбрана на Алианса, участие в ръководени от НАТО и ЕС операции и мисии, а също така и принос към националната сигурност в мирно време.</w:t>
      </w:r>
    </w:p>
    <w:p w14:paraId="3CA78FF1"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През прогнозния период ще се провежда активна отбранителна политика на Република България в НАТО, Европейския съюз и други международни и регионални формати и ефективно участие в системата на колективната отбрана на НАТО, Общата политика за сигурност и отбрана на Европейския съюз (ОПСО на ЕС) и в рамките на други международни и регионални инициативи в подкрепа на мира и стабилността в света. Република България ще продължи участието си в процеса на вземане на решения, както и в процеса на изграждане на отбранителни способности на НАТО и ЕС. Освен това, Република България ще продължи съвместната работа и сътрудничество със страните от ЕС в рамките на Постоянното структурирано сътрудничество в областта на отбраната на ЕС (PESCO) и Европейската агенция за отбрана (EDA), както и Европейския фонд за отбрана (EDF) и Европейската програма за промишлено развитие в областта на отбраната (EDIDP).</w:t>
      </w:r>
    </w:p>
    <w:p w14:paraId="0349D7E3" w14:textId="77777777" w:rsidR="00761800" w:rsidRPr="00761800" w:rsidRDefault="00761800" w:rsidP="00761800">
      <w:pPr>
        <w:spacing w:after="200"/>
        <w:jc w:val="both"/>
        <w:rPr>
          <w:rFonts w:ascii="Times New Roman" w:hAnsi="Times New Roman"/>
          <w:bCs/>
          <w:iCs/>
          <w:szCs w:val="24"/>
          <w:lang w:eastAsia="bg-BG"/>
        </w:rPr>
      </w:pPr>
      <w:r w:rsidRPr="00761800">
        <w:rPr>
          <w:rFonts w:ascii="Times New Roman" w:hAnsi="Times New Roman"/>
          <w:szCs w:val="24"/>
          <w:lang w:eastAsia="bg-BG"/>
        </w:rPr>
        <w:lastRenderedPageBreak/>
        <w:t xml:space="preserve">С разходите за отбрана за 2025 г. продължи изпълнението на поетия ангажимент за поетапното им нарастване като процент от БВП, като същите надвишиха (по план 2,09% от БВП, а по отчет 2,13% от БВП) параметрите на </w:t>
      </w:r>
      <w:r w:rsidRPr="00761800">
        <w:rPr>
          <w:rFonts w:ascii="Times New Roman" w:hAnsi="Times New Roman"/>
          <w:bCs/>
          <w:iCs/>
          <w:szCs w:val="24"/>
          <w:lang w:eastAsia="bg-BG"/>
        </w:rPr>
        <w:t>Националния план за повишаване на разходите за отбрана на 2% от БВП на Република България до 2024 г., одобрен с РМС</w:t>
      </w:r>
      <w:r w:rsidRPr="00761800">
        <w:rPr>
          <w:rFonts w:ascii="Times New Roman" w:hAnsi="Times New Roman"/>
          <w:bCs/>
          <w:iCs/>
          <w:position w:val="2"/>
          <w:sz w:val="18"/>
          <w:szCs w:val="24"/>
          <w:vertAlign w:val="superscript"/>
        </w:rPr>
        <w:footnoteReference w:id="58"/>
      </w:r>
      <w:r w:rsidRPr="00761800">
        <w:rPr>
          <w:rFonts w:ascii="Times New Roman" w:hAnsi="Times New Roman"/>
          <w:bCs/>
          <w:iCs/>
          <w:szCs w:val="24"/>
          <w:lang w:eastAsia="bg-BG"/>
        </w:rPr>
        <w:t xml:space="preserve">                  № 3/04.01.2018 г.</w:t>
      </w:r>
    </w:p>
    <w:p w14:paraId="42EBCFF2"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bCs/>
          <w:iCs/>
          <w:szCs w:val="24"/>
          <w:lang w:eastAsia="bg-BG"/>
        </w:rPr>
        <w:t>На срещата на най-високо равнище в Хага през м. юни 2025 г. държавите членки на НАТО поеха нов ангажимент за значително повишаване на разходите за отбрана, като съюзниците следва до 2035 г. да постигнат ниво на инвестициите за отбрана в размер на 5% от БВП, разделени в две групи: 3,5% от БВП за основни разходи за отбрана и 1,5% от БВП за разходи, свързани с отбраната и сигурността. Като изходна база от страна на България се прие постигнатото на над 2% разходи за отбрана през 2025 г., да се надгражда с постепенно увеличение на основните разходи за отбрана до постигане на 3,5% от БВП през 2035 г. В тази връзка, р</w:t>
      </w:r>
      <w:r w:rsidRPr="00761800">
        <w:rPr>
          <w:rFonts w:ascii="Times New Roman" w:hAnsi="Times New Roman"/>
          <w:szCs w:val="24"/>
          <w:lang w:eastAsia="bg-BG"/>
        </w:rPr>
        <w:t xml:space="preserve">азходите за отбрана за 2026 г. са съобразени с поетия ангажимент за поетапното им увеличаване в съответствие с наскоро одобрения с </w:t>
      </w:r>
      <w:r w:rsidRPr="00761800">
        <w:rPr>
          <w:rFonts w:ascii="Times New Roman" w:hAnsi="Times New Roman"/>
          <w:bCs/>
          <w:iCs/>
          <w:szCs w:val="24"/>
          <w:lang w:eastAsia="bg-BG"/>
        </w:rPr>
        <w:t>РМС № 448/11.06.2026 г.</w:t>
      </w:r>
      <w:r w:rsidRPr="00761800">
        <w:rPr>
          <w:rFonts w:ascii="Times New Roman" w:hAnsi="Times New Roman"/>
          <w:szCs w:val="24"/>
          <w:lang w:eastAsia="bg-BG"/>
        </w:rPr>
        <w:t xml:space="preserve"> </w:t>
      </w:r>
      <w:r w:rsidRPr="00761800">
        <w:rPr>
          <w:rFonts w:ascii="Times New Roman" w:hAnsi="Times New Roman"/>
          <w:bCs/>
          <w:iCs/>
          <w:szCs w:val="24"/>
          <w:lang w:eastAsia="bg-BG"/>
        </w:rPr>
        <w:t xml:space="preserve">Национален план за повишаване на разходите за отбрана на 5% от БВП на Република България до 2035 г. </w:t>
      </w:r>
      <w:r w:rsidRPr="00761800">
        <w:rPr>
          <w:rFonts w:ascii="Times New Roman" w:hAnsi="Times New Roman"/>
          <w:szCs w:val="24"/>
          <w:lang w:eastAsia="bg-BG"/>
        </w:rPr>
        <w:t>Осигурени са средства за поддържане и развитие на националните отбранителни способности и способностите, свързани с колективната отбрана, в т.ч. средства за изпълнение на одобрените от Народното събрание инвестиционни проекти за модернизация на Българската армия, а именно: доставка на самолети F-16 Block 70, средства за наземно обслужване и обучение, въоръжение и обучение за тях-етап I; придобиване на многофункционален модулен патрулен кораб за ВМС</w:t>
      </w:r>
      <w:r w:rsidRPr="00761800">
        <w:rPr>
          <w:rFonts w:ascii="Times New Roman" w:hAnsi="Times New Roman"/>
          <w:position w:val="2"/>
          <w:sz w:val="18"/>
          <w:szCs w:val="24"/>
          <w:vertAlign w:val="superscript"/>
        </w:rPr>
        <w:footnoteReference w:id="59"/>
      </w:r>
      <w:r w:rsidRPr="00761800">
        <w:rPr>
          <w:rFonts w:ascii="Times New Roman" w:hAnsi="Times New Roman"/>
          <w:szCs w:val="24"/>
          <w:lang w:eastAsia="bg-BG"/>
        </w:rPr>
        <w:t>; доставка на самолети F-16 Block 70-етап II; придобиване на основна бойна техника за изграждане на батальонни бойни групи;</w:t>
      </w:r>
      <w:r w:rsidRPr="00761800">
        <w:rPr>
          <w:rFonts w:ascii="Times New Roman" w:hAnsi="Times New Roman"/>
          <w:bCs/>
          <w:szCs w:val="24"/>
          <w:lang w:eastAsia="bg-BG"/>
        </w:rPr>
        <w:t xml:space="preserve"> придобиване на брегови противокорабни ракетни комплекси; и</w:t>
      </w:r>
      <w:r w:rsidRPr="00761800">
        <w:rPr>
          <w:rFonts w:ascii="Times New Roman" w:hAnsi="Times New Roman"/>
          <w:szCs w:val="24"/>
          <w:lang w:eastAsia="bg-BG"/>
        </w:rPr>
        <w:t>зграждане на системи за сигурност на помещенията за съхранение на американско класифицирано оборудване и въоръжение; придобиване на наземни терминали от Мултифункционална система за разпространение на информация (MIDS) и за инфраструктура за придобитите нови бойни самолети F-16 Block 70, бойни машини Stryker и модулни патрулни кораби.</w:t>
      </w:r>
    </w:p>
    <w:p w14:paraId="6B953E65"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Осигурени са средства за придобиване на боеприпаси, в т.ч. боеприпаси за основно бойна техника на батальонни бойни групи от състава на механизирана бригада и горива за бойна подготовка.</w:t>
      </w:r>
    </w:p>
    <w:p w14:paraId="5787A47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В подкрепа на инвестициите за отбрана беше разработен специален инструмент „Мерки за сигурността на Европа чрез укрепване на европейската отбранителна промишленост“ („инструментът SAFE“), създаден с Регламент (ЕС) 2025/1106 на Съвета от 27 май 2025 г., по линия на който на държавите членки се предоставя финансова помощ, позволяваща им да направят спешни и мащабни публични инвестиции в подкрепа на европейската отбранителна промишленост в отговор на настоящата кризисна обстановка. В тази връзка България е заявила намерение да се възползва от този инструмент за финансиране в размер до 3,2 млрд. евро, който е включен в лимита за дълга за 2026 г., и ще се усвоява поетапно съгласно одобрен от Народното събрание национален план за включване на проекти, одобрени от Европейската комисия и финансирани по инструмента SAFE.</w:t>
      </w:r>
    </w:p>
    <w:p w14:paraId="09BD927F"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В разходите за отбрана, съгласно класификацията на НАТО, са включени и разходите за отбрана на другите разпоредители с бюджет, като по този начин планирани същите в общ размер възлизат на 2,15% от БВП за 2026 г., 2,33% от БВП за 2027 г. и 2,55% от БВП за 2028 г., с което се изпълнява поетия ангажимент за поетапното им увеличаване, в </w:t>
      </w:r>
      <w:r w:rsidRPr="00761800">
        <w:rPr>
          <w:rFonts w:ascii="Times New Roman" w:hAnsi="Times New Roman"/>
          <w:szCs w:val="24"/>
          <w:lang w:eastAsia="bg-BG"/>
        </w:rPr>
        <w:lastRenderedPageBreak/>
        <w:t>изпълнение на одобрения с РМС № 448/2026 г. Национален план за повишаване на разходите за отбрана на 5% от БВП на Република България до 2035 г.</w:t>
      </w:r>
    </w:p>
    <w:p w14:paraId="48A9D220" w14:textId="4B819AF3" w:rsidR="00761800" w:rsidRPr="00761800" w:rsidRDefault="00761800" w:rsidP="00761800">
      <w:pPr>
        <w:keepNext/>
        <w:ind w:left="1418" w:hanging="1418"/>
        <w:rPr>
          <w:rFonts w:ascii="Times New Roman" w:hAnsi="Times New Roman"/>
          <w:b/>
          <w:bCs/>
          <w:szCs w:val="18"/>
          <w:lang w:eastAsia="bg-BG"/>
        </w:rPr>
      </w:pPr>
      <w:bookmarkStart w:id="312" w:name="_Toc233185134"/>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16</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Разходи за отбрана за периода 2025-2028 г.</w:t>
      </w:r>
      <w:bookmarkEnd w:id="312"/>
      <w:r w:rsidRPr="00761800">
        <w:rPr>
          <w:rFonts w:ascii="Times New Roman" w:hAnsi="Times New Roman"/>
          <w:b/>
          <w:bCs/>
          <w:szCs w:val="18"/>
          <w:lang w:eastAsia="bg-BG"/>
        </w:rPr>
        <w:t xml:space="preserve"> </w:t>
      </w:r>
    </w:p>
    <w:p w14:paraId="35EEF41C" w14:textId="77777777" w:rsidR="00761800" w:rsidRPr="00761800" w:rsidRDefault="00761800" w:rsidP="00761800">
      <w:pPr>
        <w:jc w:val="right"/>
        <w:rPr>
          <w:rFonts w:ascii="Times New Roman" w:hAnsi="Times New Roman"/>
          <w:b/>
          <w:bCs/>
          <w:sz w:val="20"/>
        </w:rPr>
      </w:pPr>
      <w:r w:rsidRPr="00761800">
        <w:rPr>
          <w:rFonts w:ascii="Times New Roman" w:hAnsi="Times New Roman"/>
          <w:b/>
          <w:bCs/>
          <w:sz w:val="20"/>
        </w:rPr>
        <w:t>(млн. евро)</w:t>
      </w:r>
    </w:p>
    <w:tbl>
      <w:tblPr>
        <w:tblW w:w="9115" w:type="dxa"/>
        <w:tblLook w:val="04A0" w:firstRow="1" w:lastRow="0" w:firstColumn="1" w:lastColumn="0" w:noHBand="0" w:noVBand="1"/>
      </w:tblPr>
      <w:tblGrid>
        <w:gridCol w:w="4678"/>
        <w:gridCol w:w="1276"/>
        <w:gridCol w:w="992"/>
        <w:gridCol w:w="1134"/>
        <w:gridCol w:w="1035"/>
      </w:tblGrid>
      <w:tr w:rsidR="00761800" w:rsidRPr="00761800" w14:paraId="1E92A472" w14:textId="77777777" w:rsidTr="00406B4D">
        <w:trPr>
          <w:trHeight w:val="945"/>
          <w:tblHeader/>
        </w:trPr>
        <w:tc>
          <w:tcPr>
            <w:tcW w:w="4678" w:type="dxa"/>
            <w:tcBorders>
              <w:top w:val="single" w:sz="4" w:space="0" w:color="auto"/>
              <w:left w:val="nil"/>
              <w:bottom w:val="single" w:sz="4" w:space="0" w:color="auto"/>
              <w:right w:val="nil"/>
            </w:tcBorders>
            <w:shd w:val="clear" w:color="auto" w:fill="auto"/>
            <w:noWrap/>
            <w:vAlign w:val="center"/>
            <w:hideMark/>
          </w:tcPr>
          <w:p w14:paraId="2B17B1E3" w14:textId="77777777" w:rsidR="00761800" w:rsidRPr="00761800" w:rsidRDefault="00761800" w:rsidP="00761800">
            <w:pPr>
              <w:jc w:val="center"/>
              <w:rPr>
                <w:rFonts w:ascii="Times New Roman" w:hAnsi="Times New Roman"/>
                <w:b/>
                <w:bCs/>
                <w:sz w:val="20"/>
              </w:rPr>
            </w:pPr>
            <w:r w:rsidRPr="00761800">
              <w:rPr>
                <w:rFonts w:ascii="Times New Roman" w:hAnsi="Times New Roman"/>
                <w:b/>
                <w:bCs/>
                <w:sz w:val="20"/>
              </w:rPr>
              <w:t>Показатели/години</w:t>
            </w:r>
          </w:p>
        </w:tc>
        <w:tc>
          <w:tcPr>
            <w:tcW w:w="1276" w:type="dxa"/>
            <w:tcBorders>
              <w:top w:val="single" w:sz="4" w:space="0" w:color="auto"/>
              <w:left w:val="nil"/>
              <w:bottom w:val="single" w:sz="4" w:space="0" w:color="auto"/>
              <w:right w:val="nil"/>
            </w:tcBorders>
            <w:shd w:val="clear" w:color="auto" w:fill="auto"/>
            <w:vAlign w:val="center"/>
            <w:hideMark/>
          </w:tcPr>
          <w:p w14:paraId="47101187" w14:textId="77777777" w:rsidR="00761800" w:rsidRPr="00761800" w:rsidRDefault="00761800" w:rsidP="00761800">
            <w:pPr>
              <w:jc w:val="center"/>
              <w:rPr>
                <w:rFonts w:ascii="Times New Roman" w:hAnsi="Times New Roman"/>
                <w:b/>
                <w:bCs/>
                <w:sz w:val="20"/>
              </w:rPr>
            </w:pPr>
            <w:r w:rsidRPr="00761800">
              <w:rPr>
                <w:rFonts w:ascii="Times New Roman" w:hAnsi="Times New Roman"/>
                <w:b/>
                <w:bCs/>
                <w:sz w:val="20"/>
              </w:rPr>
              <w:t xml:space="preserve">Програма </w:t>
            </w:r>
            <w:r w:rsidRPr="00761800">
              <w:rPr>
                <w:rFonts w:ascii="Times New Roman" w:hAnsi="Times New Roman"/>
                <w:b/>
                <w:bCs/>
                <w:sz w:val="20"/>
              </w:rPr>
              <w:br/>
              <w:t xml:space="preserve">2025 г. </w:t>
            </w:r>
          </w:p>
        </w:tc>
        <w:tc>
          <w:tcPr>
            <w:tcW w:w="992" w:type="dxa"/>
            <w:tcBorders>
              <w:top w:val="single" w:sz="4" w:space="0" w:color="auto"/>
              <w:left w:val="nil"/>
              <w:bottom w:val="single" w:sz="4" w:space="0" w:color="auto"/>
              <w:right w:val="nil"/>
            </w:tcBorders>
            <w:shd w:val="clear" w:color="auto" w:fill="auto"/>
            <w:vAlign w:val="center"/>
            <w:hideMark/>
          </w:tcPr>
          <w:p w14:paraId="4E7D4D7F" w14:textId="77777777" w:rsidR="00761800" w:rsidRPr="00761800" w:rsidRDefault="00761800" w:rsidP="00761800">
            <w:pPr>
              <w:jc w:val="center"/>
              <w:rPr>
                <w:rFonts w:ascii="Times New Roman" w:hAnsi="Times New Roman"/>
                <w:b/>
                <w:bCs/>
                <w:i/>
                <w:iCs/>
                <w:sz w:val="20"/>
              </w:rPr>
            </w:pPr>
            <w:r w:rsidRPr="00761800">
              <w:rPr>
                <w:rFonts w:ascii="Times New Roman" w:hAnsi="Times New Roman"/>
                <w:b/>
                <w:bCs/>
                <w:i/>
                <w:iCs/>
                <w:sz w:val="20"/>
              </w:rPr>
              <w:t xml:space="preserve">Проект </w:t>
            </w:r>
            <w:r w:rsidRPr="00761800">
              <w:rPr>
                <w:rFonts w:ascii="Times New Roman" w:hAnsi="Times New Roman"/>
                <w:b/>
                <w:bCs/>
                <w:i/>
                <w:iCs/>
                <w:sz w:val="20"/>
              </w:rPr>
              <w:br/>
              <w:t xml:space="preserve">2026 г. </w:t>
            </w:r>
          </w:p>
        </w:tc>
        <w:tc>
          <w:tcPr>
            <w:tcW w:w="1134" w:type="dxa"/>
            <w:tcBorders>
              <w:top w:val="single" w:sz="4" w:space="0" w:color="auto"/>
              <w:left w:val="nil"/>
              <w:bottom w:val="single" w:sz="4" w:space="0" w:color="auto"/>
              <w:right w:val="nil"/>
            </w:tcBorders>
            <w:shd w:val="clear" w:color="auto" w:fill="auto"/>
            <w:vAlign w:val="center"/>
            <w:hideMark/>
          </w:tcPr>
          <w:p w14:paraId="3812D8BB" w14:textId="77777777" w:rsidR="00761800" w:rsidRPr="00761800" w:rsidRDefault="00761800" w:rsidP="00761800">
            <w:pPr>
              <w:jc w:val="center"/>
              <w:rPr>
                <w:rFonts w:ascii="Times New Roman" w:hAnsi="Times New Roman"/>
                <w:b/>
                <w:bCs/>
                <w:i/>
                <w:iCs/>
                <w:sz w:val="20"/>
              </w:rPr>
            </w:pPr>
            <w:r w:rsidRPr="00761800">
              <w:rPr>
                <w:rFonts w:ascii="Times New Roman" w:hAnsi="Times New Roman"/>
                <w:b/>
                <w:bCs/>
                <w:i/>
                <w:iCs/>
                <w:sz w:val="20"/>
              </w:rPr>
              <w:t xml:space="preserve">Прогноза </w:t>
            </w:r>
            <w:r w:rsidRPr="00761800">
              <w:rPr>
                <w:rFonts w:ascii="Times New Roman" w:hAnsi="Times New Roman"/>
                <w:b/>
                <w:bCs/>
                <w:i/>
                <w:iCs/>
                <w:sz w:val="20"/>
              </w:rPr>
              <w:br/>
              <w:t xml:space="preserve">2027 г. </w:t>
            </w:r>
          </w:p>
        </w:tc>
        <w:tc>
          <w:tcPr>
            <w:tcW w:w="1035" w:type="dxa"/>
            <w:tcBorders>
              <w:top w:val="single" w:sz="4" w:space="0" w:color="auto"/>
              <w:left w:val="nil"/>
              <w:bottom w:val="single" w:sz="4" w:space="0" w:color="auto"/>
              <w:right w:val="nil"/>
            </w:tcBorders>
            <w:shd w:val="clear" w:color="auto" w:fill="auto"/>
            <w:vAlign w:val="center"/>
            <w:hideMark/>
          </w:tcPr>
          <w:p w14:paraId="46113E5F" w14:textId="77777777" w:rsidR="00761800" w:rsidRPr="00761800" w:rsidRDefault="00761800" w:rsidP="00761800">
            <w:pPr>
              <w:jc w:val="center"/>
              <w:rPr>
                <w:rFonts w:ascii="Times New Roman" w:hAnsi="Times New Roman"/>
                <w:b/>
                <w:bCs/>
                <w:i/>
                <w:iCs/>
                <w:sz w:val="20"/>
              </w:rPr>
            </w:pPr>
            <w:r w:rsidRPr="00761800">
              <w:rPr>
                <w:rFonts w:ascii="Times New Roman" w:hAnsi="Times New Roman"/>
                <w:b/>
                <w:bCs/>
                <w:i/>
                <w:iCs/>
                <w:sz w:val="20"/>
              </w:rPr>
              <w:t xml:space="preserve">Прогноза </w:t>
            </w:r>
            <w:r w:rsidRPr="00761800">
              <w:rPr>
                <w:rFonts w:ascii="Times New Roman" w:hAnsi="Times New Roman"/>
                <w:b/>
                <w:bCs/>
                <w:i/>
                <w:iCs/>
                <w:sz w:val="20"/>
              </w:rPr>
              <w:br/>
              <w:t xml:space="preserve">2028 г. </w:t>
            </w:r>
          </w:p>
        </w:tc>
      </w:tr>
      <w:tr w:rsidR="00761800" w:rsidRPr="00761800" w14:paraId="2D722616" w14:textId="77777777" w:rsidTr="00406B4D">
        <w:trPr>
          <w:trHeight w:val="315"/>
        </w:trPr>
        <w:tc>
          <w:tcPr>
            <w:tcW w:w="4678" w:type="dxa"/>
            <w:tcBorders>
              <w:top w:val="nil"/>
              <w:left w:val="nil"/>
              <w:bottom w:val="nil"/>
              <w:right w:val="nil"/>
            </w:tcBorders>
            <w:shd w:val="clear" w:color="auto" w:fill="auto"/>
            <w:noWrap/>
            <w:vAlign w:val="bottom"/>
            <w:hideMark/>
          </w:tcPr>
          <w:p w14:paraId="7ABB6C66" w14:textId="77777777" w:rsidR="00761800" w:rsidRPr="00761800" w:rsidRDefault="00761800" w:rsidP="00761800">
            <w:pPr>
              <w:jc w:val="center"/>
              <w:rPr>
                <w:rFonts w:ascii="Times New Roman" w:hAnsi="Times New Roman"/>
                <w:sz w:val="20"/>
              </w:rPr>
            </w:pPr>
            <w:r w:rsidRPr="00761800">
              <w:rPr>
                <w:rFonts w:ascii="Times New Roman" w:hAnsi="Times New Roman"/>
                <w:sz w:val="20"/>
              </w:rPr>
              <w:t>1</w:t>
            </w:r>
          </w:p>
        </w:tc>
        <w:tc>
          <w:tcPr>
            <w:tcW w:w="1276" w:type="dxa"/>
            <w:tcBorders>
              <w:top w:val="nil"/>
              <w:left w:val="nil"/>
              <w:bottom w:val="nil"/>
              <w:right w:val="nil"/>
            </w:tcBorders>
            <w:shd w:val="clear" w:color="auto" w:fill="auto"/>
            <w:noWrap/>
            <w:vAlign w:val="bottom"/>
            <w:hideMark/>
          </w:tcPr>
          <w:p w14:paraId="033A6DBC" w14:textId="77777777" w:rsidR="00761800" w:rsidRPr="00761800" w:rsidRDefault="00761800" w:rsidP="00761800">
            <w:pPr>
              <w:jc w:val="center"/>
              <w:rPr>
                <w:rFonts w:ascii="Times New Roman" w:hAnsi="Times New Roman"/>
                <w:sz w:val="20"/>
              </w:rPr>
            </w:pPr>
            <w:r w:rsidRPr="00761800">
              <w:rPr>
                <w:rFonts w:ascii="Times New Roman" w:hAnsi="Times New Roman"/>
                <w:sz w:val="20"/>
              </w:rPr>
              <w:t>2</w:t>
            </w:r>
          </w:p>
        </w:tc>
        <w:tc>
          <w:tcPr>
            <w:tcW w:w="992" w:type="dxa"/>
            <w:tcBorders>
              <w:top w:val="nil"/>
              <w:left w:val="nil"/>
              <w:bottom w:val="nil"/>
              <w:right w:val="nil"/>
            </w:tcBorders>
            <w:shd w:val="clear" w:color="auto" w:fill="auto"/>
            <w:noWrap/>
            <w:vAlign w:val="bottom"/>
            <w:hideMark/>
          </w:tcPr>
          <w:p w14:paraId="73906F54" w14:textId="77777777" w:rsidR="00761800" w:rsidRPr="00761800" w:rsidRDefault="00761800" w:rsidP="00761800">
            <w:pPr>
              <w:jc w:val="center"/>
              <w:rPr>
                <w:rFonts w:ascii="Times New Roman" w:hAnsi="Times New Roman"/>
                <w:sz w:val="20"/>
              </w:rPr>
            </w:pPr>
            <w:r w:rsidRPr="00761800">
              <w:rPr>
                <w:rFonts w:ascii="Times New Roman" w:hAnsi="Times New Roman"/>
                <w:sz w:val="20"/>
              </w:rPr>
              <w:t>3</w:t>
            </w:r>
          </w:p>
        </w:tc>
        <w:tc>
          <w:tcPr>
            <w:tcW w:w="1134" w:type="dxa"/>
            <w:tcBorders>
              <w:top w:val="nil"/>
              <w:left w:val="nil"/>
              <w:bottom w:val="nil"/>
              <w:right w:val="nil"/>
            </w:tcBorders>
            <w:shd w:val="clear" w:color="auto" w:fill="auto"/>
            <w:noWrap/>
            <w:vAlign w:val="bottom"/>
            <w:hideMark/>
          </w:tcPr>
          <w:p w14:paraId="070BE5E7" w14:textId="77777777" w:rsidR="00761800" w:rsidRPr="00761800" w:rsidRDefault="00761800" w:rsidP="00761800">
            <w:pPr>
              <w:jc w:val="center"/>
              <w:rPr>
                <w:rFonts w:ascii="Times New Roman" w:hAnsi="Times New Roman"/>
                <w:sz w:val="20"/>
              </w:rPr>
            </w:pPr>
            <w:r w:rsidRPr="00761800">
              <w:rPr>
                <w:rFonts w:ascii="Times New Roman" w:hAnsi="Times New Roman"/>
                <w:sz w:val="20"/>
              </w:rPr>
              <w:t>4</w:t>
            </w:r>
          </w:p>
        </w:tc>
        <w:tc>
          <w:tcPr>
            <w:tcW w:w="1035" w:type="dxa"/>
            <w:tcBorders>
              <w:top w:val="nil"/>
              <w:left w:val="nil"/>
              <w:bottom w:val="nil"/>
              <w:right w:val="nil"/>
            </w:tcBorders>
            <w:shd w:val="clear" w:color="auto" w:fill="auto"/>
            <w:noWrap/>
            <w:vAlign w:val="bottom"/>
            <w:hideMark/>
          </w:tcPr>
          <w:p w14:paraId="6E7F8730" w14:textId="77777777" w:rsidR="00761800" w:rsidRPr="00761800" w:rsidRDefault="00761800" w:rsidP="00761800">
            <w:pPr>
              <w:jc w:val="center"/>
              <w:rPr>
                <w:rFonts w:ascii="Times New Roman" w:hAnsi="Times New Roman"/>
                <w:sz w:val="20"/>
              </w:rPr>
            </w:pPr>
            <w:r w:rsidRPr="00761800">
              <w:rPr>
                <w:rFonts w:ascii="Times New Roman" w:hAnsi="Times New Roman"/>
                <w:sz w:val="20"/>
              </w:rPr>
              <w:t>5</w:t>
            </w:r>
          </w:p>
        </w:tc>
      </w:tr>
      <w:tr w:rsidR="00761800" w:rsidRPr="00761800" w14:paraId="77DACB94" w14:textId="77777777" w:rsidTr="00406B4D">
        <w:trPr>
          <w:trHeight w:val="315"/>
        </w:trPr>
        <w:tc>
          <w:tcPr>
            <w:tcW w:w="4678" w:type="dxa"/>
            <w:tcBorders>
              <w:top w:val="nil"/>
              <w:left w:val="nil"/>
              <w:bottom w:val="nil"/>
              <w:right w:val="nil"/>
            </w:tcBorders>
            <w:shd w:val="clear" w:color="auto" w:fill="auto"/>
            <w:noWrap/>
            <w:vAlign w:val="bottom"/>
            <w:hideMark/>
          </w:tcPr>
          <w:p w14:paraId="0F2BF855" w14:textId="77777777" w:rsidR="00761800" w:rsidRPr="00761800" w:rsidRDefault="00761800" w:rsidP="00761800">
            <w:pPr>
              <w:rPr>
                <w:rFonts w:ascii="Times New Roman" w:hAnsi="Times New Roman"/>
                <w:b/>
                <w:bCs/>
                <w:sz w:val="20"/>
              </w:rPr>
            </w:pPr>
            <w:r w:rsidRPr="00761800">
              <w:rPr>
                <w:rFonts w:ascii="Times New Roman" w:hAnsi="Times New Roman"/>
                <w:b/>
                <w:bCs/>
                <w:sz w:val="20"/>
              </w:rPr>
              <w:t xml:space="preserve">Разходи за отбрана, съгласно класификацията на НАТО </w:t>
            </w:r>
          </w:p>
        </w:tc>
        <w:tc>
          <w:tcPr>
            <w:tcW w:w="1276" w:type="dxa"/>
            <w:tcBorders>
              <w:top w:val="nil"/>
              <w:left w:val="nil"/>
              <w:bottom w:val="nil"/>
              <w:right w:val="nil"/>
            </w:tcBorders>
            <w:shd w:val="clear" w:color="auto" w:fill="auto"/>
            <w:noWrap/>
            <w:vAlign w:val="bottom"/>
            <w:hideMark/>
          </w:tcPr>
          <w:p w14:paraId="24E27C4B" w14:textId="77777777" w:rsidR="00761800" w:rsidRPr="00761800" w:rsidRDefault="00761800" w:rsidP="00761800">
            <w:pPr>
              <w:jc w:val="right"/>
              <w:rPr>
                <w:rFonts w:ascii="Times New Roman" w:hAnsi="Times New Roman"/>
                <w:b/>
                <w:bCs/>
                <w:sz w:val="20"/>
              </w:rPr>
            </w:pPr>
            <w:r w:rsidRPr="00761800">
              <w:rPr>
                <w:rFonts w:ascii="Times New Roman" w:hAnsi="Times New Roman"/>
                <w:b/>
                <w:bCs/>
                <w:sz w:val="20"/>
              </w:rPr>
              <w:t>2 301,7</w:t>
            </w:r>
          </w:p>
        </w:tc>
        <w:tc>
          <w:tcPr>
            <w:tcW w:w="992" w:type="dxa"/>
            <w:tcBorders>
              <w:top w:val="nil"/>
              <w:left w:val="nil"/>
              <w:bottom w:val="nil"/>
              <w:right w:val="nil"/>
            </w:tcBorders>
            <w:shd w:val="clear" w:color="auto" w:fill="auto"/>
            <w:noWrap/>
            <w:vAlign w:val="bottom"/>
            <w:hideMark/>
          </w:tcPr>
          <w:p w14:paraId="1FC7118E" w14:textId="77777777" w:rsidR="00761800" w:rsidRPr="00761800" w:rsidRDefault="00761800" w:rsidP="00761800">
            <w:pPr>
              <w:jc w:val="right"/>
              <w:rPr>
                <w:rFonts w:ascii="Times New Roman" w:hAnsi="Times New Roman"/>
                <w:b/>
                <w:bCs/>
                <w:sz w:val="20"/>
              </w:rPr>
            </w:pPr>
            <w:r w:rsidRPr="00761800">
              <w:rPr>
                <w:rFonts w:ascii="Times New Roman" w:hAnsi="Times New Roman"/>
                <w:b/>
                <w:bCs/>
                <w:sz w:val="20"/>
              </w:rPr>
              <w:t>2 692,8</w:t>
            </w:r>
          </w:p>
        </w:tc>
        <w:tc>
          <w:tcPr>
            <w:tcW w:w="1134" w:type="dxa"/>
            <w:tcBorders>
              <w:top w:val="nil"/>
              <w:left w:val="nil"/>
              <w:bottom w:val="nil"/>
              <w:right w:val="nil"/>
            </w:tcBorders>
            <w:shd w:val="clear" w:color="auto" w:fill="auto"/>
            <w:noWrap/>
            <w:vAlign w:val="bottom"/>
            <w:hideMark/>
          </w:tcPr>
          <w:p w14:paraId="32F932ED" w14:textId="77777777" w:rsidR="00761800" w:rsidRPr="00761800" w:rsidRDefault="00761800" w:rsidP="00761800">
            <w:pPr>
              <w:jc w:val="right"/>
              <w:rPr>
                <w:rFonts w:ascii="Times New Roman" w:hAnsi="Times New Roman"/>
                <w:b/>
                <w:bCs/>
                <w:sz w:val="20"/>
              </w:rPr>
            </w:pPr>
            <w:r w:rsidRPr="00761800">
              <w:rPr>
                <w:rFonts w:ascii="Times New Roman" w:hAnsi="Times New Roman"/>
                <w:b/>
                <w:bCs/>
                <w:sz w:val="20"/>
              </w:rPr>
              <w:t>3 136,0</w:t>
            </w:r>
          </w:p>
        </w:tc>
        <w:tc>
          <w:tcPr>
            <w:tcW w:w="1035" w:type="dxa"/>
            <w:tcBorders>
              <w:top w:val="nil"/>
              <w:left w:val="nil"/>
              <w:bottom w:val="nil"/>
              <w:right w:val="nil"/>
            </w:tcBorders>
            <w:shd w:val="clear" w:color="auto" w:fill="auto"/>
            <w:noWrap/>
            <w:vAlign w:val="bottom"/>
            <w:hideMark/>
          </w:tcPr>
          <w:p w14:paraId="1D238CBC" w14:textId="77777777" w:rsidR="00761800" w:rsidRPr="00761800" w:rsidRDefault="00761800" w:rsidP="00761800">
            <w:pPr>
              <w:jc w:val="right"/>
              <w:rPr>
                <w:rFonts w:ascii="Times New Roman" w:hAnsi="Times New Roman"/>
                <w:b/>
                <w:bCs/>
                <w:sz w:val="20"/>
              </w:rPr>
            </w:pPr>
            <w:r w:rsidRPr="00761800">
              <w:rPr>
                <w:rFonts w:ascii="Times New Roman" w:hAnsi="Times New Roman"/>
                <w:b/>
                <w:bCs/>
                <w:sz w:val="20"/>
              </w:rPr>
              <w:t>3 653,0</w:t>
            </w:r>
          </w:p>
        </w:tc>
      </w:tr>
      <w:tr w:rsidR="00761800" w:rsidRPr="00761800" w14:paraId="6759768A" w14:textId="77777777" w:rsidTr="00406B4D">
        <w:trPr>
          <w:trHeight w:val="315"/>
        </w:trPr>
        <w:tc>
          <w:tcPr>
            <w:tcW w:w="4678" w:type="dxa"/>
            <w:tcBorders>
              <w:top w:val="nil"/>
              <w:left w:val="nil"/>
              <w:bottom w:val="nil"/>
              <w:right w:val="nil"/>
            </w:tcBorders>
            <w:shd w:val="clear" w:color="auto" w:fill="auto"/>
            <w:vAlign w:val="bottom"/>
            <w:hideMark/>
          </w:tcPr>
          <w:p w14:paraId="1FC0F151" w14:textId="77777777" w:rsidR="00761800" w:rsidRPr="00761800" w:rsidRDefault="00761800" w:rsidP="00761800">
            <w:pPr>
              <w:rPr>
                <w:rFonts w:ascii="Times New Roman" w:hAnsi="Times New Roman"/>
                <w:sz w:val="20"/>
              </w:rPr>
            </w:pPr>
            <w:r w:rsidRPr="00761800">
              <w:rPr>
                <w:rFonts w:ascii="Times New Roman" w:hAnsi="Times New Roman"/>
                <w:sz w:val="20"/>
              </w:rPr>
              <w:t>в т.ч.:</w:t>
            </w:r>
          </w:p>
        </w:tc>
        <w:tc>
          <w:tcPr>
            <w:tcW w:w="1276" w:type="dxa"/>
            <w:tcBorders>
              <w:top w:val="nil"/>
              <w:left w:val="nil"/>
              <w:bottom w:val="nil"/>
              <w:right w:val="nil"/>
            </w:tcBorders>
            <w:shd w:val="clear" w:color="auto" w:fill="auto"/>
            <w:noWrap/>
            <w:vAlign w:val="bottom"/>
            <w:hideMark/>
          </w:tcPr>
          <w:p w14:paraId="47F67057" w14:textId="77777777" w:rsidR="00761800" w:rsidRPr="00761800" w:rsidRDefault="00761800" w:rsidP="00761800">
            <w:pPr>
              <w:rPr>
                <w:rFonts w:ascii="Times New Roman" w:hAnsi="Times New Roman"/>
                <w:sz w:val="20"/>
              </w:rPr>
            </w:pPr>
          </w:p>
        </w:tc>
        <w:tc>
          <w:tcPr>
            <w:tcW w:w="992" w:type="dxa"/>
            <w:tcBorders>
              <w:top w:val="nil"/>
              <w:left w:val="nil"/>
              <w:bottom w:val="nil"/>
              <w:right w:val="nil"/>
            </w:tcBorders>
            <w:shd w:val="clear" w:color="auto" w:fill="auto"/>
            <w:noWrap/>
            <w:vAlign w:val="bottom"/>
            <w:hideMark/>
          </w:tcPr>
          <w:p w14:paraId="5440911F" w14:textId="77777777" w:rsidR="00761800" w:rsidRPr="00761800" w:rsidRDefault="00761800" w:rsidP="00761800">
            <w:pPr>
              <w:rPr>
                <w:rFonts w:ascii="Times New Roman" w:hAnsi="Times New Roman"/>
                <w:sz w:val="20"/>
              </w:rPr>
            </w:pPr>
          </w:p>
        </w:tc>
        <w:tc>
          <w:tcPr>
            <w:tcW w:w="1134" w:type="dxa"/>
            <w:tcBorders>
              <w:top w:val="nil"/>
              <w:left w:val="nil"/>
              <w:bottom w:val="nil"/>
              <w:right w:val="nil"/>
            </w:tcBorders>
            <w:shd w:val="clear" w:color="auto" w:fill="auto"/>
            <w:noWrap/>
            <w:vAlign w:val="bottom"/>
            <w:hideMark/>
          </w:tcPr>
          <w:p w14:paraId="4C0C3218" w14:textId="77777777" w:rsidR="00761800" w:rsidRPr="00761800" w:rsidRDefault="00761800" w:rsidP="00761800">
            <w:pPr>
              <w:rPr>
                <w:rFonts w:ascii="Times New Roman" w:hAnsi="Times New Roman"/>
                <w:sz w:val="20"/>
              </w:rPr>
            </w:pPr>
          </w:p>
        </w:tc>
        <w:tc>
          <w:tcPr>
            <w:tcW w:w="1035" w:type="dxa"/>
            <w:tcBorders>
              <w:top w:val="nil"/>
              <w:left w:val="nil"/>
              <w:bottom w:val="nil"/>
              <w:right w:val="nil"/>
            </w:tcBorders>
            <w:shd w:val="clear" w:color="auto" w:fill="auto"/>
            <w:noWrap/>
            <w:vAlign w:val="bottom"/>
            <w:hideMark/>
          </w:tcPr>
          <w:p w14:paraId="0AEAA8C6" w14:textId="77777777" w:rsidR="00761800" w:rsidRPr="00761800" w:rsidRDefault="00761800" w:rsidP="00761800">
            <w:pPr>
              <w:rPr>
                <w:rFonts w:ascii="Times New Roman" w:hAnsi="Times New Roman"/>
                <w:sz w:val="20"/>
              </w:rPr>
            </w:pPr>
          </w:p>
        </w:tc>
      </w:tr>
      <w:tr w:rsidR="00761800" w:rsidRPr="00761800" w14:paraId="224690CF" w14:textId="77777777" w:rsidTr="00406B4D">
        <w:trPr>
          <w:trHeight w:val="315"/>
        </w:trPr>
        <w:tc>
          <w:tcPr>
            <w:tcW w:w="4678" w:type="dxa"/>
            <w:tcBorders>
              <w:top w:val="nil"/>
              <w:left w:val="nil"/>
              <w:bottom w:val="nil"/>
              <w:right w:val="nil"/>
            </w:tcBorders>
            <w:shd w:val="clear" w:color="auto" w:fill="auto"/>
            <w:vAlign w:val="bottom"/>
            <w:hideMark/>
          </w:tcPr>
          <w:p w14:paraId="6E257854" w14:textId="77777777" w:rsidR="00761800" w:rsidRPr="00761800" w:rsidRDefault="00761800" w:rsidP="00761800">
            <w:pPr>
              <w:rPr>
                <w:rFonts w:ascii="Times New Roman" w:hAnsi="Times New Roman"/>
                <w:sz w:val="20"/>
              </w:rPr>
            </w:pPr>
            <w:r w:rsidRPr="00761800">
              <w:rPr>
                <w:rFonts w:ascii="Times New Roman" w:hAnsi="Times New Roman"/>
                <w:sz w:val="20"/>
              </w:rPr>
              <w:t>Общо разходи по бюджета на МО</w:t>
            </w:r>
            <w:r w:rsidRPr="00761800">
              <w:rPr>
                <w:rFonts w:ascii="Times New Roman" w:hAnsi="Times New Roman"/>
                <w:position w:val="2"/>
                <w:sz w:val="18"/>
                <w:vertAlign w:val="superscript"/>
              </w:rPr>
              <w:footnoteReference w:id="60"/>
            </w:r>
          </w:p>
        </w:tc>
        <w:tc>
          <w:tcPr>
            <w:tcW w:w="1276" w:type="dxa"/>
            <w:tcBorders>
              <w:top w:val="nil"/>
              <w:left w:val="nil"/>
              <w:bottom w:val="nil"/>
              <w:right w:val="nil"/>
            </w:tcBorders>
            <w:shd w:val="clear" w:color="auto" w:fill="auto"/>
            <w:noWrap/>
            <w:vAlign w:val="bottom"/>
            <w:hideMark/>
          </w:tcPr>
          <w:p w14:paraId="2E861372"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2 225,9</w:t>
            </w:r>
          </w:p>
        </w:tc>
        <w:tc>
          <w:tcPr>
            <w:tcW w:w="992" w:type="dxa"/>
            <w:tcBorders>
              <w:top w:val="nil"/>
              <w:left w:val="nil"/>
              <w:bottom w:val="nil"/>
              <w:right w:val="nil"/>
            </w:tcBorders>
            <w:shd w:val="clear" w:color="auto" w:fill="auto"/>
            <w:noWrap/>
            <w:vAlign w:val="bottom"/>
            <w:hideMark/>
          </w:tcPr>
          <w:p w14:paraId="68A4C9AA"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2 568,6</w:t>
            </w:r>
          </w:p>
        </w:tc>
        <w:tc>
          <w:tcPr>
            <w:tcW w:w="1134" w:type="dxa"/>
            <w:tcBorders>
              <w:top w:val="nil"/>
              <w:left w:val="nil"/>
              <w:bottom w:val="nil"/>
              <w:right w:val="nil"/>
            </w:tcBorders>
            <w:shd w:val="clear" w:color="auto" w:fill="auto"/>
            <w:noWrap/>
            <w:vAlign w:val="bottom"/>
            <w:hideMark/>
          </w:tcPr>
          <w:p w14:paraId="14D96304"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3 003,8</w:t>
            </w:r>
          </w:p>
        </w:tc>
        <w:tc>
          <w:tcPr>
            <w:tcW w:w="1035" w:type="dxa"/>
            <w:tcBorders>
              <w:top w:val="nil"/>
              <w:left w:val="nil"/>
              <w:bottom w:val="nil"/>
              <w:right w:val="nil"/>
            </w:tcBorders>
            <w:shd w:val="clear" w:color="auto" w:fill="auto"/>
            <w:noWrap/>
            <w:vAlign w:val="bottom"/>
            <w:hideMark/>
          </w:tcPr>
          <w:p w14:paraId="72B84546"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3 497,0</w:t>
            </w:r>
          </w:p>
        </w:tc>
      </w:tr>
      <w:tr w:rsidR="00761800" w:rsidRPr="00761800" w14:paraId="7C1E5A8B" w14:textId="77777777" w:rsidTr="00406B4D">
        <w:trPr>
          <w:trHeight w:val="315"/>
        </w:trPr>
        <w:tc>
          <w:tcPr>
            <w:tcW w:w="4678" w:type="dxa"/>
            <w:tcBorders>
              <w:top w:val="nil"/>
              <w:left w:val="nil"/>
              <w:bottom w:val="nil"/>
              <w:right w:val="nil"/>
            </w:tcBorders>
            <w:shd w:val="clear" w:color="auto" w:fill="auto"/>
            <w:vAlign w:val="bottom"/>
            <w:hideMark/>
          </w:tcPr>
          <w:p w14:paraId="082E0AC7" w14:textId="77777777" w:rsidR="00761800" w:rsidRPr="00761800" w:rsidRDefault="00761800" w:rsidP="00761800">
            <w:pPr>
              <w:rPr>
                <w:rFonts w:ascii="Times New Roman" w:hAnsi="Times New Roman"/>
                <w:sz w:val="20"/>
              </w:rPr>
            </w:pPr>
            <w:r w:rsidRPr="00761800">
              <w:rPr>
                <w:rFonts w:ascii="Times New Roman" w:hAnsi="Times New Roman"/>
                <w:sz w:val="20"/>
              </w:rPr>
              <w:t>Общо трансфери по бюджетите на ДВВУ</w:t>
            </w:r>
            <w:r w:rsidRPr="00761800">
              <w:rPr>
                <w:rFonts w:ascii="Times New Roman" w:hAnsi="Times New Roman"/>
                <w:position w:val="2"/>
                <w:sz w:val="18"/>
                <w:vertAlign w:val="superscript"/>
              </w:rPr>
              <w:footnoteReference w:id="61"/>
            </w:r>
          </w:p>
        </w:tc>
        <w:tc>
          <w:tcPr>
            <w:tcW w:w="1276" w:type="dxa"/>
            <w:tcBorders>
              <w:top w:val="nil"/>
              <w:left w:val="nil"/>
              <w:bottom w:val="nil"/>
              <w:right w:val="nil"/>
            </w:tcBorders>
            <w:shd w:val="clear" w:color="auto" w:fill="auto"/>
            <w:noWrap/>
            <w:vAlign w:val="bottom"/>
            <w:hideMark/>
          </w:tcPr>
          <w:p w14:paraId="696022E5"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43,9</w:t>
            </w:r>
          </w:p>
        </w:tc>
        <w:tc>
          <w:tcPr>
            <w:tcW w:w="992" w:type="dxa"/>
            <w:tcBorders>
              <w:top w:val="nil"/>
              <w:left w:val="nil"/>
              <w:bottom w:val="nil"/>
              <w:right w:val="nil"/>
            </w:tcBorders>
            <w:shd w:val="clear" w:color="auto" w:fill="auto"/>
            <w:noWrap/>
            <w:vAlign w:val="bottom"/>
            <w:hideMark/>
          </w:tcPr>
          <w:p w14:paraId="2827AAA5"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45,8</w:t>
            </w:r>
          </w:p>
        </w:tc>
        <w:tc>
          <w:tcPr>
            <w:tcW w:w="1134" w:type="dxa"/>
            <w:tcBorders>
              <w:top w:val="nil"/>
              <w:left w:val="nil"/>
              <w:bottom w:val="nil"/>
              <w:right w:val="nil"/>
            </w:tcBorders>
            <w:shd w:val="clear" w:color="auto" w:fill="auto"/>
            <w:noWrap/>
            <w:vAlign w:val="bottom"/>
            <w:hideMark/>
          </w:tcPr>
          <w:p w14:paraId="14CA54A9"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46,5</w:t>
            </w:r>
          </w:p>
        </w:tc>
        <w:tc>
          <w:tcPr>
            <w:tcW w:w="1035" w:type="dxa"/>
            <w:tcBorders>
              <w:top w:val="nil"/>
              <w:left w:val="nil"/>
              <w:bottom w:val="nil"/>
              <w:right w:val="nil"/>
            </w:tcBorders>
            <w:shd w:val="clear" w:color="auto" w:fill="auto"/>
            <w:noWrap/>
            <w:vAlign w:val="bottom"/>
            <w:hideMark/>
          </w:tcPr>
          <w:p w14:paraId="311E8D45"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46,5</w:t>
            </w:r>
          </w:p>
        </w:tc>
      </w:tr>
      <w:tr w:rsidR="00761800" w:rsidRPr="00761800" w14:paraId="5D62D79B" w14:textId="77777777" w:rsidTr="00406B4D">
        <w:trPr>
          <w:trHeight w:val="493"/>
        </w:trPr>
        <w:tc>
          <w:tcPr>
            <w:tcW w:w="4678" w:type="dxa"/>
            <w:tcBorders>
              <w:top w:val="nil"/>
              <w:left w:val="nil"/>
              <w:bottom w:val="nil"/>
              <w:right w:val="nil"/>
            </w:tcBorders>
            <w:shd w:val="clear" w:color="auto" w:fill="auto"/>
            <w:vAlign w:val="bottom"/>
            <w:hideMark/>
          </w:tcPr>
          <w:p w14:paraId="33847577" w14:textId="77777777" w:rsidR="00761800" w:rsidRPr="00761800" w:rsidRDefault="00761800" w:rsidP="00761800">
            <w:pPr>
              <w:rPr>
                <w:rFonts w:ascii="Times New Roman" w:hAnsi="Times New Roman"/>
                <w:sz w:val="20"/>
              </w:rPr>
            </w:pPr>
            <w:r w:rsidRPr="00761800">
              <w:rPr>
                <w:rFonts w:ascii="Times New Roman" w:hAnsi="Times New Roman"/>
                <w:sz w:val="20"/>
              </w:rPr>
              <w:t>Разходи за отбрана по бюджетите на други ПРБ, от тях:</w:t>
            </w:r>
          </w:p>
        </w:tc>
        <w:tc>
          <w:tcPr>
            <w:tcW w:w="1276" w:type="dxa"/>
            <w:tcBorders>
              <w:top w:val="nil"/>
              <w:left w:val="nil"/>
              <w:bottom w:val="nil"/>
              <w:right w:val="nil"/>
            </w:tcBorders>
            <w:shd w:val="clear" w:color="auto" w:fill="auto"/>
            <w:noWrap/>
            <w:vAlign w:val="bottom"/>
            <w:hideMark/>
          </w:tcPr>
          <w:p w14:paraId="7B9B3084"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31,9</w:t>
            </w:r>
          </w:p>
        </w:tc>
        <w:tc>
          <w:tcPr>
            <w:tcW w:w="992" w:type="dxa"/>
            <w:tcBorders>
              <w:top w:val="nil"/>
              <w:left w:val="nil"/>
              <w:bottom w:val="nil"/>
              <w:right w:val="nil"/>
            </w:tcBorders>
            <w:shd w:val="clear" w:color="auto" w:fill="auto"/>
            <w:noWrap/>
            <w:vAlign w:val="bottom"/>
            <w:hideMark/>
          </w:tcPr>
          <w:p w14:paraId="0BA13370"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78,4</w:t>
            </w:r>
          </w:p>
        </w:tc>
        <w:tc>
          <w:tcPr>
            <w:tcW w:w="1134" w:type="dxa"/>
            <w:tcBorders>
              <w:top w:val="nil"/>
              <w:left w:val="nil"/>
              <w:bottom w:val="nil"/>
              <w:right w:val="nil"/>
            </w:tcBorders>
            <w:shd w:val="clear" w:color="auto" w:fill="auto"/>
            <w:noWrap/>
            <w:vAlign w:val="bottom"/>
            <w:hideMark/>
          </w:tcPr>
          <w:p w14:paraId="423F105A"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85,7</w:t>
            </w:r>
          </w:p>
        </w:tc>
        <w:tc>
          <w:tcPr>
            <w:tcW w:w="1035" w:type="dxa"/>
            <w:tcBorders>
              <w:top w:val="nil"/>
              <w:left w:val="nil"/>
              <w:bottom w:val="nil"/>
              <w:right w:val="nil"/>
            </w:tcBorders>
            <w:shd w:val="clear" w:color="auto" w:fill="auto"/>
            <w:noWrap/>
            <w:vAlign w:val="bottom"/>
            <w:hideMark/>
          </w:tcPr>
          <w:p w14:paraId="08631D2C"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109,5</w:t>
            </w:r>
          </w:p>
        </w:tc>
      </w:tr>
      <w:tr w:rsidR="00761800" w:rsidRPr="00761800" w14:paraId="31CF2E42" w14:textId="77777777" w:rsidTr="00406B4D">
        <w:trPr>
          <w:trHeight w:val="995"/>
        </w:trPr>
        <w:tc>
          <w:tcPr>
            <w:tcW w:w="4678" w:type="dxa"/>
            <w:tcBorders>
              <w:top w:val="nil"/>
              <w:left w:val="nil"/>
              <w:bottom w:val="nil"/>
              <w:right w:val="nil"/>
            </w:tcBorders>
            <w:shd w:val="clear" w:color="auto" w:fill="auto"/>
            <w:vAlign w:val="bottom"/>
            <w:hideMark/>
          </w:tcPr>
          <w:p w14:paraId="33F63F1C" w14:textId="77777777" w:rsidR="00761800" w:rsidRPr="00761800" w:rsidRDefault="00761800" w:rsidP="00761800">
            <w:pPr>
              <w:rPr>
                <w:rFonts w:ascii="Times New Roman" w:hAnsi="Times New Roman"/>
                <w:sz w:val="20"/>
              </w:rPr>
            </w:pPr>
            <w:r w:rsidRPr="00761800">
              <w:rPr>
                <w:rFonts w:ascii="Times New Roman" w:hAnsi="Times New Roman"/>
                <w:sz w:val="20"/>
              </w:rPr>
              <w:t>- Разходи за пенсии на военнослужещите (по данни на НОИ), намалени с отчисленията за военнослужещи към пенсионните фондове (по данни на МО)</w:t>
            </w:r>
          </w:p>
        </w:tc>
        <w:tc>
          <w:tcPr>
            <w:tcW w:w="1276" w:type="dxa"/>
            <w:tcBorders>
              <w:top w:val="nil"/>
              <w:left w:val="nil"/>
              <w:bottom w:val="nil"/>
              <w:right w:val="nil"/>
            </w:tcBorders>
            <w:shd w:val="clear" w:color="auto" w:fill="auto"/>
            <w:noWrap/>
            <w:vAlign w:val="bottom"/>
            <w:hideMark/>
          </w:tcPr>
          <w:p w14:paraId="08DFDAEF"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10,7</w:t>
            </w:r>
          </w:p>
        </w:tc>
        <w:tc>
          <w:tcPr>
            <w:tcW w:w="992" w:type="dxa"/>
            <w:tcBorders>
              <w:top w:val="nil"/>
              <w:left w:val="nil"/>
              <w:bottom w:val="nil"/>
              <w:right w:val="nil"/>
            </w:tcBorders>
            <w:shd w:val="clear" w:color="auto" w:fill="auto"/>
            <w:noWrap/>
            <w:vAlign w:val="bottom"/>
            <w:hideMark/>
          </w:tcPr>
          <w:p w14:paraId="0EDEBA6D"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30,5</w:t>
            </w:r>
          </w:p>
        </w:tc>
        <w:tc>
          <w:tcPr>
            <w:tcW w:w="1134" w:type="dxa"/>
            <w:tcBorders>
              <w:top w:val="nil"/>
              <w:left w:val="nil"/>
              <w:bottom w:val="nil"/>
              <w:right w:val="nil"/>
            </w:tcBorders>
            <w:shd w:val="clear" w:color="auto" w:fill="auto"/>
            <w:noWrap/>
            <w:vAlign w:val="bottom"/>
            <w:hideMark/>
          </w:tcPr>
          <w:p w14:paraId="11A29289"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57,5</w:t>
            </w:r>
          </w:p>
        </w:tc>
        <w:tc>
          <w:tcPr>
            <w:tcW w:w="1035" w:type="dxa"/>
            <w:tcBorders>
              <w:top w:val="nil"/>
              <w:left w:val="nil"/>
              <w:bottom w:val="nil"/>
              <w:right w:val="nil"/>
            </w:tcBorders>
            <w:shd w:val="clear" w:color="auto" w:fill="auto"/>
            <w:noWrap/>
            <w:vAlign w:val="bottom"/>
            <w:hideMark/>
          </w:tcPr>
          <w:p w14:paraId="24DC4852"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82,0</w:t>
            </w:r>
          </w:p>
        </w:tc>
      </w:tr>
      <w:tr w:rsidR="00761800" w:rsidRPr="00761800" w14:paraId="18AF4EA0" w14:textId="77777777" w:rsidTr="00406B4D">
        <w:trPr>
          <w:trHeight w:val="570"/>
        </w:trPr>
        <w:tc>
          <w:tcPr>
            <w:tcW w:w="4678" w:type="dxa"/>
            <w:tcBorders>
              <w:top w:val="nil"/>
              <w:left w:val="nil"/>
              <w:bottom w:val="nil"/>
              <w:right w:val="nil"/>
            </w:tcBorders>
            <w:shd w:val="clear" w:color="auto" w:fill="auto"/>
            <w:vAlign w:val="bottom"/>
            <w:hideMark/>
          </w:tcPr>
          <w:p w14:paraId="742E63DA" w14:textId="77777777" w:rsidR="00761800" w:rsidRPr="00761800" w:rsidRDefault="00761800" w:rsidP="00761800">
            <w:pPr>
              <w:rPr>
                <w:rFonts w:ascii="Times New Roman" w:hAnsi="Times New Roman"/>
                <w:sz w:val="20"/>
              </w:rPr>
            </w:pPr>
            <w:r w:rsidRPr="00761800">
              <w:rPr>
                <w:rFonts w:ascii="Times New Roman" w:hAnsi="Times New Roman"/>
                <w:sz w:val="20"/>
              </w:rPr>
              <w:t>- Разходи за военни съдилища и военни прокуратури (по данни на ВСС</w:t>
            </w:r>
            <w:r w:rsidRPr="00761800">
              <w:rPr>
                <w:rFonts w:ascii="Times New Roman" w:hAnsi="Times New Roman"/>
                <w:position w:val="2"/>
                <w:sz w:val="18"/>
                <w:vertAlign w:val="superscript"/>
              </w:rPr>
              <w:footnoteReference w:id="62"/>
            </w:r>
            <w:r w:rsidRPr="00761800">
              <w:rPr>
                <w:rFonts w:ascii="Times New Roman" w:hAnsi="Times New Roman"/>
                <w:sz w:val="20"/>
              </w:rPr>
              <w:t xml:space="preserve">) </w:t>
            </w:r>
          </w:p>
        </w:tc>
        <w:tc>
          <w:tcPr>
            <w:tcW w:w="1276" w:type="dxa"/>
            <w:tcBorders>
              <w:top w:val="nil"/>
              <w:left w:val="nil"/>
              <w:bottom w:val="nil"/>
              <w:right w:val="nil"/>
            </w:tcBorders>
            <w:shd w:val="clear" w:color="auto" w:fill="auto"/>
            <w:noWrap/>
            <w:vAlign w:val="bottom"/>
            <w:hideMark/>
          </w:tcPr>
          <w:p w14:paraId="32B9A625"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10,9</w:t>
            </w:r>
          </w:p>
        </w:tc>
        <w:tc>
          <w:tcPr>
            <w:tcW w:w="992" w:type="dxa"/>
            <w:tcBorders>
              <w:top w:val="nil"/>
              <w:left w:val="nil"/>
              <w:bottom w:val="nil"/>
              <w:right w:val="nil"/>
            </w:tcBorders>
            <w:shd w:val="clear" w:color="auto" w:fill="auto"/>
            <w:noWrap/>
            <w:vAlign w:val="bottom"/>
            <w:hideMark/>
          </w:tcPr>
          <w:p w14:paraId="1727AE57"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11,5</w:t>
            </w:r>
          </w:p>
        </w:tc>
        <w:tc>
          <w:tcPr>
            <w:tcW w:w="1134" w:type="dxa"/>
            <w:tcBorders>
              <w:top w:val="nil"/>
              <w:left w:val="nil"/>
              <w:bottom w:val="nil"/>
              <w:right w:val="nil"/>
            </w:tcBorders>
            <w:shd w:val="clear" w:color="auto" w:fill="auto"/>
            <w:noWrap/>
            <w:vAlign w:val="bottom"/>
            <w:hideMark/>
          </w:tcPr>
          <w:p w14:paraId="6857EB5D"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11,5</w:t>
            </w:r>
          </w:p>
        </w:tc>
        <w:tc>
          <w:tcPr>
            <w:tcW w:w="1035" w:type="dxa"/>
            <w:tcBorders>
              <w:top w:val="nil"/>
              <w:left w:val="nil"/>
              <w:bottom w:val="nil"/>
              <w:right w:val="nil"/>
            </w:tcBorders>
            <w:shd w:val="clear" w:color="auto" w:fill="auto"/>
            <w:noWrap/>
            <w:vAlign w:val="bottom"/>
            <w:hideMark/>
          </w:tcPr>
          <w:p w14:paraId="0FED2BA0"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11,9</w:t>
            </w:r>
          </w:p>
        </w:tc>
      </w:tr>
      <w:tr w:rsidR="00761800" w:rsidRPr="00761800" w14:paraId="70AA3137" w14:textId="77777777" w:rsidTr="00406B4D">
        <w:trPr>
          <w:trHeight w:val="1982"/>
        </w:trPr>
        <w:tc>
          <w:tcPr>
            <w:tcW w:w="4678" w:type="dxa"/>
            <w:tcBorders>
              <w:top w:val="nil"/>
              <w:left w:val="nil"/>
              <w:bottom w:val="nil"/>
              <w:right w:val="nil"/>
            </w:tcBorders>
            <w:shd w:val="clear" w:color="auto" w:fill="auto"/>
            <w:vAlign w:val="bottom"/>
            <w:hideMark/>
          </w:tcPr>
          <w:p w14:paraId="18681E21" w14:textId="77777777" w:rsidR="00761800" w:rsidRPr="00761800" w:rsidRDefault="00761800" w:rsidP="00761800">
            <w:pPr>
              <w:rPr>
                <w:rFonts w:ascii="Times New Roman" w:hAnsi="Times New Roman"/>
                <w:sz w:val="20"/>
              </w:rPr>
            </w:pPr>
            <w:r w:rsidRPr="00761800">
              <w:rPr>
                <w:rFonts w:ascii="Times New Roman" w:hAnsi="Times New Roman"/>
                <w:sz w:val="20"/>
              </w:rPr>
              <w:t>- Разходи за издръжка на Постоянната делегация на Република България в НАТО и вноската на Република България към гражданския бюджет на НАТО и към Европейския механизъм за подкрепа на мира, както и финансов принос по Механизма за предоставяне на приоритетно оборудване на Украйна, изплащани от бюджета на Министерството на външните работи</w:t>
            </w:r>
          </w:p>
        </w:tc>
        <w:tc>
          <w:tcPr>
            <w:tcW w:w="1276" w:type="dxa"/>
            <w:tcBorders>
              <w:top w:val="nil"/>
              <w:left w:val="nil"/>
              <w:bottom w:val="nil"/>
              <w:right w:val="nil"/>
            </w:tcBorders>
            <w:shd w:val="clear" w:color="auto" w:fill="auto"/>
            <w:noWrap/>
            <w:vAlign w:val="bottom"/>
            <w:hideMark/>
          </w:tcPr>
          <w:p w14:paraId="6D588ED5"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5,6</w:t>
            </w:r>
          </w:p>
        </w:tc>
        <w:tc>
          <w:tcPr>
            <w:tcW w:w="992" w:type="dxa"/>
            <w:tcBorders>
              <w:top w:val="nil"/>
              <w:left w:val="nil"/>
              <w:bottom w:val="nil"/>
              <w:right w:val="nil"/>
            </w:tcBorders>
            <w:shd w:val="clear" w:color="auto" w:fill="auto"/>
            <w:noWrap/>
            <w:vAlign w:val="bottom"/>
            <w:hideMark/>
          </w:tcPr>
          <w:p w14:paraId="796C8014"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29,7</w:t>
            </w:r>
          </w:p>
        </w:tc>
        <w:tc>
          <w:tcPr>
            <w:tcW w:w="1134" w:type="dxa"/>
            <w:tcBorders>
              <w:top w:val="nil"/>
              <w:left w:val="nil"/>
              <w:bottom w:val="nil"/>
              <w:right w:val="nil"/>
            </w:tcBorders>
            <w:shd w:val="clear" w:color="auto" w:fill="auto"/>
            <w:noWrap/>
            <w:vAlign w:val="bottom"/>
            <w:hideMark/>
          </w:tcPr>
          <w:p w14:paraId="527A8576"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12,4</w:t>
            </w:r>
          </w:p>
        </w:tc>
        <w:tc>
          <w:tcPr>
            <w:tcW w:w="1035" w:type="dxa"/>
            <w:tcBorders>
              <w:top w:val="nil"/>
              <w:left w:val="nil"/>
              <w:bottom w:val="nil"/>
              <w:right w:val="nil"/>
            </w:tcBorders>
            <w:shd w:val="clear" w:color="auto" w:fill="auto"/>
            <w:noWrap/>
            <w:vAlign w:val="bottom"/>
            <w:hideMark/>
          </w:tcPr>
          <w:p w14:paraId="415EE5FF"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12,4</w:t>
            </w:r>
          </w:p>
        </w:tc>
      </w:tr>
      <w:tr w:rsidR="00761800" w:rsidRPr="00761800" w14:paraId="701562E1" w14:textId="77777777" w:rsidTr="00406B4D">
        <w:trPr>
          <w:trHeight w:val="1287"/>
        </w:trPr>
        <w:tc>
          <w:tcPr>
            <w:tcW w:w="4678" w:type="dxa"/>
            <w:tcBorders>
              <w:top w:val="nil"/>
              <w:left w:val="nil"/>
              <w:bottom w:val="nil"/>
              <w:right w:val="nil"/>
            </w:tcBorders>
            <w:shd w:val="clear" w:color="auto" w:fill="auto"/>
            <w:vAlign w:val="bottom"/>
            <w:hideMark/>
          </w:tcPr>
          <w:p w14:paraId="4C2EF30E" w14:textId="77777777" w:rsidR="00761800" w:rsidRPr="00761800" w:rsidRDefault="00761800" w:rsidP="00761800">
            <w:pPr>
              <w:rPr>
                <w:rFonts w:ascii="Times New Roman" w:hAnsi="Times New Roman"/>
                <w:sz w:val="20"/>
              </w:rPr>
            </w:pPr>
            <w:r w:rsidRPr="00761800">
              <w:rPr>
                <w:rFonts w:ascii="Times New Roman" w:hAnsi="Times New Roman"/>
                <w:sz w:val="20"/>
              </w:rPr>
              <w:t>- Вноска на Република България към фонда на НАТО за иновации и към Ускорител в областта на иновациите в отбраната в северния Атлантик DIANA, изплащани от бюджета на Министерството на иновациите и дигиталната трансформация</w:t>
            </w:r>
          </w:p>
        </w:tc>
        <w:tc>
          <w:tcPr>
            <w:tcW w:w="1276" w:type="dxa"/>
            <w:tcBorders>
              <w:top w:val="nil"/>
              <w:left w:val="nil"/>
              <w:bottom w:val="nil"/>
              <w:right w:val="nil"/>
            </w:tcBorders>
            <w:shd w:val="clear" w:color="auto" w:fill="auto"/>
            <w:noWrap/>
            <w:vAlign w:val="bottom"/>
            <w:hideMark/>
          </w:tcPr>
          <w:p w14:paraId="402F4577"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3,0</w:t>
            </w:r>
          </w:p>
        </w:tc>
        <w:tc>
          <w:tcPr>
            <w:tcW w:w="992" w:type="dxa"/>
            <w:tcBorders>
              <w:top w:val="nil"/>
              <w:left w:val="nil"/>
              <w:bottom w:val="nil"/>
              <w:right w:val="nil"/>
            </w:tcBorders>
            <w:shd w:val="clear" w:color="auto" w:fill="auto"/>
            <w:noWrap/>
            <w:vAlign w:val="bottom"/>
            <w:hideMark/>
          </w:tcPr>
          <w:p w14:paraId="7088B6DA"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3,1</w:t>
            </w:r>
          </w:p>
        </w:tc>
        <w:tc>
          <w:tcPr>
            <w:tcW w:w="1134" w:type="dxa"/>
            <w:tcBorders>
              <w:top w:val="nil"/>
              <w:left w:val="nil"/>
              <w:bottom w:val="nil"/>
              <w:right w:val="nil"/>
            </w:tcBorders>
            <w:shd w:val="clear" w:color="auto" w:fill="auto"/>
            <w:noWrap/>
            <w:vAlign w:val="bottom"/>
            <w:hideMark/>
          </w:tcPr>
          <w:p w14:paraId="47DBB41E"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3,1</w:t>
            </w:r>
          </w:p>
        </w:tc>
        <w:tc>
          <w:tcPr>
            <w:tcW w:w="1035" w:type="dxa"/>
            <w:tcBorders>
              <w:top w:val="nil"/>
              <w:left w:val="nil"/>
              <w:bottom w:val="nil"/>
              <w:right w:val="nil"/>
            </w:tcBorders>
            <w:shd w:val="clear" w:color="auto" w:fill="auto"/>
            <w:noWrap/>
            <w:vAlign w:val="bottom"/>
            <w:hideMark/>
          </w:tcPr>
          <w:p w14:paraId="5299C487"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3,1</w:t>
            </w:r>
          </w:p>
        </w:tc>
      </w:tr>
      <w:tr w:rsidR="00761800" w:rsidRPr="00761800" w14:paraId="3D96637C" w14:textId="77777777" w:rsidTr="00406B4D">
        <w:trPr>
          <w:trHeight w:val="1547"/>
        </w:trPr>
        <w:tc>
          <w:tcPr>
            <w:tcW w:w="4678" w:type="dxa"/>
            <w:tcBorders>
              <w:top w:val="nil"/>
              <w:left w:val="nil"/>
              <w:bottom w:val="nil"/>
              <w:right w:val="nil"/>
            </w:tcBorders>
            <w:shd w:val="clear" w:color="auto" w:fill="auto"/>
            <w:vAlign w:val="bottom"/>
            <w:hideMark/>
          </w:tcPr>
          <w:p w14:paraId="7F7F4AE5" w14:textId="77777777" w:rsidR="00761800" w:rsidRPr="00761800" w:rsidRDefault="00761800" w:rsidP="00761800">
            <w:pPr>
              <w:rPr>
                <w:rFonts w:ascii="Times New Roman" w:hAnsi="Times New Roman"/>
                <w:sz w:val="20"/>
              </w:rPr>
            </w:pPr>
            <w:r w:rsidRPr="00761800">
              <w:rPr>
                <w:rFonts w:ascii="Times New Roman" w:hAnsi="Times New Roman"/>
                <w:sz w:val="20"/>
              </w:rPr>
              <w:t xml:space="preserve">- Разходи за изграждане на базови национални способности за поддръжка на изтребители F-16 блок 70, изплащани от бюджета на Министерството на икономиката, инвестициите и индустрията за изпълнение на публична политика, възложена на „Авионамс“ АД </w:t>
            </w:r>
          </w:p>
        </w:tc>
        <w:tc>
          <w:tcPr>
            <w:tcW w:w="1276" w:type="dxa"/>
            <w:tcBorders>
              <w:top w:val="nil"/>
              <w:left w:val="nil"/>
              <w:bottom w:val="nil"/>
              <w:right w:val="nil"/>
            </w:tcBorders>
            <w:shd w:val="clear" w:color="auto" w:fill="auto"/>
            <w:noWrap/>
            <w:vAlign w:val="bottom"/>
            <w:hideMark/>
          </w:tcPr>
          <w:p w14:paraId="51692874"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1,8</w:t>
            </w:r>
          </w:p>
        </w:tc>
        <w:tc>
          <w:tcPr>
            <w:tcW w:w="992" w:type="dxa"/>
            <w:tcBorders>
              <w:top w:val="nil"/>
              <w:left w:val="nil"/>
              <w:bottom w:val="nil"/>
              <w:right w:val="nil"/>
            </w:tcBorders>
            <w:shd w:val="clear" w:color="auto" w:fill="auto"/>
            <w:noWrap/>
            <w:vAlign w:val="bottom"/>
            <w:hideMark/>
          </w:tcPr>
          <w:p w14:paraId="4A41CE52"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3,6</w:t>
            </w:r>
          </w:p>
        </w:tc>
        <w:tc>
          <w:tcPr>
            <w:tcW w:w="1134" w:type="dxa"/>
            <w:tcBorders>
              <w:top w:val="nil"/>
              <w:left w:val="nil"/>
              <w:bottom w:val="nil"/>
              <w:right w:val="nil"/>
            </w:tcBorders>
            <w:shd w:val="clear" w:color="auto" w:fill="auto"/>
            <w:noWrap/>
            <w:vAlign w:val="bottom"/>
            <w:hideMark/>
          </w:tcPr>
          <w:p w14:paraId="5994F402" w14:textId="77777777" w:rsidR="00761800" w:rsidRPr="00761800" w:rsidRDefault="00761800" w:rsidP="00761800">
            <w:pPr>
              <w:jc w:val="right"/>
              <w:rPr>
                <w:rFonts w:ascii="Times New Roman" w:hAnsi="Times New Roman"/>
                <w:sz w:val="20"/>
              </w:rPr>
            </w:pPr>
            <w:r w:rsidRPr="00761800">
              <w:rPr>
                <w:rFonts w:ascii="Times New Roman" w:hAnsi="Times New Roman"/>
                <w:sz w:val="20"/>
              </w:rPr>
              <w:t>1,2</w:t>
            </w:r>
          </w:p>
        </w:tc>
        <w:tc>
          <w:tcPr>
            <w:tcW w:w="1035" w:type="dxa"/>
            <w:tcBorders>
              <w:top w:val="nil"/>
              <w:left w:val="nil"/>
              <w:bottom w:val="nil"/>
              <w:right w:val="nil"/>
            </w:tcBorders>
            <w:shd w:val="clear" w:color="auto" w:fill="auto"/>
            <w:noWrap/>
            <w:vAlign w:val="bottom"/>
            <w:hideMark/>
          </w:tcPr>
          <w:p w14:paraId="4261D0DC" w14:textId="77777777" w:rsidR="00761800" w:rsidRPr="00761800" w:rsidRDefault="00761800" w:rsidP="00761800">
            <w:pPr>
              <w:jc w:val="right"/>
              <w:rPr>
                <w:rFonts w:ascii="Times New Roman" w:hAnsi="Times New Roman"/>
                <w:sz w:val="20"/>
              </w:rPr>
            </w:pPr>
          </w:p>
        </w:tc>
      </w:tr>
      <w:tr w:rsidR="00761800" w:rsidRPr="00761800" w14:paraId="1C1D47D8" w14:textId="77777777" w:rsidTr="00406B4D">
        <w:trPr>
          <w:trHeight w:val="630"/>
        </w:trPr>
        <w:tc>
          <w:tcPr>
            <w:tcW w:w="4678" w:type="dxa"/>
            <w:tcBorders>
              <w:top w:val="nil"/>
              <w:left w:val="nil"/>
              <w:bottom w:val="nil"/>
              <w:right w:val="nil"/>
            </w:tcBorders>
            <w:shd w:val="clear" w:color="auto" w:fill="auto"/>
            <w:vAlign w:val="bottom"/>
            <w:hideMark/>
          </w:tcPr>
          <w:p w14:paraId="4D736489" w14:textId="77777777" w:rsidR="00761800" w:rsidRPr="00761800" w:rsidRDefault="00761800" w:rsidP="00761800">
            <w:pPr>
              <w:rPr>
                <w:rFonts w:ascii="Times New Roman" w:hAnsi="Times New Roman"/>
                <w:b/>
                <w:bCs/>
                <w:sz w:val="20"/>
              </w:rPr>
            </w:pPr>
            <w:r w:rsidRPr="00761800">
              <w:rPr>
                <w:rFonts w:ascii="Times New Roman" w:hAnsi="Times New Roman"/>
                <w:b/>
                <w:bCs/>
                <w:sz w:val="20"/>
              </w:rPr>
              <w:t>Разходи за отбрана, съгласно класификацията на НАТО като % от БВП</w:t>
            </w:r>
          </w:p>
        </w:tc>
        <w:tc>
          <w:tcPr>
            <w:tcW w:w="1276" w:type="dxa"/>
            <w:tcBorders>
              <w:top w:val="nil"/>
              <w:left w:val="nil"/>
              <w:bottom w:val="nil"/>
              <w:right w:val="nil"/>
            </w:tcBorders>
            <w:shd w:val="clear" w:color="auto" w:fill="auto"/>
            <w:noWrap/>
            <w:vAlign w:val="bottom"/>
            <w:hideMark/>
          </w:tcPr>
          <w:p w14:paraId="5EE4C977" w14:textId="77777777" w:rsidR="00761800" w:rsidRPr="00761800" w:rsidRDefault="00761800" w:rsidP="00761800">
            <w:pPr>
              <w:jc w:val="right"/>
              <w:rPr>
                <w:rFonts w:ascii="Times New Roman" w:hAnsi="Times New Roman"/>
                <w:b/>
                <w:bCs/>
                <w:sz w:val="20"/>
              </w:rPr>
            </w:pPr>
            <w:r w:rsidRPr="00761800">
              <w:rPr>
                <w:rFonts w:ascii="Times New Roman" w:hAnsi="Times New Roman"/>
                <w:b/>
                <w:bCs/>
                <w:sz w:val="20"/>
              </w:rPr>
              <w:t>2,09%</w:t>
            </w:r>
          </w:p>
        </w:tc>
        <w:tc>
          <w:tcPr>
            <w:tcW w:w="992" w:type="dxa"/>
            <w:tcBorders>
              <w:top w:val="nil"/>
              <w:left w:val="nil"/>
              <w:bottom w:val="nil"/>
              <w:right w:val="nil"/>
            </w:tcBorders>
            <w:shd w:val="clear" w:color="auto" w:fill="auto"/>
            <w:noWrap/>
            <w:vAlign w:val="bottom"/>
            <w:hideMark/>
          </w:tcPr>
          <w:p w14:paraId="0A11B113" w14:textId="77777777" w:rsidR="00761800" w:rsidRPr="00761800" w:rsidRDefault="00761800" w:rsidP="00761800">
            <w:pPr>
              <w:jc w:val="right"/>
              <w:rPr>
                <w:rFonts w:ascii="Times New Roman" w:hAnsi="Times New Roman"/>
                <w:b/>
                <w:bCs/>
                <w:sz w:val="20"/>
              </w:rPr>
            </w:pPr>
            <w:r w:rsidRPr="00761800">
              <w:rPr>
                <w:rFonts w:ascii="Times New Roman" w:hAnsi="Times New Roman"/>
                <w:b/>
                <w:bCs/>
                <w:sz w:val="20"/>
              </w:rPr>
              <w:t>2,15%</w:t>
            </w:r>
          </w:p>
        </w:tc>
        <w:tc>
          <w:tcPr>
            <w:tcW w:w="1134" w:type="dxa"/>
            <w:tcBorders>
              <w:top w:val="nil"/>
              <w:left w:val="nil"/>
              <w:bottom w:val="nil"/>
              <w:right w:val="nil"/>
            </w:tcBorders>
            <w:shd w:val="clear" w:color="auto" w:fill="auto"/>
            <w:noWrap/>
            <w:vAlign w:val="bottom"/>
            <w:hideMark/>
          </w:tcPr>
          <w:p w14:paraId="63C2ED62" w14:textId="77777777" w:rsidR="00761800" w:rsidRPr="00761800" w:rsidRDefault="00761800" w:rsidP="00761800">
            <w:pPr>
              <w:jc w:val="right"/>
              <w:rPr>
                <w:rFonts w:ascii="Times New Roman" w:hAnsi="Times New Roman"/>
                <w:b/>
                <w:bCs/>
                <w:sz w:val="20"/>
              </w:rPr>
            </w:pPr>
            <w:r w:rsidRPr="00761800">
              <w:rPr>
                <w:rFonts w:ascii="Times New Roman" w:hAnsi="Times New Roman"/>
                <w:b/>
                <w:bCs/>
                <w:sz w:val="20"/>
              </w:rPr>
              <w:t>2,33%</w:t>
            </w:r>
          </w:p>
        </w:tc>
        <w:tc>
          <w:tcPr>
            <w:tcW w:w="1035" w:type="dxa"/>
            <w:tcBorders>
              <w:top w:val="nil"/>
              <w:left w:val="nil"/>
              <w:bottom w:val="nil"/>
              <w:right w:val="nil"/>
            </w:tcBorders>
            <w:shd w:val="clear" w:color="auto" w:fill="auto"/>
            <w:noWrap/>
            <w:vAlign w:val="bottom"/>
            <w:hideMark/>
          </w:tcPr>
          <w:p w14:paraId="4819AD61" w14:textId="77777777" w:rsidR="00761800" w:rsidRPr="00761800" w:rsidRDefault="00761800" w:rsidP="00761800">
            <w:pPr>
              <w:jc w:val="right"/>
              <w:rPr>
                <w:rFonts w:ascii="Times New Roman" w:hAnsi="Times New Roman"/>
                <w:b/>
                <w:bCs/>
                <w:sz w:val="20"/>
              </w:rPr>
            </w:pPr>
            <w:r w:rsidRPr="00761800">
              <w:rPr>
                <w:rFonts w:ascii="Times New Roman" w:hAnsi="Times New Roman"/>
                <w:b/>
                <w:bCs/>
                <w:sz w:val="20"/>
              </w:rPr>
              <w:t>2,55%</w:t>
            </w:r>
          </w:p>
        </w:tc>
      </w:tr>
      <w:tr w:rsidR="00761800" w:rsidRPr="00761800" w14:paraId="4D9BFE73" w14:textId="77777777" w:rsidTr="00406B4D">
        <w:trPr>
          <w:trHeight w:val="990"/>
        </w:trPr>
        <w:tc>
          <w:tcPr>
            <w:tcW w:w="4678" w:type="dxa"/>
            <w:tcBorders>
              <w:top w:val="nil"/>
              <w:left w:val="nil"/>
              <w:bottom w:val="nil"/>
              <w:right w:val="nil"/>
            </w:tcBorders>
            <w:shd w:val="clear" w:color="auto" w:fill="auto"/>
            <w:vAlign w:val="bottom"/>
            <w:hideMark/>
          </w:tcPr>
          <w:p w14:paraId="2A59E8A3" w14:textId="77777777" w:rsidR="00761800" w:rsidRPr="00761800" w:rsidRDefault="00761800" w:rsidP="00761800">
            <w:pPr>
              <w:rPr>
                <w:rFonts w:ascii="Times New Roman" w:hAnsi="Times New Roman"/>
                <w:bCs/>
                <w:i/>
                <w:iCs/>
                <w:sz w:val="20"/>
              </w:rPr>
            </w:pPr>
            <w:r w:rsidRPr="00761800">
              <w:rPr>
                <w:rFonts w:ascii="Times New Roman" w:hAnsi="Times New Roman"/>
                <w:bCs/>
                <w:i/>
                <w:iCs/>
                <w:sz w:val="20"/>
              </w:rPr>
              <w:t>Разходи за отбрана по Националния план за повишаване на разходите за отбрана на 2% от БВП на Република България до 2024 г., одобрен с РМС № 3/04.01.2018 г., като % от БВП</w:t>
            </w:r>
          </w:p>
        </w:tc>
        <w:tc>
          <w:tcPr>
            <w:tcW w:w="1276" w:type="dxa"/>
            <w:tcBorders>
              <w:top w:val="nil"/>
              <w:left w:val="nil"/>
              <w:bottom w:val="nil"/>
              <w:right w:val="nil"/>
            </w:tcBorders>
            <w:shd w:val="clear" w:color="auto" w:fill="auto"/>
            <w:noWrap/>
            <w:vAlign w:val="bottom"/>
            <w:hideMark/>
          </w:tcPr>
          <w:p w14:paraId="563E6D69" w14:textId="77777777" w:rsidR="00761800" w:rsidRPr="00761800" w:rsidRDefault="00761800" w:rsidP="00761800">
            <w:pPr>
              <w:jc w:val="right"/>
              <w:rPr>
                <w:rFonts w:ascii="Times New Roman" w:hAnsi="Times New Roman"/>
                <w:bCs/>
                <w:i/>
                <w:iCs/>
                <w:sz w:val="20"/>
              </w:rPr>
            </w:pPr>
            <w:r w:rsidRPr="00761800">
              <w:rPr>
                <w:rFonts w:ascii="Times New Roman" w:hAnsi="Times New Roman"/>
                <w:bCs/>
                <w:i/>
                <w:iCs/>
                <w:sz w:val="20"/>
              </w:rPr>
              <w:t>2,00%</w:t>
            </w:r>
          </w:p>
        </w:tc>
        <w:tc>
          <w:tcPr>
            <w:tcW w:w="992" w:type="dxa"/>
            <w:tcBorders>
              <w:top w:val="nil"/>
              <w:left w:val="nil"/>
              <w:bottom w:val="nil"/>
              <w:right w:val="nil"/>
            </w:tcBorders>
            <w:shd w:val="clear" w:color="auto" w:fill="auto"/>
            <w:noWrap/>
            <w:vAlign w:val="bottom"/>
            <w:hideMark/>
          </w:tcPr>
          <w:p w14:paraId="33F837D3" w14:textId="77777777" w:rsidR="00761800" w:rsidRPr="00761800" w:rsidRDefault="00761800" w:rsidP="00761800">
            <w:pPr>
              <w:jc w:val="right"/>
              <w:rPr>
                <w:rFonts w:ascii="Times New Roman" w:hAnsi="Times New Roman"/>
                <w:bCs/>
                <w:i/>
                <w:iCs/>
                <w:sz w:val="20"/>
              </w:rPr>
            </w:pPr>
          </w:p>
        </w:tc>
        <w:tc>
          <w:tcPr>
            <w:tcW w:w="1134" w:type="dxa"/>
            <w:tcBorders>
              <w:top w:val="nil"/>
              <w:left w:val="nil"/>
              <w:bottom w:val="nil"/>
              <w:right w:val="nil"/>
            </w:tcBorders>
            <w:shd w:val="clear" w:color="auto" w:fill="auto"/>
            <w:noWrap/>
            <w:vAlign w:val="bottom"/>
            <w:hideMark/>
          </w:tcPr>
          <w:p w14:paraId="54827BF5" w14:textId="77777777" w:rsidR="00761800" w:rsidRPr="00761800" w:rsidRDefault="00761800" w:rsidP="00761800">
            <w:pPr>
              <w:jc w:val="right"/>
              <w:rPr>
                <w:rFonts w:ascii="Times New Roman" w:hAnsi="Times New Roman"/>
                <w:sz w:val="20"/>
              </w:rPr>
            </w:pPr>
          </w:p>
        </w:tc>
        <w:tc>
          <w:tcPr>
            <w:tcW w:w="1035" w:type="dxa"/>
            <w:tcBorders>
              <w:top w:val="nil"/>
              <w:left w:val="nil"/>
              <w:bottom w:val="nil"/>
              <w:right w:val="nil"/>
            </w:tcBorders>
            <w:shd w:val="clear" w:color="auto" w:fill="auto"/>
            <w:noWrap/>
            <w:vAlign w:val="bottom"/>
            <w:hideMark/>
          </w:tcPr>
          <w:p w14:paraId="2CDA4BD5" w14:textId="77777777" w:rsidR="00761800" w:rsidRPr="00761800" w:rsidRDefault="00761800" w:rsidP="00761800">
            <w:pPr>
              <w:jc w:val="right"/>
              <w:rPr>
                <w:rFonts w:ascii="Times New Roman" w:hAnsi="Times New Roman"/>
                <w:sz w:val="20"/>
              </w:rPr>
            </w:pPr>
          </w:p>
        </w:tc>
      </w:tr>
      <w:tr w:rsidR="00761800" w:rsidRPr="00761800" w14:paraId="5D52CAEB" w14:textId="77777777" w:rsidTr="00406B4D">
        <w:trPr>
          <w:trHeight w:val="678"/>
        </w:trPr>
        <w:tc>
          <w:tcPr>
            <w:tcW w:w="4678" w:type="dxa"/>
            <w:tcBorders>
              <w:top w:val="nil"/>
              <w:left w:val="nil"/>
              <w:bottom w:val="nil"/>
              <w:right w:val="nil"/>
            </w:tcBorders>
            <w:shd w:val="clear" w:color="auto" w:fill="auto"/>
            <w:hideMark/>
          </w:tcPr>
          <w:p w14:paraId="747D53F9" w14:textId="77777777" w:rsidR="00761800" w:rsidRPr="00761800" w:rsidRDefault="00761800" w:rsidP="00761800">
            <w:pPr>
              <w:rPr>
                <w:rFonts w:ascii="Times New Roman" w:hAnsi="Times New Roman"/>
                <w:bCs/>
                <w:i/>
                <w:iCs/>
                <w:sz w:val="10"/>
                <w:szCs w:val="10"/>
              </w:rPr>
            </w:pPr>
          </w:p>
          <w:p w14:paraId="070B5B44" w14:textId="77777777" w:rsidR="00761800" w:rsidRPr="00761800" w:rsidRDefault="00761800" w:rsidP="00761800">
            <w:pPr>
              <w:rPr>
                <w:rFonts w:ascii="Times New Roman" w:hAnsi="Times New Roman"/>
                <w:bCs/>
                <w:i/>
                <w:iCs/>
                <w:sz w:val="20"/>
              </w:rPr>
            </w:pPr>
            <w:r w:rsidRPr="00761800">
              <w:rPr>
                <w:rFonts w:ascii="Times New Roman" w:hAnsi="Times New Roman"/>
                <w:bCs/>
                <w:i/>
                <w:iCs/>
                <w:sz w:val="20"/>
              </w:rPr>
              <w:t>Разходи за отбрана по Националния план за повишаване на разходите за отбрана на 5% от БВП на Република България до 2035 г., одобрен с РМС № 448/11.06.2026 г., като % от БВП</w:t>
            </w:r>
          </w:p>
        </w:tc>
        <w:tc>
          <w:tcPr>
            <w:tcW w:w="1276" w:type="dxa"/>
            <w:tcBorders>
              <w:top w:val="nil"/>
              <w:left w:val="nil"/>
              <w:bottom w:val="nil"/>
              <w:right w:val="nil"/>
            </w:tcBorders>
            <w:shd w:val="clear" w:color="auto" w:fill="auto"/>
            <w:noWrap/>
            <w:vAlign w:val="bottom"/>
            <w:hideMark/>
          </w:tcPr>
          <w:p w14:paraId="59B8F114" w14:textId="77777777" w:rsidR="00761800" w:rsidRPr="00761800" w:rsidRDefault="00761800" w:rsidP="00761800">
            <w:pPr>
              <w:jc w:val="right"/>
              <w:rPr>
                <w:rFonts w:ascii="Times New Roman" w:hAnsi="Times New Roman"/>
                <w:bCs/>
                <w:i/>
                <w:iCs/>
                <w:sz w:val="20"/>
              </w:rPr>
            </w:pPr>
            <w:r w:rsidRPr="00761800">
              <w:rPr>
                <w:rFonts w:ascii="Times New Roman" w:hAnsi="Times New Roman"/>
                <w:bCs/>
                <w:i/>
                <w:iCs/>
                <w:sz w:val="20"/>
              </w:rPr>
              <w:t> </w:t>
            </w:r>
          </w:p>
        </w:tc>
        <w:tc>
          <w:tcPr>
            <w:tcW w:w="992" w:type="dxa"/>
            <w:tcBorders>
              <w:top w:val="nil"/>
              <w:left w:val="nil"/>
              <w:bottom w:val="nil"/>
              <w:right w:val="nil"/>
            </w:tcBorders>
            <w:shd w:val="clear" w:color="auto" w:fill="auto"/>
            <w:noWrap/>
            <w:vAlign w:val="bottom"/>
            <w:hideMark/>
          </w:tcPr>
          <w:p w14:paraId="27058101" w14:textId="77777777" w:rsidR="00761800" w:rsidRPr="00761800" w:rsidRDefault="00761800" w:rsidP="00761800">
            <w:pPr>
              <w:jc w:val="right"/>
              <w:rPr>
                <w:rFonts w:ascii="Times New Roman" w:hAnsi="Times New Roman"/>
                <w:bCs/>
                <w:i/>
                <w:iCs/>
                <w:sz w:val="20"/>
              </w:rPr>
            </w:pPr>
            <w:r w:rsidRPr="00761800">
              <w:rPr>
                <w:rFonts w:ascii="Times New Roman" w:hAnsi="Times New Roman"/>
                <w:bCs/>
                <w:i/>
                <w:iCs/>
                <w:sz w:val="20"/>
              </w:rPr>
              <w:t>2,15%</w:t>
            </w:r>
          </w:p>
        </w:tc>
        <w:tc>
          <w:tcPr>
            <w:tcW w:w="1134" w:type="dxa"/>
            <w:tcBorders>
              <w:top w:val="nil"/>
              <w:left w:val="nil"/>
              <w:bottom w:val="nil"/>
              <w:right w:val="nil"/>
            </w:tcBorders>
            <w:shd w:val="clear" w:color="auto" w:fill="auto"/>
            <w:noWrap/>
            <w:vAlign w:val="bottom"/>
            <w:hideMark/>
          </w:tcPr>
          <w:p w14:paraId="1932DD0E" w14:textId="77777777" w:rsidR="00761800" w:rsidRPr="00761800" w:rsidRDefault="00761800" w:rsidP="00761800">
            <w:pPr>
              <w:jc w:val="right"/>
              <w:rPr>
                <w:rFonts w:ascii="Times New Roman" w:hAnsi="Times New Roman"/>
                <w:bCs/>
                <w:i/>
                <w:iCs/>
                <w:sz w:val="20"/>
              </w:rPr>
            </w:pPr>
            <w:r w:rsidRPr="00761800">
              <w:rPr>
                <w:rFonts w:ascii="Times New Roman" w:hAnsi="Times New Roman"/>
                <w:bCs/>
                <w:i/>
                <w:iCs/>
                <w:sz w:val="20"/>
              </w:rPr>
              <w:t>2,33%</w:t>
            </w:r>
          </w:p>
        </w:tc>
        <w:tc>
          <w:tcPr>
            <w:tcW w:w="1035" w:type="dxa"/>
            <w:tcBorders>
              <w:top w:val="nil"/>
              <w:left w:val="nil"/>
              <w:bottom w:val="nil"/>
              <w:right w:val="nil"/>
            </w:tcBorders>
            <w:shd w:val="clear" w:color="auto" w:fill="auto"/>
            <w:noWrap/>
            <w:vAlign w:val="bottom"/>
            <w:hideMark/>
          </w:tcPr>
          <w:p w14:paraId="4F5725D2" w14:textId="77777777" w:rsidR="00761800" w:rsidRPr="00761800" w:rsidRDefault="00761800" w:rsidP="00761800">
            <w:pPr>
              <w:jc w:val="right"/>
              <w:rPr>
                <w:rFonts w:ascii="Times New Roman" w:hAnsi="Times New Roman"/>
                <w:bCs/>
                <w:i/>
                <w:iCs/>
                <w:sz w:val="20"/>
              </w:rPr>
            </w:pPr>
            <w:r w:rsidRPr="00761800">
              <w:rPr>
                <w:rFonts w:ascii="Times New Roman" w:hAnsi="Times New Roman"/>
                <w:bCs/>
                <w:i/>
                <w:iCs/>
                <w:sz w:val="20"/>
              </w:rPr>
              <w:t>2,55%</w:t>
            </w:r>
          </w:p>
        </w:tc>
      </w:tr>
      <w:tr w:rsidR="00761800" w:rsidRPr="00761800" w14:paraId="3405F688" w14:textId="77777777" w:rsidTr="00406B4D">
        <w:trPr>
          <w:trHeight w:val="80"/>
        </w:trPr>
        <w:tc>
          <w:tcPr>
            <w:tcW w:w="4678" w:type="dxa"/>
            <w:tcBorders>
              <w:top w:val="nil"/>
              <w:left w:val="nil"/>
              <w:bottom w:val="single" w:sz="4" w:space="0" w:color="auto"/>
              <w:right w:val="nil"/>
            </w:tcBorders>
            <w:shd w:val="clear" w:color="auto" w:fill="auto"/>
          </w:tcPr>
          <w:p w14:paraId="4C3F8D36" w14:textId="77777777" w:rsidR="00761800" w:rsidRPr="00761800" w:rsidRDefault="00761800" w:rsidP="00761800">
            <w:pPr>
              <w:rPr>
                <w:rFonts w:ascii="Times New Roman" w:hAnsi="Times New Roman"/>
                <w:bCs/>
                <w:i/>
                <w:iCs/>
                <w:sz w:val="10"/>
                <w:szCs w:val="10"/>
              </w:rPr>
            </w:pPr>
          </w:p>
        </w:tc>
        <w:tc>
          <w:tcPr>
            <w:tcW w:w="1276" w:type="dxa"/>
            <w:tcBorders>
              <w:top w:val="nil"/>
              <w:left w:val="nil"/>
              <w:bottom w:val="single" w:sz="4" w:space="0" w:color="auto"/>
              <w:right w:val="nil"/>
            </w:tcBorders>
            <w:shd w:val="clear" w:color="auto" w:fill="auto"/>
            <w:noWrap/>
            <w:vAlign w:val="bottom"/>
          </w:tcPr>
          <w:p w14:paraId="3D19236A" w14:textId="77777777" w:rsidR="00761800" w:rsidRPr="00761800" w:rsidRDefault="00761800" w:rsidP="00761800">
            <w:pPr>
              <w:jc w:val="right"/>
              <w:rPr>
                <w:rFonts w:ascii="Times New Roman" w:hAnsi="Times New Roman"/>
                <w:bCs/>
                <w:i/>
                <w:iCs/>
                <w:sz w:val="20"/>
              </w:rPr>
            </w:pPr>
          </w:p>
        </w:tc>
        <w:tc>
          <w:tcPr>
            <w:tcW w:w="992" w:type="dxa"/>
            <w:tcBorders>
              <w:top w:val="nil"/>
              <w:left w:val="nil"/>
              <w:bottom w:val="single" w:sz="4" w:space="0" w:color="auto"/>
              <w:right w:val="nil"/>
            </w:tcBorders>
            <w:shd w:val="clear" w:color="auto" w:fill="auto"/>
            <w:noWrap/>
            <w:vAlign w:val="bottom"/>
          </w:tcPr>
          <w:p w14:paraId="08706856" w14:textId="77777777" w:rsidR="00761800" w:rsidRPr="00761800" w:rsidRDefault="00761800" w:rsidP="00761800">
            <w:pPr>
              <w:jc w:val="right"/>
              <w:rPr>
                <w:rFonts w:ascii="Times New Roman" w:hAnsi="Times New Roman"/>
                <w:bCs/>
                <w:i/>
                <w:iCs/>
                <w:sz w:val="20"/>
              </w:rPr>
            </w:pPr>
          </w:p>
        </w:tc>
        <w:tc>
          <w:tcPr>
            <w:tcW w:w="1134" w:type="dxa"/>
            <w:tcBorders>
              <w:top w:val="nil"/>
              <w:left w:val="nil"/>
              <w:bottom w:val="single" w:sz="4" w:space="0" w:color="auto"/>
              <w:right w:val="nil"/>
            </w:tcBorders>
            <w:shd w:val="clear" w:color="auto" w:fill="auto"/>
            <w:noWrap/>
            <w:vAlign w:val="bottom"/>
          </w:tcPr>
          <w:p w14:paraId="5B5F6203" w14:textId="77777777" w:rsidR="00761800" w:rsidRPr="00761800" w:rsidRDefault="00761800" w:rsidP="00761800">
            <w:pPr>
              <w:jc w:val="right"/>
              <w:rPr>
                <w:rFonts w:ascii="Times New Roman" w:hAnsi="Times New Roman"/>
                <w:bCs/>
                <w:i/>
                <w:iCs/>
                <w:sz w:val="20"/>
              </w:rPr>
            </w:pPr>
          </w:p>
        </w:tc>
        <w:tc>
          <w:tcPr>
            <w:tcW w:w="1035" w:type="dxa"/>
            <w:tcBorders>
              <w:top w:val="nil"/>
              <w:left w:val="nil"/>
              <w:bottom w:val="single" w:sz="4" w:space="0" w:color="auto"/>
              <w:right w:val="nil"/>
            </w:tcBorders>
            <w:shd w:val="clear" w:color="auto" w:fill="auto"/>
            <w:noWrap/>
            <w:vAlign w:val="bottom"/>
          </w:tcPr>
          <w:p w14:paraId="754004D3" w14:textId="77777777" w:rsidR="00761800" w:rsidRPr="00761800" w:rsidRDefault="00761800" w:rsidP="00761800">
            <w:pPr>
              <w:jc w:val="right"/>
              <w:rPr>
                <w:rFonts w:ascii="Times New Roman" w:hAnsi="Times New Roman"/>
                <w:bCs/>
                <w:i/>
                <w:iCs/>
                <w:sz w:val="20"/>
              </w:rPr>
            </w:pPr>
          </w:p>
        </w:tc>
      </w:tr>
    </w:tbl>
    <w:p w14:paraId="63CF9E30" w14:textId="77777777" w:rsidR="00761800" w:rsidRPr="00761800" w:rsidRDefault="00761800" w:rsidP="00761800">
      <w:pPr>
        <w:spacing w:before="120" w:after="200"/>
        <w:jc w:val="right"/>
        <w:rPr>
          <w:rFonts w:ascii="Times New Roman" w:hAnsi="Times New Roman"/>
          <w:sz w:val="18"/>
          <w:szCs w:val="18"/>
          <w:lang w:eastAsia="bg-BG"/>
        </w:rPr>
      </w:pPr>
      <w:r w:rsidRPr="00761800">
        <w:rPr>
          <w:rFonts w:ascii="Times New Roman" w:hAnsi="Times New Roman"/>
          <w:sz w:val="18"/>
          <w:szCs w:val="18"/>
          <w:lang w:eastAsia="bg-BG"/>
        </w:rPr>
        <w:t>Източник: МФ</w:t>
      </w:r>
    </w:p>
    <w:p w14:paraId="2EF48F06"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Политика в областта на вътрешния ред и сигурността</w:t>
      </w:r>
    </w:p>
    <w:p w14:paraId="771FAF1F"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в областта на вътрешния ред и сигурността</w:t>
      </w:r>
      <w:r w:rsidRPr="00761800">
        <w:rPr>
          <w:rFonts w:ascii="Times New Roman" w:hAnsi="Times New Roman"/>
          <w:b/>
          <w:szCs w:val="22"/>
          <w:lang w:eastAsia="bg-BG"/>
        </w:rPr>
        <w:t xml:space="preserve"> </w:t>
      </w:r>
      <w:r w:rsidRPr="00761800">
        <w:rPr>
          <w:rFonts w:ascii="Times New Roman" w:hAnsi="Times New Roman"/>
          <w:szCs w:val="22"/>
          <w:lang w:eastAsia="bg-BG"/>
        </w:rPr>
        <w:t xml:space="preserve">се изпълнява от Министерството на вътрешните работи, Държавната агенция „Разузнаване“, Националната служба за охрана, Държавната агенция „Национална сигурност”, Държавната агенция „Технически операции” и Националното бюро за контрол на специалните разузнавателни средства. Дейността в тази област се реализира в следните основни направления: </w:t>
      </w:r>
    </w:p>
    <w:p w14:paraId="158E1F37"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Превенция и противодействие на конвенционалната престъпност, опазване на обществения ред, подобряване на контрола на движението по пътищата и ограничаване на пътнотранспортния травматизъм; </w:t>
      </w:r>
    </w:p>
    <w:p w14:paraId="08504AA4"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Противодействие на организираната престъпност, с акцент върху киберпрестъпността, борбата с незаконния трафик и производство на наркотични вещества, и каналите за трафик на хора; </w:t>
      </w:r>
    </w:p>
    <w:p w14:paraId="0B4C17E6"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Противодействие на престъпленията срещу данъчната, финансово-кредитната и осигурителната система, контрабандата и на незаконното разпространение и производство на акцизни стоки;</w:t>
      </w:r>
    </w:p>
    <w:p w14:paraId="013D8D61"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Интегрирано противодействие на незаконната миграция и ефективен граничен контрол на външните граници на Република България и Европейския съюз; </w:t>
      </w:r>
    </w:p>
    <w:p w14:paraId="316565E8"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Развитие на възможностите за осигуряване на надеждна защита на населението и инфраструктурата при пожари, бедствия и други извънредни ситуации; </w:t>
      </w:r>
    </w:p>
    <w:p w14:paraId="1A033A72"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Осигуряване, разработване и прилагане на специални разузнавателни средства (СРС) и на специфични методи за охрана на живота, здравето и имуществото на гражданите, защита на правата и свободите на гражданите срещу незаконосъобразното използване на СРС и намирането на баланс между нуждата от използване на СРС, гражданските права и финансовите възможности на държавата; </w:t>
      </w:r>
    </w:p>
    <w:p w14:paraId="08E5D922"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Извършване на оперативно-техническа дейност за разкриване и документиране извършването на престъпления, включително и за изготвяне на веществени доказателствени средства; </w:t>
      </w:r>
    </w:p>
    <w:p w14:paraId="74C7A189"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Осигуряване на лична постова и техническа охрана, специализиран транспорт и пропускателен режим по месторабота, местоживеене, пребиваване в страната и в чужбина на категориите охранявани и обслужвани лица съгласно Закона за Националната служба за охрана;</w:t>
      </w:r>
    </w:p>
    <w:p w14:paraId="298D0576"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lastRenderedPageBreak/>
        <w:t xml:space="preserve">Обезпечаване на оперативната и разузнавателна дейност зад граница и физическа охрана на задграничните дипломатически представителства на Република България; </w:t>
      </w:r>
    </w:p>
    <w:p w14:paraId="22174554"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Разработване и актуализиране на правила за съхраняването на искания, разрешения и разпореждания по използването и прилагането на СРС, издаване на указания във връзка с подобряване режима на използване и прилагане на СРС, както и за съхраняване и унищожаване на придобитата чрез тях информация; сезиране на органите и уведомяване служебно на гражданите При наличие на данни за неправомерно използване и прилагане на СРС.</w:t>
      </w:r>
    </w:p>
    <w:p w14:paraId="71CB699A"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в областта на противодействието на престъпността и опазването на обществения ред </w:t>
      </w:r>
    </w:p>
    <w:p w14:paraId="239F1ABB"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Тази област на политика е насочена към противодействие на организираните и конвенционалните форми на престъпност, корупцията, и на престъпленията против личността и собствеността на гражданите, както и към превенция и противодействие на киберпрестъпността.</w:t>
      </w:r>
    </w:p>
    <w:p w14:paraId="29D12D0F" w14:textId="77777777" w:rsidR="00761800" w:rsidRPr="00761800" w:rsidRDefault="00761800" w:rsidP="00761800">
      <w:pPr>
        <w:spacing w:after="200"/>
        <w:jc w:val="both"/>
        <w:rPr>
          <w:rFonts w:ascii="Times New Roman" w:hAnsi="Times New Roman"/>
          <w:bCs/>
          <w:iCs/>
          <w:szCs w:val="24"/>
          <w:lang w:eastAsia="bg-BG"/>
        </w:rPr>
      </w:pPr>
      <w:r w:rsidRPr="00761800">
        <w:rPr>
          <w:rFonts w:ascii="Times New Roman" w:hAnsi="Times New Roman"/>
          <w:bCs/>
          <w:iCs/>
          <w:szCs w:val="24"/>
          <w:lang w:eastAsia="bg-BG"/>
        </w:rPr>
        <w:t>Дейностите по тази политика се изпълняват от структури на Министерството на вътрешните работи.</w:t>
      </w:r>
    </w:p>
    <w:p w14:paraId="58BA69F8"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Министерството на вътрешните работи си сътрудничи и взаимодейства с всички структури в системата за защита на националната сигурност, определени в Закона за управление и функциониране на системата за защита на националната сигурност, с други държавни органи и институции, неправителствени организации и граждани. Активно е взаимодействието и с чужди партньорски служби, с които се обменя информация по каналите за връзка на Европол и Интерпол. Провеждат се съвместни обучения, сформират се съвместни екипи за разследване и се изпълняват годишните оперативните планове за действие на платформата EMPACT</w:t>
      </w:r>
      <w:r w:rsidRPr="00761800">
        <w:rPr>
          <w:rFonts w:ascii="Times New Roman" w:hAnsi="Times New Roman"/>
          <w:position w:val="2"/>
          <w:sz w:val="18"/>
          <w:szCs w:val="24"/>
          <w:vertAlign w:val="superscript"/>
        </w:rPr>
        <w:footnoteReference w:id="63"/>
      </w:r>
      <w:r w:rsidRPr="00761800">
        <w:rPr>
          <w:rFonts w:ascii="Times New Roman" w:hAnsi="Times New Roman"/>
          <w:szCs w:val="24"/>
          <w:lang w:eastAsia="bg-BG"/>
        </w:rPr>
        <w:t xml:space="preserve"> от политическия цикъл на ЕС за борба срещу престъпността.</w:t>
      </w:r>
    </w:p>
    <w:p w14:paraId="028040EA"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в областта на защитата на границите и контрол на миграционните процеси </w:t>
      </w:r>
    </w:p>
    <w:p w14:paraId="0D47011D"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Тази област на политика е насочена към гарантиране сигурността на границите и интегрирано взаимодействие и контрол на миграционните процеси.</w:t>
      </w:r>
    </w:p>
    <w:p w14:paraId="7802808A"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Дейностите по тази политика се изпълняват от структури на Министерството на вътрешните работи.</w:t>
      </w:r>
    </w:p>
    <w:p w14:paraId="130A182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Министерството на вътрешните работи си сътрудничи и взаимодейства с всички структури в държавата, имащи отношение към контрола на държавната граница, постигането на летищна сигурност на международните аерогари в страната и регулиране на миграционните процеси, както и с граждани, неправителствени организации и със страни – партньори, за обмен на информация и съвместни действия.</w:t>
      </w:r>
    </w:p>
    <w:p w14:paraId="054D3543"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lastRenderedPageBreak/>
        <w:t xml:space="preserve">Политика в областта на пожарната безопасност и защитата на населението при извънредни ситуации </w:t>
      </w:r>
    </w:p>
    <w:p w14:paraId="7E00FB71"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Тази област на политика е насочена към превенция и надеждна защита на населението и инфраструктурата при пожари, бедствия и други извънредни ситуации.</w:t>
      </w:r>
    </w:p>
    <w:p w14:paraId="06BB0F6C"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Дейностите по тази политика се изпълняват от Главна дирекция „Пожарна безопасност и защита на населението“ към МВР.</w:t>
      </w:r>
    </w:p>
    <w:p w14:paraId="514B4EF7"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За изпълнението на политиката в областта на пожарната безопасност и защитата на населението МВР си сътрудничи със структурите на централната и местната власт.</w:t>
      </w:r>
    </w:p>
    <w:p w14:paraId="5121446D"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i/>
          <w:szCs w:val="22"/>
          <w:lang w:eastAsia="bg-BG"/>
        </w:rPr>
        <w:t>За делегираните от държавата дейности</w:t>
      </w:r>
      <w:r w:rsidRPr="00761800">
        <w:rPr>
          <w:rFonts w:ascii="Times New Roman" w:eastAsia="Batang" w:hAnsi="Times New Roman"/>
          <w:szCs w:val="22"/>
          <w:lang w:eastAsia="bg-BG"/>
        </w:rPr>
        <w:t xml:space="preserve"> в областта на сигурността и защитата на населението при извънредни ситуации по бюджетите на общините за 2026 г. са предвидени допълнителни средства в размер на 5,4 млн. евро във връзка с увеличението на минималната работна заплата от 1 януари 2026 г. и промяна в натуралните показатели.</w:t>
      </w:r>
    </w:p>
    <w:p w14:paraId="044AFC9E"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в областта на управлението и развитието на системата на МВР </w:t>
      </w:r>
    </w:p>
    <w:p w14:paraId="4BC9E5E8"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Тази област на политика е насочена към интегрирано развитие на автоматизираните информационни и комуникационните системи, гъвкаво управление на ресурсите и обучение на служителите, както и към подобряване на административното обслужване на гражданите.</w:t>
      </w:r>
    </w:p>
    <w:p w14:paraId="1B85CB14"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Дейностите по тази политика се изпълняват от административни звена в МВР, Националната система 112, Академията на МВР и Медицинския институт на МВР.</w:t>
      </w:r>
    </w:p>
    <w:p w14:paraId="76CC70EA"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МВР осъществява взаимодействие с всички структури в системата за защита на националната сигурност, определени в Закона за управление и функциониране на системата за защита на националната сигурност, с други държавни органи и институции, неправителствени организации и граждани.</w:t>
      </w:r>
    </w:p>
    <w:p w14:paraId="1C14B91F"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Политика в областта на съдебната система</w:t>
      </w:r>
    </w:p>
    <w:p w14:paraId="620E9454"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Политиките в областта на съдебната власт се координират от Висшия съдебен съвет като постоянно действащ орган, представляващ съдебната власт, който осигурява и отстоява нейната независимост, определя състава и организацията на работа на съдилищата, прокуратурите и следствените органи и обезпечава финансово и технически тяхната дейност без да се намесва в нейното осъществяване.</w:t>
      </w:r>
    </w:p>
    <w:p w14:paraId="645D51F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Изпълнението на заложените политики цели повишаване на общественото доверие в съдебната власт, постигане на ефективно, бързо, прозрачно, справедливо и достъпно правосъдие, както и създаване на съвременни условия на гражданите, вкл. за обвиняемите, за провеждане на съдебния процес. За постигането на тези цели е важно да се наблегне на качествено изпълнение на предвидените в Закона за съдебната власт задължения и повишаване на общественото доверие в съдебната власт, както и да се засили контролът на органите на съдебната власт, основаващ се на принципите на законосъобразност, обективност и публичност. </w:t>
      </w:r>
    </w:p>
    <w:p w14:paraId="6B1DC5A5"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lastRenderedPageBreak/>
        <w:t xml:space="preserve">Политика в областта на правосъдието </w:t>
      </w:r>
    </w:p>
    <w:p w14:paraId="70343A22"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Приоритет на </w:t>
      </w:r>
      <w:r w:rsidRPr="00761800">
        <w:rPr>
          <w:rFonts w:ascii="Times New Roman" w:hAnsi="Times New Roman"/>
          <w:b/>
          <w:szCs w:val="24"/>
          <w:lang w:eastAsia="bg-BG"/>
        </w:rPr>
        <w:t>Министерството на правосъдието</w:t>
      </w:r>
      <w:r w:rsidRPr="00761800">
        <w:rPr>
          <w:rFonts w:ascii="Times New Roman" w:hAnsi="Times New Roman"/>
          <w:szCs w:val="24"/>
          <w:lang w:eastAsia="bg-BG"/>
        </w:rPr>
        <w:t xml:space="preserve"> е да се реформира и подобри работата на съдебната система за постигане на достъпно, предвидимо, бързо и справедливо правосъдие, за възстановяване на справедливостта в обществото, което да гарантира правовия ред в страната, постигане на конкретни резултати в борбата с престъпността и ефективно справяне с корупцията.</w:t>
      </w:r>
    </w:p>
    <w:p w14:paraId="1EA7197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Визията на Министерството на правосъдието за политиката в областта на правосъдието е постигане на независима, прозрачна, достъпна, справедлива и ползваща се с доверие от гражданите и стопанските субекти правосъдна система чрез ефективно управление и организационно усъвършенстване.</w:t>
      </w:r>
    </w:p>
    <w:p w14:paraId="0B88F8D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Стратегическата цел е ефективно, прозрачно, справедливо и достъпно правосъдие. Оперативните цели са следните: укрепване на върховенството на правото, справедливо, прозрачно и достъпно правосъдие; повишаване ефективността и ефикасността на Министерството на правосъдието; осигуряване на модерна наказателна политика, ефективно противодействие на престъпността и хуманизиране на наказателно-изпълнителната система; повишена законова и институционална защита на правата на гражданите; ефективна защита на националните интереси в областта на правосъдието; подобряване на достъпа до електронно правосъдие и дигитализация на съдебната система.</w:t>
      </w:r>
    </w:p>
    <w:p w14:paraId="20BE5D2B"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Усилия ще бъдат положени за усъвършенстване и надграждане на съществуващите електронни регистри към Агенцията по вписванията, създаване на нови регистри и свързването им с регистри, поддържани от други държавни и общински институции и институции от държави членки на Европейския съюз, както и за оптимизация на дейността по водене, съхраняване и достъп до регистрите.</w:t>
      </w:r>
    </w:p>
    <w:p w14:paraId="4208FC0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Главна дирекция „Охрана“ в системата на Министерството на правосъдието осъществява функции, свързани с осигуряване на висока степен на сигурност и опазване на обществения ред в съдебните сгради; опазване здравето и живота на магистрати; конвоиране на задържани лица до органите на съдебната власт, оказване на своевременно съдействие на съдебната власт при призоваване, принудително довеждане  на лица и привеждане в изпълнение на влезли в сила присъди.</w:t>
      </w:r>
    </w:p>
    <w:p w14:paraId="6DB9AEB2"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Извън дейностите, които се финансират с бюджетни средства, се подготвят и дейности, финансирани със средства от Норвежкия финансов механизъм, Швейцарско-българската програма за сътрудничество, Инструмента за техническа подкрепа на Европейската комисия, Хоризонтална програма „Правосъдие“ на Европейската комисия и Механизма за възстановяване и устойчивост.</w:t>
      </w:r>
    </w:p>
    <w:p w14:paraId="076FE32B"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в областта на изпълнение на наказанията </w:t>
      </w:r>
    </w:p>
    <w:p w14:paraId="6A6AAFE0"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Политиката по изпълнение на наказанията e насочена към по-нататъшното развитие, усъвършенстване и демократизиране на институциите на наказателно-изпълнителната система, като необходима предпоставка за хуманно третиране на закононарушителите и гаранция за спазването на правата на човека.</w:t>
      </w:r>
    </w:p>
    <w:p w14:paraId="19EA1A9D"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Политиката в наказателно-изпълнителната дейност цели утвърждаването на съвременен модел на управление и развитие на пенитенциарната система в съответствие с </w:t>
      </w:r>
      <w:r w:rsidRPr="00761800">
        <w:rPr>
          <w:rFonts w:ascii="Times New Roman" w:hAnsi="Times New Roman"/>
          <w:szCs w:val="24"/>
          <w:lang w:eastAsia="bg-BG"/>
        </w:rPr>
        <w:lastRenderedPageBreak/>
        <w:t xml:space="preserve">международните минимални стандарти, приети за местата за задържане и Европейските правила за затворите. </w:t>
      </w:r>
    </w:p>
    <w:p w14:paraId="450BC4A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Дейността по изпълнение на наказанията е изцяло ориентирана към реформиране на пенитенциарните заведения и към създаването на условия в тях за поправянето и ресоциализацията на осъдените лица. Основната ѝ цел е да осигури защита на обществото от правонарушителите, да гарантира правата и свободите на лишените от свобода и възможностите за тяхната социална рехабилитация.</w:t>
      </w:r>
    </w:p>
    <w:p w14:paraId="6F83859E"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Реформирането на пенитенциарната система е неразделна част от процеса на ускорена съдебна реформа и успешното противодействие на престъпността. Въпреки че през последните години страната ни постигна значителен напредък в развитието и усъвършенстването на наказателното изпълнение, процесът на реформа е невъзможен  без подобряване материалните условия на бит и живот на лишените от свобода и по-нататъшното демократизиране институциите на наказателно-изпълнителната система. </w:t>
      </w:r>
    </w:p>
    <w:p w14:paraId="23A9E78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Оперативните цели са следните: подобряване на жилищно-битовите условия в затворите и арестите; повишаване на сигурността на затворите и арестите с внедряването на съвременни и модерни технически средства за наблюдение и контрол, охрана и управление; по-интензивно прилагане на програмите за обществено въздействие в пробационните служби; усъвършенстване на системата за електронен мониторинг; продължаване на действията за повишаване капацитета на персонала чрез обучения по новата съвременна програма за първоначално и продължаващо обучение на служителите; продължаване на действията по внедряване на съвременни програми за рехабилитация и реинтеграция на лишените от свобода.</w:t>
      </w:r>
    </w:p>
    <w:p w14:paraId="4823D386"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szCs w:val="22"/>
          <w:lang w:eastAsia="bg-BG"/>
        </w:rPr>
      </w:pPr>
      <w:r w:rsidRPr="00761800">
        <w:rPr>
          <w:rFonts w:ascii="Times New Roman" w:hAnsi="Times New Roman"/>
          <w:b/>
          <w:bCs/>
          <w:iCs/>
          <w:szCs w:val="22"/>
          <w:lang w:eastAsia="bg-BG"/>
        </w:rPr>
        <w:t xml:space="preserve">Конституционен съд </w:t>
      </w:r>
    </w:p>
    <w:p w14:paraId="21769F5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Конституционният съд на Република България е независим държавен орган, създаден с Конституцията и натоварен да осигурява нейното върховенство. Независим е от законодателната, изпълнителната и съдебната власт. Основната му дейност е да дава задължителни тълкувания на Конституцията, както и да се произнася по съответствието ѝ със законите, актовете на Народното събрание и президента и международните договори, по които България е страна. </w:t>
      </w:r>
    </w:p>
    <w:p w14:paraId="5ECB700C"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Конституционният съд членува в три международни организации, като членството в тях е от изключително важно значение за развитието и работата на съда и за добрата позиция в международен аспект на българския Конституционен съд. </w:t>
      </w:r>
    </w:p>
    <w:p w14:paraId="3D9652FA"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Бюджетната прогноза на Конституционния съд отразява оптималния размер на средствата, необходими за нормално функциониране на съда и повишаване ефективността на работата му. </w:t>
      </w:r>
    </w:p>
    <w:p w14:paraId="4AFA19C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Дейността на Конституционния съд попада в обхвата на функционална област „Върховенство на конституцията“.</w:t>
      </w:r>
    </w:p>
    <w:p w14:paraId="77BB189D"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Външна политика</w:t>
      </w:r>
    </w:p>
    <w:p w14:paraId="5FAC49E0" w14:textId="77777777" w:rsidR="00761800" w:rsidRPr="00761800" w:rsidRDefault="00761800" w:rsidP="00761800">
      <w:pPr>
        <w:spacing w:after="200"/>
        <w:jc w:val="both"/>
        <w:rPr>
          <w:rFonts w:ascii="Times New Roman" w:hAnsi="Times New Roman"/>
          <w:noProof/>
          <w:szCs w:val="24"/>
          <w:lang w:eastAsia="bg-BG"/>
        </w:rPr>
      </w:pPr>
      <w:r w:rsidRPr="00761800">
        <w:rPr>
          <w:rFonts w:ascii="Times New Roman" w:hAnsi="Times New Roman"/>
          <w:noProof/>
          <w:szCs w:val="24"/>
          <w:lang w:eastAsia="bg-BG"/>
        </w:rPr>
        <w:t xml:space="preserve">Външната политика на Република България се ръководи от принципа на прагматично следване на националния интерес и недопускане на намеса във вътрешните работи на страната ни - утвърждаване и развитие на Република България като модерна европейска </w:t>
      </w:r>
      <w:r w:rsidRPr="00761800">
        <w:rPr>
          <w:rFonts w:ascii="Times New Roman" w:hAnsi="Times New Roman"/>
          <w:noProof/>
          <w:szCs w:val="24"/>
          <w:lang w:eastAsia="bg-BG"/>
        </w:rPr>
        <w:lastRenderedPageBreak/>
        <w:t xml:space="preserve">демокрация, осигуряваща пълноценно развитие и просперитет за българските граждани, гарантиране на най-високи стандарти в областта на правата на човека и основните свободи, устойчиво гражданско общество, развиващо се в условията на членство на Република България в ЕС и НАТО, принос към укрепване на единството и солидарността на евроатлантическата общност и утвърждаване на нейните ценности и принципи в регионален, европейски и глобален мащаб. </w:t>
      </w:r>
    </w:p>
    <w:p w14:paraId="6F9B068A" w14:textId="77777777" w:rsidR="00761800" w:rsidRPr="00761800" w:rsidRDefault="00761800" w:rsidP="00761800">
      <w:pPr>
        <w:spacing w:after="200"/>
        <w:jc w:val="both"/>
        <w:rPr>
          <w:rFonts w:ascii="Times New Roman" w:hAnsi="Times New Roman"/>
          <w:noProof/>
          <w:szCs w:val="24"/>
          <w:lang w:eastAsia="bg-BG"/>
        </w:rPr>
      </w:pPr>
      <w:r w:rsidRPr="00761800">
        <w:rPr>
          <w:rFonts w:ascii="Times New Roman" w:hAnsi="Times New Roman"/>
          <w:b/>
          <w:noProof/>
          <w:szCs w:val="24"/>
          <w:lang w:eastAsia="bg-BG"/>
        </w:rPr>
        <w:t>Министерството на външните работи</w:t>
      </w:r>
      <w:r w:rsidRPr="00761800">
        <w:rPr>
          <w:rFonts w:ascii="Times New Roman" w:hAnsi="Times New Roman"/>
          <w:noProof/>
          <w:szCs w:val="24"/>
          <w:lang w:eastAsia="bg-BG"/>
        </w:rPr>
        <w:t xml:space="preserve"> ръководи, координира и контролира осъществяването на държавната политика на Република България в отношенията ѝ с други държави, като осигурява поддържането и развитието на външнополитическия диалог, политиката на сигурност и двустранното, регионалното и многостранното сътрудничество, и осъществява общата координация в областта на външната политика и международната дейност на Република България. Българската дипломация защитава правата и интересите на българската държава и на българските граждани и юридически лица в чужбина в рамките на международноправните норми и установената практика, предприема дипломатически действия за опазване на българското културно-историческо наследство и паметници в чужбина.</w:t>
      </w:r>
    </w:p>
    <w:p w14:paraId="2956D91D"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активната двустранна и многостранна дипломация</w:t>
      </w:r>
    </w:p>
    <w:p w14:paraId="03D4067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Чрез осъществяването на политиката на активна двустранна и многостранна дипломация се постигат външнополитическите приоритети на страната и се работи за осигуряване на благоприятна и стабилна външнополитическа среда за развитие и просперитет на българското общество и подобряване качеството на живот на българските граждани, както и за създаването на благоприятна инвестиционна и бизнес среда в страната ни. </w:t>
      </w:r>
    </w:p>
    <w:p w14:paraId="7809411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Успешната външна политика допринася за укрепване на националната сигурност, отстояване на суверенитета, развитието на икономиката, включително туризма, обогатяването на възможностите за научен, културен и образователен обмен, защита на правата и интересите на лицата с българско гражданство и самосъзнание, и на българските общности зад граница, оказвайки им подкрепа за съхраняване на тяхната идентичност. </w:t>
      </w:r>
    </w:p>
    <w:p w14:paraId="1613409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рамките на тази политика е включена и програма, чрез която се отделя специално внимание и ресурси за осъществяването на дипломатическа и консулска защита, както и за предоставянето на качествени консулски услуги за българските граждани.</w:t>
      </w:r>
    </w:p>
    <w:p w14:paraId="7BA09E1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Важен акцент при осъществяването на тази политика е защита на националните интереси, активно участие и конструктивен принос на България в разработването и прилагането на политиките на ЕС, НАТО</w:t>
      </w:r>
      <w:r w:rsidRPr="00761800">
        <w:rPr>
          <w:rFonts w:ascii="Times New Roman" w:hAnsi="Times New Roman"/>
          <w:position w:val="2"/>
          <w:sz w:val="18"/>
          <w:szCs w:val="24"/>
          <w:vertAlign w:val="superscript"/>
        </w:rPr>
        <w:footnoteReference w:id="64"/>
      </w:r>
      <w:r w:rsidRPr="00761800">
        <w:rPr>
          <w:rFonts w:ascii="Times New Roman" w:hAnsi="Times New Roman"/>
          <w:szCs w:val="22"/>
          <w:lang w:eastAsia="bg-BG"/>
        </w:rPr>
        <w:t>, ООН</w:t>
      </w:r>
      <w:r w:rsidRPr="00761800">
        <w:rPr>
          <w:rFonts w:ascii="Times New Roman" w:hAnsi="Times New Roman"/>
          <w:position w:val="2"/>
          <w:sz w:val="18"/>
          <w:szCs w:val="24"/>
          <w:vertAlign w:val="superscript"/>
        </w:rPr>
        <w:footnoteReference w:id="65"/>
      </w:r>
      <w:r w:rsidRPr="00761800">
        <w:rPr>
          <w:rFonts w:ascii="Times New Roman" w:hAnsi="Times New Roman"/>
          <w:szCs w:val="22"/>
          <w:lang w:eastAsia="bg-BG"/>
        </w:rPr>
        <w:t>, Съвета на Европа, ОССЕ</w:t>
      </w:r>
      <w:r w:rsidRPr="00761800">
        <w:rPr>
          <w:rFonts w:ascii="Times New Roman" w:hAnsi="Times New Roman"/>
          <w:position w:val="2"/>
          <w:sz w:val="18"/>
          <w:szCs w:val="24"/>
          <w:vertAlign w:val="superscript"/>
        </w:rPr>
        <w:footnoteReference w:id="66"/>
      </w:r>
      <w:r w:rsidRPr="00761800">
        <w:rPr>
          <w:rFonts w:ascii="Times New Roman" w:hAnsi="Times New Roman"/>
          <w:szCs w:val="22"/>
          <w:lang w:eastAsia="bg-BG"/>
        </w:rPr>
        <w:t>; поддържане на активна роля на България в областта на многостранната дипломация и в решаването на глобалните предизвикателства чрез многостранно сътрудничество, утвърждаване на България като водещ фактор за стабилност в Югоизточна Европа, допринасящ за отношения на добросъседство, регионално сътрудничество, интеграция и свързаност, както и превръщане на България в регионален лидер в областта на иновациите и новите технологии.</w:t>
      </w:r>
    </w:p>
    <w:p w14:paraId="5BDEBB8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lastRenderedPageBreak/>
        <w:t>Българската външна политика работи за приключването на разговорите по присъединяването на България към Организацията за икономическо сътрудничество и развитие.</w:t>
      </w:r>
    </w:p>
    <w:p w14:paraId="0ACC8FE6"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публичната дипломация и публичните дейности в подкрепа на целите на външната политика</w:t>
      </w:r>
    </w:p>
    <w:p w14:paraId="64B90EF8" w14:textId="77777777" w:rsidR="00761800" w:rsidRPr="00761800" w:rsidRDefault="00761800" w:rsidP="00761800">
      <w:pPr>
        <w:spacing w:after="200"/>
        <w:jc w:val="both"/>
        <w:rPr>
          <w:rFonts w:ascii="Times New Roman" w:hAnsi="Times New Roman"/>
          <w:noProof/>
          <w:szCs w:val="24"/>
          <w:lang w:eastAsia="bg-BG"/>
        </w:rPr>
      </w:pPr>
      <w:r w:rsidRPr="00761800">
        <w:rPr>
          <w:rFonts w:ascii="Times New Roman" w:hAnsi="Times New Roman"/>
          <w:noProof/>
          <w:szCs w:val="24"/>
          <w:lang w:eastAsia="bg-BG"/>
        </w:rPr>
        <w:t>Стратегическа цел на политиката е генериране на благоприятна вътрешна и външна среда и обществена подкрепа, осигуряваща успешно изпълнение на външнополитическата програма и заложените в нея водещи цели и приоритети, част от които са повишаване на специализираните знания и умения на представителите на дипломатическата служба и държавната администрация, чиято дейност е свързана с планиране и провеждане на външната политика на Република България; насърчаване на публичната дискусия по актуални външнополитически теми и приобщаване на българското общество и гражданските институции към външнополитическите позиции и действия на България; подготовка на служителите от централната администрация за пълноценно участие в процеса на вземане на решения в ЕС и международни организации, както и развитие на положителен публичен образ в страната и в чужбина.</w:t>
      </w:r>
    </w:p>
    <w:p w14:paraId="2A802493"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подкрепата за българските общности и лицата с българско самосъзнание зад граница</w:t>
      </w:r>
    </w:p>
    <w:p w14:paraId="1107E523" w14:textId="77777777" w:rsidR="00761800" w:rsidRPr="00761800" w:rsidRDefault="00761800" w:rsidP="00761800">
      <w:pPr>
        <w:spacing w:after="200"/>
        <w:jc w:val="both"/>
        <w:rPr>
          <w:rFonts w:ascii="Times New Roman" w:hAnsi="Times New Roman"/>
          <w:noProof/>
          <w:szCs w:val="24"/>
          <w:lang w:eastAsia="bg-BG"/>
        </w:rPr>
      </w:pPr>
      <w:r w:rsidRPr="00761800">
        <w:rPr>
          <w:rFonts w:ascii="Times New Roman" w:hAnsi="Times New Roman"/>
          <w:noProof/>
          <w:szCs w:val="24"/>
          <w:lang w:eastAsia="bg-BG"/>
        </w:rPr>
        <w:t xml:space="preserve">Чрез осъществяването на Политиката за подкрепата за българските общности и лицата с българско самосъзнание зад граница се постигат външнополитическите приоритети на страната с оглед опазване и възраждане на българското национално самосъзнание, приобщаване и включване на българските граждани – временно или постоянно пребиваващи зад граница – към държавния и обществено-политическия живот в България; грижа за българските емигранти и техните деца, които са с българско гражданство и постоянно живеещи и работещи в чужбина, и създаване на условия за тяхното завръщане и/или реализация в страната; разпространение на положителния образ на България по света; създаване на подходящи условия за мотивиране към професионална реализация в България на български граждани – временно или постоянно пребиваващи зад граница; използване на възможностите на българските граждани в контекста на мобилността и свободното движение на хора; създаване на по-тесни контакти между българските представители на научната и професионална сфера в страната и чужбина. </w:t>
      </w:r>
    </w:p>
    <w:p w14:paraId="76EE18FF"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Политика в областта на енергетиката</w:t>
      </w:r>
    </w:p>
    <w:p w14:paraId="2741F210" w14:textId="77777777" w:rsidR="00761800" w:rsidRPr="00761800" w:rsidRDefault="00761800" w:rsidP="00761800">
      <w:pPr>
        <w:spacing w:after="200"/>
        <w:jc w:val="both"/>
        <w:rPr>
          <w:rFonts w:ascii="Times New Roman" w:hAnsi="Times New Roman"/>
          <w:noProof/>
          <w:szCs w:val="22"/>
          <w:lang w:eastAsia="bg-BG"/>
        </w:rPr>
      </w:pPr>
      <w:r w:rsidRPr="00761800">
        <w:rPr>
          <w:rFonts w:ascii="Times New Roman" w:hAnsi="Times New Roman"/>
          <w:noProof/>
          <w:szCs w:val="22"/>
          <w:lang w:eastAsia="bg-BG"/>
        </w:rPr>
        <w:t xml:space="preserve">Политиката, изпълнявана от </w:t>
      </w:r>
      <w:r w:rsidRPr="00761800">
        <w:rPr>
          <w:rFonts w:ascii="Times New Roman" w:hAnsi="Times New Roman"/>
          <w:b/>
          <w:noProof/>
          <w:szCs w:val="22"/>
          <w:lang w:eastAsia="bg-BG"/>
        </w:rPr>
        <w:t>Министерството на енергетиката</w:t>
      </w:r>
      <w:r w:rsidRPr="00761800">
        <w:rPr>
          <w:rFonts w:ascii="Times New Roman" w:hAnsi="Times New Roman"/>
          <w:noProof/>
          <w:szCs w:val="22"/>
          <w:lang w:eastAsia="bg-BG"/>
        </w:rPr>
        <w:t xml:space="preserve">, е насочена към устойчиво енергийно развитие на страната, ефективно използване на енергията и енергийните ресурси, задоволяване потребностите на обществото от електрическа и топлинна енергия, природен газ и горива, установяване на по-чисто и ефективно производство на енергия чрез рационално използване на конвенционалните и възобновяеми източници на енергия, минимизиране влиянието на производството, преноса и използването на енергия върху околната среда, подобряване управлението на природните ресурси. Тенденцията е да се гарантира сигурно, безопасно и устойчиво снабдяване с енергия. Целта на енергийната политика е гарантиране на енергийната </w:t>
      </w:r>
      <w:r w:rsidRPr="00761800">
        <w:rPr>
          <w:rFonts w:ascii="Times New Roman" w:hAnsi="Times New Roman"/>
          <w:noProof/>
          <w:szCs w:val="22"/>
          <w:lang w:eastAsia="bg-BG"/>
        </w:rPr>
        <w:lastRenderedPageBreak/>
        <w:t>сигурност на страната чрез проучване на нови райони, от които да се извършва снабдяване с горива, проучване на нови технологии, по-нататъшно разработване на местните ресурси и подобряване на инфраструктурата за достъп до нови източници на снабдяване, в т.ч.:</w:t>
      </w:r>
    </w:p>
    <w:p w14:paraId="27F01A5E"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Изграждане на междусистемните газови връзки между България и съседните страни;</w:t>
      </w:r>
    </w:p>
    <w:p w14:paraId="413057B9"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Пълна либерализация на пазарите на електроенергия и газ и интегрирането им в Общия европейски енергиен пазар. Защита на уязвимите потребители;</w:t>
      </w:r>
    </w:p>
    <w:p w14:paraId="76A22A4C"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Установяване на по-чисто и ефективно производство на енергия чрез по-рационално използване на изкопаемите ресурси, минимизиране влиянието на производството, преноса, разпределението и потреблението на енергия върху околната среда, подобряване управлението на естествените ресурси;</w:t>
      </w:r>
    </w:p>
    <w:p w14:paraId="463D9A7F"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Запазване и развитие капацитета на ядрената енергетика;</w:t>
      </w:r>
    </w:p>
    <w:p w14:paraId="445CE1C3"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Развитие на нови икономически ефективни проекти, създаващи възможност за екологично нисковъглеродно производство на енергия, без предоставяне на държавни или корпоративни гаранции.</w:t>
      </w:r>
    </w:p>
    <w:p w14:paraId="3A4DD7B2"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Политика в областта на опазване на околната среда и водите</w:t>
      </w:r>
    </w:p>
    <w:p w14:paraId="5758AA0B" w14:textId="77777777" w:rsidR="00761800" w:rsidRPr="00761800" w:rsidRDefault="00761800" w:rsidP="00761800">
      <w:pPr>
        <w:spacing w:after="200"/>
        <w:jc w:val="both"/>
        <w:rPr>
          <w:rFonts w:ascii="Times New Roman" w:hAnsi="Times New Roman"/>
          <w:noProof/>
          <w:szCs w:val="22"/>
          <w:lang w:eastAsia="bg-BG"/>
        </w:rPr>
      </w:pPr>
      <w:r w:rsidRPr="00761800">
        <w:rPr>
          <w:rFonts w:ascii="Times New Roman" w:hAnsi="Times New Roman"/>
          <w:noProof/>
          <w:szCs w:val="22"/>
          <w:lang w:eastAsia="bg-BG"/>
        </w:rPr>
        <w:t xml:space="preserve">С провежданата политика в областта на опазването на околната среда и водите се цели опазване и съхраняване на уникалната българска природа и подобряване на екологичната устойчивост. Следи се за баланса между развитието на бизнеса и опазването на биоразнообразието и ресурсите за постигане на максималните възможни ползи за икономиката и обществото. Акцент се поставя върху цели, които укрепват връзките между ресурсната ефективност и принципите на кръговата икономика, издръжливостта на екосистемите и човешкото благополучие, като усилията ще бъдат насочени към подобряване на взаимодействието с бизнеса, национални и регионални органи, местни власти, неправителствени и научни организации. </w:t>
      </w:r>
    </w:p>
    <w:p w14:paraId="7F8054CA" w14:textId="77777777" w:rsidR="00761800" w:rsidRPr="00761800" w:rsidRDefault="00761800" w:rsidP="00761800">
      <w:pPr>
        <w:spacing w:after="200"/>
        <w:jc w:val="both"/>
        <w:rPr>
          <w:rFonts w:ascii="Times New Roman" w:hAnsi="Times New Roman"/>
          <w:noProof/>
          <w:szCs w:val="22"/>
          <w:lang w:eastAsia="bg-BG"/>
        </w:rPr>
      </w:pPr>
      <w:r w:rsidRPr="00761800">
        <w:rPr>
          <w:rFonts w:ascii="Times New Roman" w:hAnsi="Times New Roman"/>
          <w:noProof/>
          <w:szCs w:val="22"/>
          <w:lang w:eastAsia="bg-BG"/>
        </w:rPr>
        <w:t xml:space="preserve">За провеждането на политиката в областта на опазването на околната среда и водите отговорна институция е </w:t>
      </w:r>
      <w:r w:rsidRPr="00761800">
        <w:rPr>
          <w:rFonts w:ascii="Times New Roman" w:hAnsi="Times New Roman"/>
          <w:b/>
          <w:noProof/>
          <w:szCs w:val="22"/>
          <w:lang w:eastAsia="bg-BG"/>
        </w:rPr>
        <w:t>Министерството на околната среда и водите</w:t>
      </w:r>
      <w:r w:rsidRPr="00761800">
        <w:rPr>
          <w:rFonts w:ascii="Times New Roman" w:hAnsi="Times New Roman"/>
          <w:noProof/>
          <w:szCs w:val="22"/>
          <w:lang w:eastAsia="bg-BG"/>
        </w:rPr>
        <w:t xml:space="preserve">, както и </w:t>
      </w:r>
      <w:r w:rsidRPr="00761800">
        <w:rPr>
          <w:rFonts w:ascii="Times New Roman" w:hAnsi="Times New Roman"/>
          <w:b/>
          <w:noProof/>
          <w:szCs w:val="22"/>
          <w:lang w:eastAsia="bg-BG"/>
        </w:rPr>
        <w:t>Предприятието за управление на дейностите по опазване на околната среда (ПУДООС)</w:t>
      </w:r>
      <w:r w:rsidRPr="00761800">
        <w:rPr>
          <w:rFonts w:ascii="Times New Roman" w:hAnsi="Times New Roman"/>
          <w:noProof/>
          <w:szCs w:val="22"/>
          <w:lang w:eastAsia="bg-BG"/>
        </w:rPr>
        <w:t xml:space="preserve"> за реализацията на проекти и дейности в изпълнение на национални и общински програми в областта на околната среда. С преминаването на Националния институт по метеорология и хидрология (НИМХ) към Министерството на околната среда и водите се цели по-добра взаимовръзка с оглед изпълнението на дейностите по Закона за водите.</w:t>
      </w:r>
    </w:p>
    <w:p w14:paraId="7941BFB1"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в областта на опазването и ползването на компонентите на околната среда </w:t>
      </w:r>
    </w:p>
    <w:p w14:paraId="6A63E24F" w14:textId="77777777" w:rsidR="00761800" w:rsidRPr="00761800" w:rsidRDefault="00761800" w:rsidP="00761800">
      <w:pPr>
        <w:spacing w:after="200"/>
        <w:jc w:val="both"/>
        <w:rPr>
          <w:rFonts w:ascii="Times New Roman" w:hAnsi="Times New Roman"/>
          <w:noProof/>
          <w:szCs w:val="22"/>
          <w:lang w:eastAsia="bg-BG"/>
        </w:rPr>
      </w:pPr>
      <w:r w:rsidRPr="00761800">
        <w:rPr>
          <w:rFonts w:ascii="Times New Roman" w:hAnsi="Times New Roman"/>
          <w:noProof/>
          <w:szCs w:val="22"/>
          <w:lang w:eastAsia="bg-BG"/>
        </w:rPr>
        <w:t xml:space="preserve">Стратегическата цел на политиката в областта на опазването и ползването на компонентите на околната среда е насочена към опазване, съхранение и увеличаване на природния капитал, подобряване на управлението на отпадъците, преход към ефективна кръгова и конкурентоспособна нисковъглеродна икономика от гледна точка на </w:t>
      </w:r>
      <w:r w:rsidRPr="00761800">
        <w:rPr>
          <w:rFonts w:ascii="Times New Roman" w:hAnsi="Times New Roman"/>
          <w:noProof/>
          <w:szCs w:val="22"/>
          <w:lang w:eastAsia="bg-BG"/>
        </w:rPr>
        <w:lastRenderedPageBreak/>
        <w:t xml:space="preserve">използването на ресурсите и провеждане на устойчива политика за постигане на здравословна околна среда и защита на населението от свързани с околната среда въздействия. Визията за развитие на политиката обхваща прилагането и развиването на комплекс от инструменти, които допринасят във висока степен за опазване чистотата на водите, почвите и въздуха, предотвратяване образуването на отпадъците и увеличаване на тяхното оползотворяване, адаптиране към измененията на климата и ефективно използване на ресурсите в икономическия цикъл на страната. </w:t>
      </w:r>
    </w:p>
    <w:p w14:paraId="14EDD807" w14:textId="77777777" w:rsidR="00761800" w:rsidRPr="00761800" w:rsidRDefault="00761800" w:rsidP="00761800">
      <w:pPr>
        <w:spacing w:after="200"/>
        <w:jc w:val="both"/>
        <w:rPr>
          <w:rFonts w:ascii="Times New Roman" w:hAnsi="Times New Roman"/>
          <w:noProof/>
          <w:szCs w:val="22"/>
          <w:lang w:eastAsia="bg-BG"/>
        </w:rPr>
      </w:pPr>
      <w:r w:rsidRPr="00761800">
        <w:rPr>
          <w:rFonts w:ascii="Times New Roman" w:hAnsi="Times New Roman"/>
          <w:noProof/>
          <w:szCs w:val="22"/>
          <w:lang w:eastAsia="bg-BG"/>
        </w:rPr>
        <w:t>В рамките на тази политика чрез бюджета на Предприятието за управление на дейностите по опазване на околната среда ще бъдат безвъзмездно финансирани екологични проекти на общините, неинвестиционни проекти и дейности, способстващи за осъществяване на политиката, насочени в секторите: управление на водите, управление на отпадъците и ограничаване загубата на биологичното разнообразие и запазване на естествените екосистеми. Проектите са насочени към изграждането на малки водоснабдителни мрежи и съоръжения, пречиствателни станции за отпадъчни и канализационни мрежи и довеждащи колектори както и проекти за изграждане на нови или реконструкция на съществуващи обекти; разширение на съществуващи регионални депа за битови отпадъци, при които са възникнали аварийни ситуации, свързани с опасност от нарушение на качеството на компонентите на околната среда, живота и здравето на населението, състоянието на екологичната инфраструктура; нови модели и технологии за разделно събиране и рециклиране на отпадъците; съфинансиране на техническа рекултивация на общински депа, неотговарящи на нормативните изисквания, безвъзмедно предоставяне на домакинствата на компостери за зелени и други отпадъци, и подкрепа за изграждане на площадки за строителни и едрогабаритени отпадъци от домакинствата за малки и средни общини.</w:t>
      </w:r>
    </w:p>
    <w:p w14:paraId="03854A88"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в областта на Националната система за мониторинг на околната среда и информационна обезпеченост </w:t>
      </w:r>
    </w:p>
    <w:p w14:paraId="2B88E98C" w14:textId="77777777" w:rsidR="00761800" w:rsidRPr="00761800" w:rsidRDefault="00761800" w:rsidP="00761800">
      <w:pPr>
        <w:spacing w:after="200"/>
        <w:jc w:val="both"/>
        <w:rPr>
          <w:rFonts w:ascii="Times New Roman" w:hAnsi="Times New Roman"/>
          <w:noProof/>
          <w:szCs w:val="22"/>
          <w:lang w:eastAsia="bg-BG"/>
        </w:rPr>
      </w:pPr>
      <w:r w:rsidRPr="00761800">
        <w:rPr>
          <w:rFonts w:ascii="Times New Roman" w:hAnsi="Times New Roman"/>
          <w:noProof/>
          <w:szCs w:val="22"/>
          <w:lang w:eastAsia="bg-BG"/>
        </w:rPr>
        <w:t>Политиката в областта на Националната система за мониторинг на околната среда и информационна обезпеченост е насочена към осигуряване на мониторинг на околната среда, анализ и оценка на състоянието на компонентите и факторите на околната среда за изготвяне и предоставяне на информация, която да служи за основа за вземане на решения относно ефективността и целесъобразността на провежданите политики в областта на околната среда. Основен инструмент на политиката е Националната система за мониторинг на околната среда (НСМОС), чието развитие е насочено към цялостно осигуряване на актуална и достоверна информация за състоянието на околната среда, с което да се гарантира вземането на навременни и ефективни управленски решения, както и към непрекъснато разширяване на обхвата на предоставяната публична информация.</w:t>
      </w:r>
    </w:p>
    <w:p w14:paraId="3E7464CB" w14:textId="77777777" w:rsidR="00761800" w:rsidRPr="00761800" w:rsidRDefault="00761800" w:rsidP="00761800">
      <w:pPr>
        <w:spacing w:after="200"/>
        <w:jc w:val="both"/>
        <w:rPr>
          <w:rFonts w:ascii="Times New Roman" w:hAnsi="Times New Roman"/>
          <w:noProof/>
          <w:szCs w:val="22"/>
          <w:lang w:eastAsia="bg-BG"/>
        </w:rPr>
      </w:pPr>
      <w:r w:rsidRPr="00761800">
        <w:rPr>
          <w:rFonts w:ascii="Times New Roman" w:hAnsi="Times New Roman"/>
          <w:noProof/>
          <w:szCs w:val="22"/>
          <w:lang w:eastAsia="bg-BG"/>
        </w:rPr>
        <w:t>Чрез НСМОС се осигурява необходимата информация за изпълнение на задълженията за докладване във връзка с изпълнение на изискванията на европейското и международното екологично законодателство.</w:t>
      </w:r>
    </w:p>
    <w:p w14:paraId="124B9DC9" w14:textId="77777777" w:rsidR="00761800" w:rsidRPr="00761800" w:rsidRDefault="00761800" w:rsidP="00761800">
      <w:pPr>
        <w:spacing w:after="200"/>
        <w:jc w:val="both"/>
        <w:rPr>
          <w:rFonts w:ascii="Times New Roman" w:hAnsi="Times New Roman"/>
          <w:bCs/>
          <w:noProof/>
          <w:szCs w:val="22"/>
          <w:lang w:eastAsia="bg-BG"/>
        </w:rPr>
      </w:pPr>
      <w:r w:rsidRPr="00761800">
        <w:rPr>
          <w:rFonts w:ascii="Times New Roman" w:hAnsi="Times New Roman"/>
          <w:noProof/>
          <w:szCs w:val="22"/>
          <w:lang w:eastAsia="bg-BG"/>
        </w:rPr>
        <w:t xml:space="preserve">В рамките на тази политика чрез Националния институт за метеорология и хидрология се извършва мониторинг </w:t>
      </w:r>
      <w:r w:rsidRPr="00761800">
        <w:rPr>
          <w:rFonts w:ascii="Times New Roman" w:hAnsi="Times New Roman"/>
          <w:bCs/>
          <w:noProof/>
          <w:szCs w:val="22"/>
          <w:lang w:eastAsia="bg-BG"/>
        </w:rPr>
        <w:t>на количеството на валежите, подземните и повърхностните води, осигуряват се метеорологични прогнози, анализи и оценки на тенденциите и се създават сценарии за климатични изменения и влиянието им върху ресурсите и други.</w:t>
      </w:r>
    </w:p>
    <w:p w14:paraId="79F0D9EB"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lastRenderedPageBreak/>
        <w:t>Политика в областта на регионалното развитие</w:t>
      </w:r>
    </w:p>
    <w:p w14:paraId="27E50B87"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за интегрирано развитие на регионите за постигане на растеж и подобряване качеството на жизнената среда</w:t>
      </w:r>
    </w:p>
    <w:p w14:paraId="18F7F6F6"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Чрез провежданата от </w:t>
      </w:r>
      <w:r w:rsidRPr="00761800">
        <w:rPr>
          <w:rFonts w:ascii="Times New Roman" w:hAnsi="Times New Roman"/>
          <w:b/>
          <w:szCs w:val="22"/>
          <w:lang w:eastAsia="bg-BG"/>
        </w:rPr>
        <w:t>Министерството на регионалното развитие и благоустройството (МРРБ)</w:t>
      </w:r>
      <w:r w:rsidRPr="00761800">
        <w:rPr>
          <w:rFonts w:ascii="Times New Roman" w:hAnsi="Times New Roman"/>
          <w:szCs w:val="22"/>
          <w:lang w:eastAsia="bg-BG"/>
        </w:rPr>
        <w:t xml:space="preserve"> политика за интегрирано развитие на регионите за постигане на растеж и подобряване качеството на живот в България се цели да се създадат жизнени, силни и устойчиви региони като отговор на неблагоприятните демографски тенденции и задълбочаване на между-регионалните и вътрешно-регионалните различия.</w:t>
      </w:r>
    </w:p>
    <w:p w14:paraId="7BCA08B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Тази политика е насочена към подобряване качеството на жизнената среда и превръщането на регионите в привлекателно място за инвестиции и бизнес, както и прилагане на целенасочени мерки за подпомагане на регионите, изоставащи с развитието си, като се отчитат специфичните им нужди и местния потенциал за развитие. Целта е насочена към сближаване в три аспекта – икономическо, социално и териториално сближаване, както и три нива – европейско – с регионите на ЕС, национално – между българските райони и вътрешно регионално – между общините в отделните райони. </w:t>
      </w:r>
    </w:p>
    <w:p w14:paraId="10BC598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Изпълнението на проекти и програми, свързани с устойчивото развитие на регионите, е сред приоритетите на МРРБ и включва както мерки по обновяване на жилищния сграден фонд, така и мерки за енергийна ефективност в многофамилни жилищни сгради, което ще допринесе за постигане на по-добри параметри на многоетажните жилищни сгради и до подобряване икономическите условия в градовете, повишаване на заетостта сред населението, създаване на условия за нови инвестиции в регионите и подобряване на конкурентоспособността на икономическите субекти. </w:t>
      </w:r>
    </w:p>
    <w:p w14:paraId="24C340D3"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за подобряване на инвестиционния процес, поддържане, модернизация и изграждане на техническата инфраструктура </w:t>
      </w:r>
    </w:p>
    <w:p w14:paraId="719A9BA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е свързана с дейности за управление, поддържане и изграждане на ВиК инфраструктурата с цел осигуряване на съответствие с директивите на Европейския съюз в областта на водите и устойчивост при предоставяне на ВиК услугите. Приоритетите по отношение на устройството на територията са свързани с осигуряване на териториалното развитие, устройството на територията, административно-териториалното устройство, децентрализацията, изграждането и развитието на техническата инфраструктура и благоустрояването на урбанизираните територии (населени места и селищни образувания), в съответствие с националните стратегически документи, приоритети и програми в сферата на пространственото развитие, пътната инфраструктура и ВиК инфраструктурата.</w:t>
      </w:r>
    </w:p>
    <w:p w14:paraId="5351DD3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рамките на тази политика чрез бюджета на МРРБ се финансират и изпълняват приоритетни проекти във ВиК сектора и геозащитата.</w:t>
      </w:r>
    </w:p>
    <w:p w14:paraId="06A12DFA"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lastRenderedPageBreak/>
        <w:t>Политика в областта на културата</w:t>
      </w:r>
    </w:p>
    <w:p w14:paraId="706D87DD"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в областта на опазване на движимото и недвижимото културно наследство </w:t>
      </w:r>
    </w:p>
    <w:p w14:paraId="3502246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Основните приоритети на политиката в областта на опазване на движимото и недвижимото културно наследство са опазване и социализиране на културното наследство и стимулиране на обвързването му с туристическите продукти, привличане на проектно финансиране в областта на културата по различни програми и донори, развитие и техническо усъвършенстване на музейната мрежа, привличане на средства от Европейските програми и двустранни спогодби за подкрепа на културата и утвърждаване на България като дестинация за осъществяване на международни културни проекти.</w:t>
      </w:r>
    </w:p>
    <w:p w14:paraId="2E3AFAF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 областта на опазването на </w:t>
      </w:r>
      <w:r w:rsidRPr="00761800">
        <w:rPr>
          <w:rFonts w:ascii="Times New Roman" w:hAnsi="Times New Roman"/>
          <w:i/>
          <w:szCs w:val="22"/>
          <w:lang w:eastAsia="bg-BG"/>
        </w:rPr>
        <w:t>недвижимото културно</w:t>
      </w:r>
      <w:r w:rsidRPr="00761800">
        <w:rPr>
          <w:rFonts w:ascii="Times New Roman" w:hAnsi="Times New Roman"/>
          <w:szCs w:val="22"/>
          <w:lang w:eastAsia="bg-BG"/>
        </w:rPr>
        <w:t xml:space="preserve"> наследство ще продължи държавната подкрепа за извършване на археологически проучвания, реставрация и съпътстваща консервация (укрепване, защитни покрития, вертикална планировка и др.) на значими археологически обекти, както и извършването на консервационно-реставрационни работи на недвижими културни ценности.</w:t>
      </w:r>
    </w:p>
    <w:p w14:paraId="27BA285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 областта на опазването и представянето на </w:t>
      </w:r>
      <w:r w:rsidRPr="00761800">
        <w:rPr>
          <w:rFonts w:ascii="Times New Roman" w:hAnsi="Times New Roman"/>
          <w:i/>
          <w:szCs w:val="22"/>
          <w:lang w:eastAsia="bg-BG"/>
        </w:rPr>
        <w:t>движимото културно и аудио-визуално наследство</w:t>
      </w:r>
      <w:r w:rsidRPr="00761800">
        <w:rPr>
          <w:rFonts w:ascii="Times New Roman" w:hAnsi="Times New Roman"/>
          <w:szCs w:val="22"/>
          <w:lang w:eastAsia="bg-BG"/>
        </w:rPr>
        <w:t xml:space="preserve"> (държавните музеи, художествените галерии и Българската национална филмотека) ще продължи финансирането на дейностите им по стандарти в подкрепа на възможностите за по-голяма самостоятелност и мотивация на работещите в музейното дело за популяризирането на националното културно богатство.</w:t>
      </w:r>
    </w:p>
    <w:p w14:paraId="2BA9CF25"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създаване и популяризиране на съвременно изкуство в страната и чужбина и достъп до качествено художествено образование</w:t>
      </w:r>
    </w:p>
    <w:p w14:paraId="2C7C93D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Основните приоритети на политиката в тази област са оптимизиране на действащата система на финансиране в мрежата на сценичните изкуства и повишаване на ефективността на маркетинга и атрактивността на предлаганите културни продукти, разширяване на равнопоставения достъп до култура и културно наследство, опазване и социализиране на културното наследство и стимулиране на обвързването му с туристическите продукти, привличане на проектно финансиране в областта на културата по различни програми и донори, привличане на средства от европейските програми и двустранни спогодби за подкрепа на културата, разширяване на гамата на предлаганите културни продукти и услуги в чужбина и утвърждаване на България като дестинация за осъществяване на международни културни проекти.</w:t>
      </w:r>
    </w:p>
    <w:p w14:paraId="42413B7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 областта на </w:t>
      </w:r>
      <w:r w:rsidRPr="00761800">
        <w:rPr>
          <w:rFonts w:ascii="Times New Roman" w:hAnsi="Times New Roman"/>
          <w:i/>
          <w:szCs w:val="22"/>
          <w:lang w:eastAsia="bg-BG"/>
        </w:rPr>
        <w:t>филмовото изкуство</w:t>
      </w:r>
      <w:r w:rsidRPr="00761800">
        <w:rPr>
          <w:rFonts w:ascii="Times New Roman" w:hAnsi="Times New Roman"/>
          <w:szCs w:val="22"/>
          <w:lang w:eastAsia="bg-BG"/>
        </w:rPr>
        <w:t xml:space="preserve"> ще продължи подкрепата за създаването на нови български филми. </w:t>
      </w:r>
    </w:p>
    <w:p w14:paraId="5B92DDD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 областта на </w:t>
      </w:r>
      <w:r w:rsidRPr="00761800">
        <w:rPr>
          <w:rFonts w:ascii="Times New Roman" w:hAnsi="Times New Roman"/>
          <w:i/>
          <w:szCs w:val="22"/>
          <w:lang w:eastAsia="bg-BG"/>
        </w:rPr>
        <w:t>сценичните изкуства (театри, опери, оперно-филхармонични дружества, оркестри и ансамбли)</w:t>
      </w:r>
      <w:r w:rsidRPr="00761800">
        <w:rPr>
          <w:rFonts w:ascii="Times New Roman" w:hAnsi="Times New Roman"/>
          <w:szCs w:val="22"/>
          <w:lang w:eastAsia="bg-BG"/>
        </w:rPr>
        <w:t xml:space="preserve"> ще продължи подобряване на управлението, осигуряване на по-голямо разнообразие от представления и на по-широк достъп на зрителите до художествения продукт, както и създаване на трайна уредба на единните разходни стандарти за финансиране на държавните културни институти, осъществяващи дейности в областта на сценичните изкуства.</w:t>
      </w:r>
    </w:p>
    <w:p w14:paraId="2C55F90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 областта на </w:t>
      </w:r>
      <w:r w:rsidRPr="00761800">
        <w:rPr>
          <w:rFonts w:ascii="Times New Roman" w:hAnsi="Times New Roman"/>
          <w:i/>
          <w:szCs w:val="22"/>
          <w:lang w:eastAsia="bg-BG"/>
        </w:rPr>
        <w:t>литературното наследство</w:t>
      </w:r>
      <w:r w:rsidRPr="00761800">
        <w:rPr>
          <w:rFonts w:ascii="Times New Roman" w:hAnsi="Times New Roman"/>
          <w:szCs w:val="22"/>
          <w:lang w:eastAsia="bg-BG"/>
        </w:rPr>
        <w:t xml:space="preserve"> основните приоритети ще се насочат към подкрепа на книгоиздаването чрез подпомагане на издателската дейност и </w:t>
      </w:r>
      <w:r w:rsidRPr="00761800">
        <w:rPr>
          <w:rFonts w:ascii="Times New Roman" w:hAnsi="Times New Roman"/>
          <w:szCs w:val="22"/>
          <w:lang w:eastAsia="bg-BG"/>
        </w:rPr>
        <w:lastRenderedPageBreak/>
        <w:t>популяризиране на българската книга по света и създаване на условия за развитието и утвърждаването на библиотеките като съвременни центрове, осигуряващи ефективно библиотечно информационно обслужване на широк кръг потребители. Националната библиотека „Св. св. Кирил и Методий“ ще продължи финансирането на дейностите си по стандарти, прилагайки системата на делегиран бюджет.</w:t>
      </w:r>
    </w:p>
    <w:p w14:paraId="793FF6B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i/>
          <w:szCs w:val="22"/>
          <w:lang w:eastAsia="bg-BG"/>
        </w:rPr>
        <w:t>За делегираните от държавата дейности</w:t>
      </w:r>
      <w:r w:rsidRPr="00761800">
        <w:rPr>
          <w:rFonts w:ascii="Times New Roman" w:hAnsi="Times New Roman"/>
          <w:szCs w:val="22"/>
          <w:lang w:eastAsia="bg-BG"/>
        </w:rPr>
        <w:t xml:space="preserve"> в областта на културата, финансирани чрез бюджетите на общините, за 2026 г. е предвидено увеличение от 17,1 млн. евро спрямо програмата за 2025 г. Средствата са за осигуряване ръста на минималната работна заплата от 1 януари 2026 г., политиката по доходите за увеличение с 5% на възнагражденията на персонала извън наетия на МРЗ, както и промяна в натуралните показатели на музеите, художествените галерии, регионалните центрове за съвременни изкуства и читалищата. </w:t>
      </w:r>
    </w:p>
    <w:p w14:paraId="25E8642F"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bookmarkStart w:id="313" w:name="_Toc464464925"/>
      <w:bookmarkStart w:id="314" w:name="_Toc464465431"/>
      <w:bookmarkStart w:id="315" w:name="_Toc464465619"/>
      <w:bookmarkStart w:id="316" w:name="_Toc464466444"/>
      <w:bookmarkStart w:id="317" w:name="_Toc464466688"/>
      <w:bookmarkStart w:id="318" w:name="_Toc464466731"/>
      <w:bookmarkStart w:id="319" w:name="_Toc464470237"/>
      <w:bookmarkStart w:id="320" w:name="_Toc464645003"/>
      <w:bookmarkStart w:id="321" w:name="_Toc464646370"/>
      <w:r w:rsidRPr="00761800">
        <w:rPr>
          <w:rFonts w:ascii="Times New Roman" w:hAnsi="Times New Roman"/>
          <w:b/>
          <w:bCs/>
          <w:caps/>
          <w:color w:val="852010"/>
          <w:szCs w:val="22"/>
          <w:lang w:eastAsia="bg-BG"/>
        </w:rPr>
        <w:t>Политика в областта на младежта и спорта</w:t>
      </w:r>
    </w:p>
    <w:p w14:paraId="5F581E3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b/>
          <w:szCs w:val="22"/>
          <w:lang w:eastAsia="bg-BG"/>
        </w:rPr>
        <w:t xml:space="preserve">Политиките в областта на младежта и спорта </w:t>
      </w:r>
      <w:r w:rsidRPr="00761800">
        <w:rPr>
          <w:rFonts w:ascii="Times New Roman" w:hAnsi="Times New Roman"/>
          <w:szCs w:val="22"/>
          <w:lang w:eastAsia="bg-BG"/>
        </w:rPr>
        <w:t>са насочени към насърчаване на икономическата активност и развитие на младите хора, развитие на спорта за учащи и спорта в свободното време, развитие и утвърждаване на спорта за високи постижения.</w:t>
      </w:r>
    </w:p>
    <w:p w14:paraId="528CE8B8"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младите хора</w:t>
      </w:r>
    </w:p>
    <w:p w14:paraId="02C8BD8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b/>
          <w:i/>
          <w:szCs w:val="22"/>
          <w:lang w:eastAsia="bg-BG"/>
        </w:rPr>
        <w:t>Политиката за младежта</w:t>
      </w:r>
      <w:r w:rsidRPr="00761800">
        <w:rPr>
          <w:rFonts w:ascii="Times New Roman" w:hAnsi="Times New Roman"/>
          <w:szCs w:val="22"/>
          <w:lang w:eastAsia="bg-BG"/>
        </w:rPr>
        <w:t xml:space="preserve"> се разработва с оглед подобряване на качеството на живот на младите хора и създаването на условия за успеха на всеки млад човек чрез създаване на устойчиви механизми за инвестиране в младежта като значим социален капитал и мобилизиране на потенциала на развитието на младите хора в България и Европейския съюз. </w:t>
      </w:r>
    </w:p>
    <w:p w14:paraId="6A1B9FF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Приоритетите в областта на младежта са насочени към: улесняване на достъпа до качествени услуги за специална подкрепа на пълноценното личностно и обществено развитие на младите хора в съответствие с потребностите и интересите им; развитие на доброволчеството сред младите хора като движеща сила за личностно развитие, мобилност, учене, конкурентоспособност, социално сближаване, солидарност между поколенията и формиране на гражданско самосъзнание; осигуряване на възможности за пълноценно участие на младите хора в гражданския живот и за приобщаването им към основните демократични ценности и стандарти; превенция срещу рисково поведение и различни форми на зависимост.</w:t>
      </w:r>
    </w:p>
    <w:p w14:paraId="40D56C6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За периода 2026-2028 г. са осигурени условия за изпълнение на целите и дейностите във връзка с реализирането на приоритетите на провежданата политика в областта на младите хора.</w:t>
      </w:r>
    </w:p>
    <w:p w14:paraId="56AB89F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Основните цели и дейности в областта на младите хора се реализират по две национални програми – Национална програма за младежта и Национална програма за изпълнение на младежки дейности по чл. 10а от Закона за хазарта.</w:t>
      </w:r>
    </w:p>
    <w:p w14:paraId="0DD7F86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b/>
          <w:i/>
          <w:szCs w:val="22"/>
          <w:lang w:eastAsia="bg-BG"/>
        </w:rPr>
        <w:t>Политиката в областта на спорта</w:t>
      </w:r>
      <w:r w:rsidRPr="00761800">
        <w:rPr>
          <w:rFonts w:ascii="Times New Roman" w:hAnsi="Times New Roman"/>
          <w:szCs w:val="22"/>
          <w:lang w:eastAsia="bg-BG"/>
        </w:rPr>
        <w:t xml:space="preserve"> е насочена към укрепването на здравето и физическата активност, практикуването на спорт от всички и развитие на спорта за високи постижения.</w:t>
      </w:r>
    </w:p>
    <w:p w14:paraId="3161926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lastRenderedPageBreak/>
        <w:t>За периода са разчетени и разходи за финансиране на дейности в областта на физическото възпитание, спорта и културата за сметка на постъпления от хазартните игри, организирани от Държавно предприятие „Български спортен тотализатор“, съгласно разпоредбите на Закона за хазарта:</w:t>
      </w:r>
    </w:p>
    <w:p w14:paraId="073A9DD0" w14:textId="77777777" w:rsidR="00761800" w:rsidRPr="00761800" w:rsidRDefault="00761800" w:rsidP="00F64909">
      <w:pPr>
        <w:numPr>
          <w:ilvl w:val="0"/>
          <w:numId w:val="12"/>
        </w:numPr>
        <w:spacing w:after="200"/>
        <w:ind w:hanging="295"/>
        <w:jc w:val="both"/>
        <w:rPr>
          <w:rFonts w:ascii="Times New Roman" w:hAnsi="Times New Roman"/>
          <w:szCs w:val="22"/>
          <w:lang w:eastAsia="bg-BG"/>
        </w:rPr>
      </w:pPr>
      <w:r w:rsidRPr="00761800">
        <w:rPr>
          <w:rFonts w:ascii="Times New Roman" w:hAnsi="Times New Roman"/>
          <w:szCs w:val="22"/>
          <w:lang w:eastAsia="bg-BG"/>
        </w:rPr>
        <w:t>капиталови разходи за поддържане, ремонт, реконструкция, цялостно обновяване или създаване на нови спортни обекти и/или спортни съоръжения в държавните и общинските училища въз основа на съвместна годишна програма на министъра на младежта и спорта и министъра на образованието и науката съгласно чл. 14, ал. 3, т. 2 от Закона за хазарта;</w:t>
      </w:r>
    </w:p>
    <w:p w14:paraId="6EC4FBF7" w14:textId="77777777" w:rsidR="00761800" w:rsidRPr="00761800" w:rsidRDefault="00761800" w:rsidP="00F64909">
      <w:pPr>
        <w:numPr>
          <w:ilvl w:val="0"/>
          <w:numId w:val="12"/>
        </w:numPr>
        <w:spacing w:after="200"/>
        <w:ind w:hanging="295"/>
        <w:jc w:val="both"/>
        <w:rPr>
          <w:rFonts w:ascii="Times New Roman" w:hAnsi="Times New Roman"/>
          <w:szCs w:val="22"/>
          <w:lang w:eastAsia="bg-BG"/>
        </w:rPr>
      </w:pPr>
      <w:r w:rsidRPr="00761800">
        <w:rPr>
          <w:rFonts w:ascii="Times New Roman" w:hAnsi="Times New Roman"/>
          <w:szCs w:val="22"/>
          <w:lang w:eastAsia="bg-BG"/>
        </w:rPr>
        <w:t xml:space="preserve">дейности, финансирани от Национален фонд „Култура“ съгласно чл. 14, ал. 3, т. 3 от Закона за хазарта. </w:t>
      </w:r>
    </w:p>
    <w:p w14:paraId="160336E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Съгласно § 9, ал. 2 от преходните и заключителните разпоредби на Закона за хазарта в бюджетната прогноза за периода 2026-2028 г. на Министерството на младежта и спорта са предвидени разходи за дейности в областта на физическото възпитание, физическата активност, спорта и спортно-туристическата дейност в размер, надвишаващ размера на данъка по Закона за корпоративното подоходно облагане, променливата част от таксите по чл. 30, ал. 3 и 4, внесени през 2024 г. в държавния бюджет от Държавно предприятие „Български спортен тотализатор“. </w:t>
      </w:r>
    </w:p>
    <w:p w14:paraId="145E25A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За периода 2026-2028 г. са осигурени условия и финансов ресурс за изпълнението на целите и дейностите във връзка с реализирането на приоритетите на провежданите политики в областта на спорта.</w:t>
      </w:r>
    </w:p>
    <w:p w14:paraId="7AD6E9BA"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спорта за учащи и спорта в свободното време</w:t>
      </w:r>
    </w:p>
    <w:p w14:paraId="21D18D0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Приоритетите на политиката в областта на спорта за учащи, в т.ч. деца в риск, са насочени към насърчаване на учащите от различните възрастови групи към физическа активност, здравословен начин на живот и създаване на навици за занимания със спорт. Водеща цел на политиката по отношение на спортните училища е свързана с осигуряване на условия за качествен подбор на деца със спортен талант, конкурентна среда за развитие, възможности за спортно усъвършенстване, създаване на възможности за реализиране на „двойна кариера“ и мотивираща среда за професионалната и личностната реализация на спортистите.</w:t>
      </w:r>
    </w:p>
    <w:p w14:paraId="7F1BA37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Приоритетите на политиката в областта на спорта в свободното време (спорта за всички и спортно-туристическата дейност) са насочени към укрепване на здравето на гражданите чрез здравословна физическа активност и осигуряване на условия за практикуване на спорт, изява и реализиране на лични спортни резултати, увеличаване броя на лицата, практикуващи спорт като средство за профилактика, поддържане и съхраняване на здравето и на тяхната физическа дееспособност.</w:t>
      </w:r>
    </w:p>
    <w:p w14:paraId="625A5A2D"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спорта за високи постижения</w:t>
      </w:r>
    </w:p>
    <w:p w14:paraId="3F4263A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Политиката е насочена към създаване на условия и възможности за развитие на елитния спорт на регионално, национално и международно ниво чрез реализиране на програми, оптимизиране управлението на спортната подготовка и подобряване на координацията между държавните институции, общините и спортните организации, предоставяне на обективна информация и анализи с високо качество относно динамиката на </w:t>
      </w:r>
      <w:r w:rsidRPr="00761800">
        <w:rPr>
          <w:rFonts w:ascii="Times New Roman" w:hAnsi="Times New Roman"/>
          <w:szCs w:val="22"/>
          <w:lang w:eastAsia="bg-BG"/>
        </w:rPr>
        <w:lastRenderedPageBreak/>
        <w:t>функционалния капацитет и физическите качества на тестваните спортисти и изпълнение на заложените цели и приоритети в областта на държавната политика по отношение на борбата срещу използването на допинг в спорта.</w:t>
      </w:r>
    </w:p>
    <w:p w14:paraId="70F6392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е разработена за реализиране на следните основни цели:</w:t>
      </w:r>
    </w:p>
    <w:p w14:paraId="30FADF63" w14:textId="77777777" w:rsidR="00761800" w:rsidRPr="00761800" w:rsidRDefault="00761800" w:rsidP="00F64909">
      <w:pPr>
        <w:numPr>
          <w:ilvl w:val="0"/>
          <w:numId w:val="13"/>
        </w:numPr>
        <w:spacing w:after="200"/>
        <w:jc w:val="both"/>
        <w:rPr>
          <w:rFonts w:ascii="Times New Roman" w:hAnsi="Times New Roman"/>
          <w:szCs w:val="22"/>
          <w:lang w:eastAsia="bg-BG"/>
        </w:rPr>
      </w:pPr>
      <w:r w:rsidRPr="00761800">
        <w:rPr>
          <w:rFonts w:ascii="Times New Roman" w:hAnsi="Times New Roman"/>
          <w:szCs w:val="22"/>
          <w:lang w:eastAsia="bg-BG"/>
        </w:rPr>
        <w:t>Реализиране на програми за елитен спорт и осигурен ефективен тренировъчен процес за постигане на спортни резултати на международно ниво;</w:t>
      </w:r>
    </w:p>
    <w:p w14:paraId="2358B38E" w14:textId="77777777" w:rsidR="00761800" w:rsidRPr="00761800" w:rsidRDefault="00761800" w:rsidP="00F64909">
      <w:pPr>
        <w:numPr>
          <w:ilvl w:val="0"/>
          <w:numId w:val="13"/>
        </w:numPr>
        <w:spacing w:after="200"/>
        <w:jc w:val="both"/>
        <w:rPr>
          <w:rFonts w:ascii="Times New Roman" w:hAnsi="Times New Roman"/>
          <w:szCs w:val="22"/>
          <w:lang w:eastAsia="bg-BG"/>
        </w:rPr>
      </w:pPr>
      <w:r w:rsidRPr="00761800">
        <w:rPr>
          <w:rFonts w:ascii="Times New Roman" w:hAnsi="Times New Roman"/>
          <w:szCs w:val="22"/>
          <w:lang w:eastAsia="bg-BG"/>
        </w:rPr>
        <w:t>Развитие на потенциала на младите талантливи спортисти;</w:t>
      </w:r>
    </w:p>
    <w:p w14:paraId="1CED1938" w14:textId="77777777" w:rsidR="00761800" w:rsidRPr="00761800" w:rsidRDefault="00761800" w:rsidP="00F64909">
      <w:pPr>
        <w:numPr>
          <w:ilvl w:val="0"/>
          <w:numId w:val="13"/>
        </w:numPr>
        <w:spacing w:after="200"/>
        <w:jc w:val="both"/>
        <w:rPr>
          <w:rFonts w:ascii="Times New Roman" w:hAnsi="Times New Roman"/>
          <w:szCs w:val="22"/>
          <w:lang w:eastAsia="bg-BG"/>
        </w:rPr>
      </w:pPr>
      <w:r w:rsidRPr="00761800">
        <w:rPr>
          <w:rFonts w:ascii="Times New Roman" w:hAnsi="Times New Roman"/>
          <w:szCs w:val="22"/>
          <w:lang w:eastAsia="bg-BG"/>
        </w:rPr>
        <w:t>Разработване и внедряване на нови методики за оптимизиране на методите за контрол и оценка на ефективността на тренировъчните въздействия;</w:t>
      </w:r>
    </w:p>
    <w:p w14:paraId="4EED2986" w14:textId="77777777" w:rsidR="00761800" w:rsidRPr="00761800" w:rsidRDefault="00761800" w:rsidP="00F64909">
      <w:pPr>
        <w:numPr>
          <w:ilvl w:val="0"/>
          <w:numId w:val="13"/>
        </w:numPr>
        <w:spacing w:after="200"/>
        <w:jc w:val="both"/>
        <w:rPr>
          <w:rFonts w:ascii="Times New Roman" w:hAnsi="Times New Roman"/>
          <w:szCs w:val="22"/>
          <w:lang w:eastAsia="bg-BG"/>
        </w:rPr>
      </w:pPr>
      <w:r w:rsidRPr="00761800">
        <w:rPr>
          <w:rFonts w:ascii="Times New Roman" w:hAnsi="Times New Roman"/>
          <w:szCs w:val="22"/>
          <w:lang w:eastAsia="bg-BG"/>
        </w:rPr>
        <w:t>Създаване на условия за реализиране на ефективен тренировъчен и състезателен процес на спортистите, масовизиране на заниманията със спорт в различните възрастови групи и усъвършенстване на системата за управление на тренировъчния процес, като възможност за спортно развитие и основа за реализиране на високи спортни резултати;</w:t>
      </w:r>
    </w:p>
    <w:p w14:paraId="7B5ECBA6" w14:textId="77777777" w:rsidR="00761800" w:rsidRPr="00761800" w:rsidRDefault="00761800" w:rsidP="00F64909">
      <w:pPr>
        <w:numPr>
          <w:ilvl w:val="0"/>
          <w:numId w:val="13"/>
        </w:numPr>
        <w:spacing w:after="200"/>
        <w:jc w:val="both"/>
        <w:rPr>
          <w:rFonts w:ascii="Times New Roman" w:hAnsi="Times New Roman"/>
          <w:szCs w:val="22"/>
          <w:lang w:eastAsia="bg-BG"/>
        </w:rPr>
      </w:pPr>
      <w:r w:rsidRPr="00761800">
        <w:rPr>
          <w:rFonts w:ascii="Times New Roman" w:hAnsi="Times New Roman"/>
          <w:szCs w:val="22"/>
          <w:lang w:eastAsia="bg-BG"/>
        </w:rPr>
        <w:t xml:space="preserve">Подпомагане провеждането на международни спортни прояви на територията на страната (домакинства на състезания и първенства от международния спортен календар); </w:t>
      </w:r>
    </w:p>
    <w:p w14:paraId="7EB79490" w14:textId="77777777" w:rsidR="00761800" w:rsidRPr="00761800" w:rsidRDefault="00761800" w:rsidP="00F64909">
      <w:pPr>
        <w:numPr>
          <w:ilvl w:val="0"/>
          <w:numId w:val="13"/>
        </w:numPr>
        <w:spacing w:after="200"/>
        <w:jc w:val="both"/>
        <w:rPr>
          <w:rFonts w:ascii="Times New Roman" w:hAnsi="Times New Roman"/>
          <w:szCs w:val="22"/>
          <w:lang w:eastAsia="bg-BG"/>
        </w:rPr>
      </w:pPr>
      <w:r w:rsidRPr="00761800">
        <w:rPr>
          <w:rFonts w:ascii="Times New Roman" w:hAnsi="Times New Roman"/>
          <w:szCs w:val="22"/>
          <w:lang w:eastAsia="bg-BG"/>
        </w:rPr>
        <w:t xml:space="preserve">Осигуряване на награди на спортисти, медалисти и призьори от европейски и световни първенства, олимпийски игри и аналогични първенства и игри за хора с увреждания за постигнати спортни резултати и класирания; </w:t>
      </w:r>
    </w:p>
    <w:p w14:paraId="63CB62DA" w14:textId="77777777" w:rsidR="00761800" w:rsidRPr="00761800" w:rsidRDefault="00761800" w:rsidP="00F64909">
      <w:pPr>
        <w:numPr>
          <w:ilvl w:val="0"/>
          <w:numId w:val="13"/>
        </w:numPr>
        <w:spacing w:after="200"/>
        <w:jc w:val="both"/>
        <w:rPr>
          <w:rFonts w:ascii="Times New Roman" w:hAnsi="Times New Roman"/>
          <w:szCs w:val="22"/>
          <w:lang w:eastAsia="bg-BG"/>
        </w:rPr>
      </w:pPr>
      <w:r w:rsidRPr="00761800">
        <w:rPr>
          <w:rFonts w:ascii="Times New Roman" w:hAnsi="Times New Roman"/>
          <w:szCs w:val="22"/>
          <w:lang w:eastAsia="bg-BG"/>
        </w:rPr>
        <w:t>Осигуряване на месечни премии на медалисти от олимпийски и паралимпийски игри, прекратили активната си състезателна дейност и на треньори на олимпийските медалисти и на сборните олимпийски отбори по съответния спорт;</w:t>
      </w:r>
    </w:p>
    <w:p w14:paraId="0C9C3FDB" w14:textId="77777777" w:rsidR="00761800" w:rsidRPr="00761800" w:rsidRDefault="00761800" w:rsidP="00F64909">
      <w:pPr>
        <w:numPr>
          <w:ilvl w:val="0"/>
          <w:numId w:val="13"/>
        </w:numPr>
        <w:spacing w:after="200"/>
        <w:jc w:val="both"/>
        <w:rPr>
          <w:rFonts w:ascii="Times New Roman" w:hAnsi="Times New Roman"/>
          <w:szCs w:val="22"/>
          <w:lang w:eastAsia="bg-BG"/>
        </w:rPr>
      </w:pPr>
      <w:r w:rsidRPr="00761800">
        <w:rPr>
          <w:rFonts w:ascii="Times New Roman" w:hAnsi="Times New Roman"/>
          <w:szCs w:val="22"/>
          <w:lang w:eastAsia="bg-BG"/>
        </w:rPr>
        <w:t>Предотвратяване на употребата на допинг в спорта и борба с това явление до окончателното му премахване;</w:t>
      </w:r>
    </w:p>
    <w:p w14:paraId="614A754C" w14:textId="77777777" w:rsidR="00761800" w:rsidRPr="00761800" w:rsidRDefault="00761800" w:rsidP="00F64909">
      <w:pPr>
        <w:numPr>
          <w:ilvl w:val="0"/>
          <w:numId w:val="13"/>
        </w:numPr>
        <w:spacing w:after="200"/>
        <w:jc w:val="both"/>
        <w:rPr>
          <w:rFonts w:ascii="Times New Roman" w:hAnsi="Times New Roman"/>
          <w:szCs w:val="22"/>
          <w:lang w:eastAsia="bg-BG"/>
        </w:rPr>
      </w:pPr>
      <w:r w:rsidRPr="00761800">
        <w:rPr>
          <w:rFonts w:ascii="Times New Roman" w:hAnsi="Times New Roman"/>
          <w:szCs w:val="22"/>
          <w:lang w:eastAsia="bg-BG"/>
        </w:rPr>
        <w:t>Постигане на социален ефект чрез отразяване на постиженията на елитните спортисти и увеличена популярност на спорта сред подрастващите, издигане спортния престиж на нацията на световно равнище и популяризирането на страната като спортна и туристическа дестинация.</w:t>
      </w:r>
    </w:p>
    <w:p w14:paraId="0082BC0E"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привеждането на спортните обекти и съоръжения във вид, отговарящ на съвременните международни стандарти</w:t>
      </w:r>
    </w:p>
    <w:p w14:paraId="3275179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Държавната политика в тази област е насочена към изграждане, реконструкция и модернизация на спортните обекти и съоръжения и обектите за социален туризъм с цел привеждането им във вид, отговарящ на съвременните международни стандарти. Спортните обекти и съоръжения и обектите за социален туризъм са основна предпоставка за развитие на системата на физическото възпитание и спорта.</w:t>
      </w:r>
    </w:p>
    <w:p w14:paraId="5116BFA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Изграждането на съвременна спортна инфраструктура дава възможност за оптимални условия за спортна подготовка, провеждане на подготвителни лагери и организиране на състезания от държавния и международния спортен календар. Изграждането на модерни спортни съоръжения е предпоставка за привличане на подрастващите към системни </w:t>
      </w:r>
      <w:r w:rsidRPr="00761800">
        <w:rPr>
          <w:rFonts w:ascii="Times New Roman" w:hAnsi="Times New Roman"/>
          <w:szCs w:val="22"/>
          <w:lang w:eastAsia="bg-BG"/>
        </w:rPr>
        <w:lastRenderedPageBreak/>
        <w:t>занимания със спорт, привикване към здравословен начин на живот и превенция на зависимости.</w:t>
      </w:r>
    </w:p>
    <w:p w14:paraId="70C3D0DB"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усвояването и прилагането на добри международни практики за спорта</w:t>
      </w:r>
    </w:p>
    <w:p w14:paraId="23305FE4" w14:textId="77777777" w:rsidR="00761800" w:rsidRPr="00761800" w:rsidRDefault="00761800" w:rsidP="00761800">
      <w:pPr>
        <w:spacing w:after="200"/>
        <w:jc w:val="both"/>
        <w:rPr>
          <w:rFonts w:ascii="Times New Roman" w:hAnsi="Times New Roman"/>
          <w:bCs/>
          <w:iCs/>
          <w:szCs w:val="22"/>
          <w:lang w:eastAsia="bg-BG"/>
        </w:rPr>
      </w:pPr>
      <w:r w:rsidRPr="00761800">
        <w:rPr>
          <w:rFonts w:ascii="Times New Roman" w:hAnsi="Times New Roman"/>
          <w:bCs/>
          <w:iCs/>
          <w:szCs w:val="22"/>
          <w:lang w:eastAsia="bg-BG"/>
        </w:rPr>
        <w:t>Основната цел на политиката е оползотворяване на възможностите, произтичащи от членството ни в Европейския съюз, както и прилагане на добри международни практики в областта на спорта и подкрепа на дейността на спортните организации за въвеждане на нови европейски и световни управленски практики.</w:t>
      </w:r>
    </w:p>
    <w:p w14:paraId="11DB6AE6"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bookmarkStart w:id="322" w:name="_Политика_в_областта"/>
      <w:bookmarkEnd w:id="322"/>
      <w:r w:rsidRPr="00761800">
        <w:rPr>
          <w:rFonts w:ascii="Times New Roman" w:hAnsi="Times New Roman"/>
          <w:b/>
          <w:bCs/>
          <w:caps/>
          <w:color w:val="852010"/>
          <w:szCs w:val="22"/>
          <w:lang w:eastAsia="bg-BG"/>
        </w:rPr>
        <w:t>Политика в областта на транспорта и съобщенията</w:t>
      </w:r>
    </w:p>
    <w:p w14:paraId="29A0AE75"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транспорта</w:t>
      </w:r>
    </w:p>
    <w:p w14:paraId="14517B2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Политиката в областта на транспорта е насочена към развитие на базисната транспортна инфраструктура, която е важно условие за поддържането на устойчив икономически растеж. Основен приоритет на транспортната политика е повишаване на качеството на предлаганите транспортни услуги и устойчивото развитие на транспорта. Транспортният сектор е ключов за българската икономика, както поради неговата свързваща роля по отношение на останалите сектори, така и заради собствения му принос в брутната добавена стойност и заетостта. </w:t>
      </w:r>
    </w:p>
    <w:p w14:paraId="14ED2C1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Развитието на транспортната инфраструктура, продиктувано от нуждите на икономиката и обществото,</w:t>
      </w:r>
      <w:r w:rsidRPr="00761800">
        <w:rPr>
          <w:rFonts w:ascii="Times New Roman" w:hAnsi="Times New Roman"/>
          <w:bCs/>
          <w:szCs w:val="22"/>
          <w:lang w:eastAsia="bg-BG"/>
        </w:rPr>
        <w:t xml:space="preserve"> извеждат на преден план железопътния транспорт – дигитализацията в сектора, повишаването на енергийната ефективност, закупуването на нов подвижен състав с високи екологични показатели, внедряването на системи за безопасност и сигурност, интермодалният транспорт – в който преобладават екологичните видове транспорт (комбинирания транспорт), строителството на нови интермодални терминали, използването на алтернативни горива, разширение на метрото. </w:t>
      </w:r>
    </w:p>
    <w:p w14:paraId="69C0D09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Приоритет е и поддържането и развитието на републиканската пътна инфраструктура в съответствие със съвременните изисквания на автомобилния транспорт чрез изграждане на националната мрежа от магистрали и скоростни пътища, свързването ѝ с европейските транспортни коридори, модернизация и обновяване на републиканската пътна мрежа и осигуряване на добро експлоатационно състояние и ниво на безопасност на съществуващата пътна мрежа. </w:t>
      </w:r>
    </w:p>
    <w:p w14:paraId="250FC63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рамките на капиталовите разходи по бюджета на Министерството на регионалното развитие и благоустройството за периода 2026-2028 г. се предвижда да бъдат финансирани приоритетни проекти, свързани с изграждане на автомагистрали, скоростни пътища, както и основен ремонт, реконструкция и разширение на ключови съществуващи пътища.</w:t>
      </w:r>
    </w:p>
    <w:p w14:paraId="6934FCA2" w14:textId="77777777" w:rsidR="00761800" w:rsidRPr="00761800" w:rsidRDefault="00761800" w:rsidP="00761800">
      <w:pPr>
        <w:spacing w:after="200"/>
        <w:jc w:val="both"/>
        <w:rPr>
          <w:rFonts w:ascii="Times New Roman" w:hAnsi="Times New Roman"/>
          <w:b/>
          <w:szCs w:val="22"/>
          <w:lang w:eastAsia="bg-BG"/>
        </w:rPr>
      </w:pPr>
      <w:r w:rsidRPr="00761800">
        <w:rPr>
          <w:rFonts w:ascii="Times New Roman" w:hAnsi="Times New Roman"/>
          <w:szCs w:val="22"/>
          <w:lang w:eastAsia="bg-BG"/>
        </w:rPr>
        <w:t xml:space="preserve">Отговорни институции за изпълнението на политиката в областта на транспорта са </w:t>
      </w:r>
      <w:r w:rsidRPr="00761800">
        <w:rPr>
          <w:rFonts w:ascii="Times New Roman" w:hAnsi="Times New Roman"/>
          <w:b/>
          <w:szCs w:val="22"/>
          <w:lang w:eastAsia="bg-BG"/>
        </w:rPr>
        <w:t>Министерството на транспорта и съобщенията и Министерството на регионалното развитие и благоустройството чрез Агенция „Пътна инфраструктура“.</w:t>
      </w:r>
    </w:p>
    <w:p w14:paraId="30CCB0F6"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lastRenderedPageBreak/>
        <w:t>Политика в областта на съобщенията и цифровата свързаност</w:t>
      </w:r>
    </w:p>
    <w:p w14:paraId="37ADAC9A" w14:textId="77777777" w:rsidR="00761800" w:rsidRPr="00761800" w:rsidRDefault="00761800" w:rsidP="00761800">
      <w:pPr>
        <w:spacing w:after="200"/>
        <w:jc w:val="both"/>
        <w:rPr>
          <w:rFonts w:ascii="Times New Roman" w:hAnsi="Times New Roman"/>
          <w:bCs/>
          <w:szCs w:val="22"/>
          <w:lang w:eastAsia="bg-BG"/>
        </w:rPr>
      </w:pPr>
      <w:r w:rsidRPr="00761800">
        <w:rPr>
          <w:rFonts w:ascii="Times New Roman" w:hAnsi="Times New Roman"/>
          <w:bCs/>
          <w:szCs w:val="22"/>
          <w:lang w:eastAsia="bg-BG"/>
        </w:rPr>
        <w:t>Политиката в областта на съобщенията отразява необходимостта от установяване на подходящ баланс между интересите на всички участници на пазара, както на електронните съобщителни мрежи и услуги, от една страна и от друга – хармонизация на законодателството в съответствие с европейската регулаторна рамка в областта на съобщенията при отчитане на националните особености.</w:t>
      </w:r>
    </w:p>
    <w:p w14:paraId="1CC3649E" w14:textId="77777777" w:rsidR="00761800" w:rsidRPr="00761800" w:rsidRDefault="00761800" w:rsidP="00761800">
      <w:pPr>
        <w:spacing w:after="200"/>
        <w:jc w:val="both"/>
        <w:rPr>
          <w:rFonts w:ascii="Times New Roman" w:hAnsi="Times New Roman"/>
          <w:bCs/>
          <w:szCs w:val="22"/>
          <w:lang w:eastAsia="bg-BG"/>
        </w:rPr>
      </w:pPr>
      <w:r w:rsidRPr="00761800">
        <w:rPr>
          <w:rFonts w:ascii="Times New Roman" w:hAnsi="Times New Roman"/>
          <w:bCs/>
          <w:szCs w:val="22"/>
          <w:lang w:eastAsia="bg-BG"/>
        </w:rPr>
        <w:t>Цифровата</w:t>
      </w:r>
      <w:r w:rsidRPr="00761800">
        <w:rPr>
          <w:rFonts w:ascii="Times New Roman" w:hAnsi="Times New Roman"/>
          <w:b/>
          <w:bCs/>
          <w:szCs w:val="22"/>
          <w:lang w:eastAsia="bg-BG"/>
        </w:rPr>
        <w:t xml:space="preserve"> </w:t>
      </w:r>
      <w:r w:rsidRPr="00761800">
        <w:rPr>
          <w:rFonts w:ascii="Times New Roman" w:hAnsi="Times New Roman"/>
          <w:bCs/>
          <w:szCs w:val="22"/>
          <w:lang w:eastAsia="bg-BG"/>
        </w:rPr>
        <w:t xml:space="preserve">свързаност е от стратегическо значение за растежа и иновациите във всички сектори на икономиката и за социалното и териториалното сближаване. Тя поддържа ефективността на бизнеса, гарантира конкурентоспособността на икономиката и дава възможност на гражданите да подобрят уменията си и да се възползват от онлайн услуги и предложения, включително ключови обществени услуги. </w:t>
      </w:r>
    </w:p>
    <w:p w14:paraId="0EF7BE9E" w14:textId="77777777" w:rsidR="00761800" w:rsidRPr="00761800" w:rsidRDefault="00761800" w:rsidP="00761800">
      <w:pPr>
        <w:spacing w:after="200"/>
        <w:jc w:val="both"/>
        <w:rPr>
          <w:rFonts w:ascii="Times New Roman" w:hAnsi="Times New Roman"/>
          <w:bCs/>
          <w:szCs w:val="22"/>
          <w:lang w:eastAsia="bg-BG"/>
        </w:rPr>
      </w:pPr>
      <w:r w:rsidRPr="00761800">
        <w:rPr>
          <w:rFonts w:ascii="Times New Roman" w:hAnsi="Times New Roman"/>
          <w:bCs/>
          <w:szCs w:val="22"/>
          <w:lang w:eastAsia="bg-BG"/>
        </w:rPr>
        <w:t xml:space="preserve">До 2030 г. България трябва да бъде снабдена със симетрични гигабитови мрежи за достъп в цялата страна. Устойчивата оптична мрежа, комбинирана с универсално достъпна мобилна мрежа, ще позволи на всеки гражданин, всеки бизнес и всяка публична институция да използва възможностите за цифровизация при равни условия в цялата страна. </w:t>
      </w:r>
    </w:p>
    <w:p w14:paraId="5158763C" w14:textId="77777777" w:rsidR="00761800" w:rsidRPr="00761800" w:rsidRDefault="00761800" w:rsidP="00761800">
      <w:pPr>
        <w:spacing w:after="200"/>
        <w:jc w:val="both"/>
        <w:rPr>
          <w:rFonts w:ascii="Times New Roman" w:hAnsi="Times New Roman"/>
          <w:bCs/>
          <w:szCs w:val="22"/>
          <w:lang w:eastAsia="bg-BG"/>
        </w:rPr>
      </w:pPr>
      <w:r w:rsidRPr="00761800">
        <w:rPr>
          <w:rFonts w:ascii="Times New Roman" w:hAnsi="Times New Roman"/>
          <w:bCs/>
          <w:szCs w:val="22"/>
          <w:lang w:eastAsia="bg-BG"/>
        </w:rPr>
        <w:t>Усилията ще бъдат насочени към преодоляване в максимална степен на цифровото разделение чрез разгръщане на цифрова свързаност в отдалечените и слабонаселени райони и повишаване на цифровите компетентности на населението, постигайки целите на политическата програма „Цифрово десетилетие“ до 2030 г., а именно гигабитов интернет за всички европейски домакинства и 5G за всички населени места до 2030 г. В резултат на това България ще играе съществена роля в европейския цифров пазар и ще осигури и разшири позицията си на доверен партньор, утвърждаващ европейските ценности на Западните Балкани.</w:t>
      </w:r>
    </w:p>
    <w:p w14:paraId="49BCB689"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Политика в областта на туризма</w:t>
      </w:r>
    </w:p>
    <w:p w14:paraId="67B37E5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Визията на политиката за устойчиво развитие на туризма е България да бъде конкурентна туристическа страна, която предлага продукт с високо качество в четири сезона, реализира устойчив растеж, развива местните общности, като същевременно се опазват природните и културните ресурси. Политиката за устойчиво развитие на туризма цели повишаване на конкурентоспособността на този сектор и по-доброто позициониране на бранд България и на българския туристически продукт.</w:t>
      </w:r>
    </w:p>
    <w:p w14:paraId="6C02778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по устойчиво развитие на туризма се гради върху пет стълба, които именно са в състояние да доведат до повишаване на секторната и при мултиплициращ ефект на свързаните индустрии и на общата конкурентоспособност на икономиката ни: свързаност, достъпност, кадрово обезпечаване и качество на туристическия продукт, реклама и маркетинг, инвестиции в материална база, финансови инструменти и околна среда. Интегрираното реализиране на политиката за устойчиво развитие на туризма в посочените пет направления ще доведе до насърчаване на вътрешния туризъм и възстановяване и увеличаване на туристическите посещения на чужденци в България, и оттам повишаване на броя на нощувките и на приходите от туризъм и свързани с него дейности. Тя е в подкрепа на цялостното устойчиво икономическо развитие на страната.</w:t>
      </w:r>
    </w:p>
    <w:p w14:paraId="35B0E23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Реализирането на тази политика изисква целенасочено позициониране на България на приоритетни и перспективни емитивни пазари като привлекателна, сигурна, достъпна и </w:t>
      </w:r>
      <w:r w:rsidRPr="00761800">
        <w:rPr>
          <w:rFonts w:ascii="Times New Roman" w:hAnsi="Times New Roman"/>
          <w:szCs w:val="22"/>
          <w:lang w:eastAsia="bg-BG"/>
        </w:rPr>
        <w:lastRenderedPageBreak/>
        <w:t>качествена туристическа дестинация. Необходимо е страната да бъде представяна чрез ясен и разпознаваем бранд, насочен към конкретни целеви групи туристи и към продукти с потенциал за растеж - морски, културен, СПА и уелнес, здравен, планински, природолюбителски, винено-кулинарен, градски, събитиен, конгресен и други форми на целогодишен туризъм.</w:t>
      </w:r>
    </w:p>
    <w:p w14:paraId="5DE3463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Министерството на туризма ще работи за създаване на условия за устойчиво развитие на дестинацията и туристическите райони през четирите сезона, повишаване на конкурентоспособността на туристическия сектор и качеството на туристическия продукт, на основата на партньорство между всички заинтересовани страни. Ще бъде развивана и прилагана целенасочена и последователна туристическа политика за създаване на благоприятна политическа, правна, икономическа, екологична, социо-културна и технологична среда за развитие на устойчив туризъм, конкурентоспособен туристически сектор и качествен туристически продукт.</w:t>
      </w:r>
    </w:p>
    <w:p w14:paraId="7308F3C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тази връзка националната реклама следва да бъде преосмислена и развивана като интегрирана маркетингова политика, основана на измерими резултати, целево планиране и ефективно използване на публичния ресурс. Необходимо е прилагане на по-фокусиран бранд мениджмънт, по-добро таргетиране на пазарите и по-активно партньорство с туристическия бизнес, общините, организациите за управление на туристическите райони и други заинтересовани страни. Привличането на частни средства и съвместното финансиране на маркетингови инициативи следва да се насърчават при ясни правила, прозрачност и измерим ефект.</w:t>
      </w:r>
    </w:p>
    <w:p w14:paraId="397D370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Дигиталният маркетинг ще има водещо значение през периода на бюджетното планиране. Онлайн каналите се превръщат в основна среда за информиране, избор, планиране и покупка на туристически услуги. Поради това комуникацията на дестинация България следва да бъде по-фокусирана, таргетирана и резултатно ориентирана, с ясно проследяване на ефекта от кампаниите, поведението на потребителите и възвръщаемостта на вложените средства. Дигиталната реклама, съдържанието за конкретни пазари, социалните мрежи, платформите за пътувания и партньорствата с онлайн посредници следва да бъдат неразделна част от националната маркетингова политика.</w:t>
      </w:r>
    </w:p>
    <w:p w14:paraId="13B47BEF"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Министерството ще развива дългосрочни партньорства на международно, национално, регионално и местно равнище. Сътрудничеството с международни организации, държавни институции, общини, туристическия бизнес, неправителствения сектор и местните общности е необходимо условие за ефективно управление на дестинациите и за създаване на по-конкурентен туристически продукт. Особено значение ще има консолидираният подход при представянето на България на международни туристически изложения, като участието в тях следва да бъде обвързано с ясни цели, приоритетни пазари, измерими резултати и единна визия на националната маркетингова политика.</w:t>
      </w:r>
    </w:p>
    <w:p w14:paraId="0E032D6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Кадровото обезпечаване на сектора е друг основен приоритет. Туризмът е трудово интензивен сектор и качеството на туристическия продукт зависи пряко от наличието на подготвени, мотивирани и задържани кадри. Министерството ще насърчава политики, свързани с професионалното образование, партньорствата между образователните институции и бизнеса, повишаването на квалификацията, привличането на млади хора и създаването на възможности за професионална реализация в туристическите райони. Това има значение не само за сектора, но и за местните общности, заетостта и ограничаването на обезлюдяването.</w:t>
      </w:r>
    </w:p>
    <w:p w14:paraId="2AF0CCD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lastRenderedPageBreak/>
        <w:t>Съществен елемент на политиката е и повишаването на качеството, безопасността и достъпността на туристическите услуги. Министерството ще работи за създаване на механизми за по-реално измерване на качеството на туристическия продукт, за подобряване на стандартите на обслужване и за насърчаване на предлагането на безопасни, достъпни и устойчиви туристически услуги. Повишаването на качеството е необходимо условие за привличане на по-платежоспособни туристи, удължаване на престоя, увеличаване на приходите и подобряване на репутацията на България като туристическа дестинация.</w:t>
      </w:r>
    </w:p>
    <w:p w14:paraId="72EFFFF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на Министерството в областта на устойчивото развитие на туризма включва и развитие на институционалната и нормативната рамка за управление на сектора, съобразена със значението му за националната икономика и с европейските насоки за устойчиво развитие на туристическите дестинации. Целта е да се осигури по-ефективно управление, по-добра координация между институциите, облекчен достъп за чуждестранни туристи, по-висока конкурентоспособност на България и по-добри условия за устойчив растеж на сектора.</w:t>
      </w:r>
    </w:p>
    <w:p w14:paraId="7C3BA41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Необходимо е да бъде разработен интегриран подход за насърчаване на общ туристически продукт между държавата, общините, бизнеса, организациите за управление на туристическите райони, културните институции и други заинтересовани страни. Целта е различните регионални, културни, природни, СПА, кулинарни, събитийни и градски продукти да бъдат обединени в по-ясна национална рамка, която да позволява по-добро позициониране на България като целогодишна дестинация. Ще бъдат предприети действия за устойчиво развитие на туризма чрез диверсификация на туристическите услуги, повишаване на тяхното качество и добавена стойност и стимулиране на специализираните видове туризъм.</w:t>
      </w:r>
    </w:p>
    <w:p w14:paraId="1712B57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съответствие с Националния план за развитие България 2030 ще бъде популяризиран българският туристически продукт чрез кампании с фокус върху неговите уникални качества, балансираното развитие на туристическите райони и разширяването на туристическото предлагане извън традиционните летни и зимни пикове. Ще се прилагат интегрирани маркетингови подходи, включително участие с национални и информационни щандове на международни туристически изложения в България и в чужбина, комуникационни кампании на основни целеви пазари, мащабни онлайн кампании, представяне на България като дестинация в еврозоната, организиране на експедиентски и журналистически турове, промотиране на тематични маршрути, работа с инфлуенсъри, влогъри и блогъри, както и акции за насърчаване на продажбите с чуждестранни туроператори, авиокомпании и професионални сдружения.</w:t>
      </w:r>
    </w:p>
    <w:p w14:paraId="43C939A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Важна мярка за по-добро позициониране на България е развитието на туристически представителства или туристически аташета на ключови емитивни пазари. Тяхната роля следва да бъде свързана с поддържане на активни контакти с туроператори, авиокомпании, медии, професионални организации и институции; подпомагане на българския бизнес при достъпа до външни пазари; организиране на представяния, роудшоута и партньорски събития; както и предоставяне на регулярна пазарна информация за нагласите, търсенето и конкурентната среда.</w:t>
      </w:r>
    </w:p>
    <w:p w14:paraId="19B4985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Министерството на туризма ще продължи да подпомага бизнеса от сектора при идентифициране на възможности за финансиране и участие в международни и европейски програми. Ще се търси по-добра координация между националните политики, общинските инициативи, туристическите райони и частния сектор, така че </w:t>
      </w:r>
      <w:r w:rsidRPr="00761800">
        <w:rPr>
          <w:rFonts w:ascii="Times New Roman" w:hAnsi="Times New Roman"/>
          <w:szCs w:val="22"/>
          <w:lang w:eastAsia="bg-BG"/>
        </w:rPr>
        <w:lastRenderedPageBreak/>
        <w:t>публичният ресурс да мултиплицира частни инвестиции и да води до измерим ефект върху посещенията, нощувките, приходите и качеството на туристическия продукт.</w:t>
      </w:r>
    </w:p>
    <w:p w14:paraId="404482E4"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Политика в областта на селското стопанство</w:t>
      </w:r>
    </w:p>
    <w:p w14:paraId="1F5E3D6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Съвременното селско стопанство е изправено пред редица предизвикателства като нарастваща нестабилност на цените, все по-видими прояви на екстремни метеорологични явления, увеличени изисквания и очаквания на потребителите за консумация на безопасни продукти и храни, задълбочаващи се социални и демографски проблеми, развитие на икономически и политически кризи в международен мащаб. Това налага фокусът на аграрната политика да се насочи към повишаване на ефективността, конкурентоспособността и екологичната устойчивост на земеделското производство, по-ефективно използване на ресурсите, увеличаване на икономическата активност и нарастване на заетостта в селските райони, производство на растителни и животински продукти, отговарящи на европейските стандарти за качество и безопасни за човешкото здраве. </w:t>
      </w:r>
    </w:p>
    <w:p w14:paraId="7D6619FD"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земеделието и селските райони</w:t>
      </w:r>
    </w:p>
    <w:p w14:paraId="50FFF7F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Отговорността за разпределението на публичните разходи за политиката в областта на земеделието и селските райони е на </w:t>
      </w:r>
      <w:r w:rsidRPr="00761800">
        <w:rPr>
          <w:rFonts w:ascii="Times New Roman" w:hAnsi="Times New Roman"/>
          <w:b/>
          <w:szCs w:val="22"/>
          <w:lang w:eastAsia="bg-BG"/>
        </w:rPr>
        <w:t>Министерството на земеделието и храните</w:t>
      </w:r>
      <w:r w:rsidRPr="00761800">
        <w:rPr>
          <w:rFonts w:ascii="Times New Roman" w:hAnsi="Times New Roman"/>
          <w:szCs w:val="22"/>
          <w:lang w:eastAsia="bg-BG"/>
        </w:rPr>
        <w:t xml:space="preserve">, и се осъществява чрез бюджета на министерството, бюджета на Държавен фонд „Земеделие“ (ДФЗ) и сметките за средства от Европейския съюз. Прилаганата политика обхваща дейности в подкрепа на ефективното използване и опазване на земеделските земи и водите, съхраняване и подобряване на генетичните ресурси в растениевъдството и животновъдството и развитие на потенциала на двата подсектора за производство на конкурентоспособна продукция, развитие на научните изследвания в аграрната сфера, предоставяне на качествено научно обслужване и консултации на земеделските производители, стабилизиране на пазарите на земеделска продукция и гарантиране на доходите на производителите, сигурност и безопасност по веригата на предлагане на храни. </w:t>
      </w:r>
    </w:p>
    <w:p w14:paraId="06D9B97F"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Планираните средства в тази област са насочени към развитие на аграрния отрасъл за осигуряване на хранителна сигурност на страната – достатъчно количество земеделски продукти с гарантирани качество и безопасност, за производство на продукти с висока добавена стойност при устойчиво управление на природните ресурси и мобилизиране на потенциала на селските райони към постигане на балансирано социално и териториално развитие. Принос за прилагане на политиката, освен структурите в системата на Министерството на земеделието и храните (МЗХ), имат ДФЗ-Разплащателна агенция, Министерството на отбраната (Военно-географска служба), Агенция „Митници“, Министерството на околната среда и водите, Министерството на туризма, Национална агенция за приходите, Гранична полиция, Регионални здравни инспекции, прокуратура, природозащитни организации и други държавни и неправителствени институции и др.</w:t>
      </w:r>
    </w:p>
    <w:p w14:paraId="69ADF80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 областта на селското стопанство и земеделие се предоставят услуги на бенефициенти по програмите и мерките за държавно подпомагане, а чрез предвидени ключови индикатори се определя оценката за оказаната финансова подкрепа, обвързана с постигането на целите за ефективно усвояване на средства от Европейския фонд за гарантиране на земеделието и Европейския земеделски фонд за развитие на селските райони – по-добро административно и финансово управление и контрол; създаване на </w:t>
      </w:r>
      <w:r w:rsidRPr="00761800">
        <w:rPr>
          <w:rFonts w:ascii="Times New Roman" w:hAnsi="Times New Roman"/>
          <w:szCs w:val="22"/>
          <w:lang w:eastAsia="bg-BG"/>
        </w:rPr>
        <w:lastRenderedPageBreak/>
        <w:t xml:space="preserve">ефективно, конкурентоспособно и пазарно-ориентирано земеделие; стабилизиране на пазарите на земеделски продукти чрез оказване на пазарна финансова подкрепа; повишаване на доходите на производителите чрез директни плащания на държавни помощи и други. </w:t>
      </w:r>
    </w:p>
    <w:p w14:paraId="52111BE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Предвижда се подпомагането на земеделските стопани през периода 2026-2028 г. да се определя на базата на промените в европейското законодателство и националното право в областта на държавните помощи. Тенденцията е през 2026 г. да се запазят досега действащите държавни помощи, обособени както от специфичните нужди в отделните подсектори на земеделието, така и от интересите на земеделските стопани. Държавен фонд „Земеделие” осъществява дейността по администриране на нотифицираните от управляващия орган (Министерството на земеделието и храните) и одобрени от Европейската комисия схеми на държавните помощи с инвестиционен характер. Предвидените средства са за изплащане на държавни помощи, преходна национална помощ за тютюн, преходна национална помощ за животни, средства за ДДС, пазарни мерки и национални доплащания за предходни кампании, като интервенции за подпомагане на лозаро-винарския сектор (преструктуриране и конверсия на лозя, промоции в трети страни и популяризиране на пазарите на трети държави), интервенции в сектора на пчеларството, схеми „Училищен плод“ и „Училищно мляко“ и други. </w:t>
      </w:r>
    </w:p>
    <w:p w14:paraId="7568545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Допълнителен инструмент за подкрепа на земеделските стопани при извънредни случаи или в случаи, за които не се прилагат схеми на държавни помощи, е подпомагането по линия на „de minimis“ помощите. Тези помощи може да се използват при необходимост през периода 2026-2028 г. в качеството им на резервно подпомагане.</w:t>
      </w:r>
    </w:p>
    <w:p w14:paraId="3E779AB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b/>
          <w:szCs w:val="22"/>
          <w:lang w:eastAsia="bg-BG"/>
        </w:rPr>
        <w:t>Държавен фонд „Земеделие“</w:t>
      </w:r>
      <w:r w:rsidRPr="00761800">
        <w:rPr>
          <w:rFonts w:ascii="Times New Roman" w:hAnsi="Times New Roman"/>
          <w:szCs w:val="22"/>
          <w:lang w:eastAsia="bg-BG"/>
        </w:rPr>
        <w:t xml:space="preserve"> участва в прилагането на политиката на МЗХ в областта на земеделието и селските райони. Фондът работи за постигане на дългосрочната визия на Република България за изграждане на конкурентно, ефективно и устойчиво селско стопанство, защита на пазара на земеделски продукти от сътресения и подобряване качеството на живот в селските райони и споделя дългосрочната национална визия, обвързана с изграждане на конкурентен, ефективен, икономически и екологично устойчив сектор „Рибарство”, като допринася за постигане на стратегическите и оперативни цели, заложени в политиките на Министерството на земеделието и храните, в рамките на Общата политика по рибарство на Европейския съюз и съгласно националния стратегически план. Държавен фонд „Земеделие“ отговаря за разпределението на публичните средства за политиката, които разходва пряко - чрез бюджета си и чрез сметката за средства от Европейския съюз, одобрени с годишния закон за държавния бюджет на Република България.</w:t>
      </w:r>
    </w:p>
    <w:p w14:paraId="0D78337C"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рибарството и аквакултурите</w:t>
      </w:r>
    </w:p>
    <w:p w14:paraId="575BC1F6"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Прилаганата политика е насочена към поддържане и възстановяване на биоразнообразието във водните екосистеми и прилагане на екосистемен подход към управлението на рибарството и аквакултурите чрез прилагане на европейските стандарти по отношение на производството, преработката и маркетинга на риба от стопански риболов и аквакултури. Също така, една от основните цели на аграрната политика е превръщането на сектор „Рибарство” в модерен и конкурентоспособен сектор чрез прилагането на иновационни дейности, подпомогнати от научни разработки. Оценката </w:t>
      </w:r>
      <w:r w:rsidRPr="00761800">
        <w:rPr>
          <w:rFonts w:ascii="Times New Roman" w:hAnsi="Times New Roman"/>
          <w:szCs w:val="22"/>
          <w:lang w:eastAsia="bg-BG"/>
        </w:rPr>
        <w:lastRenderedPageBreak/>
        <w:t>за изпълнението на бюджета по ЕФМДР</w:t>
      </w:r>
      <w:r w:rsidRPr="00761800">
        <w:rPr>
          <w:rFonts w:ascii="Times New Roman" w:hAnsi="Times New Roman"/>
          <w:position w:val="2"/>
          <w:sz w:val="18"/>
          <w:szCs w:val="22"/>
          <w:vertAlign w:val="superscript"/>
        </w:rPr>
        <w:footnoteReference w:id="67"/>
      </w:r>
      <w:r w:rsidRPr="00761800">
        <w:rPr>
          <w:rFonts w:ascii="Times New Roman" w:hAnsi="Times New Roman"/>
          <w:szCs w:val="22"/>
          <w:lang w:eastAsia="bg-BG"/>
        </w:rPr>
        <w:t>/ЕФМДРА</w:t>
      </w:r>
      <w:r w:rsidRPr="00761800">
        <w:rPr>
          <w:rFonts w:ascii="Times New Roman" w:hAnsi="Times New Roman"/>
          <w:position w:val="2"/>
          <w:sz w:val="18"/>
          <w:szCs w:val="22"/>
          <w:vertAlign w:val="superscript"/>
        </w:rPr>
        <w:footnoteReference w:id="68"/>
      </w:r>
      <w:r w:rsidRPr="00761800">
        <w:rPr>
          <w:rFonts w:ascii="Times New Roman" w:hAnsi="Times New Roman"/>
          <w:szCs w:val="22"/>
          <w:lang w:eastAsia="bg-BG"/>
        </w:rPr>
        <w:t>, с който се определя финансовата подкрепа за постигането на целта по подпомагането на сектор „Рибарство“, се основава на ефективното усвояване на средства от Европейския фонд по морско дело и рибарство, устойчивост и конкурентоспособност на продуктите в областта на рибарството и аквакултурите, и насърчаване динамичността в риболовната промишленост.</w:t>
      </w:r>
    </w:p>
    <w:p w14:paraId="762CD0C2"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съхраняването и увеличаването на горите и дивеча</w:t>
      </w:r>
    </w:p>
    <w:p w14:paraId="30518CE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 изпълнението на политиката се дава принос за реализация на визията за развитие на горския сектор в Република България с жизнени, продуктивни и многофункционални гори, устойчив, конкурентноспособен и иновативен горски сектор, съхранено биологично разнообразие, количество и качество на водните ресурси в горските територии. Секторът подпомага икономическото развитие на страната и се стреми да гарантира поддържането на здравословна околна среда.</w:t>
      </w:r>
    </w:p>
    <w:p w14:paraId="43964484" w14:textId="77777777" w:rsidR="00761800" w:rsidRPr="00761800" w:rsidRDefault="00761800" w:rsidP="00761800">
      <w:pPr>
        <w:keepNext/>
        <w:keepLines/>
        <w:numPr>
          <w:ilvl w:val="2"/>
          <w:numId w:val="0"/>
        </w:numPr>
        <w:spacing w:before="480" w:after="240"/>
        <w:ind w:left="567" w:hanging="567"/>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 xml:space="preserve">Икономическа и финансова политика, политика в областта на иновациите, технологичното и икономическото развитие и политика в областта на дигиталната трансформация на публичния сектор </w:t>
      </w:r>
    </w:p>
    <w:p w14:paraId="76CF5F4E"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 xml:space="preserve">Политика в областта на устойчивото икономическо развитие и конкурентоспособност </w:t>
      </w:r>
    </w:p>
    <w:p w14:paraId="0C882DFF"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 т. 3 от Решението на Народното събрание за приемане структура на Министерския съвет от 8 май 2026 г., Министерството на икономиката и индустрията е преобразувано в Министерство на икономиката, инвестициите и индустрията. С извършените нормативни промени към министъра на икономиката, инвестициите и индустрията са прехвърлени правомощията по провеждане на държавната политика в областта на насърчаването на инвестициите</w:t>
      </w:r>
    </w:p>
    <w:p w14:paraId="5F59507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Преобразуването на Министерството на икономиката и индустрията в Министерството на икономиката, инвестициите и индустрията има за цел обединяването на икономическата, индустриалната и инвестиционната политика в рамките на единна институционална структура. По този начин се създават условия за по-добра координация на политиките, по-ефективно използване на административния ресурс и по-добро обслужване на бизнеса и инвеститорите.</w:t>
      </w:r>
    </w:p>
    <w:p w14:paraId="00702A3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Създава се дирекция „Инвестиционна политика и стратегически проекти“, която ще подпомага министъра при разработването и провеждането на държавната политика за насърчаване на инвестициите и реализирането на стратегически инвестиционни проекти и която поема функциите на дирекция „Насърчителни мерки и проекти“ от преобразуваното Министерство на иновациите и растежа.</w:t>
      </w:r>
    </w:p>
    <w:p w14:paraId="6A0F482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lastRenderedPageBreak/>
        <w:t>Към министъра на икономиката, инвестициите и индустрията преминават Българската агенция за инвестиции и Изпълнителната агенция за насърчаване на малките и средните предприятия като второстепенни разпоредители с бюджет.</w:t>
      </w:r>
    </w:p>
    <w:p w14:paraId="6750F74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за устойчиво икономическо развитие и конкурентоспособност, изпълнявана от Министерството на икономиката, инвестициите и индустрията, цели повишаване на потенциала за растеж, основаващ се на насърчаване на инвестициите във високотехнологични промишлени производства и интензивни на знание услуги, насърчаване на предприемачеството и повишаването на производителността на труда. Приоритет на икономическата политика е повишаването на привлекателността на България за инвестиции, както и за създаване на предпоставки за развитието на страната като център за интензивни на знание производства и услуги с висока добавена стойност. Важна част от политиката е повишаване на конкурентоспособността на предприятията и създаване на условия за привличане на капитали, както и насърчаване на междуфирменото сътрудничество и на сътрудничеството на бизнеса с образователните и научните институции, за да бъдат предоставени конкурентоспособни продукти и услуги на пазара.</w:t>
      </w:r>
    </w:p>
    <w:p w14:paraId="282A8F8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Предвид настоящото състояние на глобалната икономика и обвързаността на българската индустрия с европейските пазари, политиката на Министерството на икономиката, инвестициите и индустрията през периода 2026-2028 г. ще бъде фокусирана върху минимизиране влиянието на международните фактори върху икономиката ни, запазване и разширяване на пазарните позиции на българската индустрия, както и осигуряване на благоприятна среда за развитие на малките и средните предприятия.</w:t>
      </w:r>
    </w:p>
    <w:p w14:paraId="03D0B46A"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ефективното външноикономическо сътрудничество</w:t>
      </w:r>
    </w:p>
    <w:p w14:paraId="78A60AD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Провеждането на ефективни външнотърговска политика и външноикономическо сътрудничество e решаващо за устойчивото икономическо развитие на страната и засилването на конкурентоспособността на българските предприятия. Постигането на ръст на износа и привличането на инвестиции са важни за технологичната модернизация и обновяването на производството, за развитието на иновативни продукти и услуги, за подобряване на конкурентоспособността и постигането по този начин на целите за ускорен растеж и нови работни места. </w:t>
      </w:r>
    </w:p>
    <w:p w14:paraId="14FACD2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За постигане целите на политиката, Министерството на икономиката, инвестициите и индустрията прилага активни мерки за насърчаване на износа и на инвестициите в експортно ориентирани дейности, стимулиране външнотърговския капацитет и конкурентоспособността на българските фирми на външните пазари и популяризиране търговско-икономическия потенциал на Република България в чужбина и подкрепа за представянето на българските компании. </w:t>
      </w:r>
    </w:p>
    <w:p w14:paraId="749BF13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Министерството на икономиката, инвестициите и индустрията продължава активно да участва във формирането и прилагането на Общата търговска политика на ЕС и в защитата на българските приоритети и интереси по достъпа до пазара на стоки и услуги, инвестиции, обществени поръчки и други свързани с търговията области в рамките на водените от ЕС двустранни преговори за либерализация на търговията и насърчаване на инвестициите, преговори по други споразумения и форуми за задълбочаване на търговско-икономическите отношения с приоритетни трети страни и региони, както и отстояване на българските интереси в Световната търговска организация и в разговорите </w:t>
      </w:r>
      <w:r w:rsidRPr="00761800">
        <w:rPr>
          <w:rFonts w:ascii="Times New Roman" w:hAnsi="Times New Roman"/>
          <w:szCs w:val="22"/>
          <w:lang w:eastAsia="bg-BG"/>
        </w:rPr>
        <w:lastRenderedPageBreak/>
        <w:t>за присъединяване на Република България към Организацията за икономическо сътрудничество и развитие.</w:t>
      </w:r>
    </w:p>
    <w:p w14:paraId="1D815B04"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иновациите, технологичното и икономическото развитие</w:t>
      </w:r>
    </w:p>
    <w:p w14:paraId="068D7D8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 Решение на Народното събрание от 8 май 2026 г. бе създадено Министерството на иновациите и дигиталната трансформация (МИДТ) – нова институция, обединяваща Министерството на иновациите и растежа и Министерството на електронното управление. МИДТ обединява в една стратегическа рамка иновационната политика, подкрепата за бизнеса, дигиталната трансформация на държавата, електронната идентичност и киберсигурността, преодолявайки досегашното разделение между политиките за частния и публичния сектор. МИДТ продължава и развива утвърдените държавни политики за иновационното, технологичното и дигиталното развитие на България: подкрепата на иновативните компании и предприемачите, насърчаването на технологичния трансфер, изграждането на национален капацитет в стратегически високотехнологични сектори, развитието на модерна и ориентирана към потребителя електронна държава, защитата на дигиталната инфраструктура и изграждането на сигурна електронна идентичност. Тези политики се обединяват в една стратегическа рамка, отговаряща на предизвикателствата на икономиката на бъдещето.</w:t>
      </w:r>
    </w:p>
    <w:p w14:paraId="7D14513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Новата структура намира решение на проблема, свързан с разделението на политиките и дейности за иновация и дигитална трансформация в частния сектор, от една страна, от политиките за цифрова трансформация на публичния сектор и киберсигурността – от друга. Основната цел на МИДТ е да утвърждава Република България като активен участник в развитието на иновациите, революционните технологии, знанието и изкуствения интелект. Политиката в областта на иновациите, технологичното и икономическото развитие, изпълнявана от МИДТ е насочена към осигуряване на ускорен и устойчив икономически растеж, повишаване на конкурентоспособността на националната икономика, както и устойчиво интегриране на българските компании в регионалните и световни вериги на стойност. Министерството на иновациите и дигиталната трансформация работи за повишаване на потенциала за растеж, основан на стимулирането на трансфера на знание и технологии и за нарастване на добавената стойност на продуктите и услугите, базирани на иновации и умения.</w:t>
      </w:r>
    </w:p>
    <w:p w14:paraId="0F7BBFC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Министерството ще продължи да работи за повишаване на икономическия потенциал на Република България и за нейното развитие като ключово звено в глобалните вериги на стойност и като регионален лидер в областта на иновациите, технологиите с двойна употреба, отбранителните и космическите технологии, както и други технологии с висок трансформационен и икономически потенциал.</w:t>
      </w:r>
    </w:p>
    <w:p w14:paraId="1978522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на министерството цели създаване на условия за развитие на иновативните компании и предприемачи, да подкрепя стартиращите компании и високотехнологичните индустрии, насърчава технологичния трансфер от научните организации към пазара и осигурява целенасочено финансиране в стратегически сектори като микроелектроника, изкуствен интелект, космически технологии, отбрана и технологии с двойна употреба. Министерството провежда и политиката към инвестиционните фондове, финансовите инструменти и фондовете за дялово и рисково инвестиране, както и към други инструменти за осигуряване на подкрепа, растеж и интернационализация на бизнеса.</w:t>
      </w:r>
    </w:p>
    <w:p w14:paraId="37F4E32F"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lastRenderedPageBreak/>
        <w:t>В осъществяването на тази политика министерството осигурява стабилна, предвидима и съответстваща на европейските стандарти нормативна рамка; предоставя инструментите за финансиране, включително Националния иновационен фонд, европейските фондове за конкурентоспособност, финансовите инструменти на Фонд на фондовете, както и координира стратегическата позиция на Република България в европейските институции и в глобалните технологични процеси с оглед защитата на националните интереси и разкриването на възможности за българските компании.</w:t>
      </w:r>
    </w:p>
    <w:p w14:paraId="48BC585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Посредством изпълнението на тази политика ще се подпомага изграждането на функционираща национална иновационна екосистема, в която талантът, идеите и капиталът намират своето място, научно-развойната дейност достига до пазара, а страната се утвърждава като регионален лидер в областта на иновациите и технологиите с висок трансформационен потенциал. Ще се изгради целенасочена подкрепа за стартиращите и разрастващите се компании, както и високотехнологичните индустрии; технологичен трансфер от научните организации към пазара; целенасочено финансиране в стратегически сектори като микроелектроника, изкуствен интелект, космически технологии, отбрана и технологии с двойна употреба.</w:t>
      </w:r>
    </w:p>
    <w:p w14:paraId="7C94F7E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Съществен елемент на политиката е целенасоченото финансиране в стратегически сектори с висок трансформационен и икономически потенциал, чрез максималното оползотворяване на съществуващия въвеждането на нов инструментариум за осигуряване на капиталова подкрепа на растежа, нови експериментални инструменти за създаване на политики като регулаторни лаборатории и пясъчници, „бързи писти“ за пилотни и иновативни решения и експериментални режими с ограничен обхват и времетраене, в координация с компетентните ведомства, с цел тестване на нови технологии и бизнес модели в контролирана среда.</w:t>
      </w:r>
    </w:p>
    <w:p w14:paraId="79F69ED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обхваща и развитието на космическите технологии и осигуряването на сигурни сателитни комуникации. Чрез изпълнението на функциите на компетентен орган по инициативата на Европейския съюз GOVSATCOM, участието в публичната регулирана услуга на „Галилео“ и предстоящата инициатива за защитена свързаност IRIS2, както и чрез изграждането на правителствен комуникационен център и на национална цифрова среда за космически данни, страната развива стратегически капацитет в област с висока добавена стойност и значение за националната сигурност.</w:t>
      </w:r>
    </w:p>
    <w:p w14:paraId="0538CD8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За реализирането на тази политика министерството осигурява устойчиви инструменти за финансиране, сред които Националният иновационен фонд като ключов национален инструмент за безвъзмездна подкрепа на иновации, фондовете за дялово и рисково инвестиране и други финансови инструменти за осигуряване на подкрепа, растеж и интернационализация на бизнеса.</w:t>
      </w:r>
    </w:p>
    <w:p w14:paraId="6F30FCF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Министерството развива и активното участие на страната в европейските и международните програми и партньорства в областта на научните изследвания и иновациите. Чрез координиране на участието на български субекти в Асоциация „Еврика“/Европейско партньорство за иновативни МСП (Евростарс-3), в рамковата програма „Хоризонт Европа“ и в други инициативи се осигурява достъп на български предприятия и научни екипи до съвместни иновационни проекти, до международна експертиза и до възможности за подкрепа на трансграничното сътрудничество.</w:t>
      </w:r>
    </w:p>
    <w:p w14:paraId="4565A2E4"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lastRenderedPageBreak/>
        <w:t>Политика в областта на дигиталната трансформация на публичния сектор</w:t>
      </w:r>
    </w:p>
    <w:p w14:paraId="6726D4C6"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Тази политика, изпълнявана от МИДТ е насочена към развитие на електронното управление, цифровизацията на публичния сектор, развитието на споделени ресурси и инфраструктура за електронно управление, оперативна съвместимост и предоставяне на качествени електронни услуги за гражданите и бизнеса.</w:t>
      </w:r>
    </w:p>
    <w:p w14:paraId="57BDA8D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Дигиталната трансформация е хоризонтален процес, който обхваща всички сфери на държавното управление и изисква координирани действия, прилагане на единни стандарти за оперативна съвместимост, управление на данните и информационна сигурност, както и последователно развитие на електронното управление, електронните услуги и споделените ресурси. Политиката е насочена към повишаване на ефективността на администрацията, намаляване на административната тежест, развитие на управление, базирано на данни, и осигуряване на сигурност и надеждност на електронните процеси и услуги.</w:t>
      </w:r>
    </w:p>
    <w:p w14:paraId="2204069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съответствие с европейските политики и стратегическите цели на Европейския съюз, включително политическата програма „Цифрово десетилетие“ до 2030 г., Министерството на иновациите и дигиталната трансформация координира и провежда държавната политика в областта на електронното управление, цифровата трансформация, електронната идентификация, управлението на данните, оперативната съвместимост и мрежовата и информационната сигурност.</w:t>
      </w:r>
    </w:p>
    <w:p w14:paraId="0F7CD22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се реализира в съответствие с националната и европейската стратегическа и нормативна рамка, включително Националната програма за развитие „България 2030“, рамковия стратегически документ „Цифрова трансформация на България за периода 2024-2030 г.“, политическата програма на Европейския съюз „Цифрово десетилетие“ до 2030 г., Закона за електронното управление, Закона за киберсигурност, Закона за електронния документ и електронните удостоверителни услуги и свързаното европейско и национално законодателство.</w:t>
      </w:r>
    </w:p>
    <w:p w14:paraId="4297D89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за дигитална трансформация се основава на разбирането, че цифровизацията не е единствено внедряване на технологии и електронизация на административни процеси, а цялостна трансформация на начина, по който публичният сектор функционира, взаимодейства и предоставя услуги.</w:t>
      </w:r>
    </w:p>
    <w:p w14:paraId="565D2DA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Електронното управление е основният двигател за цифровата трансформация на публичните институции и основна платформа за изграждането на управление, базирано на данни, оперативна съвместимост, автоматизиран обмен на информация и предоставяне на качествени, сигурни и достъпни електронни услуги за гражданите и бизнеса.</w:t>
      </w:r>
    </w:p>
    <w:p w14:paraId="4FADA28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Тази политика е насочена към развитие на модерно електронно управление, ефективна цифровизация на административните процеси и предоставяне на качествени, достъпни и сигурни електронни услуги за гражданите и бизнеса чрез използване на данни, цифрови технологии и оперативна съвместимост.</w:t>
      </w:r>
    </w:p>
    <w:p w14:paraId="53420C95"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държавните резерви, военновременните запаси и задължителните запаси от нефт и нефтопродукти</w:t>
      </w:r>
    </w:p>
    <w:p w14:paraId="27E998A8"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В областта на икономическата и финансова политика държавният надзор върху създаването, съхраняването, обновяването, ползването и възстановяването на запасите с </w:t>
      </w:r>
      <w:r w:rsidRPr="00761800">
        <w:rPr>
          <w:rFonts w:ascii="Times New Roman" w:hAnsi="Times New Roman"/>
          <w:szCs w:val="24"/>
          <w:lang w:eastAsia="bg-BG"/>
        </w:rPr>
        <w:lastRenderedPageBreak/>
        <w:t xml:space="preserve">цел осигуряване на снабдяването с течни горива се осъществява от Държавната агенция „Държавен резерв и военновременни запаси“ (ДА ДРВВЗ), която организира и контролира създаването, съхраняването, обновяването, ползването и възстановяването на запасите от нефт и нефтопродукти. ДА ДРВВЗ контролира съхраняването на територията на страната на запаси от нефт и нефтопродукти, създадени за изпълнение на задълженията на други държави-членки на ЕС; води регистри на задължените лица, регистрираните складове за съхраняване на нефт и нефтопродукти, всички създадени и поддържани запаси за извънредни ситуации, всички създадени и поддържани целеви запаси. ДА ДРВВЗ изчислява общото и индивидуалните нива на запасите по видове и количества, които трябва да се поддържат от задължените лица. ДА ДРВВЗ съдейства на лицата, упълномощени от Европейската комисия да извършват прегледи на готовността за извънредни ситуации, механизма за съхраняване, наличностите и отчетността на запасите; осъществява взаимодействие с органите на Европейската комисия по повод изпълнението на задължението за поддържане на минимални запаси от нефт и нефтопродукти и/или по повод извънредни ситуации, както и изпълнението на влязло в сила решение на Международната агенция по енергетика за отпускане на запаси. </w:t>
      </w:r>
    </w:p>
    <w:p w14:paraId="4792276B"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Политиката в областта на държавните резерви и военновременните запаси е насочена към повишаване на процентната обезпеченост на номенклатурите и нормативите за тях, водени на отчет като държавни резерви (ДР) и военновременни запаси (ВВЗ) с оглед: постигане на оптимална обезпеченост и осигуряване на адекватна реакция на правителството в случай на необходимост; обновяване, в рамките на бюджета на агенцията, на стоки, материали и продукти, управлявани от ДА ДРВВЗ, които са с изтичащ срок на съхранение, както и съобразно тяхната специфика и стратегическа тежест с цел поддържането им в съответното количество и качество, както и в непрекъсната готовност за ползване. </w:t>
      </w:r>
    </w:p>
    <w:p w14:paraId="4CFF0B2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Изпълнение на ангажиментите на страната, произтичаща от Директива на Съвета 2009/119/ЕО, за поддържане на минимално изискуемите нива на запаси от нефт и нефтопродукти, обезпечаващи 90 дни средно дневен нетен внос и ВОП , 30 дни от които за сметка на държавния бюджет. </w:t>
      </w:r>
    </w:p>
    <w:p w14:paraId="6F5C152F" w14:textId="77777777" w:rsidR="00761800" w:rsidRPr="00761800" w:rsidRDefault="00761800" w:rsidP="00761800">
      <w:pPr>
        <w:spacing w:after="200"/>
        <w:jc w:val="both"/>
        <w:rPr>
          <w:rFonts w:ascii="Times New Roman" w:hAnsi="Times New Roman"/>
          <w:szCs w:val="24"/>
          <w:highlight w:val="yellow"/>
          <w:lang w:eastAsia="bg-BG"/>
        </w:rPr>
      </w:pPr>
      <w:r w:rsidRPr="00761800">
        <w:rPr>
          <w:rFonts w:ascii="Times New Roman" w:hAnsi="Times New Roman"/>
          <w:szCs w:val="24"/>
          <w:lang w:eastAsia="bg-BG"/>
        </w:rPr>
        <w:t>Консолидираните разходи по политиката се представят в програмния бюджет на ДА ДРВВЗ.</w:t>
      </w:r>
    </w:p>
    <w:p w14:paraId="3AA59E7E"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областите на публичните финанси, данъчна политика, управление на държавния дълг, вътрешния контрол, финансовите услуги и финансовите пазари</w:t>
      </w:r>
    </w:p>
    <w:p w14:paraId="7EBE095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b/>
          <w:szCs w:val="22"/>
          <w:lang w:eastAsia="bg-BG"/>
        </w:rPr>
        <w:t>Министерството на финансите</w:t>
      </w:r>
      <w:r w:rsidRPr="00761800">
        <w:rPr>
          <w:rFonts w:ascii="Times New Roman" w:hAnsi="Times New Roman"/>
          <w:szCs w:val="22"/>
          <w:lang w:eastAsia="bg-BG"/>
        </w:rPr>
        <w:t xml:space="preserve"> е отговорна институция за разработването, координирането, провеждането и осъществяването на държавната политика в областта на публичните финанси, данъчната политика, управлението на държавния дълг, вътрешния контрол, финансовите услуги и финансовите пазари.</w:t>
      </w:r>
    </w:p>
    <w:p w14:paraId="5B78FF9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обхвата на отговорността на министъра на финансите попадат и области, за които са отговорни административни структури и органи към Министерството на финансите, като областите администриране и събиране на държавните приходи, митнически контрол и надзор, финансова инспекция, координиране на процеса на управление на програмите, съфинансирани със средства от ЕС и други донорски програми, одит на средствата от ЕС, контрол върху хазарта, обществените поръчки и др.</w:t>
      </w:r>
    </w:p>
    <w:p w14:paraId="4BF2D5B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b/>
          <w:szCs w:val="22"/>
          <w:lang w:eastAsia="bg-BG"/>
        </w:rPr>
        <w:lastRenderedPageBreak/>
        <w:t>Мисията</w:t>
      </w:r>
      <w:r w:rsidRPr="00761800">
        <w:rPr>
          <w:rFonts w:ascii="Times New Roman" w:hAnsi="Times New Roman"/>
          <w:szCs w:val="22"/>
          <w:lang w:eastAsia="bg-BG"/>
        </w:rPr>
        <w:t xml:space="preserve"> на министерството е да осигури благоприятна среда за икономически растеж като фактор за подобряване на благосъстоянието на българските граждани, поддържайки устойчиви, прозрачни и ефективни публични финанси в защита на интересите на редовните данъкоплатци.</w:t>
      </w:r>
    </w:p>
    <w:p w14:paraId="3DFDC9B6" w14:textId="77777777" w:rsidR="00761800" w:rsidRPr="00761800" w:rsidRDefault="00761800" w:rsidP="00761800">
      <w:pPr>
        <w:spacing w:after="200"/>
        <w:jc w:val="both"/>
        <w:rPr>
          <w:rFonts w:ascii="Times New Roman" w:hAnsi="Times New Roman"/>
          <w:b/>
          <w:sz w:val="20"/>
          <w:lang w:eastAsia="bg-BG"/>
        </w:rPr>
      </w:pPr>
      <w:bookmarkStart w:id="323" w:name="_Toc444012205"/>
      <w:bookmarkStart w:id="324" w:name="_Toc209695764"/>
      <w:r w:rsidRPr="00761800">
        <w:rPr>
          <w:rFonts w:ascii="Times New Roman" w:hAnsi="Times New Roman"/>
          <w:b/>
          <w:sz w:val="20"/>
          <w:lang w:eastAsia="bg-BG"/>
        </w:rPr>
        <w:t>ВИЗИЯ ЗА РАЗВИТИЕТО НА ПОЛИТИКАТА В ОБЛАСТТА НА УСТОЙЧИВИТЕ И ПРОЗРАЧНИ ПУБЛИЧНИ ФИНАНСИ</w:t>
      </w:r>
      <w:bookmarkEnd w:id="323"/>
      <w:bookmarkEnd w:id="324"/>
    </w:p>
    <w:p w14:paraId="4C302B1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Основните правомощия на министъра на финансите по отношение на провеждането на държавната политика в областта на устойчивите и прозрачни публични финанси са тясно свързани с провеждането на политика за гарантиране на фискалната и макроикономическа стабилност, спазване на правилата и ограниченията на европейското и националното законодателство, осигуряване на финансиране на основните функции на държавата чрез бюджета, както и разработването на основните бюджетни документи - средносрочната бюджетна прогноза и нейната актуализация, съставянето на държавния бюджет на Република България и контролиране на текущото му изпълнение. За осъществяване на тези правомощия на министъра Министерството на финансите следва поставените цели, свързани с провеждането на последователна, прозрачна и предвидима фискална политика, която да подобрява бизнес средата, насърчава инвестициите и стимулира развитието на трудовия пазар за постигане на икономически растеж, заетост и ефективност на публичните разходи. Постигането на горните цели кореспондира и със стремежа за устойчива тенденция към подобряване на бюджетната позиция, каквито са и изискванията на националното законодателство и на заложените в него фискални правила.</w:t>
      </w:r>
    </w:p>
    <w:p w14:paraId="6EF2521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Бюджетната процедура за 2026 г. стартира съгласно изискванията и сроковете на Решение № 474 от 17 юли 2025 г. на Министерския съвет.</w:t>
      </w:r>
    </w:p>
    <w:p w14:paraId="61435D4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При разработването на основните параметри на бюджета за 2026 г. и Актуализираната средносрочна бюджетна прогноза за периода 2027-2028 г. МФ ще се придържа към запазване целите на фискалната политика дефицитът за средносрочния период да бъде в рамките на фискалните правила и ограничения по националното и европейското законодателство, при осигуряване на необходимия финансов ресурс за изпълнение на разходните приоритети, с акцент върху социалните политики, инвестиционните програми и реформите, финансирани както от националния бюджет, така и от сметките за средства от ЕС. </w:t>
      </w:r>
    </w:p>
    <w:p w14:paraId="705E0D16"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От гледна точка на устойчивостта на публичните финанси министерството ще продължи да определя реалистични цели за основните бюджетни параметри, при спазване на установените фискални правила, ограничения, допустими отклонения и приложими изключения както за показателите по консолидираната фискална програма (КФП), така и за тези на сектор „Държавно управление“. Потенциалните рискове налагат внимателен анализ и плавна пренастройка на фискалната политика и бюджетното планиране към променящата се икономическа ситуация с цел осигуряване на стабилност за фискалната позиция. През периода ще продължи наблюдението на всички институционални единици, попадащи в обхвата на сектор „Държавно управление“, както и на юридическите лица, контролирани от държавата и/или общините, с общ размер на задълженията към съответния отчетен период над 0,1 на сто от БВП, които не са част от КФП и не попадат в обхвата на сектор „Държавно управление“, на базата на което ще се изготвят прогнозите за бюджетната рамка.</w:t>
      </w:r>
    </w:p>
    <w:p w14:paraId="6328E9D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lastRenderedPageBreak/>
        <w:t>В изпълнение на общите цели на фискалната политика министерството се ангажира с поддържане на нивото на държавния дълг в рамките на законово установените ограничения и осигуряване на своевременно и ефективно финансиране на бюджета.</w:t>
      </w:r>
    </w:p>
    <w:p w14:paraId="339FF03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Провеждането на последователна и предвидима фискална политика намира израз както при определянето на основните фискални параметри и показатели на бюджетната рамка, така и при реализирането на мерки за гарантиране на изпълнението на бюджета. </w:t>
      </w:r>
    </w:p>
    <w:p w14:paraId="19CE50C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Министерството на финансите следва целите за постигане на устойчива средносрочна фискална рамка, но нейното реализиране изисква редица мерки за повишаване на качеството на публичните финанси, изразяващи се в подобряване на бюджетния процес, усъвършенстване на бюджетните документи, утвърждаване прилагането на добри бюджетни практики (в т.ч. програмното и ориентирано към резултатите бюджетиране), подпомагане реформите във финансирането на публичните сектори и проследяване на ефектите от провежданите секторни политики с оглед оптимизиране на публичните разходи, както и засилване на капацитета на служителите от публичната администрация за ефективно управление на публичните финанси. </w:t>
      </w:r>
    </w:p>
    <w:p w14:paraId="1AFDDF5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За постигане на целите на фискалната политика водеща роля ще имат инструментите на бюджетната политика и засиленият контрол върху разходите. Спазването на бюджетната дисциплина ще продължи да се осигурява с регламентираното правило за утвърждаване на допустими максимални размери на поети ангажименти за разходи и нови задължения за разходи на разпоредителите с бюджет, на конкретни правила за промяна на размера на задълженията и за извършване на компенсирани промени, както и при спазване на условието за поемане на ангажимент за извършване на разходи след провеждане на обществени поръчки. В условията на възстановяване на икономиката за успеха на провежданата фискална консолидация от ключово значение ще бъдат резултатите от повишаването на ефективността и ефикасността на разходите, както и от мащаба на осъществяваните структурни реформи.</w:t>
      </w:r>
    </w:p>
    <w:p w14:paraId="186E393E" w14:textId="77777777" w:rsidR="00761800" w:rsidRPr="00761800" w:rsidRDefault="00761800" w:rsidP="00761800">
      <w:pPr>
        <w:spacing w:after="200"/>
        <w:jc w:val="both"/>
        <w:rPr>
          <w:rFonts w:ascii="Times New Roman" w:hAnsi="Times New Roman"/>
          <w:szCs w:val="22"/>
          <w:highlight w:val="yellow"/>
          <w:lang w:eastAsia="bg-BG"/>
        </w:rPr>
      </w:pPr>
      <w:r w:rsidRPr="00761800">
        <w:rPr>
          <w:rFonts w:ascii="Times New Roman" w:hAnsi="Times New Roman"/>
          <w:szCs w:val="22"/>
          <w:lang w:eastAsia="bg-BG"/>
        </w:rPr>
        <w:t>Министерството на финансите ще продължи активното си сътрудничество с международните финансови и кредитни институции с цел осигуряване на необходимото и при възможно най-благоприятни условия външно финансиране и използване на глобалния опит и експертиза на тези институции. С оглед засилване на позициите на страната в международната финансова общност Министерството на финансите ще продължи своето ефективно участие в работните органи на международните финансови институции, както и в работните формати на ЕС по финансовото сътрудничество с тези институции.</w:t>
      </w:r>
    </w:p>
    <w:p w14:paraId="5796C62E" w14:textId="77777777" w:rsidR="00761800" w:rsidRPr="00761800" w:rsidRDefault="00761800" w:rsidP="00761800">
      <w:pPr>
        <w:spacing w:after="200"/>
        <w:jc w:val="both"/>
        <w:rPr>
          <w:rFonts w:ascii="Times New Roman" w:hAnsi="Times New Roman"/>
          <w:b/>
          <w:sz w:val="20"/>
          <w:lang w:eastAsia="bg-BG"/>
        </w:rPr>
      </w:pPr>
      <w:bookmarkStart w:id="325" w:name="_Toc209695765"/>
      <w:r w:rsidRPr="00761800">
        <w:rPr>
          <w:rFonts w:ascii="Times New Roman" w:hAnsi="Times New Roman"/>
          <w:b/>
          <w:sz w:val="20"/>
          <w:lang w:eastAsia="bg-BG"/>
        </w:rPr>
        <w:t>ВИЗИЯ ЗА РАЗВИТИЕТО НА ПОЛИТИКАТА В ОБЛАСТТА НА ЕФЕКТИВНОТО СЪБИРАНЕ НА ВСИЧКИ ДЪРЖАВНИ ПРИХОДИ</w:t>
      </w:r>
      <w:bookmarkEnd w:id="325"/>
    </w:p>
    <w:p w14:paraId="4E3DB790" w14:textId="77777777" w:rsidR="00761800" w:rsidRPr="00761800" w:rsidRDefault="00761800" w:rsidP="00761800">
      <w:pPr>
        <w:spacing w:after="200"/>
        <w:jc w:val="both"/>
        <w:rPr>
          <w:rFonts w:ascii="Times New Roman" w:hAnsi="Times New Roman"/>
          <w:i/>
          <w:szCs w:val="22"/>
          <w:lang w:eastAsia="bg-BG"/>
        </w:rPr>
      </w:pPr>
      <w:r w:rsidRPr="00761800">
        <w:rPr>
          <w:rFonts w:ascii="Times New Roman" w:hAnsi="Times New Roman"/>
          <w:szCs w:val="22"/>
          <w:lang w:eastAsia="bg-BG"/>
        </w:rPr>
        <w:t xml:space="preserve">През периода 2026-2028 г. провежданата от Министерството на финансите данъчна политика е ориентирана към постигане на макроикономическа и бюджетна стабилност в средносрочен и дългосрочен план и осигуряване на необходимия финансов ресурс за изпълнение на разходните политики на правителството. Политиката в областта на данъците се характеризира с предвидимост, като същевременно се насърчава развитието на бизнеса и инвестиционната активност, стимулират се иновациите, енергийната ефективност и заетостта. В международен аспект, данъчната политика на страната е насочена в подкрепа на функционирането на единния пазар на Европейския съюз, успешното осъществяване на цифровата трансформация на обществото и икономиката в Европа и на дейностите по справяне с климата и околната среда. През периода Министерството на финансите ще продължи активно да участва в структурите и </w:t>
      </w:r>
      <w:r w:rsidRPr="00761800">
        <w:rPr>
          <w:rFonts w:ascii="Times New Roman" w:hAnsi="Times New Roman"/>
          <w:szCs w:val="22"/>
          <w:lang w:eastAsia="bg-BG"/>
        </w:rPr>
        <w:lastRenderedPageBreak/>
        <w:t>дейността на ЕС, както и в дейността на работните органи и инициативи на Организацията за икономическо сътрудничество и развитие (ОИСР) в областта на данъците и административното сътрудничество и обмен на информация за данъчни цели.</w:t>
      </w:r>
    </w:p>
    <w:p w14:paraId="30B7FBE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Основните цели на данъчната политика през периода са подобряване на събираемостта на приходите, справяне със сенчестата икономика и намаляване на административната тежест и разходите за бизнеса и гражданите.</w:t>
      </w:r>
    </w:p>
    <w:p w14:paraId="1D46EE8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Основни инструменти за постигане на поставените цели са реализирането на законодателни промени и административни мерки за ограничаване на данъчните измами, предотвратяване на възможностите за укриване и невнасяне на данъци и отклонение от данъчно облагане чрез засилено взаимодействие между институциите и обмен на информация в национален и в международен мащаб. Повечето от мерките в областта на данъчната политика са постоянни и са включени в стратегическите и оперативните документи на съответните звена, които всяка от отговорните институции разработва и прилага.</w:t>
      </w:r>
    </w:p>
    <w:p w14:paraId="4538D02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През прогнозния период се запазва приоритетът за намаляване на административната тежест и разходите за бизнеса и гражданите, като се разработват и внедряват нови електронни услуги от приходните администрации по предоставяне на интегрирана информация на задължените лица и на други институции, облекчаване на процеса на попълване и подаване на декларациите от страна на задължените лица, съкращаване на срокове за извършване на услуги от приходните агенции, осигуряване на възможност за плащане на задължения с платежни карти чрез виртуален ПОС-терминал. Продължава прилагането на мерки за насърчаване на доброволно спазване на законодателството, насочени към повишаване качеството на обслужване, стимулиране на доброволното изпълнение, чрез въвеждане на различни отстъпки при спазване сроковете за деклариране и плащане на данъци и осигурителни вноски, подобряване на данъчно-осигурителната култура на клиентите и намаляване на разходите както на гражданите, така и на администрацията.</w:t>
      </w:r>
    </w:p>
    <w:p w14:paraId="2F96940E" w14:textId="77777777" w:rsidR="00761800" w:rsidRPr="00761800" w:rsidRDefault="00761800" w:rsidP="00761800">
      <w:pPr>
        <w:spacing w:after="200"/>
        <w:jc w:val="both"/>
        <w:rPr>
          <w:rFonts w:ascii="Times New Roman" w:hAnsi="Times New Roman"/>
          <w:b/>
          <w:sz w:val="20"/>
          <w:lang w:eastAsia="bg-BG"/>
        </w:rPr>
      </w:pPr>
      <w:bookmarkStart w:id="326" w:name="_Toc161235702"/>
      <w:bookmarkStart w:id="327" w:name="_Toc209695766"/>
      <w:r w:rsidRPr="00761800">
        <w:rPr>
          <w:rFonts w:ascii="Times New Roman" w:hAnsi="Times New Roman"/>
          <w:b/>
          <w:sz w:val="20"/>
          <w:lang w:eastAsia="bg-BG"/>
        </w:rPr>
        <w:t>ВИЗИЯ ЗА РАЗВИТИЕТО НА ПОЛИТИКАТА В ОБЛАСТТА НА ЗАЩИТАТА НА ОБЩЕСТВОТО И ИКОНОМИКАТА ОТ ФИНАНСОВИ ИЗМАМИ, КОНТРАБАНДА НА СТОКИ, ИЗПИРАНЕ НА ПАРИ И ФИНАНСИРАНЕ НА ТЕРОРИЗМА</w:t>
      </w:r>
      <w:bookmarkEnd w:id="326"/>
      <w:bookmarkEnd w:id="327"/>
    </w:p>
    <w:p w14:paraId="3EBAAAC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Една от основните цели на администрацията на Министерството на финансите е да подпомага министъра на финансите при формирането и осъществяването на държавната политика в областта на финансовите пазари и финансовите услуги чрез изграждане на прозрачни и сигурни финансови пазари и повишаване качеството на финансовите услуги. </w:t>
      </w:r>
    </w:p>
    <w:p w14:paraId="1A36C8B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Приоритетите на администрацията на министерството за периода 2026-2028 г. ще продължат да бъдат насочени към интегрирането на финансовата система на страната във финансовата система на ЕС чрез прилагане на европейските политики и практики в областта на финансовите пазари и финансовите услуги при максимална защита на националните интереси и гарантиране на финансовата стабилност.</w:t>
      </w:r>
    </w:p>
    <w:p w14:paraId="42BF23A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За реализиране целите на тази област на политика Министерството на финансите ще продължи да си взаимодейства с всички национални и международни структури и организации, имащи отношение към финансовата система и гарантирането на финансовата ѝ стабилност, в т.ч. финансовите услуги и движението на капитали.</w:t>
      </w:r>
    </w:p>
    <w:p w14:paraId="39C83562" w14:textId="77777777" w:rsidR="00761800" w:rsidRPr="00761800" w:rsidRDefault="00761800" w:rsidP="00761800">
      <w:pPr>
        <w:spacing w:after="120"/>
        <w:jc w:val="both"/>
        <w:rPr>
          <w:rFonts w:ascii="Times New Roman" w:hAnsi="Times New Roman"/>
          <w:szCs w:val="24"/>
          <w:lang w:eastAsia="bg-BG"/>
        </w:rPr>
      </w:pPr>
      <w:r w:rsidRPr="00761800">
        <w:rPr>
          <w:rFonts w:ascii="Times New Roman" w:hAnsi="Times New Roman"/>
          <w:szCs w:val="24"/>
          <w:lang w:eastAsia="bg-BG"/>
        </w:rPr>
        <w:lastRenderedPageBreak/>
        <w:t>В отговор на предизвикателствата на непрекъснато променящите се условия при осъществяването на контрола за защита на финансовите, социалните и икономическите интереси на ЕС, без да се създават ненужни пречки пред легалния бизнес, българската митническа администрация, ще работи за постигането на общите стратегически цели на Митническия съюз.</w:t>
      </w:r>
    </w:p>
    <w:p w14:paraId="50B4B768" w14:textId="77777777" w:rsidR="00761800" w:rsidRPr="00761800" w:rsidRDefault="00761800" w:rsidP="00761800">
      <w:pPr>
        <w:spacing w:after="120"/>
        <w:jc w:val="both"/>
        <w:rPr>
          <w:rFonts w:ascii="Times New Roman" w:hAnsi="Times New Roman"/>
          <w:szCs w:val="24"/>
          <w:lang w:eastAsia="bg-BG"/>
        </w:rPr>
      </w:pPr>
      <w:r w:rsidRPr="00761800">
        <w:rPr>
          <w:rFonts w:ascii="Times New Roman" w:hAnsi="Times New Roman"/>
          <w:szCs w:val="24"/>
          <w:lang w:eastAsia="bg-BG"/>
        </w:rPr>
        <w:t>За изпълнението на тези стратегически цели в тясно сътрудничество с митническите администрации на останалите държави членки, с правоприлагащи органи и с икономическите оператори Агенция „Митници” си е поставила следните приоритетни цели:</w:t>
      </w:r>
    </w:p>
    <w:p w14:paraId="3FED0392" w14:textId="77777777" w:rsidR="00761800" w:rsidRPr="00761800" w:rsidRDefault="00761800" w:rsidP="00F64909">
      <w:pPr>
        <w:numPr>
          <w:ilvl w:val="0"/>
          <w:numId w:val="30"/>
        </w:numPr>
        <w:spacing w:after="120"/>
        <w:ind w:left="851" w:hanging="425"/>
        <w:jc w:val="both"/>
        <w:rPr>
          <w:rFonts w:ascii="Times New Roman" w:hAnsi="Times New Roman"/>
          <w:szCs w:val="22"/>
          <w:lang w:eastAsia="bg-BG"/>
        </w:rPr>
      </w:pPr>
      <w:r w:rsidRPr="00761800">
        <w:rPr>
          <w:rFonts w:ascii="Times New Roman" w:hAnsi="Times New Roman"/>
          <w:color w:val="000000"/>
          <w:szCs w:val="24"/>
          <w:lang w:eastAsia="bg-BG"/>
        </w:rPr>
        <w:t>Повишаване на приходите в държавния бюджет чрез ефективна превенция и борба с митническите и данъчните измами, отклонението от данъчно облагане и др.</w:t>
      </w:r>
      <w:r w:rsidRPr="00761800">
        <w:rPr>
          <w:rFonts w:ascii="Times New Roman" w:hAnsi="Times New Roman"/>
          <w:szCs w:val="24"/>
          <w:lang w:eastAsia="bg-BG"/>
        </w:rPr>
        <w:t xml:space="preserve"> </w:t>
      </w:r>
      <w:r w:rsidRPr="00761800">
        <w:rPr>
          <w:rFonts w:ascii="Times New Roman" w:hAnsi="Times New Roman"/>
          <w:color w:val="000000"/>
          <w:szCs w:val="24"/>
          <w:lang w:eastAsia="bg-BG"/>
        </w:rPr>
        <w:t>Насърчаване на спазването на разпоредбите</w:t>
      </w:r>
      <w:r w:rsidRPr="00761800">
        <w:rPr>
          <w:rFonts w:ascii="Times New Roman" w:hAnsi="Times New Roman"/>
          <w:szCs w:val="24"/>
          <w:lang w:eastAsia="bg-BG"/>
        </w:rPr>
        <w:t>;</w:t>
      </w:r>
    </w:p>
    <w:p w14:paraId="02AEDC5F" w14:textId="77777777" w:rsidR="00761800" w:rsidRPr="00761800" w:rsidRDefault="00761800" w:rsidP="00F64909">
      <w:pPr>
        <w:numPr>
          <w:ilvl w:val="0"/>
          <w:numId w:val="30"/>
        </w:numPr>
        <w:spacing w:after="120"/>
        <w:ind w:left="851" w:hanging="425"/>
        <w:jc w:val="both"/>
        <w:rPr>
          <w:rFonts w:ascii="Times New Roman" w:hAnsi="Times New Roman"/>
          <w:color w:val="000000"/>
          <w:szCs w:val="24"/>
          <w:lang w:eastAsia="bg-BG"/>
        </w:rPr>
      </w:pPr>
      <w:r w:rsidRPr="00761800">
        <w:rPr>
          <w:rFonts w:ascii="Times New Roman" w:hAnsi="Times New Roman"/>
          <w:color w:val="000000"/>
          <w:szCs w:val="24"/>
          <w:lang w:eastAsia="bg-BG"/>
        </w:rPr>
        <w:t>Гарантиране на растежа и конкурентоспособността на националната и европейска икономика. Управление на риска;</w:t>
      </w:r>
    </w:p>
    <w:p w14:paraId="0948E44F" w14:textId="77777777" w:rsidR="00761800" w:rsidRPr="00761800" w:rsidRDefault="00761800" w:rsidP="00F64909">
      <w:pPr>
        <w:numPr>
          <w:ilvl w:val="0"/>
          <w:numId w:val="30"/>
        </w:numPr>
        <w:spacing w:after="120"/>
        <w:ind w:left="851" w:hanging="425"/>
        <w:jc w:val="both"/>
        <w:rPr>
          <w:rFonts w:ascii="Times New Roman" w:hAnsi="Times New Roman"/>
          <w:color w:val="000000"/>
          <w:szCs w:val="24"/>
          <w:lang w:eastAsia="bg-BG"/>
        </w:rPr>
      </w:pPr>
      <w:r w:rsidRPr="00761800">
        <w:rPr>
          <w:rFonts w:ascii="Times New Roman" w:hAnsi="Times New Roman"/>
          <w:color w:val="000000"/>
          <w:szCs w:val="24"/>
          <w:lang w:eastAsia="bg-BG"/>
        </w:rPr>
        <w:t>Защита на гражданите и финансовите интереси на ЕС и неговите държави членки;</w:t>
      </w:r>
      <w:r w:rsidRPr="00761800" w:rsidDel="002B7580">
        <w:rPr>
          <w:rFonts w:ascii="Times New Roman" w:hAnsi="Times New Roman"/>
          <w:color w:val="000000"/>
          <w:szCs w:val="24"/>
          <w:lang w:eastAsia="bg-BG"/>
        </w:rPr>
        <w:t xml:space="preserve"> </w:t>
      </w:r>
    </w:p>
    <w:p w14:paraId="4C6B5C3B" w14:textId="77777777" w:rsidR="00761800" w:rsidRPr="00761800" w:rsidRDefault="00761800" w:rsidP="00F64909">
      <w:pPr>
        <w:numPr>
          <w:ilvl w:val="0"/>
          <w:numId w:val="30"/>
        </w:numPr>
        <w:spacing w:after="120"/>
        <w:ind w:left="851" w:hanging="425"/>
        <w:jc w:val="both"/>
        <w:rPr>
          <w:rFonts w:ascii="Times New Roman" w:hAnsi="Times New Roman"/>
          <w:color w:val="000000"/>
          <w:szCs w:val="24"/>
          <w:lang w:eastAsia="bg-BG"/>
        </w:rPr>
      </w:pPr>
      <w:r w:rsidRPr="00761800">
        <w:rPr>
          <w:rFonts w:ascii="Times New Roman" w:hAnsi="Times New Roman"/>
          <w:color w:val="000000"/>
          <w:szCs w:val="24"/>
          <w:lang w:eastAsia="bg-BG"/>
        </w:rPr>
        <w:t>Осигуряване на пълноценно функциониране на електронното управление. Управление на електронната търговия;</w:t>
      </w:r>
    </w:p>
    <w:p w14:paraId="4DBE1060" w14:textId="77777777" w:rsidR="00761800" w:rsidRPr="00761800" w:rsidRDefault="00761800" w:rsidP="00F64909">
      <w:pPr>
        <w:numPr>
          <w:ilvl w:val="0"/>
          <w:numId w:val="30"/>
        </w:numPr>
        <w:spacing w:after="120"/>
        <w:ind w:left="851" w:hanging="425"/>
        <w:jc w:val="both"/>
        <w:rPr>
          <w:rFonts w:ascii="Times New Roman" w:hAnsi="Times New Roman"/>
          <w:color w:val="000000"/>
          <w:szCs w:val="24"/>
          <w:lang w:eastAsia="bg-BG"/>
        </w:rPr>
      </w:pPr>
      <w:r w:rsidRPr="00761800">
        <w:rPr>
          <w:rFonts w:ascii="Times New Roman" w:hAnsi="Times New Roman"/>
          <w:color w:val="000000"/>
          <w:szCs w:val="24"/>
          <w:lang w:eastAsia="bg-BG"/>
        </w:rPr>
        <w:t>Поддържане, развитие и засилване на сътрудничеството с митническите органи на държавите членки, с другите правоприлагащи органи, с икономическите оператори и с обществеността. Митнически органи на държавите членки, които действат като едно цяло;</w:t>
      </w:r>
    </w:p>
    <w:p w14:paraId="0F871256" w14:textId="77777777" w:rsidR="00761800" w:rsidRPr="00761800" w:rsidRDefault="00761800" w:rsidP="00F64909">
      <w:pPr>
        <w:numPr>
          <w:ilvl w:val="0"/>
          <w:numId w:val="30"/>
        </w:numPr>
        <w:spacing w:after="120"/>
        <w:ind w:left="851" w:hanging="425"/>
        <w:jc w:val="both"/>
        <w:rPr>
          <w:rFonts w:ascii="Times New Roman" w:hAnsi="Times New Roman"/>
          <w:szCs w:val="24"/>
          <w:lang w:eastAsia="bg-BG"/>
        </w:rPr>
      </w:pPr>
      <w:r w:rsidRPr="00761800">
        <w:rPr>
          <w:rFonts w:ascii="Times New Roman" w:hAnsi="Times New Roman"/>
          <w:szCs w:val="24"/>
          <w:lang w:eastAsia="bg-BG"/>
        </w:rPr>
        <w:t>Предоставяне на обучение, съобразено с европейските стандарти, в контекста на стратегическата рамка на компетентностите в  митническата професия.</w:t>
      </w:r>
    </w:p>
    <w:p w14:paraId="4BD73074" w14:textId="77777777" w:rsidR="00761800" w:rsidRPr="00761800" w:rsidRDefault="00761800" w:rsidP="00761800">
      <w:pPr>
        <w:spacing w:after="200"/>
        <w:jc w:val="both"/>
        <w:rPr>
          <w:rFonts w:ascii="Times New Roman" w:hAnsi="Times New Roman"/>
          <w:b/>
          <w:sz w:val="20"/>
          <w:lang w:eastAsia="bg-BG"/>
        </w:rPr>
      </w:pPr>
      <w:bookmarkStart w:id="328" w:name="_Toc209695767"/>
    </w:p>
    <w:p w14:paraId="196AA95C" w14:textId="77777777" w:rsidR="00761800" w:rsidRPr="00761800" w:rsidRDefault="00761800" w:rsidP="00761800">
      <w:pPr>
        <w:spacing w:after="200"/>
        <w:jc w:val="both"/>
        <w:rPr>
          <w:rFonts w:ascii="Times New Roman" w:hAnsi="Times New Roman"/>
          <w:b/>
          <w:sz w:val="20"/>
          <w:lang w:eastAsia="bg-BG"/>
        </w:rPr>
      </w:pPr>
      <w:r w:rsidRPr="00761800">
        <w:rPr>
          <w:rFonts w:ascii="Times New Roman" w:hAnsi="Times New Roman"/>
          <w:b/>
          <w:sz w:val="20"/>
          <w:lang w:eastAsia="bg-BG"/>
        </w:rPr>
        <w:t>ВИЗИЯ ЗА РАЗВИТИЕТО НА ПОЛИТИКАТА В ОБЛАСТТА НА УПРАВЛЕНИЕТО НА ДЪЛГА</w:t>
      </w:r>
      <w:bookmarkEnd w:id="328"/>
    </w:p>
    <w:p w14:paraId="2BEFF26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Основната стратегическа цел на провежданата от МФ политика в областта на управлението на държавния дълг е насочена към осигуряване на необходимите ресурси за рефинансиране на дълга в обращение, финансиране на планирания дефицит по държавния бюджет и подкрепа на ликвидността. Усилията ще бъдат съсредоточени в посока обезпечаване на възможности за пазарно-ориентирано финансиране както на местния, така и на международните капиталови пазари и договаряне на държавни заеми по линия на инструменти на Европейския съюз и от международни финансови институции, включително за финансиране на проекти и програми, при спазване на годишните дългови ограничения. </w:t>
      </w:r>
    </w:p>
    <w:p w14:paraId="2F3269C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в областта на управлението на държавния дълг през следващите години ще бъде съобразена с конкретните пазарни условия и ще цели минимизиране на ликвидните рискове при изпълнението на бюджета и запазване устойчивостта на основните дългови параметри. Определянето на конкретните характеристики на новопоетия дълг ще бъде съобразено с настоящата пазарна конюнктура и профила на дълга в обращение, при отчитане на възможностите за намаляване на риска при рефинансирането на държавния дълг и избягване на допълнителна концентрация на плащания в годините с натоварен погасителен профил.</w:t>
      </w:r>
    </w:p>
    <w:p w14:paraId="3C10B868" w14:textId="77777777" w:rsidR="00761800" w:rsidRPr="00761800" w:rsidRDefault="00761800" w:rsidP="00761800">
      <w:pPr>
        <w:spacing w:after="200"/>
        <w:jc w:val="both"/>
        <w:rPr>
          <w:rFonts w:ascii="Times New Roman" w:hAnsi="Times New Roman"/>
          <w:b/>
          <w:bCs/>
          <w:szCs w:val="22"/>
          <w:lang w:eastAsia="bg-BG"/>
        </w:rPr>
      </w:pPr>
      <w:r w:rsidRPr="00761800">
        <w:rPr>
          <w:rFonts w:ascii="Times New Roman" w:hAnsi="Times New Roman"/>
          <w:b/>
          <w:bCs/>
          <w:szCs w:val="22"/>
          <w:lang w:eastAsia="bg-BG"/>
        </w:rPr>
        <w:t>Сметна палата</w:t>
      </w:r>
    </w:p>
    <w:p w14:paraId="687F41B3"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lastRenderedPageBreak/>
        <w:t xml:space="preserve">Сметната палата на Република България е държавен орган за независим външен одит в публичния сектор, създаден по силата на чл. 91 от Конституцията на Република България, който при осъществяването на своята дейност се отчита пред Народното събрание. Основна задача на Сметната палата е да контролира надеждността и достоверността на финансовите отчети на бюджетните организации, законосъобразното, ефективно, ефикасно и икономично управление на публичните средства и дейности. </w:t>
      </w:r>
    </w:p>
    <w:p w14:paraId="75085AA6"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Предвид спецификата в дейността и функциите на Сметната палата, проектът на бюджетна прогноза за периода 2026-2028 г. е изготвен при спазване на приложените най-добри международни практики – Методология за стратегическо планиране и Наръчник за извършване на оценка за потребностите от изграждане на капацитет във върховните одитни институции, разработени от Инициативата на ИНТОСАЙ за развитие (IDI). </w:t>
      </w:r>
    </w:p>
    <w:p w14:paraId="5C8A7E5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Основните параметри, посочени в проекта на бюджетната прогноза за периода 2026-2028 г., обхващат разходите за ръководните органи, одитния състав, изнесените работни места и администрацията на Сметната палата.</w:t>
      </w:r>
    </w:p>
    <w:p w14:paraId="481E19D6"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Планираните за периода 2026-2028 г. бюджетни разходи са обвързани с основните стратегически приоритети и цели, които Сметната палата (СП) изпълнява в съответствие със законовите си правомощия. Разходните разчети на СП имат своето нормативно основание, посочено в Закона за Сметната палата, Правилника за устройството и организацията на дейността на Сметната палата, като са взети предвид и Програмата за одитната дейност, програмите за обучение и международна дейност и други програми.</w:t>
      </w:r>
    </w:p>
    <w:p w14:paraId="45D20A19"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Финансово осигуряване на дейността на държавни органи</w:t>
      </w:r>
    </w:p>
    <w:p w14:paraId="25DA3561" w14:textId="77777777" w:rsidR="00761800" w:rsidRPr="00761800" w:rsidRDefault="00761800" w:rsidP="00761800">
      <w:pPr>
        <w:spacing w:after="200"/>
        <w:jc w:val="both"/>
        <w:rPr>
          <w:rFonts w:ascii="Times New Roman" w:hAnsi="Times New Roman"/>
          <w:b/>
          <w:szCs w:val="24"/>
          <w:lang w:eastAsia="bg-BG"/>
        </w:rPr>
      </w:pPr>
      <w:r w:rsidRPr="00761800">
        <w:rPr>
          <w:rFonts w:ascii="Times New Roman" w:hAnsi="Times New Roman"/>
          <w:b/>
          <w:szCs w:val="24"/>
          <w:lang w:eastAsia="bg-BG"/>
        </w:rPr>
        <w:t>Народно събрание</w:t>
      </w:r>
    </w:p>
    <w:p w14:paraId="3F3E8AFA"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Планираните за периода 2026-2028 г. консолидирани бюджетни разходи са обвързани със стратегическите цели и приоритети по основни функционални области и програми, които Народното събрание изпълнява в съответствие с конституционните си правомощия. Стратегическите цели на Народното събрание за посочения период са насочени към повишаване качеството на приеманите закони; осигуряване на ефективно представителство, публичност и прозрачност на дейността на Народното събрание; повишаване на ефикасността на парламентарния контрол; приоритизиране на международната дейност на Народното събрание и засилване на междупарламентарното сътрудничество, както и повишаване на тежестта на електронния обмен в дейността на Народното събрание.</w:t>
      </w:r>
    </w:p>
    <w:p w14:paraId="5D667043" w14:textId="77777777" w:rsidR="00761800" w:rsidRPr="00761800" w:rsidRDefault="00761800" w:rsidP="00761800">
      <w:pPr>
        <w:spacing w:after="200"/>
        <w:jc w:val="both"/>
        <w:rPr>
          <w:rFonts w:ascii="Times New Roman" w:hAnsi="Times New Roman"/>
          <w:b/>
          <w:szCs w:val="24"/>
          <w:lang w:eastAsia="bg-BG"/>
        </w:rPr>
      </w:pPr>
      <w:r w:rsidRPr="00761800">
        <w:rPr>
          <w:rFonts w:ascii="Times New Roman" w:hAnsi="Times New Roman"/>
          <w:b/>
          <w:szCs w:val="24"/>
          <w:lang w:eastAsia="bg-BG"/>
        </w:rPr>
        <w:t>Министерски съвет</w:t>
      </w:r>
    </w:p>
    <w:p w14:paraId="3DED9335"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управлението на средствата от Европейския съюз</w:t>
      </w:r>
    </w:p>
    <w:p w14:paraId="5E351C10"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Визията за развитието на политиката е създаване на условия за устойчив икономически растеж чрез подкрепа за изграждане на конкурентоспособна икономика, базирана на знанието и иновациите, повишаване на трудовата заетост, насърчаване на социалното включване и териториалното сближаване.</w:t>
      </w:r>
    </w:p>
    <w:p w14:paraId="36827A6A" w14:textId="77777777" w:rsidR="00761800" w:rsidRPr="00761800" w:rsidRDefault="00761800" w:rsidP="00761800">
      <w:pPr>
        <w:spacing w:after="200"/>
        <w:jc w:val="both"/>
        <w:rPr>
          <w:rFonts w:ascii="Times New Roman" w:hAnsi="Times New Roman"/>
          <w:b/>
          <w:bCs/>
          <w:iCs/>
          <w:szCs w:val="24"/>
          <w:lang w:eastAsia="bg-BG"/>
        </w:rPr>
      </w:pPr>
      <w:r w:rsidRPr="00761800">
        <w:rPr>
          <w:rFonts w:ascii="Times New Roman" w:hAnsi="Times New Roman"/>
          <w:szCs w:val="24"/>
          <w:lang w:eastAsia="bg-BG"/>
        </w:rPr>
        <w:t xml:space="preserve">Осигуряване на подкрепа за постигане целите на Споразумението за партньорство  и програмите за изпълнение на многогодишната финансова рама за периода 2021-2027 г.; допринасяне за ефективното и координирано прилагане на политиката на сближаване с </w:t>
      </w:r>
      <w:r w:rsidRPr="00761800">
        <w:rPr>
          <w:rFonts w:ascii="Times New Roman" w:hAnsi="Times New Roman"/>
          <w:szCs w:val="24"/>
          <w:lang w:eastAsia="bg-BG"/>
        </w:rPr>
        <w:lastRenderedPageBreak/>
        <w:t>акцент върху укрепването на административния капацитет на националните органи, бенефициентите и партньорите по програмите от Споразумението за партньорство; ангажиране на социално-икономическите партньори и организации на гражданското общество за добро управление на средствата от Европейските фондове при споделено управление; и осигуряване на видимост, прозрачност и комуникация на подкрепата от Програма „Техническа помощ“.</w:t>
      </w:r>
    </w:p>
    <w:p w14:paraId="469EFDDD"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осъществяването на държавните функции на територията на областите в България</w:t>
      </w:r>
    </w:p>
    <w:p w14:paraId="5C7DDA74" w14:textId="77777777" w:rsidR="00761800" w:rsidRPr="00761800" w:rsidRDefault="00761800" w:rsidP="00761800">
      <w:pPr>
        <w:spacing w:after="200"/>
        <w:jc w:val="both"/>
        <w:rPr>
          <w:rFonts w:ascii="Times New Roman" w:hAnsi="Times New Roman"/>
          <w:bCs/>
          <w:iCs/>
          <w:szCs w:val="24"/>
          <w:lang w:eastAsia="bg-BG"/>
        </w:rPr>
      </w:pPr>
      <w:r w:rsidRPr="00761800">
        <w:rPr>
          <w:rFonts w:ascii="Times New Roman" w:hAnsi="Times New Roman"/>
          <w:bCs/>
          <w:iCs/>
          <w:szCs w:val="24"/>
          <w:lang w:eastAsia="bg-BG"/>
        </w:rPr>
        <w:t>Областите са административно-териториални единици за провеждане на регионална политика, за осъществяване на държавно управление по места и за осигуряване на съответствие между националните и местните интереси. Стратегическата цел е провеждане на ефективна регионална политика и държавно управление по места, осигуряване на съответствие между националните и местните интереси, с оглед създаване на благоприятна среда за живот и модернизация на инфраструктурата, осигуряваща условия за растеж, заетост и подобряване качеството на живот.</w:t>
      </w:r>
    </w:p>
    <w:p w14:paraId="633285CE"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правото на вероизповедание</w:t>
      </w:r>
    </w:p>
    <w:p w14:paraId="24441EB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Политиката в областта на вероизповеданията се регламентира от Конституцията на Република България и Закона за вероизповеданията. Законодателството на страната ни в тази област е едно от най-новите и либерални в Европейския съюз. Законът за вероизповеданията е получил положителна оценка от Европейската комисия, което е доказателство, че предначертаната и провеждана политика на държавата в тази насока не се нуждае от корекции на този етап.</w:t>
      </w:r>
    </w:p>
    <w:p w14:paraId="645BBF2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Стратегическата цел е свободно и безпрепятствено упражняване на правото на вероизповедание, поддържане на търпимост и уважение между вярващите от различните вероизповедания, както и между вярващи и невярващи в дългосрочен план.</w:t>
      </w:r>
    </w:p>
    <w:p w14:paraId="2EC219FC" w14:textId="77777777" w:rsidR="00761800" w:rsidRPr="00761800" w:rsidRDefault="00761800" w:rsidP="00761800">
      <w:pPr>
        <w:keepNext/>
        <w:keepLines/>
        <w:numPr>
          <w:ilvl w:val="3"/>
          <w:numId w:val="0"/>
        </w:numPr>
        <w:spacing w:before="240" w:after="240"/>
        <w:ind w:left="864" w:hanging="864"/>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Политика в областта на архивното дело</w:t>
      </w:r>
    </w:p>
    <w:p w14:paraId="676B9CF4"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Cs/>
          <w:szCs w:val="24"/>
          <w:lang w:eastAsia="bg-BG"/>
        </w:rPr>
        <w:t>Държавната агенция „Архиви” (ДАА) провежда държавната политика в областта на подбора, комплектуването, регистрирането, обработването, опазването, съхраняването и използването на документите от Националния архивен фонд (НАФ), както и в областта на развитието и усъвършенстването на архивното дело. Дейността на ДАА е насочена към подобряване управлението на НАФ чрез осигуряване на необходими нормативни актове. Изготвянето на конкретни предложения за промени в правната рамка е продиктувано от необходимостта за преодоляване на идентифицираните проблеми в регулирането на законово и подзаконово ниво. В съответствие със своите компетенции ДАА има ангажимент за разработването и актуализирането на нормативни и методически документи, свързани с процесите по организация, експертиза, съхранение и използване на електронните документи в държавните и общинските институции, както и по предаване, опазване, съхранение и използване на ценните електронни документи в държавните архиви чрез Система за е-архивиране. В изпълнение на държавната политика за насърчаване, въвеждане и използване на инструментите на електронното управление от държавната администрация се цели повишаване на ефективността на предоставените услуги, както и насърчаване прозрачността във взаимоотношенията между администрацията и потребителите.</w:t>
      </w:r>
    </w:p>
    <w:p w14:paraId="267136A0"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lastRenderedPageBreak/>
        <w:t>Централна избирателна комисия</w:t>
      </w:r>
    </w:p>
    <w:p w14:paraId="604966DF"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Централната избирателна комисия организира и произвежда законосъобразни, честни и свободни избори и национални референдуми за осигуряване правото на всеки избирател да упражни правото си на глас и работи за повишаване на доверието в изборния процес. За периода 2026-2028 г. са разчетени разходи за изпълнението на дейността на Централната избирателна комисия като постоянно действащ независим държавен орган, насочен към организиране и произвеждане на законосъобразни избори и референдуми, разработени съобразно Изборния кодекс, при спазване принципите на върховенство на закона, публичност и прозрачност.</w:t>
      </w:r>
    </w:p>
    <w:p w14:paraId="7AFC758A"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За периода 2026-2028 г. са предвидени разходи за подготовката и произвеждането на избори съгласно Изборния кодекс.</w:t>
      </w:r>
    </w:p>
    <w:p w14:paraId="42362AFD"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Държавна комисия по сигурността на информацията</w:t>
      </w:r>
    </w:p>
    <w:p w14:paraId="331C0F7E"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Държавната комисия по сигурността на информацията осъществява политика в областта на защитата на класифицираната информация. Необходимостта от защита на класифицираната информация се поражда от значението й за националната сигурност на Република България. Ограничаването на достъпа до класифицирана информация цели да предотврати заплахата или увреждането на интересите на страната, свързани със суверенитета, независимостта, териториалната цялост, отбраната, конституционно-установения ред, външната политика и международните отношения. </w:t>
      </w:r>
    </w:p>
    <w:p w14:paraId="568B179C"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Държавната комисия по сигурността на информацията отговаря за организирането, осъществяването, координирането и контролирането на дейностите по защитата на класифицираната информация и осигуряването на цялостната ѝ защита в национален и международен план. </w:t>
      </w:r>
    </w:p>
    <w:p w14:paraId="31159669"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Стратегическите цели на Държавната комисия по сигурността на информацията включват:</w:t>
      </w:r>
    </w:p>
    <w:p w14:paraId="243812B6"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 xml:space="preserve">Защита на класифицираната информация от нерегламентиран достъп; </w:t>
      </w:r>
    </w:p>
    <w:p w14:paraId="16329E6C"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Усъвършенстване, развитие, координация и общ контрол на системата за защита на класифицираната информация по персонална, документална, физическа, индустриална сигурност, сигурност на комуникационните и информационни системи (КИС) и криптографска сигурност;</w:t>
      </w:r>
    </w:p>
    <w:p w14:paraId="2EF44198"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Усъвършенстване на системата за обучение по защита на класифицирана информация с цел изграждане на съзнание за сигурност сред лицата, ангажирани по Закона за защита на класифицираната информация (ЗЗКИ);</w:t>
      </w:r>
    </w:p>
    <w:p w14:paraId="6B852C13"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Подобряване на институционалния и административен капацитет на Държавната комисия по сигурността на информацията за успешно изпълнение на мисията и функциите.</w:t>
      </w:r>
    </w:p>
    <w:p w14:paraId="6EF8B628"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Бюджетната прогноза за периода 2026-2028 г. на Държавната комисия по сигурността на информацията цели финансовото осигуряване на нейната дейност, което ще гарантира устойчивост в изпълнението на приоритетите и заложените цели през посочения период.</w:t>
      </w:r>
    </w:p>
    <w:p w14:paraId="5671140A"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Комисия за защита от дискриминация</w:t>
      </w:r>
    </w:p>
    <w:p w14:paraId="4B1AB90C"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lastRenderedPageBreak/>
        <w:t>Комисията наблюдава и контролира спазването на Закона за защита от дискриминация и съответствието на новоприетото законодателство в страната и на подзаконовата нормативна уредба с неговите антидискриминационни разпоредби. Осъществява наблюдение и предприема мерки за съответствие на българското антидискриминационно законодателство с правото на ЕС и международноправните актове. Осъществява и координира международното сътрудничество в областта на антидискриминационната политика на Република България с международни органи и организации, както и със сходни чуждестранни институции. Комисията се явява и като национален орган по правата на човека към ООН.</w:t>
      </w:r>
    </w:p>
    <w:p w14:paraId="5B39CD09"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Администрация на президента</w:t>
      </w:r>
    </w:p>
    <w:p w14:paraId="537BBDA4"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Планираните разходи са обвързани с изпълнението на Програмата за работата на Администрацията на президента по осъществяване на конституционните правомощия на президента и вицепрезидента на Република България в интерес на гражданите и обществото.</w:t>
      </w:r>
    </w:p>
    <w:p w14:paraId="4D272195"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Целите на Програмата включват:</w:t>
      </w:r>
    </w:p>
    <w:p w14:paraId="71402545"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Защита и реализация на националните интереси на Република България чрез активно участие в международните отношения;</w:t>
      </w:r>
    </w:p>
    <w:p w14:paraId="44E2C798"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Устойчиво развитие на българската нация и държава;</w:t>
      </w:r>
    </w:p>
    <w:p w14:paraId="4B0FF20D"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Защита на националната сигурност и териториалната цялост на Република България - президентът върховен главнокомандващ на въоръжените сили на Република България;</w:t>
      </w:r>
    </w:p>
    <w:p w14:paraId="3DC5C2C7"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Усъвършенстване и развитие на съвременна, високо оперативна и функционираща администрация, която напълно да обезпечава организационно, логистично и финансово дейността на президента и вицепрезидента за изпълнение на правомощията им по Конституцията на Република България;</w:t>
      </w:r>
    </w:p>
    <w:p w14:paraId="66CE0EE7"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Поддържане и модернизиране на сградния фонд и прилежащите площи в съответствие с изискванията за представителност.</w:t>
      </w:r>
    </w:p>
    <w:p w14:paraId="0A1EA01E"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Омбудсман</w:t>
      </w:r>
    </w:p>
    <w:p w14:paraId="53F15D76"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Омбудсманът е застъпник на правата на хората и пазител на обществения интерес. Основната функция на омбудсмана е да създава условия за достоен живот на всеки български граждани и защита на неговите права в обществена и институционална среда на респект и уважение към тях. В тази връзка държавата финансира дейността му, която е изключително разнородна и всеобхватна, а основните му инициативи са свързани предимно с:</w:t>
      </w:r>
    </w:p>
    <w:p w14:paraId="6D9B6B67"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Правата на човека в местата за лишаване от свобода;</w:t>
      </w:r>
    </w:p>
    <w:p w14:paraId="7E745210"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Правата на децата;</w:t>
      </w:r>
    </w:p>
    <w:p w14:paraId="4F7D358F"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Правата на хората с увреждания;</w:t>
      </w:r>
    </w:p>
    <w:p w14:paraId="117C91A2"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Правата на потребителите;</w:t>
      </w:r>
    </w:p>
    <w:p w14:paraId="72EBAFCB"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Социалните права на гражданите;</w:t>
      </w:r>
    </w:p>
    <w:p w14:paraId="56C3E493"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lastRenderedPageBreak/>
        <w:t>Здравеопазването;</w:t>
      </w:r>
    </w:p>
    <w:p w14:paraId="3424AF8C"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Образованието;</w:t>
      </w:r>
    </w:p>
    <w:p w14:paraId="7E6F6705"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Собствеността на гражданите;</w:t>
      </w:r>
    </w:p>
    <w:p w14:paraId="12D030DE"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Опазването на околната среда.</w:t>
      </w:r>
    </w:p>
    <w:p w14:paraId="57EF667A"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Основните принципи, от които се ръководи омбудсманът, са безпристрастност, независимост, справедливост, утвърждаване на правова държава, защита на най-добрия интерес на детето, преценка по вътрешно убеждение относно спазването на изискванията за добро управление.</w:t>
      </w:r>
    </w:p>
    <w:p w14:paraId="163B2825"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В своята дейност омбудсманът се подпомага от своята администрация, осъществява сътрудничество със сродни институции в други държави, както и с международни организации, чийто предмет на дейност обхваща защитата на правата на човека. Взаимодейства с местните обществени посредници и други сродни институции в България, осъществява сътрудничество с неправителствени организации, чийто предмет на дейност обхваща защитата на правата на човека.</w:t>
      </w:r>
    </w:p>
    <w:p w14:paraId="767FD467"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С приетия Закон за защита на лицата, подаващи сигнали или публично оповестяващи информация за нарушения, на омбудсмана са вменени нови отговорности, касаещи външното одитиране, извършване на проверки на място, приемане и разглеждане на жалби срещу Комисията за защита на личните данни на лица, подали сигнали, включително за неосигурена защита или нарушения на поверителността на информацията за тях. </w:t>
      </w:r>
    </w:p>
    <w:p w14:paraId="21045FC4"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Параметрите, заложени в бюджетната прогноза, касаещи омбудсмана, целят финансовото осигуряване на дейността му, което ще гарантира устойчивост в изпълнението на приоритетите и заложените цели през периода.</w:t>
      </w:r>
    </w:p>
    <w:p w14:paraId="3FDAAEDB"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Комисия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w:t>
      </w:r>
    </w:p>
    <w:p w14:paraId="4372DA6E"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(КРДОПБГДСРСБНА) е независим държавен орган, който осъществява политиката на Република България за разкриването, обявяването и съхраняването на документите на Държавна сигурност и разузнавателните служби на Българската народна армия съгласно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Планираните разходи са за обезпечаване дейността на 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w:t>
      </w:r>
    </w:p>
    <w:p w14:paraId="283283C1"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Комисия за отнемане на незаконно придобитото имущество</w:t>
      </w:r>
    </w:p>
    <w:p w14:paraId="34F55C21"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Комисията за отнемане на незаконно придобитото имущество (КОНПИ) е независим специализиран постоянно действащ държавен орган за осъществяване на политиката по отнемане на незаконно придобито имущество.</w:t>
      </w:r>
    </w:p>
    <w:p w14:paraId="43DC2FBC"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lastRenderedPageBreak/>
        <w:t>За постигане на целите на Закона за отнемане на незаконно придобитото имущество (ЗОНПИ), Комисията и органите на Комисията, Комисията за противодействие на корупцията, Прокуратурата, Министерството на вътрешните работи, органите на Държавна агенция „Национална сигурност“, органите на Националната агенция за приходите, органите на Агенция „Митници“, Главният инспекторат на Министерския съвет, Инспекторатът към Висшия съдебен съвет и инспекторатите по чл. 46 от Закона за администрацията си взаимодействат съобразно предоставената им компетентност.</w:t>
      </w:r>
    </w:p>
    <w:p w14:paraId="71201FA7"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Предвидените със ЗОНПИ специфични дейности на Комисията са публични и прозрачни, и съобразно естеството на частта от функционалната област са насочени в следните направления:</w:t>
      </w:r>
    </w:p>
    <w:p w14:paraId="786B3A22"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По установяване на незаконно придобито имущество – Комисията образува производство за отнемане на незаконно придобито имущество, когато може да се направи обосновано предположение и установи значително несъответствие в имуществото на проверяваното лице;</w:t>
      </w:r>
    </w:p>
    <w:p w14:paraId="44A21CEB"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По отнемане на незаконно придобитото имущество – осъществяване на процедурите по налагане на обезпечителни мерки и отнемане в полза на държавата на незаконно придобитото имущество, в т.ч. съдебни производства, организиране на дейностите по управление и пазене на имуществото, върху което е наложено обезпечение на основание ЗОНПИ, поддържане на регистър за обезпеченото имущество, както и механизъм за предоставяне за обществени нужди на отнети в полза на държавата имоти, изготвяне на удостоверения за наличието на обезпечителни мерки, наложени по реда на ЗОНПИ и други.</w:t>
      </w:r>
    </w:p>
    <w:p w14:paraId="1A3C32DF"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Комисия за защита на личните данни</w:t>
      </w:r>
    </w:p>
    <w:p w14:paraId="12786424"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Комисията за защита на личните данни (КЗЛД) е независим надзорен орган, който осъществява защитата на физическите лица при обработването на техните лични данни, както и спазването на законовите изисквания в тази област и централен орган за външно подаване на сигнали и за защита на лицата, на които такава защита се предоставя по Закона за защита на лицата, подаващи сигнали или публично оповестяващи информация за нарушения (ЗЗБПСПОИН). Ключово условие за адекватното изпълнение на мисията и функциите й е осигуряването на необходимия административен капацитет, ресурсна обезпеченост, както и поддържането на висок професионализъм и мотивация на нейните служители. Технологичното развитие през последните години поставя нови предизвикателства пред защитата на личните данни. Това налага изграждането на административен капацитет, който да е адекватен на задачите, рисковете и предизвикателствата, възникващи за защита на правата на субектите на данни.  Развитието на административната структура на КЗЛД отразява нормативно възложените й задачи, както и обществените очаквания към нея като национален надзорен орган в областта на защитата на личните данни и централен орган за външно подаване на сигнали и за защита на лицата, на които такава защита се предоставя по ЗЗЛПСПОИН. </w:t>
      </w:r>
    </w:p>
    <w:p w14:paraId="2FA6655D"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Дейността на КЗЛД попада в обхвата на функционална област „Защита на личните данни на физическите лица“.</w:t>
      </w:r>
    </w:p>
    <w:p w14:paraId="1D8B61AD"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Национален статистически институт</w:t>
      </w:r>
    </w:p>
    <w:p w14:paraId="072EE8DE"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Националният статистически институт (НСИ) осъществява независима статистическа дейност на Република България. Мисията на НСИ относно Националната статистическа система е да осигурява безпристрастна, обективна, навременна и точна информация за </w:t>
      </w:r>
      <w:r w:rsidRPr="00761800">
        <w:rPr>
          <w:rFonts w:ascii="Times New Roman" w:hAnsi="Times New Roman"/>
          <w:bCs/>
          <w:szCs w:val="24"/>
          <w:lang w:eastAsia="bg-BG"/>
        </w:rPr>
        <w:lastRenderedPageBreak/>
        <w:t>състоянието и тенденциите в развитието на икономиката, социалната сфера, демографията и околната среда.</w:t>
      </w:r>
    </w:p>
    <w:p w14:paraId="2DA836E9"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Главната цел в развитието на Националната статистическа система за периода 2026-2028 г. е да осигури непрекъснатост по отношение на разработването, изготвянето и разпространението на висококачествени, съпоставими и надеждни статистически данни, които да са основа за формулирането, изпълнението, мониторинга и оценката на всички политики в Европа и България и да помага на гражданите, създателите на политики, предприятията, академичните среди и медиите да вземат информирани решения. </w:t>
      </w:r>
    </w:p>
    <w:p w14:paraId="294F4D35"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Дейността на НСИ попада в обхвата на функционална област „Безпристрастна, обективна, навременна и точна информация за състоянието на Република България“.</w:t>
      </w:r>
    </w:p>
    <w:p w14:paraId="6251A572"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Съвет за електронните медии</w:t>
      </w:r>
    </w:p>
    <w:p w14:paraId="7144F348"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Съветът за електронни медии е независим специализиран орган, който регулира медийните услуги и услугите на платформите за споделяне на видеоклипове, предоставяни от лица под юрисдикцията на Република България.</w:t>
      </w:r>
    </w:p>
    <w:p w14:paraId="7D360E6F"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Съветът за електронни медии упражнява правомощията си съгласно Закона за радиото и телевизията и осъществява приоритетите си в следните основни насоки:</w:t>
      </w:r>
    </w:p>
    <w:p w14:paraId="1DD4AD24"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регулира медийните услуги чрез издаване на лицензии и регистрации за осъществяване на радио- и телевизионна дейност, вписва лицата, заявили намерение да осъществяват услуги по заявка и заявили намерение да предоставят услуги на платформа за споделяне на видеоклипове;</w:t>
      </w:r>
    </w:p>
    <w:p w14:paraId="0302F874"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осъществява надзор върху дейността на доставчиците на линейни медийни услуги относно спазването на разпоредбите на Закона за радиото и телевизията, на условията на издадените им лицензии, съответно заявените при регистрацията програмни ангажименти; осъществява надзор за спазване на закона от доставчиците на нелинейни медийни услуги и надзор върху платформите за споделяне на видеоклипове.</w:t>
      </w:r>
    </w:p>
    <w:p w14:paraId="24021A5D"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Планираните за периода 2026-2028 г. бюджетни разходи са обвързани с основните приоритети и цели, които Съветът за електронни медии изпълнява в съответствие с определените му със Закона за радиото и телевизията правомощия. </w:t>
      </w:r>
    </w:p>
    <w:p w14:paraId="7FBA194E"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Дейността на Съвета за електронни медии попада в обхвата на функционална област „Регулиране на медийните услуги и на услуги на платформи за споделяне на видеоклипове“.</w:t>
      </w:r>
    </w:p>
    <w:p w14:paraId="2169CD09"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Комисия за регулиране на съобщенията</w:t>
      </w:r>
    </w:p>
    <w:p w14:paraId="72EB83F2"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Дейността на Комисията за регулиране на съобщенията е насочена към осигуряване предоставянето на съвременни и качествени електронни съобщителни услуги на гражданите и бизнеса чрез създаване на условия за развитие на пазара на електронните съобщителни мрежи и услуги, част от вътрешния пазар на Европейския съюз, създаване на съгласувани условия за инвестиции в следващо поколение електронни съобщителни мрежи, ефективна и устойчива конкуренция при предоставянето на електронни съобщителни мрежи и услуги, включително по отношение на инфраструктурата, сигурност на мрежите и услугите и равностоен достъп до услугите.</w:t>
      </w:r>
    </w:p>
    <w:p w14:paraId="5031C529" w14:textId="77777777" w:rsidR="00761800" w:rsidRPr="00761800" w:rsidRDefault="00761800" w:rsidP="00761800">
      <w:pPr>
        <w:tabs>
          <w:tab w:val="left" w:pos="2106"/>
        </w:tabs>
        <w:spacing w:after="200"/>
        <w:jc w:val="both"/>
        <w:rPr>
          <w:rFonts w:ascii="Times New Roman" w:hAnsi="Times New Roman"/>
          <w:bCs/>
          <w:szCs w:val="24"/>
          <w:highlight w:val="yellow"/>
          <w:lang w:eastAsia="bg-BG"/>
        </w:rPr>
      </w:pPr>
      <w:r w:rsidRPr="00761800">
        <w:rPr>
          <w:rFonts w:ascii="Times New Roman" w:hAnsi="Times New Roman"/>
          <w:bCs/>
          <w:szCs w:val="24"/>
          <w:lang w:eastAsia="bg-BG"/>
        </w:rPr>
        <w:lastRenderedPageBreak/>
        <w:t>Комисията за регулиране на съобщенията е орган, който упражнява правомощия и изпълнява функции и задачи, уредени в Закона за електронните съобщения (ЗЕС), Закона за пощенските услуги (ЗПУ), Закона за електронните съобщителни мрежи и физическата инфраструктура (ЗЕСМФИ) и Закона за електронния документ и електронните удостоверителни услуги (ЗЕДЕУУ), както и в техните подзаконови актове. Като национален регулаторен орган, определен в ЗЕС, Комисията извършва наблюдение и надзор на изпълнението на Регламент (ЕС) 2022/612 от 6 април 2022 г. относно роуминга в обществени съобщителни мрежи в рамките на Съюза и на Регламент (ЕС) № 2015/2120 от 25 ноември 2015 г. за определяне на мерки относно достъпа до отворен интернет.</w:t>
      </w:r>
    </w:p>
    <w:p w14:paraId="2065A59D"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Агенция за ядрено регулиране</w:t>
      </w:r>
    </w:p>
    <w:p w14:paraId="768F4B34" w14:textId="77777777" w:rsidR="00761800" w:rsidRPr="00761800" w:rsidRDefault="00761800" w:rsidP="00761800">
      <w:pPr>
        <w:tabs>
          <w:tab w:val="left" w:pos="2106"/>
        </w:tabs>
        <w:spacing w:after="200"/>
        <w:jc w:val="both"/>
        <w:rPr>
          <w:rFonts w:ascii="Times New Roman" w:hAnsi="Times New Roman"/>
          <w:bCs/>
          <w:szCs w:val="24"/>
          <w:highlight w:val="yellow"/>
          <w:lang w:eastAsia="bg-BG"/>
        </w:rPr>
      </w:pPr>
      <w:r w:rsidRPr="00761800">
        <w:rPr>
          <w:rFonts w:ascii="Times New Roman" w:hAnsi="Times New Roman"/>
          <w:bCs/>
          <w:szCs w:val="24"/>
          <w:lang w:eastAsia="bg-BG"/>
        </w:rPr>
        <w:t>Агенцията за ядрено регулиране е независим специализиран орган на изпълнителната власт и председателят на агенцията осъществява държавното регулиране на безопасното използване на ядрената енергия и йонизиращите лъчения и на безопасното управление на радиоактивните отпадъци и отработеното гориво.</w:t>
      </w:r>
    </w:p>
    <w:p w14:paraId="7244FB8E"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Комисия за енергийно и водно регулиране</w:t>
      </w:r>
    </w:p>
    <w:p w14:paraId="5B73658E" w14:textId="77777777" w:rsidR="00761800" w:rsidRPr="00761800" w:rsidRDefault="00761800" w:rsidP="00761800">
      <w:pPr>
        <w:tabs>
          <w:tab w:val="left" w:pos="2106"/>
        </w:tabs>
        <w:spacing w:after="200"/>
        <w:jc w:val="both"/>
        <w:rPr>
          <w:rFonts w:ascii="Times New Roman" w:hAnsi="Times New Roman"/>
          <w:bCs/>
          <w:szCs w:val="24"/>
          <w:highlight w:val="yellow"/>
          <w:lang w:eastAsia="bg-BG"/>
        </w:rPr>
      </w:pPr>
      <w:r w:rsidRPr="00761800">
        <w:rPr>
          <w:rFonts w:ascii="Times New Roman" w:hAnsi="Times New Roman"/>
          <w:bCs/>
          <w:szCs w:val="24"/>
          <w:lang w:eastAsia="bg-BG"/>
        </w:rPr>
        <w:t>Комисията за енергийно и водно регулиране е независим специализиран държавен орган за регулиране на дейностите в енергетиката и във водоснабдяването и канализацията. При осъществяване на своите правомощия комисията е независима от изпълнителната власт и дейността ѝ се осъществява въз основа на независимост, безпристрастност, професионализъм, почтеност, последователност, публичност и прозрачност.</w:t>
      </w:r>
    </w:p>
    <w:p w14:paraId="750BD2DF"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Комисия за защита на конкуренцията</w:t>
      </w:r>
    </w:p>
    <w:p w14:paraId="61A5B07E"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Основната роля на Комисията за защита на конкуренцията (Комисията, КЗК) е да предотвратява прилагането на антиконкурентни практики. От своето създаване през 1991 година до настоящия момент националният орган по конкуренция изпълнява своята мисия да гарантира разширяването на ефективната конкуренция и да стимулира развитието на свободната стопанска инициатива на пазарите в страната. </w:t>
      </w:r>
    </w:p>
    <w:p w14:paraId="2C70B8CD"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Като независим държавен орган, на КЗК са възложени обществено значими функции, свързани с осъществяване на контрол върху пазарните процеси, върху отношенията между пазарните участници и върху поведението на пазара както на малките предприятия, така и на компаниите и икономическите групи, заемащи съществен дял от съответния пазар. </w:t>
      </w:r>
    </w:p>
    <w:p w14:paraId="7B6E60F1"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Пълноправното членство на България в ЕС допълнително изисква Комисията за защита на конкуренцията да участва активно в прилагането на правилата по конкуренция на Съюза в сътрудничество с Европейската комисия и националните органи по конкуренция на страните членки. Ролята, която изпълнява КЗК като национален орган по конкуренция в държава от Европейския съюз, привлича вниманието на обществото към дейността й, като очакванията към Комисията са да гарантира непротиворечивото прилагане на националните и общностните правила по конкуренция и по този начин ефективно да бъде прекратено и предотвратено нарушаването на тези правила.</w:t>
      </w:r>
    </w:p>
    <w:p w14:paraId="548A00E6"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В изпълнение на правомощията си по ЗЗК, Комисията приема решения, с които установява наличието или липсата на нарушения, представляващи злоупотреба с монополно или господстващо положение, забранени споразумения или съгласувани практики и нелоялна конкуренция. Тя осъществява и контрол върху концентрациите между предприятията, като може да разреши, включително и под условие, или да </w:t>
      </w:r>
      <w:r w:rsidRPr="00761800">
        <w:rPr>
          <w:rFonts w:ascii="Times New Roman" w:hAnsi="Times New Roman"/>
          <w:bCs/>
          <w:szCs w:val="24"/>
          <w:lang w:eastAsia="bg-BG"/>
        </w:rPr>
        <w:lastRenderedPageBreak/>
        <w:t>забрани осъществяването й. Част от функциите на Комисията са и изготвянето на секторни анализи и осъществяването на застъпничество за конкуренцията, като предлага на компетентните органи на изпълнителната власт и на местното самоуправление да отменят или изменят нормативни актове, издадени в нарушение на правилата на конкуренцията. Проектите на нормативни актове, които предстои да бъдат приети по съответния ред, са обект на анализ за съответствието им със ЗЗК, за което Комисията приема становища.</w:t>
      </w:r>
    </w:p>
    <w:p w14:paraId="4D51616E"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КЗК е органът, пред който се обжалват относно тяхната законосъобразност и всички актове, действия или бездействия на възложители и концеденти в процедури за възлагане на обществени поръчки или предоставяне на концесии. Съгласно Закона за обществените поръчки и Закона за концесиите, КЗК може да спре процедура по възлагане на обществена поръчка, съответно по предоставяне на концесия, да разреши предварително изпълнение на решения за избор на изпълнител, при наличието на посочени в законите условия, както и да наложи имуществени санкции и глоби в предвидените от закона случаи.</w:t>
      </w:r>
    </w:p>
    <w:p w14:paraId="461385B0"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В изпълнение на своята дейност, КЗК съблюдава за стриктното спазване на Закона за защита на конкуренцията, Закона за обществените поръчки, Закона за концесиите и отговаря за прилагането на Общностното право в областта на конкуренцията.</w:t>
      </w:r>
    </w:p>
    <w:p w14:paraId="75FC8AC6"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Комисията сътрудничи с Европейската комисия и другите национални органи по конкуренцията на държавите - членки на Европейския съюз, по реда на Регламент (ЕО) № 1/2003 и Регламент (ЕО) № 139/2004. Тя също предлага на компетентните държавни органи и органи на местното самоуправление да отменят или изменят издадени от тях административни актове, които водят или могат да доведат до предотвратяване, ограничаване или нарушаване на конкуренцията.</w:t>
      </w:r>
    </w:p>
    <w:p w14:paraId="7464C5F6" w14:textId="77777777" w:rsidR="00761800" w:rsidRPr="00761800" w:rsidRDefault="00761800" w:rsidP="00761800">
      <w:pPr>
        <w:tabs>
          <w:tab w:val="left" w:pos="2106"/>
        </w:tabs>
        <w:spacing w:after="200"/>
        <w:jc w:val="both"/>
        <w:rPr>
          <w:rFonts w:ascii="Times New Roman" w:hAnsi="Times New Roman"/>
          <w:bCs/>
          <w:szCs w:val="24"/>
          <w:lang w:eastAsia="bg-BG"/>
        </w:rPr>
      </w:pPr>
      <w:r w:rsidRPr="00761800">
        <w:rPr>
          <w:rFonts w:ascii="Times New Roman" w:hAnsi="Times New Roman"/>
          <w:bCs/>
          <w:szCs w:val="24"/>
          <w:lang w:eastAsia="bg-BG"/>
        </w:rPr>
        <w:t>КЗК взаимодейства с държавните органи, включително с органите на изпълнителната власт и органите на местното самоуправление, както и с институции и неправителствени организации чрез участие в разработването на проекти на нормативни актове, изразяване на становища по проекти, както и по действащи нормативни и общи административни актове, обмен на информация и други форми на сътрудничество.</w:t>
      </w:r>
    </w:p>
    <w:p w14:paraId="590B6E45"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Комисия за финансов надзор</w:t>
      </w:r>
    </w:p>
    <w:p w14:paraId="2692294E" w14:textId="77777777" w:rsidR="00761800" w:rsidRPr="00761800" w:rsidRDefault="00761800" w:rsidP="00761800">
      <w:pPr>
        <w:tabs>
          <w:tab w:val="left" w:pos="2106"/>
        </w:tabs>
        <w:spacing w:after="200"/>
        <w:jc w:val="both"/>
        <w:rPr>
          <w:rFonts w:ascii="Times New Roman" w:hAnsi="Times New Roman"/>
          <w:bCs/>
          <w:iCs/>
          <w:szCs w:val="24"/>
          <w:lang w:eastAsia="bg-BG"/>
        </w:rPr>
      </w:pPr>
      <w:r w:rsidRPr="00761800">
        <w:rPr>
          <w:rFonts w:ascii="Times New Roman" w:hAnsi="Times New Roman"/>
          <w:bCs/>
          <w:iCs/>
          <w:szCs w:val="24"/>
          <w:lang w:eastAsia="bg-BG"/>
        </w:rPr>
        <w:t xml:space="preserve">Комисията за финансов надзор е специализиран държавен орган за регулиране и надзор на небанковия финансов сектор. Комисията извършва регулация и надзор на финансовите пазари, които са част от единния европейски пазар на финансови услуги, и осъществява надзор за спазването на европейското законодателство. </w:t>
      </w:r>
    </w:p>
    <w:p w14:paraId="50475FD0" w14:textId="77777777" w:rsidR="00761800" w:rsidRPr="00761800" w:rsidRDefault="00761800" w:rsidP="00761800">
      <w:pPr>
        <w:tabs>
          <w:tab w:val="left" w:pos="2106"/>
        </w:tabs>
        <w:spacing w:after="200"/>
        <w:jc w:val="both"/>
        <w:rPr>
          <w:rFonts w:ascii="Times New Roman" w:hAnsi="Times New Roman"/>
          <w:bCs/>
          <w:iCs/>
          <w:szCs w:val="24"/>
          <w:highlight w:val="yellow"/>
          <w:lang w:eastAsia="bg-BG"/>
        </w:rPr>
      </w:pPr>
      <w:r w:rsidRPr="00761800">
        <w:rPr>
          <w:rFonts w:ascii="Times New Roman" w:hAnsi="Times New Roman"/>
          <w:bCs/>
          <w:iCs/>
          <w:szCs w:val="24"/>
          <w:lang w:eastAsia="bg-BG"/>
        </w:rPr>
        <w:t>Дейността на Комисията за финансов надзор попада в обхвата на функционална област „Регулация и надзор на небанковия финансов сектор“.</w:t>
      </w:r>
    </w:p>
    <w:p w14:paraId="5D339D88" w14:textId="77777777" w:rsidR="00761800" w:rsidRPr="00761800" w:rsidRDefault="00761800" w:rsidP="00761800">
      <w:pPr>
        <w:tabs>
          <w:tab w:val="left" w:pos="2106"/>
        </w:tabs>
        <w:spacing w:after="200"/>
        <w:jc w:val="both"/>
        <w:rPr>
          <w:rFonts w:ascii="Times New Roman" w:hAnsi="Times New Roman"/>
          <w:b/>
          <w:bCs/>
          <w:szCs w:val="24"/>
          <w:lang w:eastAsia="bg-BG"/>
        </w:rPr>
      </w:pPr>
      <w:r w:rsidRPr="00761800">
        <w:rPr>
          <w:rFonts w:ascii="Times New Roman" w:hAnsi="Times New Roman"/>
          <w:b/>
          <w:bCs/>
          <w:szCs w:val="24"/>
          <w:lang w:eastAsia="bg-BG"/>
        </w:rPr>
        <w:t>Комисия за публичен надзор над регистрираните одитори</w:t>
      </w:r>
    </w:p>
    <w:p w14:paraId="202F449F" w14:textId="77777777" w:rsidR="00761800" w:rsidRPr="00761800" w:rsidRDefault="00761800" w:rsidP="00761800">
      <w:pPr>
        <w:tabs>
          <w:tab w:val="left" w:pos="2106"/>
        </w:tabs>
        <w:spacing w:after="200"/>
        <w:jc w:val="both"/>
        <w:rPr>
          <w:rFonts w:ascii="Times New Roman" w:hAnsi="Times New Roman"/>
          <w:bCs/>
          <w:iCs/>
          <w:szCs w:val="24"/>
          <w:lang w:eastAsia="bg-BG"/>
        </w:rPr>
      </w:pPr>
      <w:r w:rsidRPr="00761800">
        <w:rPr>
          <w:rFonts w:ascii="Times New Roman" w:hAnsi="Times New Roman"/>
          <w:bCs/>
          <w:iCs/>
          <w:szCs w:val="24"/>
          <w:lang w:eastAsia="bg-BG"/>
        </w:rPr>
        <w:t xml:space="preserve">Комисията за публичен надзор над регистрираните одитори е специализиран държавен орган за регулиране и надзор над дейността на регистрираните одитори, който осъществява периодични проверки на одиторските фирми, които извършват одити на предприятия от обществен интерес, изразяващи се в извършване на проверки за контрол на качеството на услугите с цел постигане на високо качество на предоставяните одиторски услуги. Приоритет на комисията е утвърждаването на правилата и </w:t>
      </w:r>
      <w:r w:rsidRPr="00761800">
        <w:rPr>
          <w:rFonts w:ascii="Times New Roman" w:hAnsi="Times New Roman"/>
          <w:bCs/>
          <w:iCs/>
          <w:szCs w:val="24"/>
          <w:lang w:eastAsia="bg-BG"/>
        </w:rPr>
        <w:lastRenderedPageBreak/>
        <w:t>процедурите за извършване на проверки на качеството на дейността на регистрираните одитори, както и годишните планове за проверки.</w:t>
      </w:r>
    </w:p>
    <w:p w14:paraId="506855E9" w14:textId="77777777" w:rsidR="00761800" w:rsidRPr="00761800" w:rsidRDefault="00761800" w:rsidP="00761800">
      <w:pPr>
        <w:tabs>
          <w:tab w:val="left" w:pos="2106"/>
        </w:tabs>
        <w:spacing w:after="200"/>
        <w:jc w:val="both"/>
        <w:rPr>
          <w:rFonts w:ascii="Times New Roman" w:hAnsi="Times New Roman"/>
          <w:bCs/>
          <w:iCs/>
          <w:szCs w:val="24"/>
          <w:lang w:eastAsia="bg-BG"/>
        </w:rPr>
      </w:pPr>
      <w:r w:rsidRPr="00761800">
        <w:rPr>
          <w:rFonts w:ascii="Times New Roman" w:hAnsi="Times New Roman"/>
          <w:bCs/>
          <w:iCs/>
          <w:szCs w:val="24"/>
          <w:lang w:eastAsia="bg-BG"/>
        </w:rPr>
        <w:t>Дейността на комисията попада в обхвата на функционална област „Осъществяване на публичен надзор над регистрираните одитори“.</w:t>
      </w:r>
    </w:p>
    <w:p w14:paraId="4DB4B6CB"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852010"/>
          <w:spacing w:val="10"/>
          <w:w w:val="90"/>
          <w:sz w:val="28"/>
          <w:szCs w:val="26"/>
          <w:lang w:eastAsia="bg-BG"/>
        </w:rPr>
      </w:pPr>
      <w:bookmarkStart w:id="329" w:name="_Toc233717481"/>
      <w:r w:rsidRPr="00761800">
        <w:rPr>
          <w:rFonts w:ascii="Times New Roman" w:hAnsi="Times New Roman"/>
          <w:b/>
          <w:bCs/>
          <w:caps/>
          <w:color w:val="852010"/>
          <w:spacing w:val="10"/>
          <w:w w:val="90"/>
          <w:sz w:val="28"/>
          <w:szCs w:val="26"/>
          <w:lang w:eastAsia="bg-BG"/>
        </w:rPr>
        <w:t>Инвестиционна политика за периода 2026-2028 г.</w:t>
      </w:r>
      <w:bookmarkEnd w:id="329"/>
    </w:p>
    <w:p w14:paraId="28D559D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Подобряването на управлението на публичните инвестиции е от съществено значение, предвид факта, че същите оказват влияние върху икономическото развитие на страната, инфраструктурата, социалната сфера и други области. Инвестициите в подобряване качеството на инфраструктурата носят ползи не само пряко за ползвателите ѝ, но допринасят и за стимулиране на икономическия растеж в средносрочен и дългосрочен план, създавайки по-привлекателна инвестиционна среда както за местните, така и за чуждестранните инвеститори. Подобряването на ефективността на разходване на публичните средства за капиталови инвестиции и предоставянето на финансиране на база оценка на икономическия и социален ефект в условията на фискална стабилност е основна цел за Министерството на финансите.</w:t>
      </w:r>
    </w:p>
    <w:p w14:paraId="1BE493F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Дефинирането, прецизирането и изграждането на устойчивост на процесите, свързани с управлението на публични инвестиции (дългосрочна стратегическа визия и планиране, координация между различните сектори и равнища на управление, оценка, приоритизиране и подбор на проекти, икономическа ефективност на публичните и частните инвестиции в инфраструктура) ще има широкообхватни положителни въздействия върху икономическите показатели и цялостното развитие на страната.</w:t>
      </w:r>
    </w:p>
    <w:p w14:paraId="2B0DB5D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Считано от 1 август 2024 г. беше въведена нова функция на министъра на финансите по координиране на процесите по подготовка, одобряване и финансово изпълнение на програми и проекти за публични капиталови инвестиции с национално финансиране от държавния бюджет за целите на бюджетната политика на страната в краткосрочен и средносрочен план.</w:t>
      </w:r>
    </w:p>
    <w:p w14:paraId="4806A32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За успешното изпълнение на възложените функции е идентифицирана необходимостта от подход и механизъм, чрез които правителството да гарантира, че публичните инвестиции с национално финансиране отговарят на стратегическите приоритети на национално и европейско ниво, максимизират финансовата и социално-икономическата си възвръщаемост, създават трудова заетост и допринасят за борбата с изменението на климата. В тази връзка, с цел подобряване процеса на планиране на публичните инвестиции беше въведен структуриран и проектно-ориентиран подход, съгласно който инвестиционните проекти бяха обособени в следните три групи:</w:t>
      </w:r>
    </w:p>
    <w:p w14:paraId="41AE9831"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„Проекти, свързани с административната дейност“ - такива, които са класифицирани от ПРБ като придобиване, надграждане или основен ремонт на дълготрайни активи като сгради, машини, оборудване, съоръжения, превозни средства, доставка на мебели/офис обзавеждане, предназначени за обезпечаване на административната дейност на бюджетните организации;</w:t>
      </w:r>
    </w:p>
    <w:p w14:paraId="62115508"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t>„Проекти в областта на електронното управление и информационните и комуникационните технологии;</w:t>
      </w:r>
    </w:p>
    <w:p w14:paraId="4DF80DD0" w14:textId="77777777" w:rsidR="00761800" w:rsidRPr="00761800" w:rsidRDefault="00761800" w:rsidP="00F64909">
      <w:pPr>
        <w:numPr>
          <w:ilvl w:val="0"/>
          <w:numId w:val="10"/>
        </w:numPr>
        <w:spacing w:after="200"/>
        <w:ind w:hanging="294"/>
        <w:jc w:val="both"/>
        <w:rPr>
          <w:rFonts w:ascii="Times New Roman" w:hAnsi="Times New Roman"/>
          <w:szCs w:val="22"/>
          <w:lang w:eastAsia="bg-BG"/>
        </w:rPr>
      </w:pPr>
      <w:r w:rsidRPr="00761800">
        <w:rPr>
          <w:rFonts w:ascii="Times New Roman" w:hAnsi="Times New Roman"/>
          <w:szCs w:val="22"/>
          <w:lang w:eastAsia="bg-BG"/>
        </w:rPr>
        <w:lastRenderedPageBreak/>
        <w:t>„Стратегически инвестиционни проекти“ – такива, които са класифицирани от ПРБ с висока обществена стойност, съответстващи на заложените в стратегическите документи на национално и европейско ниво мерки/цели/приоритети.</w:t>
      </w:r>
    </w:p>
    <w:p w14:paraId="4036D2B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Стратегическите инвестиционни проекти, изпълнението на които беше предложено да бъде финансирано със средства от държавния бюджет през периода 2025-2028 г. бяха приоритизирани от всеки ПРБ чрез оценка за съответствие с единни критерии, в резултат на което като приложение към ЗДБРБ за 2025 г. беше включена </w:t>
      </w:r>
      <w:r w:rsidRPr="00761800">
        <w:rPr>
          <w:rFonts w:ascii="Times New Roman" w:hAnsi="Times New Roman"/>
          <w:b/>
          <w:i/>
          <w:szCs w:val="22"/>
          <w:lang w:eastAsia="bg-BG"/>
        </w:rPr>
        <w:t>„Програма за приоритетни стратегически инвестиционни проекти с национално финансиране за периода 2025-2028 г.“.</w:t>
      </w:r>
    </w:p>
    <w:p w14:paraId="123E440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Прилагането на структурирания и проектно-ориентиран подход продължи и в рамките на бюджетната процедура за 2026 г. съгласно Указания № БЮ-2/18.05.2026 г. на министъра на финансите за подготовката и представянето на проектобюджетите на първостепенните разпоредители с бюджет за 2026 г. и на актуализираните им бюджетни прогнози за периода 2027-2028 г. </w:t>
      </w:r>
    </w:p>
    <w:p w14:paraId="79C52F1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 указанията са дадени насоки да се преустанови стартирането на „нови“ проекти, чиято реализация изисква извършване на капиталови разходи от ПРБ, докато не се приключат „преходните“ проекти, чието изпълнение произтича от ясно установени и формализирани ангажименти от страна на съответния разпоредител с бюджет, изпълнението на които е в резултат от задължение, произтичащо от приети нормативни и други актове и/или сключени договори/споразумения. Указано е, че стартирането на „нови“ проекти ще е възможно само в условията на доказана аварийност и спешност, както и в областта на отбраната в рамките на процента на разходи за отбрана към БВП и „нови“ проекти, чиято реализация не търпи отлагане поради рискове от налагане на санкции/неустойки по договори, загуба на осигурено външно финансиране, нарушение на поети международни или национални договорености или блокиране на ключови административни процеси.</w:t>
      </w:r>
    </w:p>
    <w:p w14:paraId="1CAD529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Стратегическите инвестиционни проекти, изпълнението на които е предложено да бъде финансирано със средства от държавния бюджет през периода 2026-2028 г., са приоритизирани от всеки ПРБ чрез оценка за съответствие с единни критерии, определени с БЮ-2/18.05.2026 г.</w:t>
      </w:r>
    </w:p>
    <w:p w14:paraId="40452ED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В съответствие с наличния бюджетен ресурс и извършената от ПРБ приоритизация са обособени приоритетни стратегически инвестиционни проекти, които са включени в </w:t>
      </w:r>
      <w:r w:rsidRPr="00761800">
        <w:rPr>
          <w:rFonts w:ascii="Times New Roman" w:hAnsi="Times New Roman"/>
          <w:i/>
          <w:szCs w:val="22"/>
          <w:lang w:eastAsia="bg-BG"/>
        </w:rPr>
        <w:t>„Програма за приоритетни стратегически инвестиционни проекти с национално финансиране за периода 2026-2028 г.“</w:t>
      </w:r>
      <w:r w:rsidRPr="00761800">
        <w:rPr>
          <w:rFonts w:ascii="Times New Roman" w:hAnsi="Times New Roman"/>
          <w:szCs w:val="22"/>
          <w:lang w:eastAsia="bg-BG"/>
        </w:rPr>
        <w:t xml:space="preserve"> - приложение към проекта на ЗДБРБ за 2026 г., като срокът на програмата е съобразен с изготвения Национален средносрочен фискално-структурен план на Република България за периода 2025-2028 г. Средствата за капиталови разходи през 2026 г. за финансово обезпечаване на приоритетните стратегически инвестиционни проекти с национално финансиране са в рамките на утвърдените капиталови разходи по бюджетите на първостепенните разпоредители с бюджет за 2026 г. В програмата са включени отговорните институции за изпълнението на съответните проекти, както и показатели за оценка на резултатите, които ще бъдат обект на наблюдение и анализ относно изпълнение/неизпълнение на заложените целеви стойности.</w:t>
      </w:r>
    </w:p>
    <w:p w14:paraId="392391E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lastRenderedPageBreak/>
        <w:t xml:space="preserve">Продължава разплащането на проекти по Инвестиционната програма за общински проекти, стартирала още през 2024 година, като за целта през 2026 г. е разчетен общ ресурс в размер на 1 108,0 млн. евро, от които: </w:t>
      </w:r>
    </w:p>
    <w:p w14:paraId="24A0240E" w14:textId="77777777" w:rsidR="00761800" w:rsidRPr="00761800" w:rsidRDefault="00761800" w:rsidP="00F64909">
      <w:pPr>
        <w:numPr>
          <w:ilvl w:val="1"/>
          <w:numId w:val="40"/>
        </w:numPr>
        <w:spacing w:after="120"/>
        <w:ind w:left="993" w:hanging="284"/>
        <w:jc w:val="both"/>
        <w:rPr>
          <w:rFonts w:ascii="Times New Roman" w:hAnsi="Times New Roman"/>
          <w:szCs w:val="22"/>
          <w:lang w:eastAsia="bg-BG"/>
        </w:rPr>
      </w:pPr>
      <w:r w:rsidRPr="00761800">
        <w:rPr>
          <w:rFonts w:ascii="Times New Roman" w:hAnsi="Times New Roman"/>
          <w:szCs w:val="22"/>
          <w:lang w:eastAsia="bg-BG"/>
        </w:rPr>
        <w:t>48,0 млн. евро, одобрени за разплащане чрез ББР през 2025 г.;</w:t>
      </w:r>
    </w:p>
    <w:p w14:paraId="2E93F338" w14:textId="77777777" w:rsidR="00761800" w:rsidRPr="00761800" w:rsidRDefault="00761800" w:rsidP="00F64909">
      <w:pPr>
        <w:numPr>
          <w:ilvl w:val="1"/>
          <w:numId w:val="40"/>
        </w:numPr>
        <w:spacing w:after="120"/>
        <w:ind w:left="993" w:hanging="284"/>
        <w:jc w:val="both"/>
        <w:rPr>
          <w:rFonts w:ascii="Times New Roman" w:hAnsi="Times New Roman"/>
          <w:szCs w:val="22"/>
          <w:lang w:eastAsia="bg-BG"/>
        </w:rPr>
      </w:pPr>
      <w:r w:rsidRPr="00761800">
        <w:rPr>
          <w:rFonts w:ascii="Times New Roman" w:hAnsi="Times New Roman"/>
          <w:szCs w:val="22"/>
          <w:lang w:eastAsia="bg-BG"/>
        </w:rPr>
        <w:t>460,2 млн. евро, одобрен ресурс за разплащане чрез ББР през 2026 г. с удължителния закон за бюджета;</w:t>
      </w:r>
    </w:p>
    <w:p w14:paraId="7CE685C7" w14:textId="77777777" w:rsidR="00761800" w:rsidRPr="00761800" w:rsidRDefault="00761800" w:rsidP="00F64909">
      <w:pPr>
        <w:numPr>
          <w:ilvl w:val="1"/>
          <w:numId w:val="40"/>
        </w:numPr>
        <w:spacing w:after="120"/>
        <w:ind w:left="993" w:hanging="284"/>
        <w:jc w:val="both"/>
        <w:rPr>
          <w:rFonts w:ascii="Times New Roman" w:hAnsi="Times New Roman"/>
          <w:szCs w:val="22"/>
          <w:lang w:eastAsia="bg-BG"/>
        </w:rPr>
      </w:pPr>
      <w:r w:rsidRPr="00761800">
        <w:rPr>
          <w:rFonts w:ascii="Times New Roman" w:hAnsi="Times New Roman"/>
          <w:szCs w:val="22"/>
          <w:lang w:eastAsia="bg-BG"/>
        </w:rPr>
        <w:t>до 600,0 млн. евро - средства от централния бюджет по реда на чл. 109, ал. 3 от Закона за публичните финанси.</w:t>
      </w:r>
    </w:p>
    <w:p w14:paraId="32A72CB6"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Със закона за бюджета за 2026 година се предвижда Министерският съвет по предложение на министъра на регионалното развитие и благоустройство да одобри списък с проекти от Инвестиционната програма за общински проекти, включени с определена прогнозна стойност в колона „Прогнозна стойност на проекта за 2025 г.“ на Приложение № 3 към чл. 113 от Закона за държавния бюджет на Република България за 2025 г., за които има сключено споразумение, дейностите по проекта са стартирали и няма възможност за осигуряване на финансиране с европейски средства.</w:t>
      </w:r>
    </w:p>
    <w:p w14:paraId="526B210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Финансирането на утвърдените проекти ще се извършва при условия и по ред, определени с акт на Министерския съвет по предложение на министъра на регионалното развитие и благоустройството, за проекти със стартирало изпълнение, както следва:</w:t>
      </w:r>
    </w:p>
    <w:p w14:paraId="72DFCEE1" w14:textId="77777777" w:rsidR="00761800" w:rsidRPr="00761800" w:rsidRDefault="00761800" w:rsidP="00761800">
      <w:pPr>
        <w:spacing w:after="200"/>
        <w:ind w:firstLine="284"/>
        <w:jc w:val="both"/>
        <w:rPr>
          <w:rFonts w:ascii="Times New Roman" w:hAnsi="Times New Roman"/>
          <w:szCs w:val="22"/>
          <w:lang w:eastAsia="bg-BG"/>
        </w:rPr>
      </w:pPr>
      <w:r w:rsidRPr="00761800">
        <w:rPr>
          <w:rFonts w:ascii="Times New Roman" w:hAnsi="Times New Roman"/>
          <w:szCs w:val="22"/>
          <w:lang w:eastAsia="bg-BG"/>
        </w:rPr>
        <w:t>1.</w:t>
      </w:r>
      <w:r w:rsidRPr="00761800">
        <w:rPr>
          <w:rFonts w:ascii="Times New Roman" w:hAnsi="Times New Roman"/>
          <w:szCs w:val="22"/>
          <w:lang w:eastAsia="bg-BG"/>
        </w:rPr>
        <w:tab/>
        <w:t>Чрез разплащане от Българската банка за развитие до изчерпване на одобрения ресурс;</w:t>
      </w:r>
    </w:p>
    <w:p w14:paraId="0F1081CE" w14:textId="77777777" w:rsidR="00761800" w:rsidRPr="00761800" w:rsidRDefault="00761800" w:rsidP="00761800">
      <w:pPr>
        <w:spacing w:after="200"/>
        <w:ind w:firstLine="284"/>
        <w:jc w:val="both"/>
        <w:rPr>
          <w:rFonts w:ascii="Times New Roman" w:hAnsi="Times New Roman"/>
          <w:szCs w:val="22"/>
          <w:lang w:eastAsia="bg-BG"/>
        </w:rPr>
      </w:pPr>
      <w:r w:rsidRPr="00761800">
        <w:rPr>
          <w:rFonts w:ascii="Times New Roman" w:hAnsi="Times New Roman"/>
          <w:szCs w:val="22"/>
          <w:lang w:eastAsia="bg-BG"/>
        </w:rPr>
        <w:t>2.</w:t>
      </w:r>
      <w:r w:rsidRPr="00761800">
        <w:rPr>
          <w:rFonts w:ascii="Times New Roman" w:hAnsi="Times New Roman"/>
          <w:szCs w:val="22"/>
          <w:lang w:eastAsia="bg-BG"/>
        </w:rPr>
        <w:tab/>
        <w:t xml:space="preserve">След изчерпване на средствата по т. 1, финансирането на проектите ще продължи чрез бюджета на Министерството на регионалното развитие и благоустройството за сметка на предоставени средства от централния бюджет по реда на чл. 109, ал. 3 от Закона за публичните финанси - до 600,0 млн. евро. </w:t>
      </w:r>
    </w:p>
    <w:p w14:paraId="07507D4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случай, че одобрен за финансиране проект по ИПОП, е одобрен за финансиране по програми и механизми на Европейския съюз, както и по други международни програми и договори, съответната община подава заявление за предоставяне на безвъзмездна финансова помощ и рефинансиране на извършените разходи по съответната програма, механизъм или договор, а получените средства от държавния бюджет се възстановяват по бюджета на Министерството на регионалното развитие и благоустройството.</w:t>
      </w:r>
    </w:p>
    <w:p w14:paraId="35E1C9A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 оглед създаване на устойчива правна база за управление на публичните инвестиции в България, свързани с регулациите, политиките и процесите, определящи как публичните средства се разпределят, управляват и използват за инвестиционни цели, допринасяйки за дългосрочната фискална устойчивост на страната, на последващ етап, като част от изпълняваната в момента реформа „Създаване на устойчива рамка за планиране и управление на публичните инвестиции с национално финансиране в България“, част от  Националния средносрочен фискално-структурен план на Република България за периода 2025-2028 г., се предвижда разработването на подзаконов нормативен акт за метода за оценка и процедурата за одобрение на публични инвестиционни проекти с национално финансиране и единна методология за оценка и приоритизиране на публични инвестиционни проекти с национално финансиране.</w:t>
      </w:r>
    </w:p>
    <w:p w14:paraId="3202F25A" w14:textId="77777777" w:rsidR="00761800" w:rsidRPr="00761800" w:rsidRDefault="00761800" w:rsidP="00761800">
      <w:pPr>
        <w:spacing w:after="200"/>
        <w:jc w:val="both"/>
        <w:rPr>
          <w:rFonts w:ascii="Times New Roman" w:hAnsi="Times New Roman"/>
          <w:szCs w:val="22"/>
          <w:lang w:eastAsia="bg-BG"/>
        </w:rPr>
      </w:pPr>
    </w:p>
    <w:p w14:paraId="36182DE1" w14:textId="77777777" w:rsidR="00761800" w:rsidRPr="00761800" w:rsidRDefault="00761800" w:rsidP="00761800">
      <w:pPr>
        <w:spacing w:after="200"/>
        <w:jc w:val="both"/>
        <w:rPr>
          <w:rFonts w:ascii="Times New Roman" w:hAnsi="Times New Roman"/>
          <w:szCs w:val="22"/>
          <w:lang w:eastAsia="bg-BG"/>
        </w:rPr>
        <w:sectPr w:rsidR="00761800" w:rsidRPr="00761800" w:rsidSect="00406B4D">
          <w:type w:val="oddPage"/>
          <w:pgSz w:w="11906" w:h="16838" w:code="9"/>
          <w:pgMar w:top="1418" w:right="1418" w:bottom="1276" w:left="1418" w:header="708" w:footer="708" w:gutter="0"/>
          <w:cols w:space="708"/>
          <w:titlePg/>
          <w:docGrid w:linePitch="360"/>
        </w:sectPr>
      </w:pPr>
    </w:p>
    <w:p w14:paraId="58A4D9A4" w14:textId="77777777" w:rsidR="00761800" w:rsidRPr="00761800" w:rsidRDefault="00761800" w:rsidP="00761800">
      <w:pPr>
        <w:keepNext/>
        <w:keepLines/>
        <w:spacing w:before="120" w:after="1080"/>
        <w:outlineLvl w:val="0"/>
        <w:rPr>
          <w:rFonts w:ascii="Times New Roman" w:hAnsi="Times New Roman"/>
          <w:bCs/>
          <w:spacing w:val="10"/>
          <w:sz w:val="52"/>
          <w:szCs w:val="28"/>
          <w:lang w:eastAsia="bg-BG"/>
        </w:rPr>
      </w:pPr>
      <w:r w:rsidRPr="00761800">
        <w:rPr>
          <w:rFonts w:ascii="Times New Roman" w:hAnsi="Times New Roman"/>
          <w:bCs/>
          <w:color w:val="852010"/>
          <w:spacing w:val="10"/>
          <w:sz w:val="52"/>
          <w:szCs w:val="28"/>
          <w:lang w:eastAsia="bg-BG"/>
        </w:rPr>
        <w:lastRenderedPageBreak/>
        <w:br/>
      </w:r>
      <w:bookmarkStart w:id="330" w:name="_Toc233717482"/>
      <w:r w:rsidRPr="00761800">
        <w:rPr>
          <w:rFonts w:ascii="Times New Roman" w:hAnsi="Times New Roman"/>
          <w:bCs/>
          <w:spacing w:val="10"/>
          <w:sz w:val="52"/>
          <w:szCs w:val="28"/>
          <w:lang w:eastAsia="bg-BG"/>
        </w:rPr>
        <w:t>Фискална децентрализация и бюджетни взаимоотношения с общините за периода 2026-2028 г.</w:t>
      </w:r>
      <w:r w:rsidRPr="00761800">
        <w:rPr>
          <w:rFonts w:ascii="Times New Roman" w:hAnsi="Times New Roman"/>
          <w:bCs/>
          <w:noProof/>
          <w:spacing w:val="10"/>
          <w:sz w:val="52"/>
          <w:szCs w:val="28"/>
          <w:lang w:eastAsia="bg-BG"/>
        </w:rPr>
        <mc:AlternateContent>
          <mc:Choice Requires="wps">
            <w:drawing>
              <wp:anchor distT="0" distB="0" distL="114300" distR="114300" simplePos="0" relativeHeight="251841024" behindDoc="0" locked="0" layoutInCell="1" allowOverlap="1" wp14:anchorId="5117ED88" wp14:editId="1E006602">
                <wp:simplePos x="0" y="0"/>
                <wp:positionH relativeFrom="column">
                  <wp:posOffset>-898525</wp:posOffset>
                </wp:positionH>
                <wp:positionV relativeFrom="paragraph">
                  <wp:posOffset>1605128</wp:posOffset>
                </wp:positionV>
                <wp:extent cx="7560310" cy="0"/>
                <wp:effectExtent l="0" t="0" r="21590" b="19050"/>
                <wp:wrapNone/>
                <wp:docPr id="691" name="Straight Connector 691"/>
                <wp:cNvGraphicFramePr/>
                <a:graphic xmlns:a="http://schemas.openxmlformats.org/drawingml/2006/main">
                  <a:graphicData uri="http://schemas.microsoft.com/office/word/2010/wordprocessingShape">
                    <wps:wsp>
                      <wps:cNvCnPr/>
                      <wps:spPr>
                        <a:xfrm>
                          <a:off x="0" y="0"/>
                          <a:ext cx="7560310" cy="0"/>
                        </a:xfrm>
                        <a:prstGeom prst="line">
                          <a:avLst/>
                        </a:prstGeom>
                        <a:noFill/>
                        <a:ln w="9525" cap="flat" cmpd="sng" algn="ctr">
                          <a:solidFill>
                            <a:srgbClr val="B32C16"/>
                          </a:solidFill>
                          <a:prstDash val="solid"/>
                        </a:ln>
                        <a:effectLst/>
                      </wps:spPr>
                      <wps:bodyPr/>
                    </wps:wsp>
                  </a:graphicData>
                </a:graphic>
              </wp:anchor>
            </w:drawing>
          </mc:Choice>
          <mc:Fallback>
            <w:pict>
              <v:line w14:anchorId="0AA3CA52" id="Straight Connector 691" o:spid="_x0000_s1026" style="position:absolute;z-index:251841024;visibility:visible;mso-wrap-style:square;mso-wrap-distance-left:9pt;mso-wrap-distance-top:0;mso-wrap-distance-right:9pt;mso-wrap-distance-bottom:0;mso-position-horizontal:absolute;mso-position-horizontal-relative:text;mso-position-vertical:absolute;mso-position-vertical-relative:text" from="-70.75pt,126.4pt" to="524.55pt,1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" strokecolor="#b32c16"/>
            </w:pict>
          </mc:Fallback>
        </mc:AlternateContent>
      </w:r>
      <w:r w:rsidRPr="00761800">
        <w:rPr>
          <w:rFonts w:ascii="Times New Roman" w:hAnsi="Times New Roman"/>
          <w:bCs/>
          <w:noProof/>
          <w:spacing w:val="10"/>
          <w:sz w:val="52"/>
          <w:szCs w:val="28"/>
          <w:lang w:eastAsia="bg-BG"/>
        </w:rPr>
        <mc:AlternateContent>
          <mc:Choice Requires="wps">
            <w:drawing>
              <wp:anchor distT="0" distB="0" distL="114300" distR="114300" simplePos="0" relativeHeight="251838976" behindDoc="1" locked="0" layoutInCell="1" allowOverlap="1" wp14:anchorId="10561360" wp14:editId="513209A3">
                <wp:simplePos x="0" y="0"/>
                <wp:positionH relativeFrom="column">
                  <wp:posOffset>-897890</wp:posOffset>
                </wp:positionH>
                <wp:positionV relativeFrom="paragraph">
                  <wp:posOffset>-911225</wp:posOffset>
                </wp:positionV>
                <wp:extent cx="7560860" cy="2520000"/>
                <wp:effectExtent l="0" t="0" r="2540" b="0"/>
                <wp:wrapNone/>
                <wp:docPr id="690" name="Rectangle 690"/>
                <wp:cNvGraphicFramePr/>
                <a:graphic xmlns:a="http://schemas.openxmlformats.org/drawingml/2006/main">
                  <a:graphicData uri="http://schemas.microsoft.com/office/word/2010/wordprocessingShape">
                    <wps:wsp>
                      <wps:cNvSpPr/>
                      <wps:spPr>
                        <a:xfrm>
                          <a:off x="0" y="0"/>
                          <a:ext cx="7560860" cy="2520000"/>
                        </a:xfrm>
                        <a:prstGeom prst="rect">
                          <a:avLst/>
                        </a:prstGeom>
                        <a:solidFill>
                          <a:srgbClr val="B32C16">
                            <a:lumMod val="20000"/>
                            <a:lumOff val="80000"/>
                          </a:srgbClr>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71BB01" id="Rectangle 690" o:spid="_x0000_s1026" style="position:absolute;margin-left:-70.7pt;margin-top:-71.75pt;width:595.35pt;height:198.45pt;z-index:-25147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" fillcolor="#f8cfc8" stroked="f" strokeweight="1pt"/>
            </w:pict>
          </mc:Fallback>
        </mc:AlternateContent>
      </w:r>
      <w:bookmarkEnd w:id="313"/>
      <w:bookmarkEnd w:id="314"/>
      <w:bookmarkEnd w:id="315"/>
      <w:bookmarkEnd w:id="316"/>
      <w:bookmarkEnd w:id="317"/>
      <w:bookmarkEnd w:id="318"/>
      <w:bookmarkEnd w:id="319"/>
      <w:bookmarkEnd w:id="320"/>
      <w:bookmarkEnd w:id="321"/>
      <w:bookmarkEnd w:id="330"/>
    </w:p>
    <w:p w14:paraId="473E5EAA" w14:textId="77777777" w:rsidR="00761800" w:rsidRPr="00761800" w:rsidRDefault="00761800" w:rsidP="00761800">
      <w:pPr>
        <w:spacing w:after="200"/>
        <w:jc w:val="both"/>
        <w:rPr>
          <w:rFonts w:ascii="Times New Roman" w:hAnsi="Times New Roman"/>
          <w:szCs w:val="22"/>
          <w:highlight w:val="yellow"/>
          <w:lang w:eastAsia="bg-BG"/>
        </w:rPr>
      </w:pPr>
    </w:p>
    <w:p w14:paraId="3EC283C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Предвидените общински приходи за 2026 г. са в размер на 2 396,3 млн. евро, като са разработени при съобразяване с тенденциите в постъпленията от местни данъци и такси през предходните няколко години. Предвижданият ръст на общинските приходи е от 10,5% през 2026 г. спрямо програмата за 2025 г. В прогнозата за 2027 г. се предвиждат 2 597,9 млн. евро приходи на общините и за 2028 г. – 2 693,9 млн. евро. </w:t>
      </w:r>
    </w:p>
    <w:p w14:paraId="4746A2A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Продължава действието на стартиралите през 2025 г. мерки за оптимизиране събираемостта на приходите от местни данъци и такси, свързани с обмена на информация: </w:t>
      </w:r>
    </w:p>
    <w:p w14:paraId="7BDB3C2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1. Обезпечена е техническата възможност за засилване на аналитично-контролните дейности от страна на общините във връзка с наблюдението и с установяването по реда на ДОПК на непогасени задължения за местни данъци и такси от минали години. </w:t>
      </w:r>
    </w:p>
    <w:p w14:paraId="249EBF2B"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2. Обезпечена е техническата възможност за обмен на информацията по реда на чл. 51 от ЗМДТ</w:t>
      </w:r>
      <w:r w:rsidRPr="00761800">
        <w:rPr>
          <w:rFonts w:ascii="Times New Roman" w:hAnsi="Times New Roman"/>
          <w:position w:val="2"/>
          <w:sz w:val="18"/>
          <w:szCs w:val="22"/>
          <w:vertAlign w:val="superscript"/>
        </w:rPr>
        <w:footnoteReference w:id="69"/>
      </w:r>
      <w:r w:rsidRPr="00761800">
        <w:rPr>
          <w:rFonts w:ascii="Times New Roman" w:hAnsi="Times New Roman"/>
          <w:szCs w:val="22"/>
          <w:lang w:eastAsia="bg-BG"/>
        </w:rPr>
        <w:t xml:space="preserve"> относно прехвърлените и учредените вещни права върху недвижимите имоти, превозните средства, корабите и нощувките с цел пълно обхващане на облагаемите обекти и своевременното им облагане от служителите в общинската администрация с данък върху недвижимите имоти, данък върху превозните средства и туристически данък.</w:t>
      </w:r>
    </w:p>
    <w:p w14:paraId="79188DC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3. Обезпечава се техническата възможност за интеграция на софтуерния продукт за администриране на местни данъци и такси в общините с регистрови справки от Регистър на населението – Национална база данни „Население“, касаещи семейно положение, адрес и родственост, с цел ускоряване на процеса по установяване на задължените за местните данъци лица. </w:t>
      </w:r>
    </w:p>
    <w:p w14:paraId="3E046EE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4. Обезпечава се техническата възможност за интеграция на софтуерния продукт за администриране на местни данъци и такси в общините със системата за сигурно електронно връчване с цел осигуряване на възможност за електронно връчване на съобщения и актове, издавани от общинските органи по приходите.</w:t>
      </w:r>
    </w:p>
    <w:p w14:paraId="4B204D5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5. Изградена е система за автоматично генериране на актове за установяване на задължения и за текущ анализ на несъбраните местни данъци и такси. Ще се въведе изискване към местните администрации на тримесечна база да информират </w:t>
      </w:r>
      <w:r w:rsidRPr="00761800">
        <w:rPr>
          <w:rFonts w:ascii="Times New Roman" w:hAnsi="Times New Roman"/>
          <w:szCs w:val="22"/>
          <w:lang w:eastAsia="bg-BG"/>
        </w:rPr>
        <w:lastRenderedPageBreak/>
        <w:t xml:space="preserve">Министерството на финансите за размера на несъбраните вземания и за предприетите действия за установяването и събирането им. </w:t>
      </w:r>
    </w:p>
    <w:p w14:paraId="3143FB3E"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Предвидени са разходи за общините за 2026 г. в размер на 6 881,9 млн. евро, които като относителен дял достигат 5,5% от БВП, а спрямо общата структура на разходите по КФП – 12,4%.</w:t>
      </w:r>
    </w:p>
    <w:p w14:paraId="180A3DF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Разходите за местни дейности през 2026 г. са в размер на 2 459,9 млн. евро и представляват 35,7% от общите разходи на общините. </w:t>
      </w:r>
    </w:p>
    <w:p w14:paraId="5BF6CD7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Разчетите за делегираните от държавата дейности са направени при допускания за МРЗ в размер на 620,2 евро за заетите на минимална работна заплата, единна политика по доходите по отношение на персонала, извън ангажирания на МРЗ, за всички дейности с 5% и промяна на натурални показатели.</w:t>
      </w:r>
    </w:p>
    <w:p w14:paraId="26345D2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Предвидените за 2026 г. разходи за делегираните от държавата дейности са в размер на 4 422,0 млн. евро, като са увеличени спрямо 2025 г. с 323,8 млн. евро, с което се осигурява ръстът на МРЗ и увеличение с 5% на средствата за останалия персонал във всички сектори.</w:t>
      </w:r>
    </w:p>
    <w:p w14:paraId="41E6EA6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прогнозата за 2027 г. се предвиждат разходи за общините в размер на 6 879,4 млн. евро, от които разходите за местни дейности са 2 445,9 млн. евро и за делегирани от държавата дейности – 4 433,5 млн. евро.</w:t>
      </w:r>
    </w:p>
    <w:p w14:paraId="52BC2D1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прогнозата за 2028 г. се предвиждат разходи за общините в размер на 6 940,0 млн. евро, от които разходите за местни дейности са 2 506,2 млн. евро и за делегирани от държавата дейности – 4 433,8 млн. евро.</w:t>
      </w:r>
    </w:p>
    <w:p w14:paraId="181AAEDD" w14:textId="387DFA3F" w:rsidR="00761800" w:rsidRPr="00761800" w:rsidRDefault="00761800" w:rsidP="00761800">
      <w:pPr>
        <w:spacing w:before="360" w:after="120"/>
        <w:ind w:left="1418" w:hanging="1418"/>
        <w:rPr>
          <w:rFonts w:ascii="Times New Roman" w:hAnsi="Times New Roman"/>
          <w:b/>
          <w:bCs/>
          <w:szCs w:val="18"/>
          <w:lang w:eastAsia="bg-BG"/>
        </w:rPr>
      </w:pPr>
      <w:bookmarkStart w:id="331" w:name="_Toc233185135"/>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17</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Основни бюджетни взаимоотношения на общините с централния бюджет за периода 2026-2028 г.</w:t>
      </w:r>
      <w:bookmarkEnd w:id="331"/>
    </w:p>
    <w:tbl>
      <w:tblPr>
        <w:tblW w:w="9838" w:type="dxa"/>
        <w:tblCellMar>
          <w:left w:w="70" w:type="dxa"/>
          <w:right w:w="70" w:type="dxa"/>
        </w:tblCellMar>
        <w:tblLook w:val="04A0" w:firstRow="1" w:lastRow="0" w:firstColumn="1" w:lastColumn="0" w:noHBand="0" w:noVBand="1"/>
      </w:tblPr>
      <w:tblGrid>
        <w:gridCol w:w="3828"/>
        <w:gridCol w:w="1190"/>
        <w:gridCol w:w="1080"/>
        <w:gridCol w:w="1180"/>
        <w:gridCol w:w="1280"/>
        <w:gridCol w:w="1280"/>
      </w:tblGrid>
      <w:tr w:rsidR="00761800" w:rsidRPr="00761800" w14:paraId="7B004B96" w14:textId="77777777" w:rsidTr="00406B4D">
        <w:trPr>
          <w:trHeight w:val="300"/>
        </w:trPr>
        <w:tc>
          <w:tcPr>
            <w:tcW w:w="3828" w:type="dxa"/>
            <w:tcBorders>
              <w:top w:val="nil"/>
              <w:left w:val="nil"/>
              <w:bottom w:val="nil"/>
              <w:right w:val="nil"/>
            </w:tcBorders>
            <w:shd w:val="clear" w:color="auto" w:fill="auto"/>
            <w:noWrap/>
            <w:vAlign w:val="bottom"/>
            <w:hideMark/>
          </w:tcPr>
          <w:p w14:paraId="52B31027" w14:textId="77777777" w:rsidR="00761800" w:rsidRPr="00761800" w:rsidRDefault="00761800" w:rsidP="00761800">
            <w:pPr>
              <w:rPr>
                <w:rFonts w:ascii="Times New Roman" w:hAnsi="Times New Roman"/>
                <w:sz w:val="20"/>
                <w:szCs w:val="24"/>
                <w:lang w:eastAsia="bg-BG"/>
              </w:rPr>
            </w:pPr>
          </w:p>
        </w:tc>
        <w:tc>
          <w:tcPr>
            <w:tcW w:w="1190" w:type="dxa"/>
            <w:tcBorders>
              <w:top w:val="nil"/>
              <w:left w:val="nil"/>
              <w:bottom w:val="nil"/>
              <w:right w:val="nil"/>
            </w:tcBorders>
            <w:shd w:val="clear" w:color="auto" w:fill="auto"/>
            <w:noWrap/>
            <w:vAlign w:val="bottom"/>
            <w:hideMark/>
          </w:tcPr>
          <w:p w14:paraId="3A7F8707" w14:textId="77777777" w:rsidR="00761800" w:rsidRPr="00761800" w:rsidRDefault="00761800" w:rsidP="00761800">
            <w:pPr>
              <w:rPr>
                <w:rFonts w:ascii="Times New Roman" w:hAnsi="Times New Roman"/>
                <w:sz w:val="20"/>
                <w:lang w:eastAsia="bg-BG"/>
              </w:rPr>
            </w:pPr>
          </w:p>
        </w:tc>
        <w:tc>
          <w:tcPr>
            <w:tcW w:w="1080" w:type="dxa"/>
            <w:tcBorders>
              <w:top w:val="nil"/>
              <w:left w:val="nil"/>
              <w:bottom w:val="nil"/>
              <w:right w:val="nil"/>
            </w:tcBorders>
            <w:shd w:val="clear" w:color="auto" w:fill="auto"/>
            <w:noWrap/>
            <w:vAlign w:val="bottom"/>
            <w:hideMark/>
          </w:tcPr>
          <w:p w14:paraId="496BEFBC" w14:textId="77777777" w:rsidR="00761800" w:rsidRPr="00761800" w:rsidRDefault="00761800" w:rsidP="00761800">
            <w:pPr>
              <w:rPr>
                <w:rFonts w:ascii="Times New Roman" w:hAnsi="Times New Roman"/>
                <w:sz w:val="20"/>
                <w:lang w:eastAsia="bg-BG"/>
              </w:rPr>
            </w:pPr>
          </w:p>
        </w:tc>
        <w:tc>
          <w:tcPr>
            <w:tcW w:w="1180" w:type="dxa"/>
            <w:tcBorders>
              <w:top w:val="nil"/>
              <w:left w:val="nil"/>
              <w:bottom w:val="nil"/>
              <w:right w:val="nil"/>
            </w:tcBorders>
            <w:shd w:val="clear" w:color="auto" w:fill="auto"/>
            <w:noWrap/>
            <w:vAlign w:val="bottom"/>
            <w:hideMark/>
          </w:tcPr>
          <w:p w14:paraId="4CD8D11E" w14:textId="77777777" w:rsidR="00761800" w:rsidRPr="00761800" w:rsidRDefault="00761800" w:rsidP="00761800">
            <w:pPr>
              <w:rPr>
                <w:rFonts w:ascii="Times New Roman" w:hAnsi="Times New Roman"/>
                <w:sz w:val="20"/>
                <w:lang w:eastAsia="bg-BG"/>
              </w:rPr>
            </w:pPr>
          </w:p>
        </w:tc>
        <w:tc>
          <w:tcPr>
            <w:tcW w:w="1280" w:type="dxa"/>
            <w:tcBorders>
              <w:top w:val="nil"/>
              <w:left w:val="nil"/>
              <w:bottom w:val="nil"/>
              <w:right w:val="nil"/>
            </w:tcBorders>
            <w:shd w:val="clear" w:color="auto" w:fill="auto"/>
            <w:noWrap/>
            <w:vAlign w:val="center"/>
            <w:hideMark/>
          </w:tcPr>
          <w:p w14:paraId="34DB533A" w14:textId="77777777" w:rsidR="00761800" w:rsidRPr="00761800" w:rsidRDefault="00761800" w:rsidP="00761800">
            <w:pPr>
              <w:rPr>
                <w:rFonts w:ascii="Times New Roman" w:hAnsi="Times New Roman"/>
                <w:sz w:val="20"/>
                <w:lang w:eastAsia="bg-BG"/>
              </w:rPr>
            </w:pPr>
          </w:p>
        </w:tc>
        <w:tc>
          <w:tcPr>
            <w:tcW w:w="1280" w:type="dxa"/>
            <w:tcBorders>
              <w:top w:val="nil"/>
              <w:left w:val="nil"/>
              <w:bottom w:val="nil"/>
              <w:right w:val="nil"/>
            </w:tcBorders>
            <w:shd w:val="clear" w:color="auto" w:fill="auto"/>
            <w:noWrap/>
            <w:vAlign w:val="center"/>
            <w:hideMark/>
          </w:tcPr>
          <w:p w14:paraId="5D149E0D"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(в хил. евро)</w:t>
            </w:r>
          </w:p>
        </w:tc>
      </w:tr>
      <w:tr w:rsidR="00761800" w:rsidRPr="00761800" w14:paraId="4E5C7FAD" w14:textId="77777777" w:rsidTr="00406B4D">
        <w:trPr>
          <w:trHeight w:val="288"/>
        </w:trPr>
        <w:tc>
          <w:tcPr>
            <w:tcW w:w="3828" w:type="dxa"/>
            <w:tcBorders>
              <w:top w:val="single" w:sz="8" w:space="0" w:color="auto"/>
              <w:left w:val="nil"/>
              <w:bottom w:val="nil"/>
              <w:right w:val="nil"/>
            </w:tcBorders>
            <w:shd w:val="clear" w:color="auto" w:fill="auto"/>
            <w:noWrap/>
            <w:vAlign w:val="center"/>
            <w:hideMark/>
          </w:tcPr>
          <w:p w14:paraId="5560A4CA"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Основни бюджетни</w:t>
            </w:r>
          </w:p>
        </w:tc>
        <w:tc>
          <w:tcPr>
            <w:tcW w:w="1190" w:type="dxa"/>
            <w:tcBorders>
              <w:top w:val="single" w:sz="8" w:space="0" w:color="auto"/>
              <w:left w:val="nil"/>
              <w:bottom w:val="nil"/>
              <w:right w:val="nil"/>
            </w:tcBorders>
            <w:shd w:val="clear" w:color="auto" w:fill="auto"/>
            <w:vAlign w:val="center"/>
            <w:hideMark/>
          </w:tcPr>
          <w:p w14:paraId="779EB76A"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Проект</w:t>
            </w:r>
          </w:p>
        </w:tc>
        <w:tc>
          <w:tcPr>
            <w:tcW w:w="2260" w:type="dxa"/>
            <w:gridSpan w:val="2"/>
            <w:tcBorders>
              <w:top w:val="single" w:sz="8" w:space="0" w:color="auto"/>
              <w:left w:val="nil"/>
              <w:bottom w:val="single" w:sz="4" w:space="0" w:color="auto"/>
              <w:right w:val="nil"/>
            </w:tcBorders>
            <w:shd w:val="clear" w:color="auto" w:fill="auto"/>
            <w:vAlign w:val="center"/>
            <w:hideMark/>
          </w:tcPr>
          <w:p w14:paraId="1EEF5C24"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от тях:</w:t>
            </w:r>
          </w:p>
        </w:tc>
        <w:tc>
          <w:tcPr>
            <w:tcW w:w="1280" w:type="dxa"/>
            <w:tcBorders>
              <w:top w:val="single" w:sz="8" w:space="0" w:color="auto"/>
              <w:left w:val="nil"/>
              <w:bottom w:val="nil"/>
              <w:right w:val="nil"/>
            </w:tcBorders>
            <w:shd w:val="clear" w:color="auto" w:fill="auto"/>
            <w:vAlign w:val="center"/>
            <w:hideMark/>
          </w:tcPr>
          <w:p w14:paraId="5FAE83A7"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Прогноза</w:t>
            </w:r>
          </w:p>
        </w:tc>
        <w:tc>
          <w:tcPr>
            <w:tcW w:w="1280" w:type="dxa"/>
            <w:tcBorders>
              <w:top w:val="single" w:sz="8" w:space="0" w:color="auto"/>
              <w:left w:val="nil"/>
              <w:bottom w:val="nil"/>
              <w:right w:val="nil"/>
            </w:tcBorders>
            <w:shd w:val="clear" w:color="auto" w:fill="auto"/>
            <w:vAlign w:val="center"/>
            <w:hideMark/>
          </w:tcPr>
          <w:p w14:paraId="44FD8ECF"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Прогноза</w:t>
            </w:r>
          </w:p>
        </w:tc>
      </w:tr>
      <w:tr w:rsidR="00761800" w:rsidRPr="00761800" w14:paraId="1155C84F" w14:textId="77777777" w:rsidTr="00406B4D">
        <w:trPr>
          <w:trHeight w:val="288"/>
        </w:trPr>
        <w:tc>
          <w:tcPr>
            <w:tcW w:w="3828" w:type="dxa"/>
            <w:tcBorders>
              <w:top w:val="nil"/>
              <w:left w:val="nil"/>
              <w:bottom w:val="nil"/>
              <w:right w:val="nil"/>
            </w:tcBorders>
            <w:shd w:val="clear" w:color="auto" w:fill="auto"/>
            <w:noWrap/>
            <w:vAlign w:val="center"/>
            <w:hideMark/>
          </w:tcPr>
          <w:p w14:paraId="4D9AFFF1"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 xml:space="preserve"> взаимоотношения</w:t>
            </w:r>
          </w:p>
        </w:tc>
        <w:tc>
          <w:tcPr>
            <w:tcW w:w="1190" w:type="dxa"/>
            <w:tcBorders>
              <w:top w:val="nil"/>
              <w:left w:val="nil"/>
              <w:bottom w:val="nil"/>
              <w:right w:val="nil"/>
            </w:tcBorders>
            <w:shd w:val="clear" w:color="auto" w:fill="auto"/>
            <w:noWrap/>
            <w:vAlign w:val="center"/>
            <w:hideMark/>
          </w:tcPr>
          <w:p w14:paraId="4E599033"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2026</w:t>
            </w:r>
          </w:p>
        </w:tc>
        <w:tc>
          <w:tcPr>
            <w:tcW w:w="1080" w:type="dxa"/>
            <w:tcBorders>
              <w:top w:val="nil"/>
              <w:left w:val="nil"/>
              <w:bottom w:val="nil"/>
              <w:right w:val="nil"/>
            </w:tcBorders>
            <w:shd w:val="clear" w:color="auto" w:fill="auto"/>
            <w:noWrap/>
            <w:vAlign w:val="center"/>
            <w:hideMark/>
          </w:tcPr>
          <w:p w14:paraId="5CFDD196"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местни</w:t>
            </w:r>
          </w:p>
        </w:tc>
        <w:tc>
          <w:tcPr>
            <w:tcW w:w="1180" w:type="dxa"/>
            <w:tcBorders>
              <w:top w:val="nil"/>
              <w:left w:val="nil"/>
              <w:bottom w:val="nil"/>
              <w:right w:val="nil"/>
            </w:tcBorders>
            <w:shd w:val="clear" w:color="auto" w:fill="auto"/>
            <w:noWrap/>
            <w:vAlign w:val="center"/>
            <w:hideMark/>
          </w:tcPr>
          <w:p w14:paraId="105E5843"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делегирани</w:t>
            </w:r>
          </w:p>
        </w:tc>
        <w:tc>
          <w:tcPr>
            <w:tcW w:w="1280" w:type="dxa"/>
            <w:tcBorders>
              <w:top w:val="nil"/>
              <w:left w:val="nil"/>
              <w:bottom w:val="nil"/>
              <w:right w:val="nil"/>
            </w:tcBorders>
            <w:shd w:val="clear" w:color="auto" w:fill="auto"/>
            <w:noWrap/>
            <w:vAlign w:val="center"/>
            <w:hideMark/>
          </w:tcPr>
          <w:p w14:paraId="0E6CC3FB"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2027</w:t>
            </w:r>
          </w:p>
        </w:tc>
        <w:tc>
          <w:tcPr>
            <w:tcW w:w="1280" w:type="dxa"/>
            <w:tcBorders>
              <w:top w:val="nil"/>
              <w:left w:val="nil"/>
              <w:bottom w:val="nil"/>
              <w:right w:val="nil"/>
            </w:tcBorders>
            <w:shd w:val="clear" w:color="auto" w:fill="auto"/>
            <w:noWrap/>
            <w:vAlign w:val="center"/>
            <w:hideMark/>
          </w:tcPr>
          <w:p w14:paraId="7DA72C27"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2028</w:t>
            </w:r>
          </w:p>
        </w:tc>
      </w:tr>
      <w:tr w:rsidR="00761800" w:rsidRPr="00761800" w14:paraId="6DC42242" w14:textId="77777777" w:rsidTr="00406B4D">
        <w:trPr>
          <w:trHeight w:val="300"/>
        </w:trPr>
        <w:tc>
          <w:tcPr>
            <w:tcW w:w="3828" w:type="dxa"/>
            <w:tcBorders>
              <w:top w:val="nil"/>
              <w:left w:val="nil"/>
              <w:bottom w:val="single" w:sz="4" w:space="0" w:color="auto"/>
              <w:right w:val="nil"/>
            </w:tcBorders>
            <w:shd w:val="clear" w:color="auto" w:fill="auto"/>
            <w:noWrap/>
            <w:vAlign w:val="center"/>
            <w:hideMark/>
          </w:tcPr>
          <w:p w14:paraId="22F24728" w14:textId="77777777" w:rsidR="00761800" w:rsidRPr="00761800" w:rsidRDefault="00761800" w:rsidP="00761800">
            <w:pPr>
              <w:rPr>
                <w:rFonts w:ascii="Times New Roman" w:hAnsi="Times New Roman"/>
                <w:b/>
                <w:bCs/>
                <w:color w:val="000000"/>
                <w:sz w:val="20"/>
                <w:lang w:eastAsia="bg-BG"/>
              </w:rPr>
            </w:pPr>
            <w:r w:rsidRPr="00761800">
              <w:rPr>
                <w:rFonts w:ascii="Times New Roman" w:hAnsi="Times New Roman"/>
                <w:b/>
                <w:bCs/>
                <w:color w:val="000000"/>
                <w:sz w:val="20"/>
                <w:lang w:eastAsia="bg-BG"/>
              </w:rPr>
              <w:t> </w:t>
            </w:r>
          </w:p>
        </w:tc>
        <w:tc>
          <w:tcPr>
            <w:tcW w:w="1190" w:type="dxa"/>
            <w:tcBorders>
              <w:top w:val="nil"/>
              <w:left w:val="nil"/>
              <w:bottom w:val="single" w:sz="4" w:space="0" w:color="auto"/>
              <w:right w:val="nil"/>
            </w:tcBorders>
            <w:shd w:val="clear" w:color="auto" w:fill="auto"/>
            <w:noWrap/>
            <w:vAlign w:val="center"/>
            <w:hideMark/>
          </w:tcPr>
          <w:p w14:paraId="43A095CF" w14:textId="77777777" w:rsidR="00761800" w:rsidRPr="00761800" w:rsidRDefault="00761800" w:rsidP="00761800">
            <w:pPr>
              <w:rPr>
                <w:rFonts w:ascii="Times New Roman" w:hAnsi="Times New Roman"/>
                <w:b/>
                <w:bCs/>
                <w:color w:val="000000"/>
                <w:sz w:val="20"/>
                <w:lang w:eastAsia="bg-BG"/>
              </w:rPr>
            </w:pPr>
            <w:r w:rsidRPr="00761800">
              <w:rPr>
                <w:rFonts w:ascii="Times New Roman" w:hAnsi="Times New Roman"/>
                <w:b/>
                <w:bCs/>
                <w:color w:val="000000"/>
                <w:sz w:val="20"/>
                <w:lang w:eastAsia="bg-BG"/>
              </w:rPr>
              <w:t> </w:t>
            </w:r>
          </w:p>
        </w:tc>
        <w:tc>
          <w:tcPr>
            <w:tcW w:w="1080" w:type="dxa"/>
            <w:tcBorders>
              <w:top w:val="nil"/>
              <w:left w:val="nil"/>
              <w:bottom w:val="single" w:sz="4" w:space="0" w:color="auto"/>
              <w:right w:val="nil"/>
            </w:tcBorders>
            <w:shd w:val="clear" w:color="auto" w:fill="auto"/>
            <w:noWrap/>
            <w:vAlign w:val="center"/>
            <w:hideMark/>
          </w:tcPr>
          <w:p w14:paraId="029FFC98" w14:textId="77777777" w:rsidR="00761800" w:rsidRPr="00761800" w:rsidRDefault="00761800" w:rsidP="00761800">
            <w:pPr>
              <w:rPr>
                <w:rFonts w:ascii="Times New Roman" w:hAnsi="Times New Roman"/>
                <w:b/>
                <w:bCs/>
                <w:color w:val="000000"/>
                <w:sz w:val="20"/>
                <w:lang w:eastAsia="bg-BG"/>
              </w:rPr>
            </w:pPr>
            <w:r w:rsidRPr="00761800">
              <w:rPr>
                <w:rFonts w:ascii="Times New Roman" w:hAnsi="Times New Roman"/>
                <w:b/>
                <w:bCs/>
                <w:color w:val="000000"/>
                <w:sz w:val="20"/>
                <w:lang w:eastAsia="bg-BG"/>
              </w:rPr>
              <w:t> </w:t>
            </w:r>
          </w:p>
        </w:tc>
        <w:tc>
          <w:tcPr>
            <w:tcW w:w="1180" w:type="dxa"/>
            <w:tcBorders>
              <w:top w:val="nil"/>
              <w:left w:val="nil"/>
              <w:bottom w:val="single" w:sz="4" w:space="0" w:color="auto"/>
              <w:right w:val="nil"/>
            </w:tcBorders>
            <w:shd w:val="clear" w:color="auto" w:fill="auto"/>
            <w:noWrap/>
            <w:vAlign w:val="center"/>
            <w:hideMark/>
          </w:tcPr>
          <w:p w14:paraId="4EAA1741" w14:textId="77777777" w:rsidR="00761800" w:rsidRPr="00761800" w:rsidRDefault="00761800" w:rsidP="00761800">
            <w:pPr>
              <w:rPr>
                <w:rFonts w:ascii="Times New Roman" w:hAnsi="Times New Roman"/>
                <w:b/>
                <w:bCs/>
                <w:color w:val="000000"/>
                <w:sz w:val="20"/>
                <w:lang w:eastAsia="bg-BG"/>
              </w:rPr>
            </w:pPr>
            <w:r w:rsidRPr="00761800">
              <w:rPr>
                <w:rFonts w:ascii="Times New Roman" w:hAnsi="Times New Roman"/>
                <w:b/>
                <w:bCs/>
                <w:color w:val="000000"/>
                <w:sz w:val="20"/>
                <w:lang w:eastAsia="bg-BG"/>
              </w:rPr>
              <w:t> </w:t>
            </w:r>
          </w:p>
        </w:tc>
        <w:tc>
          <w:tcPr>
            <w:tcW w:w="1280" w:type="dxa"/>
            <w:tcBorders>
              <w:top w:val="nil"/>
              <w:left w:val="nil"/>
              <w:bottom w:val="single" w:sz="4" w:space="0" w:color="auto"/>
              <w:right w:val="nil"/>
            </w:tcBorders>
            <w:shd w:val="clear" w:color="auto" w:fill="auto"/>
            <w:noWrap/>
            <w:vAlign w:val="center"/>
            <w:hideMark/>
          </w:tcPr>
          <w:p w14:paraId="6E4AEFC1" w14:textId="77777777" w:rsidR="00761800" w:rsidRPr="00761800" w:rsidRDefault="00761800" w:rsidP="00761800">
            <w:pPr>
              <w:rPr>
                <w:rFonts w:ascii="Times New Roman" w:hAnsi="Times New Roman"/>
                <w:b/>
                <w:bCs/>
                <w:color w:val="000000"/>
                <w:sz w:val="20"/>
                <w:lang w:eastAsia="bg-BG"/>
              </w:rPr>
            </w:pPr>
            <w:r w:rsidRPr="00761800">
              <w:rPr>
                <w:rFonts w:ascii="Times New Roman" w:hAnsi="Times New Roman"/>
                <w:b/>
                <w:bCs/>
                <w:color w:val="000000"/>
                <w:sz w:val="20"/>
                <w:lang w:eastAsia="bg-BG"/>
              </w:rPr>
              <w:t> </w:t>
            </w:r>
          </w:p>
        </w:tc>
        <w:tc>
          <w:tcPr>
            <w:tcW w:w="1280" w:type="dxa"/>
            <w:tcBorders>
              <w:top w:val="nil"/>
              <w:left w:val="nil"/>
              <w:bottom w:val="single" w:sz="4" w:space="0" w:color="auto"/>
              <w:right w:val="nil"/>
            </w:tcBorders>
            <w:shd w:val="clear" w:color="auto" w:fill="auto"/>
            <w:noWrap/>
            <w:vAlign w:val="center"/>
            <w:hideMark/>
          </w:tcPr>
          <w:p w14:paraId="4BDCB979" w14:textId="77777777" w:rsidR="00761800" w:rsidRPr="00761800" w:rsidRDefault="00761800" w:rsidP="00761800">
            <w:pPr>
              <w:rPr>
                <w:rFonts w:ascii="Times New Roman" w:hAnsi="Times New Roman"/>
                <w:b/>
                <w:bCs/>
                <w:color w:val="000000"/>
                <w:sz w:val="20"/>
                <w:lang w:eastAsia="bg-BG"/>
              </w:rPr>
            </w:pPr>
            <w:r w:rsidRPr="00761800">
              <w:rPr>
                <w:rFonts w:ascii="Times New Roman" w:hAnsi="Times New Roman"/>
                <w:b/>
                <w:bCs/>
                <w:color w:val="000000"/>
                <w:sz w:val="20"/>
                <w:lang w:eastAsia="bg-BG"/>
              </w:rPr>
              <w:t> </w:t>
            </w:r>
          </w:p>
        </w:tc>
      </w:tr>
      <w:tr w:rsidR="00761800" w:rsidRPr="00761800" w14:paraId="16361710" w14:textId="77777777" w:rsidTr="00406B4D">
        <w:trPr>
          <w:trHeight w:val="288"/>
        </w:trPr>
        <w:tc>
          <w:tcPr>
            <w:tcW w:w="3828" w:type="dxa"/>
            <w:tcBorders>
              <w:top w:val="single" w:sz="4" w:space="0" w:color="auto"/>
              <w:left w:val="nil"/>
              <w:bottom w:val="nil"/>
              <w:right w:val="nil"/>
            </w:tcBorders>
            <w:shd w:val="clear" w:color="auto" w:fill="auto"/>
            <w:noWrap/>
            <w:vAlign w:val="center"/>
            <w:hideMark/>
          </w:tcPr>
          <w:p w14:paraId="18632CE0" w14:textId="77777777" w:rsidR="00761800" w:rsidRPr="00761800" w:rsidRDefault="00761800" w:rsidP="00761800">
            <w:pPr>
              <w:rPr>
                <w:rFonts w:ascii="Times New Roman" w:hAnsi="Times New Roman"/>
                <w:b/>
                <w:bCs/>
                <w:color w:val="000000"/>
                <w:sz w:val="20"/>
                <w:lang w:eastAsia="bg-BG"/>
              </w:rPr>
            </w:pPr>
            <w:r w:rsidRPr="00761800">
              <w:rPr>
                <w:rFonts w:ascii="Times New Roman" w:hAnsi="Times New Roman"/>
                <w:b/>
                <w:bCs/>
                <w:color w:val="000000"/>
                <w:sz w:val="20"/>
                <w:lang w:eastAsia="bg-BG"/>
              </w:rPr>
              <w:t>Общо:</w:t>
            </w:r>
          </w:p>
        </w:tc>
        <w:tc>
          <w:tcPr>
            <w:tcW w:w="1190" w:type="dxa"/>
            <w:tcBorders>
              <w:top w:val="single" w:sz="4" w:space="0" w:color="auto"/>
              <w:left w:val="nil"/>
              <w:bottom w:val="nil"/>
              <w:right w:val="nil"/>
            </w:tcBorders>
            <w:shd w:val="clear" w:color="auto" w:fill="auto"/>
            <w:noWrap/>
            <w:vAlign w:val="center"/>
            <w:hideMark/>
          </w:tcPr>
          <w:p w14:paraId="2FBD3A42"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4 887 464,0</w:t>
            </w:r>
          </w:p>
        </w:tc>
        <w:tc>
          <w:tcPr>
            <w:tcW w:w="1080" w:type="dxa"/>
            <w:tcBorders>
              <w:top w:val="single" w:sz="4" w:space="0" w:color="auto"/>
              <w:left w:val="nil"/>
              <w:bottom w:val="nil"/>
              <w:right w:val="nil"/>
            </w:tcBorders>
            <w:shd w:val="clear" w:color="auto" w:fill="auto"/>
            <w:noWrap/>
            <w:vAlign w:val="center"/>
            <w:hideMark/>
          </w:tcPr>
          <w:p w14:paraId="0970C840"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465 462,3</w:t>
            </w:r>
          </w:p>
        </w:tc>
        <w:tc>
          <w:tcPr>
            <w:tcW w:w="1180" w:type="dxa"/>
            <w:tcBorders>
              <w:top w:val="single" w:sz="4" w:space="0" w:color="auto"/>
              <w:left w:val="nil"/>
              <w:bottom w:val="nil"/>
              <w:right w:val="nil"/>
            </w:tcBorders>
            <w:shd w:val="clear" w:color="auto" w:fill="auto"/>
            <w:noWrap/>
            <w:vAlign w:val="center"/>
            <w:hideMark/>
          </w:tcPr>
          <w:p w14:paraId="46BF03A9"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4 422 001,7</w:t>
            </w:r>
          </w:p>
        </w:tc>
        <w:tc>
          <w:tcPr>
            <w:tcW w:w="1280" w:type="dxa"/>
            <w:tcBorders>
              <w:top w:val="single" w:sz="4" w:space="0" w:color="auto"/>
              <w:left w:val="nil"/>
              <w:bottom w:val="nil"/>
              <w:right w:val="nil"/>
            </w:tcBorders>
            <w:shd w:val="clear" w:color="auto" w:fill="auto"/>
            <w:noWrap/>
            <w:vAlign w:val="center"/>
            <w:hideMark/>
          </w:tcPr>
          <w:p w14:paraId="28FC3E04"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4 898 990,4</w:t>
            </w:r>
          </w:p>
        </w:tc>
        <w:tc>
          <w:tcPr>
            <w:tcW w:w="1280" w:type="dxa"/>
            <w:tcBorders>
              <w:top w:val="single" w:sz="4" w:space="0" w:color="auto"/>
              <w:left w:val="nil"/>
              <w:bottom w:val="nil"/>
              <w:right w:val="nil"/>
            </w:tcBorders>
            <w:shd w:val="clear" w:color="auto" w:fill="auto"/>
            <w:noWrap/>
            <w:vAlign w:val="center"/>
            <w:hideMark/>
          </w:tcPr>
          <w:p w14:paraId="6FE3EE33"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b/>
                <w:bCs/>
                <w:color w:val="000000"/>
                <w:sz w:val="20"/>
                <w:lang w:eastAsia="bg-BG"/>
              </w:rPr>
              <w:t>4 899 284,6</w:t>
            </w:r>
          </w:p>
        </w:tc>
      </w:tr>
      <w:tr w:rsidR="00761800" w:rsidRPr="00761800" w14:paraId="47497AD3" w14:textId="77777777" w:rsidTr="00406B4D">
        <w:trPr>
          <w:trHeight w:val="600"/>
        </w:trPr>
        <w:tc>
          <w:tcPr>
            <w:tcW w:w="3828" w:type="dxa"/>
            <w:tcBorders>
              <w:top w:val="nil"/>
              <w:left w:val="nil"/>
              <w:bottom w:val="nil"/>
              <w:right w:val="nil"/>
            </w:tcBorders>
            <w:shd w:val="clear" w:color="auto" w:fill="auto"/>
            <w:vAlign w:val="center"/>
            <w:hideMark/>
          </w:tcPr>
          <w:p w14:paraId="341F7018" w14:textId="77777777" w:rsidR="00761800" w:rsidRPr="00761800" w:rsidRDefault="00761800" w:rsidP="00761800">
            <w:pPr>
              <w:ind w:firstLineChars="100" w:firstLine="200"/>
              <w:rPr>
                <w:rFonts w:ascii="Times New Roman" w:hAnsi="Times New Roman"/>
                <w:color w:val="000000"/>
                <w:sz w:val="20"/>
                <w:lang w:eastAsia="bg-BG"/>
              </w:rPr>
            </w:pPr>
            <w:r w:rsidRPr="00761800">
              <w:rPr>
                <w:rFonts w:ascii="Times New Roman" w:hAnsi="Times New Roman"/>
                <w:color w:val="000000"/>
                <w:sz w:val="20"/>
                <w:lang w:eastAsia="bg-BG"/>
              </w:rPr>
              <w:t>Обща субсидия за делегираните от държавата дейности</w:t>
            </w:r>
          </w:p>
        </w:tc>
        <w:tc>
          <w:tcPr>
            <w:tcW w:w="1190" w:type="dxa"/>
            <w:tcBorders>
              <w:top w:val="nil"/>
              <w:left w:val="nil"/>
              <w:bottom w:val="nil"/>
              <w:right w:val="nil"/>
            </w:tcBorders>
            <w:shd w:val="clear" w:color="auto" w:fill="auto"/>
            <w:noWrap/>
            <w:vAlign w:val="center"/>
            <w:hideMark/>
          </w:tcPr>
          <w:p w14:paraId="351C13CC"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4 351 706,0</w:t>
            </w:r>
          </w:p>
        </w:tc>
        <w:tc>
          <w:tcPr>
            <w:tcW w:w="1080" w:type="dxa"/>
            <w:tcBorders>
              <w:top w:val="nil"/>
              <w:left w:val="nil"/>
              <w:bottom w:val="nil"/>
              <w:right w:val="nil"/>
            </w:tcBorders>
            <w:shd w:val="clear" w:color="auto" w:fill="auto"/>
            <w:noWrap/>
            <w:vAlign w:val="center"/>
            <w:hideMark/>
          </w:tcPr>
          <w:p w14:paraId="1130531A"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0,0</w:t>
            </w:r>
          </w:p>
        </w:tc>
        <w:tc>
          <w:tcPr>
            <w:tcW w:w="1180" w:type="dxa"/>
            <w:tcBorders>
              <w:top w:val="nil"/>
              <w:left w:val="nil"/>
              <w:bottom w:val="nil"/>
              <w:right w:val="nil"/>
            </w:tcBorders>
            <w:shd w:val="clear" w:color="auto" w:fill="auto"/>
            <w:noWrap/>
            <w:vAlign w:val="center"/>
            <w:hideMark/>
          </w:tcPr>
          <w:p w14:paraId="05F0C5B2"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4 351 706,0</w:t>
            </w:r>
          </w:p>
        </w:tc>
        <w:tc>
          <w:tcPr>
            <w:tcW w:w="1280" w:type="dxa"/>
            <w:tcBorders>
              <w:top w:val="nil"/>
              <w:left w:val="nil"/>
              <w:bottom w:val="nil"/>
              <w:right w:val="nil"/>
            </w:tcBorders>
            <w:shd w:val="clear" w:color="auto" w:fill="auto"/>
            <w:noWrap/>
            <w:vAlign w:val="center"/>
            <w:hideMark/>
          </w:tcPr>
          <w:p w14:paraId="00DCE874"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4 363 232,4</w:t>
            </w:r>
          </w:p>
        </w:tc>
        <w:tc>
          <w:tcPr>
            <w:tcW w:w="1280" w:type="dxa"/>
            <w:tcBorders>
              <w:top w:val="nil"/>
              <w:left w:val="nil"/>
              <w:bottom w:val="nil"/>
              <w:right w:val="nil"/>
            </w:tcBorders>
            <w:shd w:val="clear" w:color="auto" w:fill="auto"/>
            <w:noWrap/>
            <w:vAlign w:val="center"/>
            <w:hideMark/>
          </w:tcPr>
          <w:p w14:paraId="35CE52C1"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4 363 526,6</w:t>
            </w:r>
          </w:p>
        </w:tc>
      </w:tr>
      <w:tr w:rsidR="00761800" w:rsidRPr="00761800" w14:paraId="548A839C" w14:textId="77777777" w:rsidTr="00406B4D">
        <w:trPr>
          <w:trHeight w:val="336"/>
        </w:trPr>
        <w:tc>
          <w:tcPr>
            <w:tcW w:w="3828" w:type="dxa"/>
            <w:tcBorders>
              <w:top w:val="nil"/>
              <w:left w:val="nil"/>
              <w:bottom w:val="nil"/>
              <w:right w:val="nil"/>
            </w:tcBorders>
            <w:shd w:val="clear" w:color="auto" w:fill="auto"/>
            <w:vAlign w:val="center"/>
            <w:hideMark/>
          </w:tcPr>
          <w:p w14:paraId="68F9C53F" w14:textId="77777777" w:rsidR="00761800" w:rsidRPr="00761800" w:rsidRDefault="00761800" w:rsidP="00761800">
            <w:pPr>
              <w:ind w:firstLineChars="100" w:firstLine="200"/>
              <w:rPr>
                <w:rFonts w:ascii="Times New Roman" w:hAnsi="Times New Roman"/>
                <w:color w:val="000000"/>
                <w:sz w:val="20"/>
                <w:lang w:eastAsia="bg-BG"/>
              </w:rPr>
            </w:pPr>
            <w:r w:rsidRPr="00761800">
              <w:rPr>
                <w:rFonts w:ascii="Times New Roman" w:hAnsi="Times New Roman"/>
                <w:color w:val="000000"/>
                <w:sz w:val="20"/>
                <w:lang w:eastAsia="bg-BG"/>
              </w:rPr>
              <w:t>Обща изравнителна субсидия</w:t>
            </w:r>
          </w:p>
        </w:tc>
        <w:tc>
          <w:tcPr>
            <w:tcW w:w="1190" w:type="dxa"/>
            <w:tcBorders>
              <w:top w:val="nil"/>
              <w:left w:val="nil"/>
              <w:bottom w:val="nil"/>
              <w:right w:val="nil"/>
            </w:tcBorders>
            <w:shd w:val="clear" w:color="auto" w:fill="auto"/>
            <w:noWrap/>
            <w:vAlign w:val="center"/>
            <w:hideMark/>
          </w:tcPr>
          <w:p w14:paraId="5110DE7F"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255 658,0</w:t>
            </w:r>
          </w:p>
        </w:tc>
        <w:tc>
          <w:tcPr>
            <w:tcW w:w="1080" w:type="dxa"/>
            <w:tcBorders>
              <w:top w:val="nil"/>
              <w:left w:val="nil"/>
              <w:bottom w:val="nil"/>
              <w:right w:val="nil"/>
            </w:tcBorders>
            <w:shd w:val="clear" w:color="auto" w:fill="auto"/>
            <w:noWrap/>
            <w:vAlign w:val="center"/>
            <w:hideMark/>
          </w:tcPr>
          <w:p w14:paraId="0F349B76"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255 658,0</w:t>
            </w:r>
          </w:p>
        </w:tc>
        <w:tc>
          <w:tcPr>
            <w:tcW w:w="1180" w:type="dxa"/>
            <w:tcBorders>
              <w:top w:val="nil"/>
              <w:left w:val="nil"/>
              <w:bottom w:val="nil"/>
              <w:right w:val="nil"/>
            </w:tcBorders>
            <w:shd w:val="clear" w:color="auto" w:fill="auto"/>
            <w:noWrap/>
            <w:vAlign w:val="center"/>
            <w:hideMark/>
          </w:tcPr>
          <w:p w14:paraId="703CB1DD"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0,0</w:t>
            </w:r>
          </w:p>
        </w:tc>
        <w:tc>
          <w:tcPr>
            <w:tcW w:w="1280" w:type="dxa"/>
            <w:tcBorders>
              <w:top w:val="nil"/>
              <w:left w:val="nil"/>
              <w:bottom w:val="nil"/>
              <w:right w:val="nil"/>
            </w:tcBorders>
            <w:shd w:val="clear" w:color="auto" w:fill="auto"/>
            <w:noWrap/>
            <w:vAlign w:val="center"/>
            <w:hideMark/>
          </w:tcPr>
          <w:p w14:paraId="63806DBC"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255 658,0</w:t>
            </w:r>
          </w:p>
        </w:tc>
        <w:tc>
          <w:tcPr>
            <w:tcW w:w="1280" w:type="dxa"/>
            <w:tcBorders>
              <w:top w:val="nil"/>
              <w:left w:val="nil"/>
              <w:bottom w:val="nil"/>
              <w:right w:val="nil"/>
            </w:tcBorders>
            <w:shd w:val="clear" w:color="auto" w:fill="auto"/>
            <w:noWrap/>
            <w:vAlign w:val="center"/>
            <w:hideMark/>
          </w:tcPr>
          <w:p w14:paraId="50FEA847"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255 658,0</w:t>
            </w:r>
          </w:p>
        </w:tc>
      </w:tr>
      <w:tr w:rsidR="00761800" w:rsidRPr="00761800" w14:paraId="60E2E4C5" w14:textId="77777777" w:rsidTr="00406B4D">
        <w:trPr>
          <w:trHeight w:val="459"/>
        </w:trPr>
        <w:tc>
          <w:tcPr>
            <w:tcW w:w="3828" w:type="dxa"/>
            <w:tcBorders>
              <w:top w:val="nil"/>
              <w:left w:val="nil"/>
              <w:bottom w:val="nil"/>
              <w:right w:val="nil"/>
            </w:tcBorders>
            <w:shd w:val="clear" w:color="auto" w:fill="auto"/>
            <w:vAlign w:val="center"/>
            <w:hideMark/>
          </w:tcPr>
          <w:p w14:paraId="60E7CD03" w14:textId="77777777" w:rsidR="00761800" w:rsidRPr="00761800" w:rsidRDefault="00761800" w:rsidP="00761800">
            <w:pPr>
              <w:ind w:firstLineChars="100" w:firstLine="200"/>
              <w:rPr>
                <w:rFonts w:ascii="Times New Roman" w:hAnsi="Times New Roman"/>
                <w:color w:val="000000"/>
                <w:sz w:val="20"/>
                <w:lang w:eastAsia="bg-BG"/>
              </w:rPr>
            </w:pPr>
            <w:r w:rsidRPr="00761800">
              <w:rPr>
                <w:rFonts w:ascii="Times New Roman" w:hAnsi="Times New Roman"/>
                <w:color w:val="000000"/>
                <w:sz w:val="20"/>
                <w:lang w:eastAsia="bg-BG"/>
              </w:rPr>
              <w:t>Трансфер за зимно поддържане и снегопочистване на общински пътища</w:t>
            </w:r>
          </w:p>
        </w:tc>
        <w:tc>
          <w:tcPr>
            <w:tcW w:w="1190" w:type="dxa"/>
            <w:tcBorders>
              <w:top w:val="nil"/>
              <w:left w:val="nil"/>
              <w:bottom w:val="nil"/>
              <w:right w:val="nil"/>
            </w:tcBorders>
            <w:shd w:val="clear" w:color="auto" w:fill="auto"/>
            <w:noWrap/>
            <w:vAlign w:val="center"/>
            <w:hideMark/>
          </w:tcPr>
          <w:p w14:paraId="37B0E806"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25 100,0</w:t>
            </w:r>
          </w:p>
        </w:tc>
        <w:tc>
          <w:tcPr>
            <w:tcW w:w="1080" w:type="dxa"/>
            <w:tcBorders>
              <w:top w:val="nil"/>
              <w:left w:val="nil"/>
              <w:bottom w:val="nil"/>
              <w:right w:val="nil"/>
            </w:tcBorders>
            <w:shd w:val="clear" w:color="auto" w:fill="auto"/>
            <w:noWrap/>
            <w:vAlign w:val="center"/>
            <w:hideMark/>
          </w:tcPr>
          <w:p w14:paraId="18C1F24B"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25 100,0</w:t>
            </w:r>
          </w:p>
        </w:tc>
        <w:tc>
          <w:tcPr>
            <w:tcW w:w="1180" w:type="dxa"/>
            <w:tcBorders>
              <w:top w:val="nil"/>
              <w:left w:val="nil"/>
              <w:bottom w:val="nil"/>
              <w:right w:val="nil"/>
            </w:tcBorders>
            <w:shd w:val="clear" w:color="auto" w:fill="auto"/>
            <w:noWrap/>
            <w:vAlign w:val="center"/>
            <w:hideMark/>
          </w:tcPr>
          <w:p w14:paraId="6378DEFE"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0,0</w:t>
            </w:r>
          </w:p>
        </w:tc>
        <w:tc>
          <w:tcPr>
            <w:tcW w:w="1280" w:type="dxa"/>
            <w:tcBorders>
              <w:top w:val="nil"/>
              <w:left w:val="nil"/>
              <w:bottom w:val="nil"/>
              <w:right w:val="nil"/>
            </w:tcBorders>
            <w:shd w:val="clear" w:color="auto" w:fill="auto"/>
            <w:noWrap/>
            <w:vAlign w:val="center"/>
            <w:hideMark/>
          </w:tcPr>
          <w:p w14:paraId="2F0F9582"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25 100,0</w:t>
            </w:r>
          </w:p>
        </w:tc>
        <w:tc>
          <w:tcPr>
            <w:tcW w:w="1280" w:type="dxa"/>
            <w:tcBorders>
              <w:top w:val="nil"/>
              <w:left w:val="nil"/>
              <w:bottom w:val="nil"/>
              <w:right w:val="nil"/>
            </w:tcBorders>
            <w:shd w:val="clear" w:color="auto" w:fill="auto"/>
            <w:noWrap/>
            <w:vAlign w:val="center"/>
            <w:hideMark/>
          </w:tcPr>
          <w:p w14:paraId="03E770E6"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25 100,0</w:t>
            </w:r>
          </w:p>
        </w:tc>
      </w:tr>
      <w:tr w:rsidR="00761800" w:rsidRPr="00761800" w14:paraId="4206ABA4" w14:textId="77777777" w:rsidTr="00406B4D">
        <w:trPr>
          <w:trHeight w:val="339"/>
        </w:trPr>
        <w:tc>
          <w:tcPr>
            <w:tcW w:w="3828" w:type="dxa"/>
            <w:tcBorders>
              <w:top w:val="nil"/>
              <w:left w:val="nil"/>
              <w:bottom w:val="single" w:sz="4" w:space="0" w:color="auto"/>
              <w:right w:val="nil"/>
            </w:tcBorders>
            <w:shd w:val="clear" w:color="auto" w:fill="auto"/>
            <w:noWrap/>
            <w:vAlign w:val="center"/>
            <w:hideMark/>
          </w:tcPr>
          <w:p w14:paraId="7B6F42C3" w14:textId="77777777" w:rsidR="00761800" w:rsidRPr="00761800" w:rsidRDefault="00761800" w:rsidP="00761800">
            <w:pPr>
              <w:ind w:firstLineChars="100" w:firstLine="200"/>
              <w:rPr>
                <w:rFonts w:ascii="Times New Roman" w:hAnsi="Times New Roman"/>
                <w:color w:val="000000"/>
                <w:sz w:val="20"/>
                <w:lang w:eastAsia="bg-BG"/>
              </w:rPr>
            </w:pPr>
            <w:r w:rsidRPr="00761800">
              <w:rPr>
                <w:rFonts w:ascii="Times New Roman" w:hAnsi="Times New Roman"/>
                <w:color w:val="000000"/>
                <w:sz w:val="20"/>
                <w:lang w:eastAsia="bg-BG"/>
              </w:rPr>
              <w:t>Целева субсидия за капиталови разходи</w:t>
            </w:r>
          </w:p>
        </w:tc>
        <w:tc>
          <w:tcPr>
            <w:tcW w:w="1190" w:type="dxa"/>
            <w:tcBorders>
              <w:top w:val="nil"/>
              <w:left w:val="nil"/>
              <w:bottom w:val="single" w:sz="4" w:space="0" w:color="auto"/>
              <w:right w:val="nil"/>
            </w:tcBorders>
            <w:shd w:val="clear" w:color="auto" w:fill="auto"/>
            <w:noWrap/>
            <w:vAlign w:val="center"/>
            <w:hideMark/>
          </w:tcPr>
          <w:p w14:paraId="766133F0"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255 000,0</w:t>
            </w:r>
          </w:p>
        </w:tc>
        <w:tc>
          <w:tcPr>
            <w:tcW w:w="1080" w:type="dxa"/>
            <w:tcBorders>
              <w:top w:val="nil"/>
              <w:left w:val="nil"/>
              <w:bottom w:val="single" w:sz="4" w:space="0" w:color="auto"/>
              <w:right w:val="nil"/>
            </w:tcBorders>
            <w:shd w:val="clear" w:color="auto" w:fill="auto"/>
            <w:noWrap/>
            <w:vAlign w:val="center"/>
            <w:hideMark/>
          </w:tcPr>
          <w:p w14:paraId="0A127D32"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184 704,3</w:t>
            </w:r>
          </w:p>
        </w:tc>
        <w:tc>
          <w:tcPr>
            <w:tcW w:w="1180" w:type="dxa"/>
            <w:tcBorders>
              <w:top w:val="nil"/>
              <w:left w:val="nil"/>
              <w:bottom w:val="single" w:sz="4" w:space="0" w:color="auto"/>
              <w:right w:val="nil"/>
            </w:tcBorders>
            <w:shd w:val="clear" w:color="auto" w:fill="auto"/>
            <w:noWrap/>
            <w:vAlign w:val="center"/>
            <w:hideMark/>
          </w:tcPr>
          <w:p w14:paraId="02599626"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70 295,7</w:t>
            </w:r>
          </w:p>
        </w:tc>
        <w:tc>
          <w:tcPr>
            <w:tcW w:w="1280" w:type="dxa"/>
            <w:tcBorders>
              <w:top w:val="nil"/>
              <w:left w:val="nil"/>
              <w:bottom w:val="single" w:sz="4" w:space="0" w:color="auto"/>
              <w:right w:val="nil"/>
            </w:tcBorders>
            <w:shd w:val="clear" w:color="auto" w:fill="auto"/>
            <w:noWrap/>
            <w:vAlign w:val="center"/>
            <w:hideMark/>
          </w:tcPr>
          <w:p w14:paraId="41E1DF02"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255 000,0</w:t>
            </w:r>
          </w:p>
        </w:tc>
        <w:tc>
          <w:tcPr>
            <w:tcW w:w="1280" w:type="dxa"/>
            <w:tcBorders>
              <w:top w:val="nil"/>
              <w:left w:val="nil"/>
              <w:bottom w:val="single" w:sz="4" w:space="0" w:color="auto"/>
              <w:right w:val="nil"/>
            </w:tcBorders>
            <w:shd w:val="clear" w:color="auto" w:fill="auto"/>
            <w:noWrap/>
            <w:vAlign w:val="center"/>
            <w:hideMark/>
          </w:tcPr>
          <w:p w14:paraId="11353A35"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color w:val="000000"/>
                <w:sz w:val="20"/>
                <w:lang w:eastAsia="bg-BG"/>
              </w:rPr>
              <w:t>255 000,0</w:t>
            </w:r>
          </w:p>
        </w:tc>
      </w:tr>
    </w:tbl>
    <w:p w14:paraId="14F388C0" w14:textId="77777777" w:rsidR="00761800" w:rsidRPr="00761800" w:rsidRDefault="00761800" w:rsidP="00761800">
      <w:pPr>
        <w:spacing w:before="120" w:after="200"/>
        <w:jc w:val="right"/>
        <w:rPr>
          <w:rFonts w:ascii="Times New Roman" w:hAnsi="Times New Roman"/>
          <w:sz w:val="18"/>
          <w:szCs w:val="18"/>
          <w:lang w:eastAsia="bg-BG"/>
        </w:rPr>
      </w:pPr>
      <w:r w:rsidRPr="00761800">
        <w:rPr>
          <w:rFonts w:ascii="Times New Roman" w:hAnsi="Times New Roman"/>
          <w:sz w:val="18"/>
          <w:szCs w:val="18"/>
          <w:lang w:eastAsia="bg-BG"/>
        </w:rPr>
        <w:t>Източник: МФ</w:t>
      </w:r>
    </w:p>
    <w:p w14:paraId="5DD1DCE1" w14:textId="77777777" w:rsidR="00761800" w:rsidRPr="00761800" w:rsidRDefault="00761800" w:rsidP="00761800">
      <w:pPr>
        <w:spacing w:after="120"/>
        <w:jc w:val="both"/>
        <w:rPr>
          <w:rFonts w:ascii="Times New Roman" w:hAnsi="Times New Roman"/>
          <w:szCs w:val="22"/>
          <w:highlight w:val="yellow"/>
          <w:lang w:eastAsia="bg-BG"/>
        </w:rPr>
      </w:pPr>
    </w:p>
    <w:p w14:paraId="5713873E" w14:textId="77777777" w:rsidR="00761800" w:rsidRPr="00761800" w:rsidRDefault="00761800" w:rsidP="00761800">
      <w:pPr>
        <w:spacing w:after="120"/>
        <w:jc w:val="both"/>
        <w:rPr>
          <w:rFonts w:ascii="Times New Roman" w:hAnsi="Times New Roman"/>
          <w:szCs w:val="22"/>
          <w:lang w:eastAsia="bg-BG"/>
        </w:rPr>
      </w:pPr>
      <w:r w:rsidRPr="00761800">
        <w:rPr>
          <w:rFonts w:ascii="Times New Roman" w:hAnsi="Times New Roman"/>
          <w:szCs w:val="22"/>
          <w:lang w:eastAsia="bg-BG"/>
        </w:rPr>
        <w:t xml:space="preserve">В прогнозата за 2026 г. са разчетени </w:t>
      </w:r>
      <w:r w:rsidRPr="00761800">
        <w:rPr>
          <w:rFonts w:ascii="Times New Roman" w:hAnsi="Times New Roman"/>
          <w:b/>
          <w:szCs w:val="22"/>
          <w:lang w:eastAsia="bg-BG"/>
        </w:rPr>
        <w:t>основни бюджетни взаимоотношения между общините и централния бюджет</w:t>
      </w:r>
      <w:r w:rsidRPr="00761800">
        <w:rPr>
          <w:rFonts w:ascii="Times New Roman" w:hAnsi="Times New Roman"/>
          <w:szCs w:val="22"/>
          <w:lang w:eastAsia="bg-BG"/>
        </w:rPr>
        <w:t xml:space="preserve"> в общ размер 4 887,5 млн. евро, от които обща субсидия за делегираните от държавата дейности – 4 351,7 млн. евро; обща изравнителна субсидия – 255,7 млн. евро; трансфер за зимно поддържане и снегопочистване на общински пътища – 25,1 млн. евро; целева субсидия за капиталови разходи – 255,0 млн. евро.</w:t>
      </w:r>
    </w:p>
    <w:p w14:paraId="233837C2" w14:textId="77777777" w:rsidR="00761800" w:rsidRPr="00761800" w:rsidRDefault="00761800" w:rsidP="00761800">
      <w:pPr>
        <w:spacing w:after="120"/>
        <w:jc w:val="both"/>
        <w:rPr>
          <w:rFonts w:ascii="Times New Roman" w:hAnsi="Times New Roman"/>
          <w:szCs w:val="22"/>
          <w:lang w:eastAsia="bg-BG"/>
        </w:rPr>
      </w:pPr>
    </w:p>
    <w:p w14:paraId="3EBFC5F9" w14:textId="77777777" w:rsidR="00761800" w:rsidRPr="00761800" w:rsidRDefault="00761800" w:rsidP="00761800">
      <w:pPr>
        <w:spacing w:after="120"/>
        <w:jc w:val="both"/>
        <w:rPr>
          <w:rFonts w:ascii="Times New Roman" w:hAnsi="Times New Roman"/>
          <w:szCs w:val="22"/>
          <w:lang w:eastAsia="bg-BG"/>
        </w:rPr>
      </w:pPr>
    </w:p>
    <w:p w14:paraId="5E1AB9A5" w14:textId="77777777" w:rsidR="00761800" w:rsidRPr="00761800" w:rsidRDefault="00761800" w:rsidP="00761800">
      <w:pPr>
        <w:spacing w:after="120"/>
        <w:jc w:val="both"/>
        <w:rPr>
          <w:rFonts w:ascii="Times New Roman" w:hAnsi="Times New Roman"/>
          <w:b/>
          <w:szCs w:val="22"/>
          <w:u w:val="single"/>
          <w:lang w:eastAsia="bg-BG"/>
        </w:rPr>
      </w:pPr>
      <w:r w:rsidRPr="00761800">
        <w:rPr>
          <w:rFonts w:ascii="Times New Roman" w:hAnsi="Times New Roman"/>
          <w:szCs w:val="22"/>
          <w:lang w:eastAsia="bg-BG"/>
        </w:rPr>
        <w:t>Допълнително в бюджетните взаимоотношения между централния бюджет и бюджетите на общините като трансфер за други целеви разходи за местни дейности са предвидени 40,5 млн. евро за достигане на минималната работна заплата за 2026 г. в местните дейности на общините. Разпределението на средствата по общини е на база относителния дял на разходите за заплати и възнаграждения на конкретната община в съответната функция в местните дейности спрямо общия им размер във функцията и съобразно теглото на всяка функция, определено чрез относителния дял на броя персонал на минимална работна заплата за всяка функция в местни дейности спрямо общия брой персонал на минимална работна заплата в местни дейности по данни от отчета за касовото изпълнение на бюджета на общината към 31 декември 2024 г. и справката за натурални показатели към него.</w:t>
      </w:r>
    </w:p>
    <w:p w14:paraId="4250E720" w14:textId="77777777" w:rsidR="00761800" w:rsidRPr="00761800" w:rsidRDefault="00761800" w:rsidP="00761800">
      <w:pPr>
        <w:spacing w:after="120"/>
        <w:jc w:val="both"/>
        <w:rPr>
          <w:rFonts w:ascii="Times New Roman" w:hAnsi="Times New Roman"/>
          <w:szCs w:val="22"/>
          <w:highlight w:val="yellow"/>
          <w:lang w:eastAsia="bg-BG"/>
        </w:rPr>
      </w:pPr>
    </w:p>
    <w:p w14:paraId="34BF9DF4" w14:textId="77777777" w:rsidR="00761800" w:rsidRPr="00761800" w:rsidRDefault="00761800" w:rsidP="00761800">
      <w:pPr>
        <w:spacing w:after="120"/>
        <w:jc w:val="both"/>
        <w:rPr>
          <w:rFonts w:ascii="Times New Roman" w:hAnsi="Times New Roman"/>
          <w:szCs w:val="22"/>
          <w:highlight w:val="yellow"/>
          <w:lang w:eastAsia="bg-BG"/>
        </w:rPr>
      </w:pPr>
    </w:p>
    <w:p w14:paraId="361B5FA0" w14:textId="77777777" w:rsidR="00761800" w:rsidRPr="00761800" w:rsidRDefault="00761800" w:rsidP="00761800">
      <w:pPr>
        <w:spacing w:after="200"/>
        <w:jc w:val="both"/>
        <w:rPr>
          <w:rFonts w:ascii="Times New Roman" w:hAnsi="Times New Roman"/>
          <w:b/>
          <w:szCs w:val="22"/>
          <w:u w:val="single"/>
          <w:lang w:eastAsia="bg-BG"/>
        </w:rPr>
        <w:sectPr w:rsidR="00761800" w:rsidRPr="00761800" w:rsidSect="00406B4D">
          <w:type w:val="oddPage"/>
          <w:pgSz w:w="11906" w:h="16838" w:code="9"/>
          <w:pgMar w:top="1418" w:right="1418" w:bottom="851" w:left="1418" w:header="708" w:footer="708" w:gutter="0"/>
          <w:cols w:space="708"/>
          <w:titlePg/>
          <w:docGrid w:linePitch="360"/>
        </w:sectPr>
      </w:pPr>
      <w:bookmarkStart w:id="332" w:name="_Toc464464927"/>
      <w:bookmarkStart w:id="333" w:name="_Toc464465433"/>
      <w:bookmarkStart w:id="334" w:name="_Toc464465621"/>
      <w:bookmarkStart w:id="335" w:name="_Toc464466446"/>
      <w:bookmarkStart w:id="336" w:name="_Toc464466690"/>
      <w:bookmarkStart w:id="337" w:name="_Toc464466733"/>
      <w:bookmarkStart w:id="338" w:name="_Toc464470240"/>
      <w:bookmarkStart w:id="339" w:name="_Toc464645006"/>
      <w:bookmarkStart w:id="340" w:name="_Toc464646373"/>
    </w:p>
    <w:bookmarkStart w:id="341" w:name="_Toc233717483"/>
    <w:p w14:paraId="533049A0" w14:textId="77777777" w:rsidR="00761800" w:rsidRPr="00761800" w:rsidRDefault="00761800" w:rsidP="00761800">
      <w:pPr>
        <w:keepNext/>
        <w:keepLines/>
        <w:spacing w:before="120" w:after="1080"/>
        <w:outlineLvl w:val="0"/>
        <w:rPr>
          <w:rFonts w:ascii="Times New Roman" w:hAnsi="Times New Roman"/>
          <w:bCs/>
          <w:spacing w:val="10"/>
          <w:sz w:val="52"/>
          <w:szCs w:val="28"/>
          <w:lang w:eastAsia="bg-BG"/>
        </w:rPr>
      </w:pPr>
      <w:r w:rsidRPr="00761800">
        <w:rPr>
          <w:rFonts w:ascii="Times New Roman" w:hAnsi="Times New Roman"/>
          <w:bCs/>
          <w:noProof/>
          <w:color w:val="852010"/>
          <w:spacing w:val="10"/>
          <w:sz w:val="52"/>
          <w:szCs w:val="28"/>
          <w:lang w:eastAsia="bg-BG"/>
        </w:rPr>
        <w:lastRenderedPageBreak/>
        <mc:AlternateContent>
          <mc:Choice Requires="wps">
            <w:drawing>
              <wp:anchor distT="0" distB="0" distL="114300" distR="114300" simplePos="0" relativeHeight="251842048" behindDoc="1" locked="0" layoutInCell="1" allowOverlap="1" wp14:anchorId="07A8A229" wp14:editId="6B61C09B">
                <wp:simplePos x="0" y="0"/>
                <wp:positionH relativeFrom="page">
                  <wp:align>right</wp:align>
                </wp:positionH>
                <wp:positionV relativeFrom="paragraph">
                  <wp:posOffset>-1852931</wp:posOffset>
                </wp:positionV>
                <wp:extent cx="8798560" cy="3457575"/>
                <wp:effectExtent l="0" t="0" r="2540" b="9525"/>
                <wp:wrapNone/>
                <wp:docPr id="692" name="Rectangle 692"/>
                <wp:cNvGraphicFramePr/>
                <a:graphic xmlns:a="http://schemas.openxmlformats.org/drawingml/2006/main">
                  <a:graphicData uri="http://schemas.microsoft.com/office/word/2010/wordprocessingShape">
                    <wps:wsp>
                      <wps:cNvSpPr/>
                      <wps:spPr>
                        <a:xfrm>
                          <a:off x="0" y="0"/>
                          <a:ext cx="8798560" cy="3457575"/>
                        </a:xfrm>
                        <a:prstGeom prst="rect">
                          <a:avLst/>
                        </a:prstGeom>
                        <a:solidFill>
                          <a:srgbClr val="B32C16">
                            <a:lumMod val="20000"/>
                            <a:lumOff val="80000"/>
                          </a:srgbClr>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EF6BB3" id="Rectangle 692" o:spid="_x0000_s1026" style="position:absolute;margin-left:641.6pt;margin-top:-145.9pt;width:692.8pt;height:272.25pt;z-index:-2514744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" fillcolor="#f8cfc8" stroked="f" strokeweight="1pt">
                <w10:wrap anchorx="page"/>
              </v:rect>
            </w:pict>
          </mc:Fallback>
        </mc:AlternateContent>
      </w:r>
      <w:r w:rsidRPr="00761800">
        <w:rPr>
          <w:rFonts w:ascii="Times New Roman" w:hAnsi="Times New Roman"/>
          <w:bCs/>
          <w:noProof/>
          <w:color w:val="852010"/>
          <w:spacing w:val="10"/>
          <w:sz w:val="52"/>
          <w:szCs w:val="28"/>
          <w:lang w:eastAsia="bg-BG"/>
        </w:rPr>
        <mc:AlternateContent>
          <mc:Choice Requires="wps">
            <w:drawing>
              <wp:anchor distT="0" distB="0" distL="114300" distR="114300" simplePos="0" relativeHeight="251844096" behindDoc="0" locked="0" layoutInCell="1" allowOverlap="1" wp14:anchorId="2026DF9D" wp14:editId="0E5D53B1">
                <wp:simplePos x="0" y="0"/>
                <wp:positionH relativeFrom="column">
                  <wp:posOffset>-898525</wp:posOffset>
                </wp:positionH>
                <wp:positionV relativeFrom="paragraph">
                  <wp:posOffset>1618463</wp:posOffset>
                </wp:positionV>
                <wp:extent cx="7560310" cy="0"/>
                <wp:effectExtent l="0" t="0" r="21590" b="19050"/>
                <wp:wrapNone/>
                <wp:docPr id="693" name="Straight Connector 693"/>
                <wp:cNvGraphicFramePr/>
                <a:graphic xmlns:a="http://schemas.openxmlformats.org/drawingml/2006/main">
                  <a:graphicData uri="http://schemas.microsoft.com/office/word/2010/wordprocessingShape">
                    <wps:wsp>
                      <wps:cNvCnPr/>
                      <wps:spPr>
                        <a:xfrm>
                          <a:off x="0" y="0"/>
                          <a:ext cx="7560310" cy="0"/>
                        </a:xfrm>
                        <a:prstGeom prst="line">
                          <a:avLst/>
                        </a:prstGeom>
                        <a:noFill/>
                        <a:ln w="9525" cap="flat" cmpd="sng" algn="ctr">
                          <a:solidFill>
                            <a:srgbClr val="B32C16"/>
                          </a:solidFill>
                          <a:prstDash val="solid"/>
                        </a:ln>
                        <a:effectLst/>
                      </wps:spPr>
                      <wps:bodyPr/>
                    </wps:wsp>
                  </a:graphicData>
                </a:graphic>
              </wp:anchor>
            </w:drawing>
          </mc:Choice>
          <mc:Fallback>
            <w:pict>
              <v:line w14:anchorId="1C010CAE" id="Straight Connector 693" o:spid="_x0000_s1026" style="position:absolute;z-index:251844096;visibility:visible;mso-wrap-style:square;mso-wrap-distance-left:9pt;mso-wrap-distance-top:0;mso-wrap-distance-right:9pt;mso-wrap-distance-bottom:0;mso-position-horizontal:absolute;mso-position-horizontal-relative:text;mso-position-vertical:absolute;mso-position-vertical-relative:text" from="-70.75pt,127.45pt" to="524.55pt,1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" strokecolor="#b32c16"/>
            </w:pict>
          </mc:Fallback>
        </mc:AlternateContent>
      </w:r>
      <w:r w:rsidRPr="00761800">
        <w:rPr>
          <w:rFonts w:ascii="Times New Roman" w:hAnsi="Times New Roman"/>
          <w:bCs/>
          <w:spacing w:val="10"/>
          <w:sz w:val="52"/>
          <w:szCs w:val="28"/>
          <w:lang w:eastAsia="bg-BG"/>
        </w:rPr>
        <w:br/>
      </w:r>
      <w:bookmarkStart w:id="342" w:name="_Toc465205556"/>
      <w:r w:rsidRPr="00761800">
        <w:rPr>
          <w:rFonts w:ascii="Times New Roman" w:hAnsi="Times New Roman"/>
          <w:bCs/>
          <w:spacing w:val="10"/>
          <w:sz w:val="52"/>
          <w:szCs w:val="28"/>
          <w:lang w:eastAsia="bg-BG"/>
        </w:rPr>
        <w:t>Управление на средствата от европейските фондове и програми за периода 2026-2028 г.</w:t>
      </w:r>
      <w:bookmarkEnd w:id="332"/>
      <w:bookmarkEnd w:id="333"/>
      <w:bookmarkEnd w:id="334"/>
      <w:bookmarkEnd w:id="335"/>
      <w:bookmarkEnd w:id="336"/>
      <w:bookmarkEnd w:id="337"/>
      <w:bookmarkEnd w:id="338"/>
      <w:bookmarkEnd w:id="339"/>
      <w:bookmarkEnd w:id="340"/>
      <w:bookmarkEnd w:id="341"/>
      <w:bookmarkEnd w:id="342"/>
    </w:p>
    <w:p w14:paraId="7E856A6B" w14:textId="77777777" w:rsidR="00761800" w:rsidRPr="00761800" w:rsidRDefault="00761800" w:rsidP="00F64909">
      <w:pPr>
        <w:keepNext/>
        <w:keepLines/>
        <w:numPr>
          <w:ilvl w:val="1"/>
          <w:numId w:val="6"/>
        </w:numPr>
        <w:tabs>
          <w:tab w:val="left" w:pos="426"/>
        </w:tabs>
        <w:spacing w:after="200"/>
        <w:ind w:hanging="270"/>
        <w:jc w:val="both"/>
        <w:outlineLvl w:val="1"/>
        <w:rPr>
          <w:rFonts w:ascii="Times New Roman" w:hAnsi="Times New Roman"/>
          <w:b/>
          <w:bCs/>
          <w:caps/>
          <w:color w:val="852010"/>
          <w:spacing w:val="10"/>
          <w:w w:val="90"/>
          <w:sz w:val="28"/>
          <w:szCs w:val="26"/>
          <w:lang w:eastAsia="bg-BG"/>
        </w:rPr>
      </w:pPr>
      <w:bookmarkStart w:id="343" w:name="_Toc184128035"/>
      <w:bookmarkStart w:id="344" w:name="_Toc184128080"/>
      <w:bookmarkStart w:id="345" w:name="_Toc184128169"/>
      <w:bookmarkStart w:id="346" w:name="_Toc233717484"/>
      <w:bookmarkStart w:id="347" w:name="_Toc464224804"/>
      <w:bookmarkStart w:id="348" w:name="_Toc464225454"/>
      <w:bookmarkStart w:id="349" w:name="_Toc464459001"/>
      <w:bookmarkStart w:id="350" w:name="_Toc464459749"/>
      <w:bookmarkStart w:id="351" w:name="_Toc464460702"/>
      <w:bookmarkStart w:id="352" w:name="_Toc464463101"/>
      <w:bookmarkStart w:id="353" w:name="_Toc464464930"/>
      <w:bookmarkStart w:id="354" w:name="_Toc464465434"/>
      <w:bookmarkStart w:id="355" w:name="_Toc464465622"/>
      <w:bookmarkStart w:id="356" w:name="_Toc464466447"/>
      <w:bookmarkStart w:id="357" w:name="_Toc464466691"/>
      <w:bookmarkStart w:id="358" w:name="_Toc464645007"/>
      <w:bookmarkStart w:id="359" w:name="_Toc465205557"/>
      <w:r w:rsidRPr="00761800">
        <w:rPr>
          <w:rFonts w:ascii="Times New Roman" w:hAnsi="Times New Roman"/>
          <w:b/>
          <w:bCs/>
          <w:caps/>
          <w:color w:val="852010"/>
          <w:spacing w:val="10"/>
          <w:w w:val="90"/>
          <w:sz w:val="28"/>
          <w:szCs w:val="26"/>
          <w:lang w:eastAsia="bg-BG"/>
        </w:rPr>
        <w:t>Национален фонд</w:t>
      </w:r>
      <w:bookmarkEnd w:id="343"/>
      <w:bookmarkEnd w:id="344"/>
      <w:bookmarkEnd w:id="345"/>
      <w:bookmarkEnd w:id="346"/>
    </w:p>
    <w:p w14:paraId="5F508F45" w14:textId="77777777" w:rsidR="00761800" w:rsidRPr="00761800" w:rsidRDefault="00761800" w:rsidP="00761800">
      <w:pPr>
        <w:spacing w:after="200"/>
        <w:jc w:val="both"/>
        <w:rPr>
          <w:rFonts w:ascii="Times New Roman" w:hAnsi="Times New Roman"/>
          <w:szCs w:val="22"/>
          <w:lang w:eastAsia="en-GB"/>
        </w:rPr>
      </w:pPr>
      <w:r w:rsidRPr="00761800">
        <w:rPr>
          <w:rFonts w:ascii="Times New Roman" w:hAnsi="Times New Roman"/>
          <w:szCs w:val="22"/>
          <w:lang w:eastAsia="en-GB"/>
        </w:rPr>
        <w:t>В рамките на сметката за средства от Европейския съюз на Националния фонд (ССЕС на НФ) се планират приходите и разходите за периода 2026-2028 г. по програми, съфинансирани от Европейския социален фонд+ (ЕСФ+), Европейския фонд за регионално развитие (ЕФРР), Кохезионния фонд (КФ), Националния план за възстановяване и устойчивост (НПВУ), Социалния фонд за климата, двустранните програми за трансгранично сътрудничество по външни граници (ПТГС) на Европейския съюз и програмите, съфинансирани от Финансовия механизъм на Европейското икономическо пространство (ФМ на ЕИП), Норвежкия финансов механизъм (НФМ) и Швейцарско-Българска програма за сътрудничество (ШБПС).</w:t>
      </w:r>
    </w:p>
    <w:bookmarkEnd w:id="347"/>
    <w:bookmarkEnd w:id="348"/>
    <w:bookmarkEnd w:id="349"/>
    <w:bookmarkEnd w:id="350"/>
    <w:bookmarkEnd w:id="351"/>
    <w:bookmarkEnd w:id="352"/>
    <w:bookmarkEnd w:id="353"/>
    <w:bookmarkEnd w:id="354"/>
    <w:bookmarkEnd w:id="355"/>
    <w:bookmarkEnd w:id="356"/>
    <w:bookmarkEnd w:id="357"/>
    <w:bookmarkEnd w:id="358"/>
    <w:bookmarkEnd w:id="359"/>
    <w:p w14:paraId="30952268"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Приходна част</w:t>
      </w:r>
    </w:p>
    <w:p w14:paraId="6455CF8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При разработване на разчетите за приходи са взети предвид разходите, които се очаква да бъдат възстановени от Европейската комисия през периода по програмите, съфинансирани от ЕСФ+, ЕФРР и Кохезионния фонд за програмен период 2021-2027 г., финансовите средства от Финансовия механизъм на Европейското икономическо пространство, Норвежкия финансов механизъм и Швейцарско-Българската програма за сътрудничество, както и  приходите по Механизма за възстановяване и устойчивост, които се основават на договорения профил за изплащане на европейско финансиране;</w:t>
      </w:r>
    </w:p>
    <w:p w14:paraId="4B07C03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Очакваните приходи и постъпления по години са, както следва: през 2026 г. в размер до 4 625,2 млн. евро, през 2027 г. са 2 083,7 млн. евро, а за 2028 г. са 2 298,3 млн. евро.</w:t>
      </w:r>
    </w:p>
    <w:p w14:paraId="0365EB15" w14:textId="77777777" w:rsidR="00761800" w:rsidRPr="00761800" w:rsidRDefault="00761800" w:rsidP="00761800">
      <w:pPr>
        <w:spacing w:after="200"/>
        <w:jc w:val="both"/>
        <w:rPr>
          <w:rFonts w:ascii="Times New Roman" w:hAnsi="Times New Roman"/>
          <w:b/>
          <w:szCs w:val="22"/>
          <w:lang w:eastAsia="bg-BG"/>
        </w:rPr>
      </w:pPr>
      <w:r w:rsidRPr="00761800">
        <w:rPr>
          <w:rFonts w:ascii="Times New Roman" w:hAnsi="Times New Roman"/>
          <w:b/>
          <w:szCs w:val="22"/>
          <w:lang w:eastAsia="bg-BG"/>
        </w:rPr>
        <w:t xml:space="preserve">Рискове за изпълнение на прогнозите за приходите по програмите в рамките на ССЕС на НФ: </w:t>
      </w:r>
    </w:p>
    <w:p w14:paraId="77F823B9" w14:textId="77777777" w:rsidR="00761800" w:rsidRPr="00761800" w:rsidRDefault="00761800" w:rsidP="00F64909">
      <w:pPr>
        <w:numPr>
          <w:ilvl w:val="0"/>
          <w:numId w:val="10"/>
        </w:numPr>
        <w:spacing w:after="200"/>
        <w:jc w:val="both"/>
        <w:rPr>
          <w:rFonts w:ascii="Times New Roman" w:hAnsi="Times New Roman"/>
          <w:b/>
          <w:szCs w:val="22"/>
          <w:lang w:eastAsia="bg-BG"/>
        </w:rPr>
      </w:pPr>
      <w:r w:rsidRPr="00761800">
        <w:rPr>
          <w:rFonts w:ascii="Times New Roman" w:hAnsi="Times New Roman"/>
          <w:szCs w:val="22"/>
          <w:lang w:eastAsia="bg-BG"/>
        </w:rPr>
        <w:t>Относно изпълнението на приходите по НПВУ през 2026 г. би могъл да се реализира риск при неизпълнение на заложени реформи в НПВУ доколкото реформите зависят от нормативна и законодателна дейност.</w:t>
      </w:r>
    </w:p>
    <w:p w14:paraId="057F58A9" w14:textId="77777777" w:rsidR="00761800" w:rsidRPr="00761800" w:rsidRDefault="00761800" w:rsidP="00761800">
      <w:pPr>
        <w:spacing w:after="200"/>
        <w:jc w:val="both"/>
        <w:rPr>
          <w:rFonts w:ascii="Times New Roman" w:hAnsi="Times New Roman"/>
          <w:szCs w:val="22"/>
          <w:lang w:eastAsia="bg-BG"/>
        </w:rPr>
      </w:pPr>
    </w:p>
    <w:p w14:paraId="017906F7"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Разходна част</w:t>
      </w:r>
    </w:p>
    <w:p w14:paraId="1B0CF4B8" w14:textId="77777777" w:rsidR="00761800" w:rsidRPr="00761800" w:rsidRDefault="00761800" w:rsidP="00761800">
      <w:pPr>
        <w:spacing w:after="200"/>
        <w:jc w:val="both"/>
        <w:rPr>
          <w:rFonts w:ascii="Times New Roman" w:eastAsia="Batang" w:hAnsi="Times New Roman"/>
          <w:szCs w:val="22"/>
          <w:lang w:eastAsia="bg-BG"/>
        </w:rPr>
      </w:pPr>
      <w:bookmarkStart w:id="360" w:name="_Toc464737647"/>
      <w:bookmarkStart w:id="361" w:name="_Toc464829366"/>
      <w:r w:rsidRPr="00761800">
        <w:rPr>
          <w:rFonts w:ascii="Times New Roman" w:eastAsia="Batang" w:hAnsi="Times New Roman"/>
          <w:szCs w:val="22"/>
          <w:lang w:eastAsia="bg-BG"/>
        </w:rPr>
        <w:t xml:space="preserve">При разработване на разчетите за разходите и плащанията през периода 2026-2028 г. са взети предвид елементи, които влияят на изпълнението на разходната част на план-сметката като етапът на изпълнение на програмите, включително нивото на договаряне, постигнатото изпълнение и спецификите на отделните програми от гледна точка на </w:t>
      </w:r>
      <w:r w:rsidRPr="00761800">
        <w:rPr>
          <w:rFonts w:ascii="Times New Roman" w:eastAsia="Batang" w:hAnsi="Times New Roman"/>
          <w:szCs w:val="22"/>
          <w:lang w:eastAsia="bg-BG"/>
        </w:rPr>
        <w:lastRenderedPageBreak/>
        <w:t>икономическата област към която са насочени, както  и периода на допустимост на разходите по програмите и инструментите.  Относно инвестициите, които се финансират от Националния план за възстановяване и устойчивост, разходите се планират на базата на актуалните бюджети, включително последните допускания в резултат на извършваните промени в хода на предоговаряне.</w:t>
      </w:r>
    </w:p>
    <w:p w14:paraId="5B14F928"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Очакваните разходи и плащания за периода 2026-2028 г. са, както следва: до 6 458,24 млн. евро за 2026 г., прогнозните плащания през 2027 г. са в размер до 3 229,24 млн. евро, а през 2028 г. са 3 446,10 млн. евро. Следва да се отбележи, че за 2026 година голям дял от планираните плащания са по НПВУ като сумата достига 3 960 млн. евро предвид крайният срок на Механизма.</w:t>
      </w:r>
    </w:p>
    <w:p w14:paraId="4EA74F5B" w14:textId="77777777" w:rsidR="00761800" w:rsidRPr="00761800" w:rsidRDefault="00761800" w:rsidP="00761800">
      <w:pPr>
        <w:spacing w:after="200"/>
        <w:jc w:val="both"/>
        <w:rPr>
          <w:rFonts w:ascii="Times New Roman" w:eastAsia="Batang" w:hAnsi="Times New Roman"/>
          <w:b/>
          <w:szCs w:val="22"/>
          <w:lang w:eastAsia="bg-BG"/>
        </w:rPr>
      </w:pPr>
      <w:r w:rsidRPr="00761800">
        <w:rPr>
          <w:rFonts w:ascii="Times New Roman" w:eastAsia="Batang" w:hAnsi="Times New Roman"/>
          <w:b/>
          <w:szCs w:val="22"/>
          <w:lang w:eastAsia="bg-BG"/>
        </w:rPr>
        <w:t>Рискове за изпълнение на прогнозите за разходите по програмите в рамките на ССЕС на НФ:</w:t>
      </w:r>
    </w:p>
    <w:p w14:paraId="039C33B9" w14:textId="77777777" w:rsidR="00761800" w:rsidRPr="00761800" w:rsidRDefault="00761800" w:rsidP="00F64909">
      <w:pPr>
        <w:numPr>
          <w:ilvl w:val="0"/>
          <w:numId w:val="20"/>
        </w:num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 xml:space="preserve">Относно изпълнението на разходите би могъл да се реализира риск през 2026 г. от неизпълнение на разходната част в резултат на комбинацията от оставащият кратък срок за изпълнение и големият остатъчен ресурс, който следва да бъде разплатен от инвестициите от НПВУ. </w:t>
      </w:r>
    </w:p>
    <w:p w14:paraId="1A78F5A2" w14:textId="77777777" w:rsidR="00761800" w:rsidRPr="00761800" w:rsidRDefault="00761800" w:rsidP="00761800">
      <w:pPr>
        <w:spacing w:after="120"/>
        <w:ind w:left="720"/>
        <w:jc w:val="both"/>
        <w:rPr>
          <w:rFonts w:ascii="Times New Roman" w:eastAsia="Batang" w:hAnsi="Times New Roman"/>
          <w:szCs w:val="22"/>
          <w:lang w:eastAsia="bg-BG"/>
        </w:rPr>
      </w:pPr>
    </w:p>
    <w:p w14:paraId="2D740EE3" w14:textId="77777777" w:rsidR="00761800" w:rsidRPr="00761800" w:rsidRDefault="00761800" w:rsidP="00F64909">
      <w:pPr>
        <w:keepNext/>
        <w:keepLines/>
        <w:numPr>
          <w:ilvl w:val="1"/>
          <w:numId w:val="6"/>
        </w:numPr>
        <w:tabs>
          <w:tab w:val="left" w:pos="426"/>
        </w:tabs>
        <w:spacing w:after="200"/>
        <w:ind w:hanging="270"/>
        <w:jc w:val="both"/>
        <w:outlineLvl w:val="1"/>
        <w:rPr>
          <w:rFonts w:ascii="Times New Roman" w:hAnsi="Times New Roman"/>
          <w:b/>
          <w:bCs/>
          <w:caps/>
          <w:color w:val="852010"/>
          <w:spacing w:val="10"/>
          <w:w w:val="90"/>
          <w:sz w:val="28"/>
          <w:szCs w:val="26"/>
          <w:lang w:eastAsia="bg-BG"/>
        </w:rPr>
      </w:pPr>
      <w:bookmarkStart w:id="362" w:name="_Toc464224805"/>
      <w:bookmarkStart w:id="363" w:name="_Toc464225455"/>
      <w:bookmarkStart w:id="364" w:name="_Toc464459002"/>
      <w:bookmarkStart w:id="365" w:name="_Toc464459750"/>
      <w:bookmarkStart w:id="366" w:name="_Toc464460703"/>
      <w:bookmarkStart w:id="367" w:name="_Toc464463102"/>
      <w:bookmarkStart w:id="368" w:name="_Toc464464931"/>
      <w:bookmarkStart w:id="369" w:name="_Toc464465435"/>
      <w:bookmarkStart w:id="370" w:name="_Toc464465623"/>
      <w:bookmarkStart w:id="371" w:name="_Toc464466448"/>
      <w:bookmarkStart w:id="372" w:name="_Toc464466692"/>
      <w:bookmarkStart w:id="373" w:name="_Toc464645008"/>
      <w:bookmarkStart w:id="374" w:name="_Toc465205560"/>
      <w:bookmarkStart w:id="375" w:name="_Toc184128036"/>
      <w:bookmarkStart w:id="376" w:name="_Toc184128081"/>
      <w:bookmarkStart w:id="377" w:name="_Toc184128170"/>
      <w:bookmarkStart w:id="378" w:name="_Toc233717485"/>
      <w:bookmarkEnd w:id="360"/>
      <w:bookmarkEnd w:id="361"/>
      <w:r w:rsidRPr="00761800">
        <w:rPr>
          <w:rFonts w:ascii="Times New Roman" w:hAnsi="Times New Roman"/>
          <w:b/>
          <w:bCs/>
          <w:caps/>
          <w:color w:val="852010"/>
          <w:spacing w:val="10"/>
          <w:w w:val="90"/>
          <w:sz w:val="28"/>
          <w:szCs w:val="26"/>
          <w:lang w:eastAsia="bg-BG"/>
        </w:rPr>
        <w:t>Държавен Фонд „Земеделие“</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586BD56F"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bookmarkStart w:id="379" w:name="_Toc465070511"/>
      <w:bookmarkStart w:id="380" w:name="_Toc465205561"/>
      <w:r w:rsidRPr="00761800">
        <w:rPr>
          <w:rFonts w:ascii="Times New Roman" w:hAnsi="Times New Roman"/>
          <w:b/>
          <w:bCs/>
          <w:caps/>
          <w:color w:val="852010"/>
          <w:szCs w:val="22"/>
          <w:lang w:eastAsia="bg-BG"/>
        </w:rPr>
        <w:t>П</w:t>
      </w:r>
      <w:bookmarkEnd w:id="379"/>
      <w:bookmarkEnd w:id="380"/>
      <w:r w:rsidRPr="00761800">
        <w:rPr>
          <w:rFonts w:ascii="Times New Roman" w:hAnsi="Times New Roman"/>
          <w:b/>
          <w:bCs/>
          <w:caps/>
          <w:color w:val="852010"/>
          <w:szCs w:val="22"/>
          <w:lang w:eastAsia="bg-BG"/>
        </w:rPr>
        <w:t>риходи и постъпления</w:t>
      </w:r>
    </w:p>
    <w:p w14:paraId="3BE7DB4A" w14:textId="77777777" w:rsidR="00761800" w:rsidRPr="00761800" w:rsidRDefault="00761800" w:rsidP="00761800">
      <w:pPr>
        <w:spacing w:after="200"/>
        <w:jc w:val="both"/>
        <w:rPr>
          <w:rFonts w:ascii="Times New Roman" w:hAnsi="Times New Roman"/>
          <w:szCs w:val="22"/>
          <w:lang w:eastAsia="zh-CN"/>
        </w:rPr>
      </w:pPr>
      <w:r w:rsidRPr="00761800">
        <w:rPr>
          <w:rFonts w:ascii="Times New Roman" w:hAnsi="Times New Roman"/>
          <w:szCs w:val="22"/>
          <w:lang w:eastAsia="zh-CN"/>
        </w:rPr>
        <w:t xml:space="preserve">При разработване на разчетите за приходите и постъпленията за периода 2026-2028 г. по програмите, финансирани от ЕС, е взет под внимание определеният индикативен размер на разходите, който се очаква да бъде възстановен от ЕК през този период. Очакваните приходи и постъпления по години са, както следва: </w:t>
      </w:r>
      <w:r w:rsidRPr="00761800">
        <w:rPr>
          <w:rFonts w:ascii="Times New Roman" w:hAnsi="Times New Roman"/>
          <w:szCs w:val="22"/>
          <w:lang w:eastAsia="bg-BG"/>
        </w:rPr>
        <w:t>през 2026 г. в размер до 1 357,09 млн. евро, през 2027 г. са 1 204,73 млн. евро, а за 2028 г. са 1 257,19 млн. евро.</w:t>
      </w:r>
    </w:p>
    <w:p w14:paraId="48D4892A"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Разходи и плащания</w:t>
      </w:r>
    </w:p>
    <w:p w14:paraId="1C9EDD96" w14:textId="77777777" w:rsidR="00761800" w:rsidRPr="00761800" w:rsidRDefault="00761800" w:rsidP="00761800">
      <w:pPr>
        <w:spacing w:after="200"/>
        <w:jc w:val="both"/>
        <w:rPr>
          <w:rFonts w:ascii="Times New Roman" w:hAnsi="Times New Roman"/>
          <w:szCs w:val="22"/>
          <w:lang w:eastAsia="zh-CN"/>
        </w:rPr>
      </w:pPr>
      <w:r w:rsidRPr="00761800">
        <w:rPr>
          <w:rFonts w:ascii="Times New Roman" w:hAnsi="Times New Roman"/>
          <w:szCs w:val="22"/>
          <w:lang w:eastAsia="zh-CN"/>
        </w:rPr>
        <w:t>Очакваните разходи и плащания за периода 2026-2028 г. са, както следва: до 1 681,38 млн. евро за 2026 г., прогнозните плащания през 2027 г. са в размер до 1 719,37 млн. евро, а през 2028 г. са 1 730,7 млн. евро.</w:t>
      </w:r>
    </w:p>
    <w:p w14:paraId="15A7885B" w14:textId="77777777" w:rsidR="00761800" w:rsidRPr="00761800" w:rsidRDefault="00761800" w:rsidP="00761800">
      <w:pPr>
        <w:spacing w:after="200"/>
        <w:jc w:val="both"/>
        <w:rPr>
          <w:rFonts w:ascii="Times New Roman" w:eastAsia="Batang" w:hAnsi="Times New Roman"/>
          <w:b/>
          <w:sz w:val="22"/>
          <w:szCs w:val="22"/>
          <w:lang w:eastAsia="bg-BG"/>
        </w:rPr>
      </w:pPr>
      <w:r w:rsidRPr="00761800">
        <w:rPr>
          <w:rFonts w:ascii="Times New Roman" w:eastAsia="Batang" w:hAnsi="Times New Roman"/>
          <w:b/>
          <w:sz w:val="22"/>
          <w:szCs w:val="22"/>
          <w:lang w:eastAsia="bg-BG"/>
        </w:rPr>
        <w:t>ОБЩА СЕЛСКОСТОПАНСКА ПОЛИТИКА ЗА ПЕРИОДА 2026-2028 г.</w:t>
      </w:r>
    </w:p>
    <w:p w14:paraId="5726BBC3"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Приоритетите в областта на селскостопанската политика са насочени към осигуряване на стабилна пазарна среда, подкрепа на доходите на земеделските стопани и развитие на селските райони. Основните инструменти за провеждането на общата селскостопанска политика са директните плащания, пазарната подкрепа на земеделските стопани и интервенциите за развитие на селските райони. Планираното подпомагане на земеделските стопани по обвързани и необвързани с производството схеми за директни плащания за сметка на ЕС е, както следва: 841,53 млн. евро за 2026 г., 850,49 млн. евро за 2027 г. и 860,38 млн. евро за 2028 г. За пазарни мерки са предвидени 87,13 млн. евро през 2026 г., 102,62 млн. евро за 2027 г. и 102,56 млн. евро за 2028 г. За развитие на селските райони, в това число за директни плащания от Европейския земеделски фонд за развитие на селските райони, са планирани по 837,6 млн. евро за 2026 г., 846,5 млн. евро за 2027 г. и 856,4 млн. евро за 2028 г.</w:t>
      </w:r>
    </w:p>
    <w:p w14:paraId="03FE043B"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В средносрочен план средствата, които страната ни предвижда да усвоява по програмите на ЕС и да изплаща за селскостопанската политика, са както следва:</w:t>
      </w:r>
    </w:p>
    <w:p w14:paraId="42F4FD7C" w14:textId="0CC98559" w:rsidR="00761800" w:rsidRPr="00761800" w:rsidRDefault="00761800" w:rsidP="00761800">
      <w:pPr>
        <w:spacing w:after="120"/>
        <w:ind w:left="1418" w:hanging="1418"/>
        <w:rPr>
          <w:rFonts w:ascii="Times New Roman" w:hAnsi="Times New Roman"/>
          <w:b/>
          <w:bCs/>
          <w:color w:val="000000"/>
          <w:sz w:val="20"/>
          <w:lang w:eastAsia="bg-BG"/>
        </w:rPr>
      </w:pPr>
      <w:bookmarkStart w:id="381" w:name="_Toc233185136"/>
      <w:r w:rsidRPr="00761800">
        <w:rPr>
          <w:rFonts w:ascii="Times New Roman" w:hAnsi="Times New Roman"/>
          <w:b/>
          <w:bCs/>
          <w:szCs w:val="18"/>
          <w:lang w:eastAsia="bg-BG"/>
        </w:rPr>
        <w:lastRenderedPageBreak/>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18</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Разходи и плащания за селскостопанската политика за периода 2026-2028 г.</w:t>
      </w:r>
      <w:bookmarkEnd w:id="381"/>
    </w:p>
    <w:p w14:paraId="4BAD64C6" w14:textId="77777777" w:rsidR="00761800" w:rsidRPr="00761800" w:rsidRDefault="00761800" w:rsidP="00761800">
      <w:pPr>
        <w:spacing w:after="60"/>
        <w:jc w:val="right"/>
        <w:rPr>
          <w:rFonts w:ascii="Times New Roman" w:hAnsi="Times New Roman"/>
          <w:color w:val="000000"/>
          <w:sz w:val="20"/>
          <w:lang w:eastAsia="bg-BG"/>
        </w:rPr>
      </w:pPr>
      <w:r w:rsidRPr="00761800">
        <w:rPr>
          <w:rFonts w:ascii="Times New Roman" w:hAnsi="Times New Roman"/>
          <w:color w:val="000000"/>
          <w:sz w:val="20"/>
          <w:lang w:eastAsia="bg-BG"/>
        </w:rPr>
        <w:t>(млн. евро)</w:t>
      </w:r>
    </w:p>
    <w:tbl>
      <w:tblPr>
        <w:tblW w:w="9208" w:type="dxa"/>
        <w:jc w:val="center"/>
        <w:tblCellMar>
          <w:left w:w="70" w:type="dxa"/>
          <w:right w:w="70" w:type="dxa"/>
        </w:tblCellMar>
        <w:tblLook w:val="04A0" w:firstRow="1" w:lastRow="0" w:firstColumn="1" w:lastColumn="0" w:noHBand="0" w:noVBand="1"/>
      </w:tblPr>
      <w:tblGrid>
        <w:gridCol w:w="4494"/>
        <w:gridCol w:w="1622"/>
        <w:gridCol w:w="1611"/>
        <w:gridCol w:w="1481"/>
      </w:tblGrid>
      <w:tr w:rsidR="00761800" w:rsidRPr="00761800" w14:paraId="3D5FFA11" w14:textId="77777777" w:rsidTr="00406B4D">
        <w:trPr>
          <w:trHeight w:val="282"/>
          <w:tblHeader/>
          <w:jc w:val="center"/>
        </w:trPr>
        <w:tc>
          <w:tcPr>
            <w:tcW w:w="4494" w:type="dxa"/>
            <w:tcBorders>
              <w:top w:val="single" w:sz="4" w:space="0" w:color="auto"/>
              <w:left w:val="nil"/>
              <w:bottom w:val="single" w:sz="4" w:space="0" w:color="auto"/>
              <w:right w:val="nil"/>
            </w:tcBorders>
            <w:shd w:val="clear" w:color="auto" w:fill="auto"/>
            <w:vAlign w:val="center"/>
            <w:hideMark/>
          </w:tcPr>
          <w:p w14:paraId="55FFDAE4" w14:textId="77777777" w:rsidR="00761800" w:rsidRPr="00761800" w:rsidRDefault="00761800" w:rsidP="00761800">
            <w:pPr>
              <w:spacing w:after="200"/>
              <w:jc w:val="center"/>
              <w:rPr>
                <w:rFonts w:ascii="Times New Roman" w:hAnsi="Times New Roman"/>
                <w:b/>
                <w:bCs/>
                <w:sz w:val="20"/>
                <w:lang w:eastAsia="bg-BG"/>
              </w:rPr>
            </w:pPr>
            <w:r w:rsidRPr="00761800">
              <w:rPr>
                <w:rFonts w:ascii="Times New Roman" w:hAnsi="Times New Roman"/>
                <w:b/>
                <w:bCs/>
                <w:sz w:val="20"/>
                <w:lang w:eastAsia="bg-BG"/>
              </w:rPr>
              <w:t> </w:t>
            </w:r>
          </w:p>
        </w:tc>
        <w:tc>
          <w:tcPr>
            <w:tcW w:w="1622" w:type="dxa"/>
            <w:tcBorders>
              <w:top w:val="single" w:sz="4" w:space="0" w:color="auto"/>
              <w:left w:val="nil"/>
              <w:bottom w:val="single" w:sz="4" w:space="0" w:color="auto"/>
              <w:right w:val="nil"/>
            </w:tcBorders>
            <w:shd w:val="clear" w:color="auto" w:fill="auto"/>
            <w:vAlign w:val="center"/>
            <w:hideMark/>
          </w:tcPr>
          <w:p w14:paraId="537D4A4C" w14:textId="77777777" w:rsidR="00761800" w:rsidRPr="00761800" w:rsidRDefault="00761800" w:rsidP="00761800">
            <w:pPr>
              <w:spacing w:after="200"/>
              <w:ind w:left="495"/>
              <w:jc w:val="center"/>
              <w:rPr>
                <w:rFonts w:ascii="Times New Roman" w:hAnsi="Times New Roman"/>
                <w:b/>
                <w:bCs/>
                <w:sz w:val="20"/>
                <w:lang w:eastAsia="bg-BG"/>
              </w:rPr>
            </w:pPr>
            <w:r w:rsidRPr="00761800">
              <w:rPr>
                <w:rFonts w:ascii="Times New Roman" w:hAnsi="Times New Roman"/>
                <w:b/>
                <w:bCs/>
                <w:sz w:val="20"/>
                <w:lang w:eastAsia="bg-BG"/>
              </w:rPr>
              <w:t>2026 г.</w:t>
            </w:r>
          </w:p>
        </w:tc>
        <w:tc>
          <w:tcPr>
            <w:tcW w:w="1611" w:type="dxa"/>
            <w:tcBorders>
              <w:top w:val="single" w:sz="4" w:space="0" w:color="auto"/>
              <w:left w:val="nil"/>
              <w:bottom w:val="single" w:sz="4" w:space="0" w:color="auto"/>
              <w:right w:val="nil"/>
            </w:tcBorders>
            <w:shd w:val="clear" w:color="auto" w:fill="auto"/>
            <w:vAlign w:val="center"/>
            <w:hideMark/>
          </w:tcPr>
          <w:p w14:paraId="08982DEA" w14:textId="77777777" w:rsidR="00761800" w:rsidRPr="00761800" w:rsidRDefault="00761800" w:rsidP="00761800">
            <w:pPr>
              <w:spacing w:after="200"/>
              <w:ind w:left="282"/>
              <w:jc w:val="center"/>
              <w:rPr>
                <w:rFonts w:ascii="Times New Roman" w:hAnsi="Times New Roman"/>
                <w:b/>
                <w:bCs/>
                <w:sz w:val="20"/>
                <w:lang w:eastAsia="bg-BG"/>
              </w:rPr>
            </w:pPr>
            <w:r w:rsidRPr="00761800">
              <w:rPr>
                <w:rFonts w:ascii="Times New Roman" w:hAnsi="Times New Roman"/>
                <w:b/>
                <w:bCs/>
                <w:sz w:val="20"/>
                <w:lang w:eastAsia="bg-BG"/>
              </w:rPr>
              <w:t>2027 г.</w:t>
            </w:r>
          </w:p>
        </w:tc>
        <w:tc>
          <w:tcPr>
            <w:tcW w:w="1481" w:type="dxa"/>
            <w:tcBorders>
              <w:top w:val="single" w:sz="4" w:space="0" w:color="auto"/>
              <w:left w:val="nil"/>
              <w:bottom w:val="single" w:sz="4" w:space="0" w:color="auto"/>
              <w:right w:val="nil"/>
            </w:tcBorders>
          </w:tcPr>
          <w:p w14:paraId="5126177D" w14:textId="77777777" w:rsidR="00761800" w:rsidRPr="00761800" w:rsidRDefault="00761800" w:rsidP="00761800">
            <w:pPr>
              <w:spacing w:after="200"/>
              <w:ind w:left="282"/>
              <w:jc w:val="center"/>
              <w:rPr>
                <w:rFonts w:ascii="Times New Roman" w:hAnsi="Times New Roman"/>
                <w:b/>
                <w:bCs/>
                <w:sz w:val="20"/>
                <w:lang w:eastAsia="bg-BG"/>
              </w:rPr>
            </w:pPr>
            <w:r w:rsidRPr="00761800">
              <w:rPr>
                <w:rFonts w:ascii="Times New Roman" w:hAnsi="Times New Roman"/>
                <w:b/>
                <w:bCs/>
                <w:sz w:val="20"/>
                <w:lang w:eastAsia="bg-BG"/>
              </w:rPr>
              <w:t>2028 г.</w:t>
            </w:r>
          </w:p>
        </w:tc>
      </w:tr>
      <w:tr w:rsidR="00761800" w:rsidRPr="00761800" w14:paraId="3B709D00" w14:textId="77777777" w:rsidTr="00406B4D">
        <w:trPr>
          <w:trHeight w:val="118"/>
          <w:jc w:val="center"/>
        </w:trPr>
        <w:tc>
          <w:tcPr>
            <w:tcW w:w="4494" w:type="dxa"/>
            <w:tcBorders>
              <w:top w:val="single" w:sz="4" w:space="0" w:color="auto"/>
              <w:left w:val="nil"/>
              <w:bottom w:val="nil"/>
              <w:right w:val="nil"/>
            </w:tcBorders>
            <w:shd w:val="clear" w:color="auto" w:fill="auto"/>
            <w:vAlign w:val="center"/>
            <w:hideMark/>
          </w:tcPr>
          <w:p w14:paraId="260927FB" w14:textId="77777777" w:rsidR="00761800" w:rsidRPr="00761800" w:rsidRDefault="00761800" w:rsidP="00761800">
            <w:pPr>
              <w:spacing w:after="200"/>
              <w:rPr>
                <w:rFonts w:ascii="Times New Roman" w:hAnsi="Times New Roman"/>
                <w:sz w:val="20"/>
                <w:lang w:eastAsia="bg-BG"/>
              </w:rPr>
            </w:pPr>
            <w:r w:rsidRPr="00761800">
              <w:rPr>
                <w:rFonts w:ascii="Times New Roman" w:hAnsi="Times New Roman"/>
                <w:sz w:val="20"/>
                <w:lang w:eastAsia="bg-BG"/>
              </w:rPr>
              <w:t>Средства от ЕС</w:t>
            </w:r>
          </w:p>
        </w:tc>
        <w:tc>
          <w:tcPr>
            <w:tcW w:w="1622" w:type="dxa"/>
          </w:tcPr>
          <w:p w14:paraId="484F9ECD" w14:textId="77777777" w:rsidR="00761800" w:rsidRPr="00761800" w:rsidRDefault="00761800" w:rsidP="00761800">
            <w:pPr>
              <w:spacing w:after="200"/>
              <w:ind w:firstLineChars="100" w:firstLine="200"/>
              <w:jc w:val="right"/>
              <w:rPr>
                <w:rFonts w:ascii="Times New Roman" w:hAnsi="Times New Roman"/>
                <w:sz w:val="20"/>
                <w:lang w:eastAsia="bg-BG"/>
              </w:rPr>
            </w:pPr>
            <w:r w:rsidRPr="00761800">
              <w:rPr>
                <w:rFonts w:ascii="Times New Roman" w:hAnsi="Times New Roman"/>
                <w:sz w:val="20"/>
                <w:lang w:eastAsia="bg-BG"/>
              </w:rPr>
              <w:t>1 129,7</w:t>
            </w:r>
          </w:p>
        </w:tc>
        <w:tc>
          <w:tcPr>
            <w:tcW w:w="1611" w:type="dxa"/>
          </w:tcPr>
          <w:p w14:paraId="318BF76A" w14:textId="77777777" w:rsidR="00761800" w:rsidRPr="00761800" w:rsidRDefault="00761800" w:rsidP="00761800">
            <w:pPr>
              <w:spacing w:after="200"/>
              <w:ind w:firstLineChars="100" w:firstLine="200"/>
              <w:jc w:val="right"/>
              <w:rPr>
                <w:rFonts w:ascii="Times New Roman" w:hAnsi="Times New Roman"/>
                <w:sz w:val="20"/>
                <w:lang w:eastAsia="bg-BG"/>
              </w:rPr>
            </w:pPr>
            <w:r w:rsidRPr="00761800">
              <w:rPr>
                <w:rFonts w:ascii="Times New Roman" w:hAnsi="Times New Roman"/>
                <w:sz w:val="20"/>
                <w:lang w:eastAsia="bg-BG"/>
              </w:rPr>
              <w:t>1 146,6</w:t>
            </w:r>
          </w:p>
        </w:tc>
        <w:tc>
          <w:tcPr>
            <w:tcW w:w="1481" w:type="dxa"/>
          </w:tcPr>
          <w:p w14:paraId="619F6849" w14:textId="77777777" w:rsidR="00761800" w:rsidRPr="00761800" w:rsidRDefault="00761800" w:rsidP="00761800">
            <w:pPr>
              <w:spacing w:after="200"/>
              <w:ind w:firstLineChars="100" w:firstLine="200"/>
              <w:jc w:val="right"/>
              <w:rPr>
                <w:rFonts w:ascii="Times New Roman" w:hAnsi="Times New Roman"/>
                <w:sz w:val="20"/>
                <w:lang w:eastAsia="bg-BG"/>
              </w:rPr>
            </w:pPr>
            <w:r w:rsidRPr="00761800">
              <w:rPr>
                <w:rFonts w:ascii="Times New Roman" w:hAnsi="Times New Roman"/>
                <w:sz w:val="20"/>
                <w:lang w:eastAsia="bg-BG"/>
              </w:rPr>
              <w:t>1 157,0</w:t>
            </w:r>
          </w:p>
        </w:tc>
      </w:tr>
      <w:tr w:rsidR="00761800" w:rsidRPr="00761800" w14:paraId="0F5020E5" w14:textId="77777777" w:rsidTr="00406B4D">
        <w:trPr>
          <w:trHeight w:val="490"/>
          <w:jc w:val="center"/>
        </w:trPr>
        <w:tc>
          <w:tcPr>
            <w:tcW w:w="4494" w:type="dxa"/>
            <w:tcBorders>
              <w:top w:val="nil"/>
              <w:left w:val="nil"/>
              <w:bottom w:val="nil"/>
              <w:right w:val="nil"/>
            </w:tcBorders>
            <w:shd w:val="clear" w:color="auto" w:fill="auto"/>
            <w:vAlign w:val="center"/>
            <w:hideMark/>
          </w:tcPr>
          <w:p w14:paraId="6A43D2BA" w14:textId="77777777" w:rsidR="00761800" w:rsidRPr="00761800" w:rsidRDefault="00761800" w:rsidP="00761800">
            <w:pPr>
              <w:spacing w:after="200"/>
              <w:rPr>
                <w:rFonts w:ascii="Times New Roman" w:hAnsi="Times New Roman"/>
                <w:sz w:val="20"/>
                <w:lang w:eastAsia="bg-BG"/>
              </w:rPr>
            </w:pPr>
            <w:r w:rsidRPr="00761800">
              <w:rPr>
                <w:rFonts w:ascii="Times New Roman" w:hAnsi="Times New Roman"/>
                <w:sz w:val="20"/>
                <w:lang w:eastAsia="bg-BG"/>
              </w:rPr>
              <w:t>Национално съфинансиране и авансови плащания</w:t>
            </w:r>
          </w:p>
        </w:tc>
        <w:tc>
          <w:tcPr>
            <w:tcW w:w="1622" w:type="dxa"/>
          </w:tcPr>
          <w:p w14:paraId="46F81F95" w14:textId="77777777" w:rsidR="00761800" w:rsidRPr="00761800" w:rsidRDefault="00761800" w:rsidP="00761800">
            <w:pPr>
              <w:spacing w:after="200"/>
              <w:ind w:firstLineChars="100" w:firstLine="200"/>
              <w:jc w:val="right"/>
              <w:rPr>
                <w:rFonts w:ascii="Times New Roman" w:hAnsi="Times New Roman"/>
                <w:sz w:val="20"/>
                <w:lang w:eastAsia="bg-BG"/>
              </w:rPr>
            </w:pPr>
            <w:r w:rsidRPr="00761800">
              <w:rPr>
                <w:rFonts w:ascii="Times New Roman" w:hAnsi="Times New Roman"/>
                <w:sz w:val="20"/>
                <w:lang w:eastAsia="bg-BG"/>
              </w:rPr>
              <w:t>474,5</w:t>
            </w:r>
          </w:p>
        </w:tc>
        <w:tc>
          <w:tcPr>
            <w:tcW w:w="1611" w:type="dxa"/>
          </w:tcPr>
          <w:p w14:paraId="37E07431" w14:textId="77777777" w:rsidR="00761800" w:rsidRPr="00761800" w:rsidRDefault="00761800" w:rsidP="00761800">
            <w:pPr>
              <w:spacing w:after="200"/>
              <w:ind w:firstLineChars="100" w:firstLine="200"/>
              <w:jc w:val="right"/>
              <w:rPr>
                <w:rFonts w:ascii="Times New Roman" w:hAnsi="Times New Roman"/>
                <w:sz w:val="20"/>
                <w:lang w:eastAsia="bg-BG"/>
              </w:rPr>
            </w:pPr>
            <w:r w:rsidRPr="00761800">
              <w:rPr>
                <w:rFonts w:ascii="Times New Roman" w:hAnsi="Times New Roman"/>
                <w:sz w:val="20"/>
                <w:lang w:eastAsia="bg-BG"/>
              </w:rPr>
              <w:t>500,9</w:t>
            </w:r>
          </w:p>
        </w:tc>
        <w:tc>
          <w:tcPr>
            <w:tcW w:w="1481" w:type="dxa"/>
          </w:tcPr>
          <w:p w14:paraId="38D64635" w14:textId="77777777" w:rsidR="00761800" w:rsidRPr="00761800" w:rsidRDefault="00761800" w:rsidP="00761800">
            <w:pPr>
              <w:spacing w:after="200"/>
              <w:ind w:firstLineChars="100" w:firstLine="200"/>
              <w:jc w:val="right"/>
              <w:rPr>
                <w:rFonts w:ascii="Times New Roman" w:hAnsi="Times New Roman"/>
                <w:sz w:val="20"/>
                <w:lang w:eastAsia="bg-BG"/>
              </w:rPr>
            </w:pPr>
            <w:r w:rsidRPr="00761800">
              <w:rPr>
                <w:rFonts w:ascii="Times New Roman" w:hAnsi="Times New Roman"/>
                <w:sz w:val="20"/>
                <w:lang w:eastAsia="bg-BG"/>
              </w:rPr>
              <w:t>503,3</w:t>
            </w:r>
          </w:p>
        </w:tc>
      </w:tr>
      <w:tr w:rsidR="00761800" w:rsidRPr="00761800" w14:paraId="01D80572" w14:textId="77777777" w:rsidTr="00406B4D">
        <w:trPr>
          <w:trHeight w:val="297"/>
          <w:jc w:val="center"/>
        </w:trPr>
        <w:tc>
          <w:tcPr>
            <w:tcW w:w="4494" w:type="dxa"/>
            <w:tcBorders>
              <w:top w:val="nil"/>
              <w:left w:val="nil"/>
              <w:bottom w:val="single" w:sz="4" w:space="0" w:color="auto"/>
              <w:right w:val="nil"/>
            </w:tcBorders>
            <w:shd w:val="clear" w:color="auto" w:fill="auto"/>
            <w:vAlign w:val="center"/>
            <w:hideMark/>
          </w:tcPr>
          <w:p w14:paraId="100AA92B" w14:textId="77777777" w:rsidR="00761800" w:rsidRPr="00761800" w:rsidRDefault="00761800" w:rsidP="00761800">
            <w:pPr>
              <w:spacing w:after="200"/>
              <w:rPr>
                <w:rFonts w:ascii="Times New Roman" w:hAnsi="Times New Roman"/>
                <w:b/>
                <w:bCs/>
                <w:sz w:val="20"/>
                <w:lang w:eastAsia="bg-BG"/>
              </w:rPr>
            </w:pPr>
            <w:r w:rsidRPr="00761800">
              <w:rPr>
                <w:rFonts w:ascii="Times New Roman" w:hAnsi="Times New Roman"/>
                <w:b/>
                <w:bCs/>
                <w:sz w:val="20"/>
                <w:lang w:eastAsia="bg-BG"/>
              </w:rPr>
              <w:t>Общо</w:t>
            </w:r>
          </w:p>
        </w:tc>
        <w:tc>
          <w:tcPr>
            <w:tcW w:w="1622" w:type="dxa"/>
            <w:tcBorders>
              <w:top w:val="nil"/>
              <w:left w:val="nil"/>
              <w:bottom w:val="single" w:sz="4" w:space="0" w:color="auto"/>
              <w:right w:val="nil"/>
            </w:tcBorders>
          </w:tcPr>
          <w:p w14:paraId="04087E0A" w14:textId="77777777" w:rsidR="00761800" w:rsidRPr="00761800" w:rsidRDefault="00761800" w:rsidP="00761800">
            <w:pPr>
              <w:spacing w:after="200"/>
              <w:ind w:firstLineChars="100" w:firstLine="201"/>
              <w:jc w:val="right"/>
              <w:rPr>
                <w:rFonts w:ascii="Times New Roman" w:hAnsi="Times New Roman"/>
                <w:b/>
                <w:spacing w:val="5"/>
                <w:kern w:val="28"/>
                <w:sz w:val="20"/>
                <w:lang w:eastAsia="bg-BG"/>
              </w:rPr>
            </w:pPr>
            <w:r w:rsidRPr="00761800">
              <w:rPr>
                <w:rFonts w:ascii="Times New Roman" w:hAnsi="Times New Roman"/>
                <w:b/>
                <w:sz w:val="20"/>
                <w:lang w:eastAsia="bg-BG"/>
              </w:rPr>
              <w:t>1 604,2</w:t>
            </w:r>
          </w:p>
        </w:tc>
        <w:tc>
          <w:tcPr>
            <w:tcW w:w="1611" w:type="dxa"/>
            <w:tcBorders>
              <w:top w:val="nil"/>
              <w:left w:val="nil"/>
              <w:bottom w:val="single" w:sz="4" w:space="0" w:color="auto"/>
              <w:right w:val="nil"/>
            </w:tcBorders>
          </w:tcPr>
          <w:p w14:paraId="54D7E793" w14:textId="77777777" w:rsidR="00761800" w:rsidRPr="00761800" w:rsidRDefault="00761800" w:rsidP="00761800">
            <w:pPr>
              <w:spacing w:after="200"/>
              <w:ind w:firstLineChars="100" w:firstLine="201"/>
              <w:jc w:val="right"/>
              <w:rPr>
                <w:rFonts w:ascii="Times New Roman" w:hAnsi="Times New Roman"/>
                <w:b/>
                <w:spacing w:val="5"/>
                <w:kern w:val="28"/>
                <w:sz w:val="20"/>
                <w:lang w:eastAsia="bg-BG"/>
              </w:rPr>
            </w:pPr>
            <w:r w:rsidRPr="00761800">
              <w:rPr>
                <w:rFonts w:ascii="Times New Roman" w:hAnsi="Times New Roman"/>
                <w:b/>
                <w:sz w:val="20"/>
                <w:lang w:eastAsia="bg-BG"/>
              </w:rPr>
              <w:t>1 647,5</w:t>
            </w:r>
          </w:p>
        </w:tc>
        <w:tc>
          <w:tcPr>
            <w:tcW w:w="1481" w:type="dxa"/>
            <w:tcBorders>
              <w:top w:val="nil"/>
              <w:left w:val="nil"/>
              <w:bottom w:val="single" w:sz="4" w:space="0" w:color="auto"/>
              <w:right w:val="nil"/>
            </w:tcBorders>
          </w:tcPr>
          <w:p w14:paraId="79DBD71A" w14:textId="77777777" w:rsidR="00761800" w:rsidRPr="00761800" w:rsidRDefault="00761800" w:rsidP="00761800">
            <w:pPr>
              <w:spacing w:after="200"/>
              <w:ind w:firstLineChars="100" w:firstLine="201"/>
              <w:jc w:val="right"/>
              <w:rPr>
                <w:rFonts w:ascii="Times New Roman" w:hAnsi="Times New Roman"/>
                <w:b/>
                <w:sz w:val="20"/>
                <w:lang w:eastAsia="bg-BG"/>
              </w:rPr>
            </w:pPr>
            <w:r w:rsidRPr="00761800">
              <w:rPr>
                <w:rFonts w:ascii="Times New Roman" w:hAnsi="Times New Roman"/>
                <w:b/>
                <w:sz w:val="20"/>
                <w:lang w:eastAsia="bg-BG"/>
              </w:rPr>
              <w:t>1 660,3</w:t>
            </w:r>
          </w:p>
        </w:tc>
      </w:tr>
    </w:tbl>
    <w:p w14:paraId="5755A9C6" w14:textId="77777777" w:rsidR="00761800" w:rsidRPr="00761800" w:rsidRDefault="00761800" w:rsidP="00761800">
      <w:pPr>
        <w:spacing w:before="120"/>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Източник: МФ</w:t>
      </w:r>
    </w:p>
    <w:p w14:paraId="0C5EF617" w14:textId="77777777" w:rsidR="00761800" w:rsidRPr="00761800" w:rsidRDefault="00761800" w:rsidP="00761800">
      <w:pPr>
        <w:spacing w:after="200"/>
        <w:jc w:val="both"/>
        <w:rPr>
          <w:rFonts w:ascii="Times New Roman" w:eastAsia="Batang" w:hAnsi="Times New Roman"/>
          <w:b/>
          <w:sz w:val="22"/>
          <w:szCs w:val="22"/>
          <w:lang w:eastAsia="bg-BG"/>
        </w:rPr>
      </w:pPr>
    </w:p>
    <w:p w14:paraId="32137CB7" w14:textId="77777777" w:rsidR="00761800" w:rsidRPr="00761800" w:rsidRDefault="00761800" w:rsidP="00761800">
      <w:pPr>
        <w:spacing w:after="200"/>
        <w:jc w:val="both"/>
        <w:rPr>
          <w:rFonts w:ascii="Times New Roman" w:eastAsia="Batang" w:hAnsi="Times New Roman"/>
          <w:b/>
          <w:sz w:val="22"/>
          <w:szCs w:val="22"/>
          <w:lang w:eastAsia="bg-BG"/>
        </w:rPr>
      </w:pPr>
      <w:r w:rsidRPr="00761800">
        <w:rPr>
          <w:rFonts w:ascii="Times New Roman" w:eastAsia="Batang" w:hAnsi="Times New Roman"/>
          <w:b/>
          <w:sz w:val="22"/>
          <w:szCs w:val="22"/>
          <w:lang w:eastAsia="bg-BG"/>
        </w:rPr>
        <w:t>ОБЩА РИБАРСКА ПОЛИТИКА ЗА ПЕРИОДА 2026-2028 г.</w:t>
      </w:r>
    </w:p>
    <w:p w14:paraId="30A44057"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Преобладаващата част от дейностите по Програмите за морско дело, рибарство и аквакултури за периода са насочени към повишаване на конкурентоспособността и жизнеспособността на предприятията в сектор рибарство; насърчаване на устойчиво, отличаващо се с ефективно използване на ресурсите рибарство; диверсификация на дейностите, в рамките на сектор рибарство, както и в други сектори на морската икономика; пазарна организация за продуктите на риболов и аквакултурите и други.</w:t>
      </w:r>
    </w:p>
    <w:p w14:paraId="28450480"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В средносрочен план средствата, които страната ни предвижда да усвоява по програмите на ЕС и да изплаща за общата рибарска политика са, както следва:</w:t>
      </w:r>
    </w:p>
    <w:p w14:paraId="7ACA737F" w14:textId="769DEE8B" w:rsidR="00761800" w:rsidRPr="00761800" w:rsidRDefault="00761800" w:rsidP="00761800">
      <w:pPr>
        <w:spacing w:after="120"/>
        <w:rPr>
          <w:rFonts w:ascii="Times New Roman" w:hAnsi="Times New Roman" w:cs="Calibri"/>
          <w:b/>
          <w:bCs/>
          <w:color w:val="000000"/>
          <w:szCs w:val="24"/>
          <w:lang w:eastAsia="bg-BG"/>
        </w:rPr>
      </w:pPr>
      <w:bookmarkStart w:id="382" w:name="_Toc233185137"/>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19</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r>
      <w:r w:rsidRPr="00761800">
        <w:rPr>
          <w:rFonts w:ascii="Times New Roman" w:hAnsi="Times New Roman" w:cs="Calibri"/>
          <w:b/>
          <w:bCs/>
          <w:color w:val="000000"/>
          <w:szCs w:val="24"/>
          <w:lang w:eastAsia="bg-BG"/>
        </w:rPr>
        <w:t>Разходи и плащания за рибарската политика за периода 2026-2028 г.</w:t>
      </w:r>
      <w:bookmarkEnd w:id="382"/>
      <w:r w:rsidRPr="00761800">
        <w:rPr>
          <w:rFonts w:ascii="Times New Roman" w:hAnsi="Times New Roman" w:cs="Calibri"/>
          <w:b/>
          <w:bCs/>
          <w:color w:val="000000"/>
          <w:szCs w:val="24"/>
          <w:lang w:eastAsia="bg-BG"/>
        </w:rPr>
        <w:t xml:space="preserve"> </w:t>
      </w:r>
    </w:p>
    <w:p w14:paraId="43BDB68A" w14:textId="77777777" w:rsidR="00761800" w:rsidRPr="00761800" w:rsidRDefault="00761800" w:rsidP="00761800">
      <w:pPr>
        <w:tabs>
          <w:tab w:val="left" w:pos="4188"/>
          <w:tab w:val="left" w:pos="6027"/>
          <w:tab w:val="left" w:pos="7533"/>
        </w:tabs>
        <w:spacing w:after="60"/>
        <w:ind w:left="72"/>
        <w:jc w:val="right"/>
        <w:rPr>
          <w:rFonts w:ascii="Times New Roman" w:hAnsi="Times New Roman"/>
          <w:color w:val="000000"/>
          <w:sz w:val="20"/>
          <w:lang w:eastAsia="bg-BG"/>
        </w:rPr>
      </w:pPr>
      <w:bookmarkStart w:id="383" w:name="_Toc464224806"/>
      <w:bookmarkStart w:id="384" w:name="_Toc464225456"/>
      <w:bookmarkStart w:id="385" w:name="_Toc464459003"/>
      <w:bookmarkStart w:id="386" w:name="_Toc464459751"/>
      <w:bookmarkStart w:id="387" w:name="_Toc464460704"/>
      <w:bookmarkStart w:id="388" w:name="_Toc464463103"/>
      <w:bookmarkStart w:id="389" w:name="_Toc464464932"/>
      <w:bookmarkStart w:id="390" w:name="_Toc464465436"/>
      <w:bookmarkStart w:id="391" w:name="_Toc464465624"/>
      <w:bookmarkStart w:id="392" w:name="_Toc464466449"/>
      <w:bookmarkStart w:id="393" w:name="_Toc464466693"/>
      <w:bookmarkStart w:id="394" w:name="_Toc464645012"/>
      <w:bookmarkStart w:id="395" w:name="_Toc465205565"/>
      <w:r w:rsidRPr="00761800">
        <w:rPr>
          <w:rFonts w:ascii="Times New Roman" w:hAnsi="Times New Roman"/>
          <w:color w:val="000000"/>
          <w:sz w:val="20"/>
          <w:lang w:eastAsia="bg-BG"/>
        </w:rPr>
        <w:t xml:space="preserve"> (млн. евро)</w:t>
      </w:r>
    </w:p>
    <w:tbl>
      <w:tblPr>
        <w:tblW w:w="9088" w:type="dxa"/>
        <w:tblInd w:w="55" w:type="dxa"/>
        <w:tblCellMar>
          <w:left w:w="70" w:type="dxa"/>
          <w:right w:w="70" w:type="dxa"/>
        </w:tblCellMar>
        <w:tblLook w:val="04A0" w:firstRow="1" w:lastRow="0" w:firstColumn="1" w:lastColumn="0" w:noHBand="0" w:noVBand="1"/>
      </w:tblPr>
      <w:tblGrid>
        <w:gridCol w:w="4430"/>
        <w:gridCol w:w="1649"/>
        <w:gridCol w:w="1547"/>
        <w:gridCol w:w="1462"/>
      </w:tblGrid>
      <w:tr w:rsidR="00761800" w:rsidRPr="00761800" w14:paraId="60452A62" w14:textId="77777777" w:rsidTr="00406B4D">
        <w:trPr>
          <w:trHeight w:val="336"/>
          <w:tblHeader/>
        </w:trPr>
        <w:tc>
          <w:tcPr>
            <w:tcW w:w="4430" w:type="dxa"/>
            <w:tcBorders>
              <w:top w:val="single" w:sz="4" w:space="0" w:color="auto"/>
              <w:left w:val="nil"/>
              <w:bottom w:val="single" w:sz="4" w:space="0" w:color="auto"/>
              <w:right w:val="nil"/>
            </w:tcBorders>
            <w:shd w:val="clear" w:color="auto" w:fill="auto"/>
            <w:vAlign w:val="center"/>
            <w:hideMark/>
          </w:tcPr>
          <w:p w14:paraId="60109915" w14:textId="77777777" w:rsidR="00761800" w:rsidRPr="00761800" w:rsidRDefault="00761800" w:rsidP="00761800">
            <w:pPr>
              <w:spacing w:after="200"/>
              <w:jc w:val="center"/>
              <w:rPr>
                <w:rFonts w:ascii="Times New Roman" w:hAnsi="Times New Roman"/>
                <w:b/>
                <w:bCs/>
                <w:sz w:val="20"/>
                <w:lang w:eastAsia="bg-BG"/>
              </w:rPr>
            </w:pPr>
          </w:p>
        </w:tc>
        <w:tc>
          <w:tcPr>
            <w:tcW w:w="1649" w:type="dxa"/>
            <w:tcBorders>
              <w:top w:val="single" w:sz="4" w:space="0" w:color="auto"/>
              <w:left w:val="nil"/>
              <w:bottom w:val="single" w:sz="4" w:space="0" w:color="auto"/>
              <w:right w:val="nil"/>
            </w:tcBorders>
            <w:shd w:val="clear" w:color="auto" w:fill="auto"/>
            <w:vAlign w:val="center"/>
            <w:hideMark/>
          </w:tcPr>
          <w:p w14:paraId="77CDA95F" w14:textId="77777777" w:rsidR="00761800" w:rsidRPr="00761800" w:rsidRDefault="00761800" w:rsidP="00761800">
            <w:pPr>
              <w:spacing w:after="200"/>
              <w:ind w:hanging="2"/>
              <w:jc w:val="center"/>
              <w:rPr>
                <w:rFonts w:ascii="Times New Roman" w:hAnsi="Times New Roman"/>
                <w:b/>
                <w:bCs/>
                <w:sz w:val="20"/>
                <w:lang w:eastAsia="bg-BG"/>
              </w:rPr>
            </w:pPr>
            <w:r w:rsidRPr="00761800">
              <w:rPr>
                <w:rFonts w:ascii="Times New Roman" w:hAnsi="Times New Roman"/>
                <w:b/>
                <w:bCs/>
                <w:sz w:val="20"/>
                <w:lang w:eastAsia="bg-BG"/>
              </w:rPr>
              <w:t xml:space="preserve">     2026 г.</w:t>
            </w:r>
          </w:p>
        </w:tc>
        <w:tc>
          <w:tcPr>
            <w:tcW w:w="1547" w:type="dxa"/>
            <w:tcBorders>
              <w:top w:val="single" w:sz="4" w:space="0" w:color="auto"/>
              <w:left w:val="nil"/>
              <w:bottom w:val="single" w:sz="4" w:space="0" w:color="auto"/>
              <w:right w:val="nil"/>
            </w:tcBorders>
            <w:shd w:val="clear" w:color="auto" w:fill="auto"/>
            <w:vAlign w:val="center"/>
            <w:hideMark/>
          </w:tcPr>
          <w:p w14:paraId="27E78D2F" w14:textId="77777777" w:rsidR="00761800" w:rsidRPr="00761800" w:rsidRDefault="00761800" w:rsidP="00761800">
            <w:pPr>
              <w:spacing w:after="200"/>
              <w:ind w:hanging="2"/>
              <w:jc w:val="center"/>
              <w:rPr>
                <w:rFonts w:ascii="Times New Roman" w:hAnsi="Times New Roman"/>
                <w:b/>
                <w:bCs/>
                <w:sz w:val="20"/>
                <w:lang w:eastAsia="bg-BG"/>
              </w:rPr>
            </w:pPr>
            <w:r w:rsidRPr="00761800">
              <w:rPr>
                <w:rFonts w:ascii="Times New Roman" w:hAnsi="Times New Roman"/>
                <w:b/>
                <w:bCs/>
                <w:sz w:val="20"/>
                <w:lang w:eastAsia="bg-BG"/>
              </w:rPr>
              <w:t xml:space="preserve">     2027 г.</w:t>
            </w:r>
          </w:p>
        </w:tc>
        <w:tc>
          <w:tcPr>
            <w:tcW w:w="1462" w:type="dxa"/>
            <w:tcBorders>
              <w:top w:val="single" w:sz="4" w:space="0" w:color="auto"/>
              <w:left w:val="nil"/>
              <w:bottom w:val="single" w:sz="4" w:space="0" w:color="auto"/>
              <w:right w:val="nil"/>
            </w:tcBorders>
            <w:shd w:val="clear" w:color="auto" w:fill="auto"/>
          </w:tcPr>
          <w:p w14:paraId="79201EA9" w14:textId="77777777" w:rsidR="00761800" w:rsidRPr="00761800" w:rsidRDefault="00761800" w:rsidP="00761800">
            <w:pPr>
              <w:spacing w:after="200"/>
              <w:ind w:hanging="2"/>
              <w:jc w:val="center"/>
              <w:rPr>
                <w:rFonts w:ascii="Times New Roman" w:hAnsi="Times New Roman"/>
                <w:b/>
                <w:bCs/>
                <w:sz w:val="20"/>
                <w:lang w:eastAsia="bg-BG"/>
              </w:rPr>
            </w:pPr>
            <w:r w:rsidRPr="00761800">
              <w:rPr>
                <w:rFonts w:ascii="Times New Roman" w:hAnsi="Times New Roman"/>
                <w:b/>
                <w:bCs/>
                <w:sz w:val="20"/>
                <w:lang w:eastAsia="bg-BG"/>
              </w:rPr>
              <w:t xml:space="preserve">     2028 г.</w:t>
            </w:r>
          </w:p>
        </w:tc>
      </w:tr>
      <w:tr w:rsidR="00761800" w:rsidRPr="00761800" w14:paraId="69A595A4" w14:textId="77777777" w:rsidTr="00406B4D">
        <w:trPr>
          <w:trHeight w:val="381"/>
        </w:trPr>
        <w:tc>
          <w:tcPr>
            <w:tcW w:w="4430" w:type="dxa"/>
            <w:tcBorders>
              <w:top w:val="single" w:sz="4" w:space="0" w:color="auto"/>
              <w:left w:val="nil"/>
              <w:bottom w:val="nil"/>
              <w:right w:val="nil"/>
            </w:tcBorders>
            <w:shd w:val="clear" w:color="auto" w:fill="auto"/>
            <w:vAlign w:val="center"/>
            <w:hideMark/>
          </w:tcPr>
          <w:p w14:paraId="5877EE81" w14:textId="77777777" w:rsidR="00761800" w:rsidRPr="00761800" w:rsidRDefault="00761800" w:rsidP="00761800">
            <w:pPr>
              <w:spacing w:after="200"/>
              <w:rPr>
                <w:rFonts w:ascii="Times New Roman" w:hAnsi="Times New Roman"/>
                <w:sz w:val="20"/>
                <w:lang w:eastAsia="bg-BG"/>
              </w:rPr>
            </w:pPr>
            <w:r w:rsidRPr="00761800">
              <w:rPr>
                <w:rFonts w:ascii="Times New Roman" w:hAnsi="Times New Roman"/>
                <w:sz w:val="20"/>
                <w:lang w:eastAsia="bg-BG"/>
              </w:rPr>
              <w:t>Средства от ЕС</w:t>
            </w:r>
          </w:p>
        </w:tc>
        <w:tc>
          <w:tcPr>
            <w:tcW w:w="1649" w:type="dxa"/>
            <w:tcBorders>
              <w:top w:val="single" w:sz="4" w:space="0" w:color="auto"/>
              <w:left w:val="nil"/>
              <w:bottom w:val="nil"/>
              <w:right w:val="nil"/>
            </w:tcBorders>
            <w:shd w:val="clear" w:color="auto" w:fill="auto"/>
          </w:tcPr>
          <w:p w14:paraId="0C05C334" w14:textId="77777777" w:rsidR="00761800" w:rsidRPr="00761800" w:rsidRDefault="00761800" w:rsidP="00761800">
            <w:pPr>
              <w:spacing w:after="200"/>
              <w:ind w:firstLineChars="100" w:firstLine="200"/>
              <w:jc w:val="center"/>
              <w:rPr>
                <w:rFonts w:ascii="Times New Roman" w:hAnsi="Times New Roman"/>
                <w:sz w:val="20"/>
                <w:lang w:eastAsia="bg-BG"/>
              </w:rPr>
            </w:pPr>
            <w:r w:rsidRPr="00761800">
              <w:rPr>
                <w:rFonts w:ascii="Times New Roman" w:hAnsi="Times New Roman"/>
                <w:sz w:val="20"/>
                <w:lang w:eastAsia="bg-BG"/>
              </w:rPr>
              <w:t>19,26</w:t>
            </w:r>
          </w:p>
        </w:tc>
        <w:tc>
          <w:tcPr>
            <w:tcW w:w="1547" w:type="dxa"/>
            <w:tcBorders>
              <w:top w:val="single" w:sz="4" w:space="0" w:color="auto"/>
              <w:left w:val="nil"/>
              <w:bottom w:val="nil"/>
              <w:right w:val="nil"/>
            </w:tcBorders>
            <w:shd w:val="clear" w:color="auto" w:fill="auto"/>
          </w:tcPr>
          <w:p w14:paraId="541E4A6D" w14:textId="77777777" w:rsidR="00761800" w:rsidRPr="00761800" w:rsidRDefault="00761800" w:rsidP="00761800">
            <w:pPr>
              <w:spacing w:after="200"/>
              <w:ind w:firstLineChars="100" w:firstLine="200"/>
              <w:jc w:val="center"/>
              <w:rPr>
                <w:rFonts w:ascii="Times New Roman" w:hAnsi="Times New Roman"/>
                <w:sz w:val="20"/>
                <w:lang w:eastAsia="bg-BG"/>
              </w:rPr>
            </w:pPr>
            <w:r w:rsidRPr="00761800">
              <w:rPr>
                <w:rFonts w:ascii="Times New Roman" w:hAnsi="Times New Roman"/>
                <w:sz w:val="20"/>
                <w:lang w:eastAsia="bg-BG"/>
              </w:rPr>
              <w:t>17,86</w:t>
            </w:r>
          </w:p>
        </w:tc>
        <w:tc>
          <w:tcPr>
            <w:tcW w:w="1462" w:type="dxa"/>
            <w:tcBorders>
              <w:top w:val="single" w:sz="4" w:space="0" w:color="auto"/>
              <w:left w:val="nil"/>
              <w:bottom w:val="nil"/>
              <w:right w:val="nil"/>
            </w:tcBorders>
            <w:shd w:val="clear" w:color="auto" w:fill="auto"/>
          </w:tcPr>
          <w:p w14:paraId="291A1BB4" w14:textId="77777777" w:rsidR="00761800" w:rsidRPr="00761800" w:rsidRDefault="00761800" w:rsidP="00761800">
            <w:pPr>
              <w:spacing w:after="200"/>
              <w:ind w:firstLineChars="100" w:firstLine="200"/>
              <w:jc w:val="center"/>
              <w:rPr>
                <w:rFonts w:ascii="Times New Roman" w:hAnsi="Times New Roman"/>
                <w:sz w:val="20"/>
                <w:lang w:eastAsia="bg-BG"/>
              </w:rPr>
            </w:pPr>
            <w:r w:rsidRPr="00761800">
              <w:rPr>
                <w:rFonts w:ascii="Times New Roman" w:hAnsi="Times New Roman"/>
                <w:sz w:val="20"/>
                <w:lang w:eastAsia="bg-BG"/>
              </w:rPr>
              <w:t>17,12</w:t>
            </w:r>
          </w:p>
        </w:tc>
      </w:tr>
      <w:tr w:rsidR="00761800" w:rsidRPr="00761800" w14:paraId="0AD49159" w14:textId="77777777" w:rsidTr="00406B4D">
        <w:trPr>
          <w:trHeight w:val="380"/>
        </w:trPr>
        <w:tc>
          <w:tcPr>
            <w:tcW w:w="4430" w:type="dxa"/>
            <w:tcBorders>
              <w:top w:val="nil"/>
              <w:left w:val="nil"/>
              <w:bottom w:val="nil"/>
              <w:right w:val="nil"/>
            </w:tcBorders>
            <w:shd w:val="clear" w:color="auto" w:fill="auto"/>
            <w:vAlign w:val="center"/>
            <w:hideMark/>
          </w:tcPr>
          <w:p w14:paraId="106A98D6" w14:textId="77777777" w:rsidR="00761800" w:rsidRPr="00761800" w:rsidRDefault="00761800" w:rsidP="00761800">
            <w:pPr>
              <w:spacing w:after="200"/>
              <w:rPr>
                <w:rFonts w:ascii="Times New Roman" w:hAnsi="Times New Roman"/>
                <w:sz w:val="20"/>
                <w:lang w:eastAsia="bg-BG"/>
              </w:rPr>
            </w:pPr>
            <w:r w:rsidRPr="00761800">
              <w:rPr>
                <w:rFonts w:ascii="Times New Roman" w:hAnsi="Times New Roman"/>
                <w:sz w:val="20"/>
                <w:lang w:eastAsia="bg-BG"/>
              </w:rPr>
              <w:t>Национално съфинансиране и авансови плащания</w:t>
            </w:r>
          </w:p>
        </w:tc>
        <w:tc>
          <w:tcPr>
            <w:tcW w:w="1649" w:type="dxa"/>
            <w:shd w:val="clear" w:color="auto" w:fill="auto"/>
          </w:tcPr>
          <w:p w14:paraId="6475FE91" w14:textId="77777777" w:rsidR="00761800" w:rsidRPr="00761800" w:rsidRDefault="00761800" w:rsidP="00761800">
            <w:pPr>
              <w:spacing w:after="200"/>
              <w:ind w:firstLineChars="100" w:firstLine="200"/>
              <w:jc w:val="center"/>
              <w:rPr>
                <w:rFonts w:ascii="Times New Roman" w:hAnsi="Times New Roman"/>
                <w:sz w:val="20"/>
                <w:lang w:eastAsia="bg-BG"/>
              </w:rPr>
            </w:pPr>
            <w:r w:rsidRPr="00761800">
              <w:rPr>
                <w:rFonts w:ascii="Times New Roman" w:hAnsi="Times New Roman"/>
                <w:sz w:val="20"/>
                <w:lang w:eastAsia="bg-BG"/>
              </w:rPr>
              <w:t>8,26</w:t>
            </w:r>
          </w:p>
        </w:tc>
        <w:tc>
          <w:tcPr>
            <w:tcW w:w="1547" w:type="dxa"/>
            <w:shd w:val="clear" w:color="auto" w:fill="auto"/>
          </w:tcPr>
          <w:p w14:paraId="1DB3DCB1" w14:textId="77777777" w:rsidR="00761800" w:rsidRPr="00761800" w:rsidRDefault="00761800" w:rsidP="00761800">
            <w:pPr>
              <w:spacing w:after="200"/>
              <w:ind w:firstLineChars="100" w:firstLine="200"/>
              <w:jc w:val="center"/>
              <w:rPr>
                <w:rFonts w:ascii="Times New Roman" w:hAnsi="Times New Roman"/>
                <w:sz w:val="20"/>
                <w:lang w:eastAsia="bg-BG"/>
              </w:rPr>
            </w:pPr>
            <w:r w:rsidRPr="00761800">
              <w:rPr>
                <w:rFonts w:ascii="Times New Roman" w:hAnsi="Times New Roman"/>
                <w:sz w:val="20"/>
                <w:lang w:eastAsia="bg-BG"/>
              </w:rPr>
              <w:t>7,66</w:t>
            </w:r>
          </w:p>
        </w:tc>
        <w:tc>
          <w:tcPr>
            <w:tcW w:w="1462" w:type="dxa"/>
            <w:shd w:val="clear" w:color="auto" w:fill="auto"/>
          </w:tcPr>
          <w:p w14:paraId="182627E1" w14:textId="77777777" w:rsidR="00761800" w:rsidRPr="00761800" w:rsidRDefault="00761800" w:rsidP="00761800">
            <w:pPr>
              <w:spacing w:after="200"/>
              <w:ind w:firstLineChars="100" w:firstLine="200"/>
              <w:jc w:val="center"/>
              <w:rPr>
                <w:rFonts w:ascii="Times New Roman" w:hAnsi="Times New Roman"/>
                <w:sz w:val="20"/>
                <w:lang w:eastAsia="bg-BG"/>
              </w:rPr>
            </w:pPr>
            <w:r w:rsidRPr="00761800">
              <w:rPr>
                <w:rFonts w:ascii="Times New Roman" w:hAnsi="Times New Roman"/>
                <w:sz w:val="20"/>
                <w:lang w:eastAsia="bg-BG"/>
              </w:rPr>
              <w:t>7,34</w:t>
            </w:r>
          </w:p>
        </w:tc>
      </w:tr>
      <w:tr w:rsidR="00761800" w:rsidRPr="00761800" w14:paraId="30E94CE0" w14:textId="77777777" w:rsidTr="00406B4D">
        <w:trPr>
          <w:trHeight w:val="237"/>
        </w:trPr>
        <w:tc>
          <w:tcPr>
            <w:tcW w:w="4430" w:type="dxa"/>
            <w:tcBorders>
              <w:top w:val="nil"/>
              <w:left w:val="nil"/>
              <w:bottom w:val="single" w:sz="4" w:space="0" w:color="auto"/>
              <w:right w:val="nil"/>
            </w:tcBorders>
            <w:shd w:val="clear" w:color="auto" w:fill="auto"/>
            <w:vAlign w:val="center"/>
            <w:hideMark/>
          </w:tcPr>
          <w:p w14:paraId="17D8B610" w14:textId="77777777" w:rsidR="00761800" w:rsidRPr="00761800" w:rsidRDefault="00761800" w:rsidP="00761800">
            <w:pPr>
              <w:spacing w:after="200"/>
              <w:rPr>
                <w:rFonts w:ascii="Times New Roman" w:hAnsi="Times New Roman"/>
                <w:b/>
                <w:bCs/>
                <w:sz w:val="20"/>
                <w:lang w:eastAsia="bg-BG"/>
              </w:rPr>
            </w:pPr>
            <w:r w:rsidRPr="00761800">
              <w:rPr>
                <w:rFonts w:ascii="Times New Roman" w:hAnsi="Times New Roman"/>
                <w:b/>
                <w:bCs/>
                <w:sz w:val="20"/>
                <w:lang w:eastAsia="bg-BG"/>
              </w:rPr>
              <w:t>Общо</w:t>
            </w:r>
          </w:p>
        </w:tc>
        <w:tc>
          <w:tcPr>
            <w:tcW w:w="1649" w:type="dxa"/>
            <w:tcBorders>
              <w:top w:val="nil"/>
              <w:left w:val="nil"/>
              <w:bottom w:val="single" w:sz="4" w:space="0" w:color="auto"/>
              <w:right w:val="nil"/>
            </w:tcBorders>
            <w:shd w:val="clear" w:color="auto" w:fill="auto"/>
          </w:tcPr>
          <w:p w14:paraId="6FCD3629" w14:textId="77777777" w:rsidR="00761800" w:rsidRPr="00761800" w:rsidRDefault="00761800" w:rsidP="00761800">
            <w:pPr>
              <w:spacing w:after="200"/>
              <w:ind w:firstLineChars="100" w:firstLine="201"/>
              <w:jc w:val="center"/>
              <w:rPr>
                <w:rFonts w:ascii="Times New Roman" w:hAnsi="Times New Roman"/>
                <w:b/>
                <w:spacing w:val="5"/>
                <w:kern w:val="28"/>
                <w:sz w:val="20"/>
                <w:lang w:eastAsia="bg-BG"/>
              </w:rPr>
            </w:pPr>
            <w:r w:rsidRPr="00761800">
              <w:rPr>
                <w:rFonts w:ascii="Times New Roman" w:hAnsi="Times New Roman"/>
                <w:b/>
                <w:sz w:val="20"/>
                <w:lang w:eastAsia="bg-BG"/>
              </w:rPr>
              <w:t>27,52</w:t>
            </w:r>
          </w:p>
        </w:tc>
        <w:tc>
          <w:tcPr>
            <w:tcW w:w="1547" w:type="dxa"/>
            <w:tcBorders>
              <w:top w:val="nil"/>
              <w:left w:val="nil"/>
              <w:bottom w:val="single" w:sz="4" w:space="0" w:color="auto"/>
              <w:right w:val="nil"/>
            </w:tcBorders>
            <w:shd w:val="clear" w:color="auto" w:fill="auto"/>
          </w:tcPr>
          <w:p w14:paraId="2EA3C57F" w14:textId="77777777" w:rsidR="00761800" w:rsidRPr="00761800" w:rsidRDefault="00761800" w:rsidP="00761800">
            <w:pPr>
              <w:spacing w:after="200"/>
              <w:ind w:firstLineChars="100" w:firstLine="201"/>
              <w:jc w:val="center"/>
              <w:rPr>
                <w:rFonts w:ascii="Times New Roman" w:hAnsi="Times New Roman"/>
                <w:b/>
                <w:spacing w:val="5"/>
                <w:kern w:val="28"/>
                <w:sz w:val="20"/>
                <w:lang w:eastAsia="bg-BG"/>
              </w:rPr>
            </w:pPr>
            <w:r w:rsidRPr="00761800">
              <w:rPr>
                <w:rFonts w:ascii="Times New Roman" w:hAnsi="Times New Roman"/>
                <w:b/>
                <w:sz w:val="20"/>
                <w:lang w:eastAsia="bg-BG"/>
              </w:rPr>
              <w:t>25,52</w:t>
            </w:r>
          </w:p>
        </w:tc>
        <w:tc>
          <w:tcPr>
            <w:tcW w:w="1462" w:type="dxa"/>
            <w:tcBorders>
              <w:top w:val="nil"/>
              <w:left w:val="nil"/>
              <w:bottom w:val="single" w:sz="4" w:space="0" w:color="auto"/>
              <w:right w:val="nil"/>
            </w:tcBorders>
            <w:shd w:val="clear" w:color="auto" w:fill="auto"/>
          </w:tcPr>
          <w:p w14:paraId="5BDC63B0" w14:textId="77777777" w:rsidR="00761800" w:rsidRPr="00761800" w:rsidRDefault="00761800" w:rsidP="00761800">
            <w:pPr>
              <w:spacing w:after="200"/>
              <w:ind w:firstLineChars="100" w:firstLine="201"/>
              <w:jc w:val="center"/>
              <w:rPr>
                <w:rFonts w:ascii="Times New Roman" w:hAnsi="Times New Roman"/>
                <w:b/>
                <w:sz w:val="20"/>
                <w:lang w:eastAsia="bg-BG"/>
              </w:rPr>
            </w:pPr>
            <w:r w:rsidRPr="00761800">
              <w:rPr>
                <w:rFonts w:ascii="Times New Roman" w:hAnsi="Times New Roman"/>
                <w:b/>
                <w:sz w:val="20"/>
                <w:lang w:eastAsia="bg-BG"/>
              </w:rPr>
              <w:t>24,46</w:t>
            </w:r>
          </w:p>
        </w:tc>
      </w:tr>
    </w:tbl>
    <w:p w14:paraId="01370379" w14:textId="77777777" w:rsidR="00761800" w:rsidRPr="00761800" w:rsidRDefault="00761800" w:rsidP="00761800">
      <w:pPr>
        <w:spacing w:before="120"/>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Източник: МФ</w:t>
      </w:r>
    </w:p>
    <w:p w14:paraId="368CE11F"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852010"/>
          <w:spacing w:val="10"/>
          <w:w w:val="90"/>
          <w:sz w:val="28"/>
          <w:szCs w:val="26"/>
          <w:lang w:eastAsia="bg-BG"/>
        </w:rPr>
      </w:pPr>
      <w:bookmarkStart w:id="396" w:name="_Toc184128037"/>
      <w:bookmarkStart w:id="397" w:name="_Toc184128082"/>
      <w:bookmarkStart w:id="398" w:name="_Toc184128171"/>
      <w:bookmarkStart w:id="399" w:name="_Toc233717486"/>
      <w:r w:rsidRPr="00761800">
        <w:rPr>
          <w:rFonts w:ascii="Times New Roman" w:hAnsi="Times New Roman"/>
          <w:b/>
          <w:bCs/>
          <w:caps/>
          <w:color w:val="852010"/>
          <w:spacing w:val="10"/>
          <w:w w:val="90"/>
          <w:sz w:val="28"/>
          <w:szCs w:val="26"/>
          <w:lang w:eastAsia="bg-BG"/>
        </w:rPr>
        <w:t>Други сметки за средства от ЕС и средства по международни програми и договори, за които се прилага режим на сметките за средства от ЕС</w:t>
      </w:r>
      <w:bookmarkEnd w:id="396"/>
      <w:bookmarkEnd w:id="397"/>
      <w:bookmarkEnd w:id="398"/>
      <w:bookmarkEnd w:id="399"/>
      <w:r w:rsidRPr="00761800">
        <w:rPr>
          <w:rFonts w:ascii="Times New Roman" w:hAnsi="Times New Roman"/>
          <w:b/>
          <w:bCs/>
          <w:caps/>
          <w:color w:val="852010"/>
          <w:spacing w:val="10"/>
          <w:w w:val="90"/>
          <w:sz w:val="28"/>
          <w:szCs w:val="26"/>
          <w:lang w:eastAsia="bg-BG"/>
        </w:rPr>
        <w:t xml:space="preserve"> </w:t>
      </w:r>
      <w:bookmarkEnd w:id="383"/>
      <w:bookmarkEnd w:id="384"/>
      <w:bookmarkEnd w:id="385"/>
      <w:bookmarkEnd w:id="386"/>
      <w:bookmarkEnd w:id="387"/>
      <w:bookmarkEnd w:id="388"/>
      <w:bookmarkEnd w:id="389"/>
      <w:bookmarkEnd w:id="390"/>
      <w:bookmarkEnd w:id="391"/>
      <w:bookmarkEnd w:id="392"/>
      <w:bookmarkEnd w:id="393"/>
      <w:bookmarkEnd w:id="394"/>
      <w:bookmarkEnd w:id="395"/>
    </w:p>
    <w:p w14:paraId="55A52386"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 Актуализираната средносрочна бюджетна прогноза за периода 2026-2028 г. са разчетени приходи, разходи и съответното съфинансиране от държавния бюджет по други сметки за средства от Европейския съюз и средства по международни програми и договори, за които се прилага режимът на сметките за средства от Европейския съюз. Разчетите са изготвени на база предложенията на първостепенните разпоредители с бюджет по държавния бюджет за очакваните приходи и разходи, включително и за съфинансирането им, по различните международни програми, проекти и договори.</w:t>
      </w:r>
    </w:p>
    <w:p w14:paraId="3B50B900"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Финансирането на политиката в областта на вътрешния ред и сигурността се допълва със средства от Европейския съюз и средства по други международни програми и договори, за които се прилага режимът на сметките за средства от ЕС. В прогнозата за периода </w:t>
      </w:r>
      <w:r w:rsidRPr="00761800">
        <w:rPr>
          <w:rFonts w:ascii="Times New Roman" w:hAnsi="Times New Roman"/>
          <w:szCs w:val="22"/>
          <w:lang w:eastAsia="bg-BG"/>
        </w:rPr>
        <w:lastRenderedPageBreak/>
        <w:t>2025-2028 г. на МВР са включени средства по Фонд „Убежище, миграция и интеграция“ (ФУМИ), Фонд „Вътрешна сигурност“ (ФВС), „Инструмента за финансова подкрепа за управлението на границите и визовата политика (ИУГВП) за периода 2021-2027 г.“, проекти, програми и грантови споразумения. Прогнозираното национално съфинансиране по тях възлиза на общо 108,8 млн. евро и е разпределено по години, както следва:</w:t>
      </w:r>
    </w:p>
    <w:p w14:paraId="22D60F5E" w14:textId="77777777" w:rsidR="00761800" w:rsidRPr="00761800" w:rsidRDefault="00761800" w:rsidP="00F64909">
      <w:pPr>
        <w:numPr>
          <w:ilvl w:val="0"/>
          <w:numId w:val="11"/>
        </w:numPr>
        <w:tabs>
          <w:tab w:val="num" w:pos="540"/>
        </w:tabs>
        <w:spacing w:after="200"/>
        <w:ind w:left="630" w:hanging="270"/>
        <w:jc w:val="both"/>
        <w:rPr>
          <w:rFonts w:ascii="Times New Roman" w:hAnsi="Times New Roman"/>
          <w:szCs w:val="22"/>
          <w:lang w:eastAsia="bg-BG"/>
        </w:rPr>
      </w:pPr>
      <w:r w:rsidRPr="00761800">
        <w:rPr>
          <w:rFonts w:ascii="Times New Roman" w:hAnsi="Times New Roman"/>
          <w:szCs w:val="22"/>
          <w:lang w:eastAsia="bg-BG"/>
        </w:rPr>
        <w:t>за 2026 г. – 56,5 млн. евро;</w:t>
      </w:r>
    </w:p>
    <w:p w14:paraId="09183EE0" w14:textId="77777777" w:rsidR="00761800" w:rsidRPr="00761800" w:rsidRDefault="00761800" w:rsidP="00F64909">
      <w:pPr>
        <w:numPr>
          <w:ilvl w:val="0"/>
          <w:numId w:val="11"/>
        </w:numPr>
        <w:tabs>
          <w:tab w:val="num" w:pos="540"/>
        </w:tabs>
        <w:spacing w:after="200"/>
        <w:ind w:left="630" w:hanging="270"/>
        <w:jc w:val="both"/>
        <w:rPr>
          <w:rFonts w:ascii="Times New Roman" w:hAnsi="Times New Roman"/>
          <w:szCs w:val="22"/>
          <w:lang w:eastAsia="bg-BG"/>
        </w:rPr>
      </w:pPr>
      <w:r w:rsidRPr="00761800">
        <w:rPr>
          <w:rFonts w:ascii="Times New Roman" w:hAnsi="Times New Roman"/>
          <w:szCs w:val="22"/>
          <w:lang w:eastAsia="bg-BG"/>
        </w:rPr>
        <w:t>за 2027 г. – 35,3 млн. евро;</w:t>
      </w:r>
    </w:p>
    <w:p w14:paraId="0230D3EC" w14:textId="77777777" w:rsidR="00761800" w:rsidRPr="00761800" w:rsidRDefault="00761800" w:rsidP="00F64909">
      <w:pPr>
        <w:numPr>
          <w:ilvl w:val="0"/>
          <w:numId w:val="11"/>
        </w:numPr>
        <w:tabs>
          <w:tab w:val="num" w:pos="540"/>
        </w:tabs>
        <w:spacing w:after="200"/>
        <w:ind w:left="630" w:hanging="270"/>
        <w:jc w:val="both"/>
        <w:rPr>
          <w:rFonts w:ascii="Times New Roman" w:hAnsi="Times New Roman"/>
          <w:szCs w:val="22"/>
          <w:lang w:eastAsia="bg-BG"/>
        </w:rPr>
      </w:pPr>
      <w:r w:rsidRPr="00761800">
        <w:rPr>
          <w:rFonts w:ascii="Times New Roman" w:hAnsi="Times New Roman"/>
          <w:szCs w:val="22"/>
          <w:lang w:eastAsia="bg-BG"/>
        </w:rPr>
        <w:t>за 2028 г. – 17,0 млн. евро.</w:t>
      </w:r>
    </w:p>
    <w:p w14:paraId="263EAF38"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 Решение на Министерски съвет № 196 от 11 април 2019 г. Министерството на вътрешните работи е определено за водещо ведомство за разработване на програмите на Република България по ФВС, ИУГВП и ФУМИ за периода 2021-2027 г. По визираните програми се предвижда предоставянето на средства и за Държавна агенция „Национална сигурност“, Държавна агенция „Технически операции“, Министерски съвет на Република България и Министерство на външните работи.</w:t>
      </w:r>
    </w:p>
    <w:p w14:paraId="4DD4D0CF"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прогнозата за периода 2026-2028 г. в областта на регионалното развитие са разчетени приходите и разходите за  петнайсетте програми на Европейския съюз по трите направления на европейското териториално сътрудничество (ИНТЕРРЕГ): трансгранично (V-A), транснационално (V-B) и междурегионално (V-C), съфинансирани от Европейския фонд за регионално развитие (ЕФРР), Инструмента за предприсъединителна помощ II (ИПП II), в които България участва.</w:t>
      </w:r>
    </w:p>
    <w:p w14:paraId="785B816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прогнозата за периода 2026-2028 г. на МВнР</w:t>
      </w:r>
      <w:r w:rsidRPr="00761800">
        <w:rPr>
          <w:rFonts w:ascii="Times New Roman" w:hAnsi="Times New Roman"/>
          <w:position w:val="2"/>
          <w:sz w:val="18"/>
          <w:szCs w:val="22"/>
          <w:vertAlign w:val="superscript"/>
        </w:rPr>
        <w:footnoteReference w:id="70"/>
      </w:r>
      <w:r w:rsidRPr="00761800">
        <w:rPr>
          <w:rFonts w:ascii="Times New Roman" w:hAnsi="Times New Roman"/>
          <w:szCs w:val="22"/>
          <w:lang w:eastAsia="bg-BG"/>
        </w:rPr>
        <w:t xml:space="preserve"> са разчетени средства за следните три проекти, за които се прилага режимът на сметките за средства от ЕС:</w:t>
      </w:r>
    </w:p>
    <w:p w14:paraId="697FE49E" w14:textId="77777777" w:rsidR="00761800" w:rsidRPr="00761800" w:rsidRDefault="00761800" w:rsidP="00F64909">
      <w:pPr>
        <w:numPr>
          <w:ilvl w:val="0"/>
          <w:numId w:val="10"/>
        </w:numPr>
        <w:spacing w:before="120" w:after="12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Проект № BG65BVPR001-2.002-0002 с наименование „Развитие и надграждане на програмното и техническото осигуряване на НВИС</w:t>
      </w:r>
      <w:r w:rsidRPr="00761800">
        <w:rPr>
          <w:rFonts w:ascii="Times New Roman" w:eastAsia="Batang" w:hAnsi="Times New Roman"/>
          <w:position w:val="2"/>
          <w:sz w:val="18"/>
          <w:szCs w:val="22"/>
          <w:vertAlign w:val="superscript"/>
        </w:rPr>
        <w:footnoteReference w:id="71"/>
      </w:r>
      <w:r w:rsidRPr="00761800">
        <w:rPr>
          <w:rFonts w:ascii="Times New Roman" w:eastAsia="Batang" w:hAnsi="Times New Roman"/>
          <w:szCs w:val="22"/>
          <w:lang w:eastAsia="bg-BG"/>
        </w:rPr>
        <w:t xml:space="preserve">“, финансиран по линия на административен договор за предоставяне на безвъзмездна финансова помощ с рег. № 812108-81/20.11.2024 г. от Инструмента за финансова подкрепа за управлението на границите и визовата политика 2021-2027, съфинансиран от Европейския съюз; </w:t>
      </w:r>
    </w:p>
    <w:p w14:paraId="6A727503" w14:textId="77777777" w:rsidR="00761800" w:rsidRPr="00761800" w:rsidRDefault="00761800" w:rsidP="00F64909">
      <w:pPr>
        <w:numPr>
          <w:ilvl w:val="0"/>
          <w:numId w:val="10"/>
        </w:numPr>
        <w:spacing w:before="120" w:after="12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 xml:space="preserve">Проект № BG65BVPR001-2.001-0001 с наименование „Следгаранционна поддръжка и обновяване на софтуерните компоненти на НВИС“, финансиран по линия на административен договор за предоставяне на безвъзмездна финансова помощ с рег. № 812108-10/09.02.2024 г. от Инструмента за финансова подкрепа за управлението на границите и визовата политика 2021-2027, съфинансиран от Европейския съюз; </w:t>
      </w:r>
    </w:p>
    <w:p w14:paraId="43FFD858" w14:textId="77777777" w:rsidR="00761800" w:rsidRPr="00761800" w:rsidRDefault="00761800" w:rsidP="00F64909">
      <w:pPr>
        <w:numPr>
          <w:ilvl w:val="0"/>
          <w:numId w:val="10"/>
        </w:numPr>
        <w:spacing w:before="120" w:after="12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Проект № BG65BVPR001-2.001-0002 с наименование „Надграждане на свързаността между МВнР и задграничните представителства на България“, финансиран по линия на административен договор за предоставяне на безвъзмездна финансова помощ с рег. № 812108- 11/09.02.2024 г. от Инструмента за финансова подкрепа за управлението на границите и визовата политика 2021-2027, съфинансиран от Европейския съюз.</w:t>
      </w:r>
    </w:p>
    <w:p w14:paraId="491B8328" w14:textId="77777777" w:rsidR="00761800" w:rsidRPr="00761800" w:rsidRDefault="00761800" w:rsidP="00F64909">
      <w:pPr>
        <w:keepNext/>
        <w:keepLines/>
        <w:numPr>
          <w:ilvl w:val="1"/>
          <w:numId w:val="6"/>
        </w:numPr>
        <w:tabs>
          <w:tab w:val="left" w:pos="426"/>
        </w:tabs>
        <w:spacing w:before="480" w:after="360"/>
        <w:jc w:val="both"/>
        <w:outlineLvl w:val="1"/>
        <w:rPr>
          <w:rFonts w:ascii="Times New Roman" w:hAnsi="Times New Roman"/>
          <w:b/>
          <w:bCs/>
          <w:caps/>
          <w:color w:val="852010"/>
          <w:spacing w:val="10"/>
          <w:w w:val="90"/>
          <w:sz w:val="28"/>
          <w:szCs w:val="26"/>
          <w:lang w:eastAsia="bg-BG"/>
        </w:rPr>
      </w:pPr>
      <w:bookmarkStart w:id="400" w:name="_Toc233717487"/>
      <w:bookmarkStart w:id="401" w:name="_Toc464224808"/>
      <w:bookmarkStart w:id="402" w:name="_Toc464225458"/>
      <w:bookmarkStart w:id="403" w:name="_Toc464459005"/>
      <w:bookmarkStart w:id="404" w:name="_Toc464459753"/>
      <w:bookmarkStart w:id="405" w:name="_Toc464460706"/>
      <w:bookmarkStart w:id="406" w:name="_Toc464463105"/>
      <w:bookmarkStart w:id="407" w:name="_Toc464464934"/>
      <w:bookmarkStart w:id="408" w:name="_Toc464465438"/>
      <w:bookmarkStart w:id="409" w:name="_Toc464465626"/>
      <w:bookmarkStart w:id="410" w:name="_Toc464466451"/>
      <w:bookmarkStart w:id="411" w:name="_Toc464466695"/>
      <w:bookmarkStart w:id="412" w:name="_Toc464645014"/>
      <w:bookmarkStart w:id="413" w:name="_Toc465205567"/>
      <w:r w:rsidRPr="00761800">
        <w:rPr>
          <w:rFonts w:ascii="Times New Roman" w:hAnsi="Times New Roman"/>
          <w:b/>
          <w:bCs/>
          <w:caps/>
          <w:color w:val="852010"/>
          <w:spacing w:val="10"/>
          <w:w w:val="90"/>
          <w:sz w:val="28"/>
          <w:szCs w:val="26"/>
          <w:lang w:eastAsia="bg-BG"/>
        </w:rPr>
        <w:lastRenderedPageBreak/>
        <w:t>Прогноза за вноската на Република България в общия бюджет на ЕС</w:t>
      </w:r>
      <w:bookmarkEnd w:id="400"/>
    </w:p>
    <w:p w14:paraId="3F83718B" w14:textId="77777777" w:rsidR="00761800" w:rsidRPr="00761800" w:rsidRDefault="00761800" w:rsidP="00761800">
      <w:pPr>
        <w:spacing w:after="200"/>
        <w:jc w:val="both"/>
        <w:rPr>
          <w:rFonts w:ascii="Times New Roman" w:hAnsi="Times New Roman"/>
          <w:szCs w:val="24"/>
          <w:lang w:eastAsia="zh-CN"/>
        </w:rPr>
      </w:pPr>
      <w:r w:rsidRPr="00761800">
        <w:rPr>
          <w:rFonts w:ascii="Times New Roman" w:hAnsi="Times New Roman"/>
          <w:szCs w:val="24"/>
          <w:lang w:eastAsia="zh-CN"/>
        </w:rPr>
        <w:t>Прогнозата за размера на вноските на Република България в общия бюджет на Европейския съюз по години за периода 2026-2028 г. е, както следва: 1 282,2 млн. евро за 2026 г., 1 386,5 млн. евро за 2027 г. и 1 789,4 млн. евро за 2028 г.</w:t>
      </w:r>
    </w:p>
    <w:p w14:paraId="30A7BD6F" w14:textId="77777777" w:rsidR="00761800" w:rsidRPr="00761800" w:rsidRDefault="00761800" w:rsidP="00761800">
      <w:pPr>
        <w:spacing w:after="200"/>
        <w:jc w:val="both"/>
        <w:rPr>
          <w:rFonts w:ascii="Times New Roman" w:hAnsi="Times New Roman"/>
          <w:szCs w:val="24"/>
          <w:lang w:eastAsia="zh-CN"/>
        </w:rPr>
      </w:pPr>
      <w:r w:rsidRPr="00761800">
        <w:rPr>
          <w:rFonts w:ascii="Times New Roman" w:hAnsi="Times New Roman"/>
          <w:szCs w:val="24"/>
          <w:lang w:eastAsia="zh-CN"/>
        </w:rPr>
        <w:t xml:space="preserve">Тази прогноза е изготвена при възможно най-консервативни допускания въз основа на: </w:t>
      </w:r>
    </w:p>
    <w:p w14:paraId="2E1B204B" w14:textId="77777777" w:rsidR="00761800" w:rsidRPr="00761800" w:rsidRDefault="00761800" w:rsidP="00F64909">
      <w:pPr>
        <w:numPr>
          <w:ilvl w:val="0"/>
          <w:numId w:val="7"/>
        </w:numPr>
        <w:spacing w:after="20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действащото европейско законодателство по отношение бюджета на ЕС</w:t>
      </w:r>
      <w:r w:rsidRPr="00761800">
        <w:rPr>
          <w:rFonts w:ascii="Times New Roman" w:eastAsia="Batang" w:hAnsi="Times New Roman"/>
          <w:position w:val="2"/>
          <w:sz w:val="18"/>
          <w:szCs w:val="22"/>
          <w:vertAlign w:val="superscript"/>
        </w:rPr>
        <w:footnoteReference w:id="72"/>
      </w:r>
      <w:r w:rsidRPr="00761800">
        <w:rPr>
          <w:rFonts w:ascii="Times New Roman" w:eastAsia="Batang" w:hAnsi="Times New Roman"/>
          <w:szCs w:val="22"/>
          <w:lang w:eastAsia="bg-BG"/>
        </w:rPr>
        <w:t>, както и Съобщение на Комисията до Европейския парламент (ЕП) и Съвета „Техническа корекция на многогодишната финансова рамка за 2026 г. в съответствие с член 4 от Регламент (ЕС, Евратом) 2020/2093 на Съвета за определяне на многогодишната финансова рамка за годините 2021-2027“, както и Доклада на Европейската комисия (ЕК) до ЕП и Съвета „Дългосрочна прогноза за бъдещите входящи и изходящи парични потоци на бюджета на ЕС за периода 2026-2034 г.“ и на представеното на 16.07.2025 г. амбициозно предложение на ЕК за Регламент за определяне на Многогодишната финансова рамка (МФР) за годините 2028-2034;</w:t>
      </w:r>
    </w:p>
    <w:p w14:paraId="61B2B656" w14:textId="77777777" w:rsidR="00761800" w:rsidRPr="00761800" w:rsidRDefault="00761800" w:rsidP="00F64909">
      <w:pPr>
        <w:numPr>
          <w:ilvl w:val="0"/>
          <w:numId w:val="7"/>
        </w:numPr>
        <w:spacing w:after="20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прогнози по години за периода 2026-2028 г. за отделните категории собствени ресурси</w:t>
      </w:r>
      <w:r w:rsidRPr="00761800">
        <w:rPr>
          <w:rFonts w:ascii="Times New Roman" w:eastAsia="Batang" w:hAnsi="Times New Roman"/>
          <w:position w:val="2"/>
          <w:sz w:val="18"/>
          <w:szCs w:val="22"/>
          <w:vertAlign w:val="superscript"/>
        </w:rPr>
        <w:footnoteReference w:id="73"/>
      </w:r>
      <w:r w:rsidRPr="00761800">
        <w:rPr>
          <w:rFonts w:ascii="Times New Roman" w:eastAsia="Batang" w:hAnsi="Times New Roman"/>
          <w:szCs w:val="22"/>
          <w:lang w:eastAsia="bg-BG"/>
        </w:rPr>
        <w:t>, съставляващи вноската на Република България в общия бюджет на ЕС, изготвени при отчитане макроикономическата прогноза за периода 2026-2028 г. от 01.04.2026 г.;</w:t>
      </w:r>
    </w:p>
    <w:p w14:paraId="2009D9F6" w14:textId="77777777" w:rsidR="00761800" w:rsidRPr="00761800" w:rsidRDefault="00761800" w:rsidP="00F64909">
      <w:pPr>
        <w:numPr>
          <w:ilvl w:val="0"/>
          <w:numId w:val="7"/>
        </w:numPr>
        <w:spacing w:after="200"/>
        <w:ind w:hanging="294"/>
        <w:jc w:val="both"/>
        <w:rPr>
          <w:rFonts w:ascii="Times New Roman" w:eastAsia="Batang" w:hAnsi="Times New Roman"/>
          <w:szCs w:val="22"/>
          <w:lang w:eastAsia="bg-BG"/>
        </w:rPr>
      </w:pPr>
      <w:r w:rsidRPr="00761800">
        <w:rPr>
          <w:rFonts w:ascii="Times New Roman" w:eastAsia="Batang" w:hAnsi="Times New Roman"/>
          <w:szCs w:val="22"/>
          <w:lang w:eastAsia="bg-BG"/>
        </w:rPr>
        <w:t>прогнози по години за периода 2026-2028 г. за отделни категории собствени ресурси, съставляващи вноските в общия бюджет на ЕС на останалите държави членки, изготвени въз основа на одобрените прогнози за 2026 г. и 2027 г. на заседанието на Консултативния комитет по собствените ресурси (ККСР) – Подкомитет „Прогнози“, проведено на 29.05.2026 г., преизчислени чрез прилагане на очакваните стойности за номиналните и реалните растежи на брутния национален доход (БНД) и брутния вътрешен продукт (БВП) и за дефлатора по години и държави членки с оглед изчисляване на съответните вноски за 2028 г.</w:t>
      </w:r>
    </w:p>
    <w:p w14:paraId="34FB683E" w14:textId="77777777" w:rsidR="00761800" w:rsidRPr="00761800" w:rsidRDefault="00761800" w:rsidP="00F64909">
      <w:pPr>
        <w:keepNext/>
        <w:keepLines/>
        <w:numPr>
          <w:ilvl w:val="1"/>
          <w:numId w:val="6"/>
        </w:numPr>
        <w:tabs>
          <w:tab w:val="left" w:pos="426"/>
        </w:tabs>
        <w:spacing w:before="480" w:after="360"/>
        <w:jc w:val="both"/>
        <w:outlineLvl w:val="1"/>
        <w:rPr>
          <w:rFonts w:ascii="Times New Roman" w:hAnsi="Times New Roman"/>
          <w:b/>
          <w:bCs/>
          <w:caps/>
          <w:color w:val="852010"/>
          <w:spacing w:val="10"/>
          <w:w w:val="90"/>
          <w:sz w:val="28"/>
          <w:szCs w:val="26"/>
          <w:lang w:eastAsia="bg-BG"/>
        </w:rPr>
      </w:pPr>
      <w:bookmarkStart w:id="414" w:name="_Toc233717488"/>
      <w:bookmarkStart w:id="415" w:name="_Toc464465440"/>
      <w:bookmarkStart w:id="416" w:name="_Toc464465628"/>
      <w:bookmarkStart w:id="417" w:name="_Toc464466453"/>
      <w:bookmarkStart w:id="418" w:name="_Toc464466697"/>
      <w:bookmarkStart w:id="419" w:name="_Toc464466735"/>
      <w:bookmarkStart w:id="420" w:name="_Toc464470245"/>
      <w:bookmarkStart w:id="421" w:name="_Toc464645017"/>
      <w:bookmarkStart w:id="422" w:name="_Toc464646379"/>
      <w:bookmarkStart w:id="423" w:name="_Toc464224809"/>
      <w:bookmarkStart w:id="424" w:name="_Toc464225459"/>
      <w:bookmarkStart w:id="425" w:name="_Toc464459006"/>
      <w:bookmarkStart w:id="426" w:name="_Toc464459754"/>
      <w:bookmarkStart w:id="427" w:name="_Toc464460707"/>
      <w:bookmarkStart w:id="428" w:name="_Toc464463106"/>
      <w:bookmarkStart w:id="429" w:name="_Toc464464935"/>
      <w:bookmarkEnd w:id="401"/>
      <w:bookmarkEnd w:id="402"/>
      <w:bookmarkEnd w:id="403"/>
      <w:bookmarkEnd w:id="404"/>
      <w:bookmarkEnd w:id="405"/>
      <w:bookmarkEnd w:id="406"/>
      <w:bookmarkEnd w:id="407"/>
      <w:bookmarkEnd w:id="408"/>
      <w:bookmarkEnd w:id="409"/>
      <w:bookmarkEnd w:id="410"/>
      <w:bookmarkEnd w:id="411"/>
      <w:bookmarkEnd w:id="412"/>
      <w:bookmarkEnd w:id="413"/>
      <w:r w:rsidRPr="00761800">
        <w:rPr>
          <w:rFonts w:ascii="Times New Roman" w:hAnsi="Times New Roman"/>
          <w:b/>
          <w:bCs/>
          <w:caps/>
          <w:color w:val="852010"/>
          <w:spacing w:val="10"/>
          <w:w w:val="90"/>
          <w:sz w:val="28"/>
          <w:szCs w:val="26"/>
          <w:lang w:eastAsia="bg-BG"/>
        </w:rPr>
        <w:lastRenderedPageBreak/>
        <w:t>Прогноза за вноската на Република България съгласно Споразумението за финансов принос по инструмента макрофинансова помощ +</w:t>
      </w:r>
      <w:bookmarkEnd w:id="414"/>
    </w:p>
    <w:p w14:paraId="2BDADD01" w14:textId="77777777" w:rsidR="00761800" w:rsidRPr="00761800" w:rsidRDefault="00761800" w:rsidP="00761800">
      <w:pPr>
        <w:spacing w:before="120"/>
        <w:jc w:val="both"/>
        <w:rPr>
          <w:rFonts w:ascii="Times New Roman" w:hAnsi="Times New Roman"/>
          <w:szCs w:val="24"/>
          <w:lang w:eastAsia="bg-BG"/>
        </w:rPr>
      </w:pPr>
      <w:r w:rsidRPr="00761800">
        <w:rPr>
          <w:rFonts w:ascii="Times New Roman" w:hAnsi="Times New Roman"/>
          <w:szCs w:val="24"/>
          <w:lang w:eastAsia="bg-BG"/>
        </w:rPr>
        <w:t>Изготвена е прогноза за вноските на Република България за периода 2026-2027 г. съгласно Споразумението за финансов принос между Република България и Европейската комисия съгласно член 7 от Регламент (ЕС) 2022/2463 на Европейския парламент и на Съвета, който се отнася до създаването на инструмент за предоставяне на подкрепа на Украйна през 2023 г. (макрофинансова помощ +). Чрез сключените споразумения за принос България и останалите държави членки се ангажираха, при определените в Регламент (ЕС) 2022/2463 и споразумението условия, да покриват т.нар. „лихвена субсидия“ в периода 2024-2027 г., във връзка с евентуалното поемане от страна на ЕС на лихви по отпуснатия на Украйна заем в размер до 18 млрд. евро под формата на инструмента „макрофинансова помощ +“.</w:t>
      </w:r>
    </w:p>
    <w:p w14:paraId="065D37F9" w14:textId="77777777" w:rsidR="00761800" w:rsidRPr="00761800" w:rsidRDefault="00761800" w:rsidP="00761800">
      <w:pPr>
        <w:spacing w:before="120"/>
        <w:jc w:val="both"/>
        <w:rPr>
          <w:rFonts w:ascii="Times New Roman" w:hAnsi="Times New Roman"/>
          <w:szCs w:val="24"/>
          <w:lang w:eastAsia="bg-BG"/>
        </w:rPr>
      </w:pPr>
      <w:r w:rsidRPr="00761800">
        <w:rPr>
          <w:rFonts w:ascii="Times New Roman" w:hAnsi="Times New Roman"/>
          <w:szCs w:val="24"/>
          <w:lang w:eastAsia="bg-BG"/>
        </w:rPr>
        <w:t xml:space="preserve">В тази връзка се прогнозират вноски от страна на България в размер на 3,7 млн. евро на година в периода 2026-2027 г. </w:t>
      </w:r>
    </w:p>
    <w:p w14:paraId="4138FF4F" w14:textId="77777777" w:rsidR="00761800" w:rsidRPr="00761800" w:rsidRDefault="00761800" w:rsidP="00761800">
      <w:pPr>
        <w:spacing w:before="120"/>
        <w:jc w:val="both"/>
        <w:rPr>
          <w:rFonts w:ascii="Times New Roman" w:hAnsi="Times New Roman"/>
          <w:szCs w:val="24"/>
          <w:lang w:eastAsia="bg-BG"/>
        </w:rPr>
      </w:pPr>
      <w:r w:rsidRPr="00761800">
        <w:rPr>
          <w:rFonts w:ascii="Times New Roman" w:hAnsi="Times New Roman"/>
          <w:szCs w:val="24"/>
          <w:lang w:eastAsia="bg-BG"/>
        </w:rPr>
        <w:t>Прогнозата е в съответствие с приложеното в споразумението за финансов принос разпределение за максималния размер на вноските по държави членки за периода 2024-2027 г., като взима предвид както предоставените при обсъжданията му разяснения от страна на Европейската комисия, че прогнозите ѝ са изготвени при предвиждане на равни годишни вноски, така и размера на вече платените през 2025 г. траншове от България.</w:t>
      </w:r>
    </w:p>
    <w:p w14:paraId="42A747D9" w14:textId="77777777" w:rsidR="00761800" w:rsidRPr="00761800" w:rsidRDefault="00761800" w:rsidP="00761800">
      <w:pPr>
        <w:spacing w:after="200"/>
        <w:jc w:val="both"/>
        <w:rPr>
          <w:rFonts w:ascii="Times New Roman" w:hAnsi="Times New Roman"/>
          <w:szCs w:val="22"/>
          <w:lang w:eastAsia="bg-BG"/>
        </w:rPr>
        <w:sectPr w:rsidR="00761800" w:rsidRPr="00761800" w:rsidSect="00406B4D">
          <w:type w:val="oddPage"/>
          <w:pgSz w:w="11906" w:h="16838" w:code="9"/>
          <w:pgMar w:top="1418" w:right="1418" w:bottom="851" w:left="1418" w:header="708" w:footer="708" w:gutter="0"/>
          <w:cols w:space="708"/>
          <w:titlePg/>
          <w:docGrid w:linePitch="360"/>
        </w:sectPr>
      </w:pPr>
    </w:p>
    <w:bookmarkStart w:id="430" w:name="_Toc233717489"/>
    <w:p w14:paraId="267C3AFB" w14:textId="77777777" w:rsidR="00761800" w:rsidRPr="00761800" w:rsidRDefault="00761800" w:rsidP="00761800">
      <w:pPr>
        <w:keepNext/>
        <w:keepLines/>
        <w:spacing w:before="120" w:after="1080"/>
        <w:outlineLvl w:val="0"/>
        <w:rPr>
          <w:rFonts w:ascii="Times New Roman" w:hAnsi="Times New Roman"/>
          <w:bCs/>
          <w:spacing w:val="10"/>
          <w:sz w:val="52"/>
          <w:szCs w:val="28"/>
          <w:lang w:eastAsia="bg-BG"/>
        </w:rPr>
      </w:pPr>
      <w:r w:rsidRPr="00761800">
        <w:rPr>
          <w:rFonts w:ascii="Times New Roman" w:hAnsi="Times New Roman"/>
          <w:bCs/>
          <w:noProof/>
          <w:color w:val="852010"/>
          <w:spacing w:val="10"/>
          <w:sz w:val="52"/>
          <w:szCs w:val="28"/>
          <w:lang w:eastAsia="bg-BG"/>
        </w:rPr>
        <w:lastRenderedPageBreak/>
        <mc:AlternateContent>
          <mc:Choice Requires="wps">
            <w:drawing>
              <wp:anchor distT="0" distB="0" distL="114300" distR="114300" simplePos="0" relativeHeight="251847168" behindDoc="0" locked="0" layoutInCell="1" allowOverlap="1" wp14:anchorId="2D6075FC" wp14:editId="689AFF5D">
                <wp:simplePos x="0" y="0"/>
                <wp:positionH relativeFrom="column">
                  <wp:posOffset>-898525</wp:posOffset>
                </wp:positionH>
                <wp:positionV relativeFrom="paragraph">
                  <wp:posOffset>1405577</wp:posOffset>
                </wp:positionV>
                <wp:extent cx="7560310" cy="0"/>
                <wp:effectExtent l="0" t="0" r="21590" b="19050"/>
                <wp:wrapNone/>
                <wp:docPr id="695" name="Straight Connector 695"/>
                <wp:cNvGraphicFramePr/>
                <a:graphic xmlns:a="http://schemas.openxmlformats.org/drawingml/2006/main">
                  <a:graphicData uri="http://schemas.microsoft.com/office/word/2010/wordprocessingShape">
                    <wps:wsp>
                      <wps:cNvCnPr/>
                      <wps:spPr>
                        <a:xfrm>
                          <a:off x="0" y="0"/>
                          <a:ext cx="7560310" cy="0"/>
                        </a:xfrm>
                        <a:prstGeom prst="line">
                          <a:avLst/>
                        </a:prstGeom>
                        <a:noFill/>
                        <a:ln w="9525" cap="flat" cmpd="sng" algn="ctr">
                          <a:solidFill>
                            <a:srgbClr val="B32C16"/>
                          </a:solidFill>
                          <a:prstDash val="solid"/>
                        </a:ln>
                        <a:effectLst/>
                      </wps:spPr>
                      <wps:bodyPr/>
                    </wps:wsp>
                  </a:graphicData>
                </a:graphic>
              </wp:anchor>
            </w:drawing>
          </mc:Choice>
          <mc:Fallback>
            <w:pict>
              <v:line w14:anchorId="1834AC2E" id="Straight Connector 695" o:spid="_x0000_s1026" style="position:absolute;z-index:251847168;visibility:visible;mso-wrap-style:square;mso-wrap-distance-left:9pt;mso-wrap-distance-top:0;mso-wrap-distance-right:9pt;mso-wrap-distance-bottom:0;mso-position-horizontal:absolute;mso-position-horizontal-relative:text;mso-position-vertical:absolute;mso-position-vertical-relative:text" from="-70.75pt,110.7pt" to="524.55pt,1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" strokecolor="#b32c16"/>
            </w:pict>
          </mc:Fallback>
        </mc:AlternateContent>
      </w:r>
      <w:r w:rsidRPr="00761800">
        <w:rPr>
          <w:rFonts w:ascii="Times New Roman" w:hAnsi="Times New Roman"/>
          <w:bCs/>
          <w:noProof/>
          <w:color w:val="852010"/>
          <w:spacing w:val="10"/>
          <w:sz w:val="52"/>
          <w:szCs w:val="28"/>
          <w:lang w:eastAsia="bg-BG"/>
        </w:rPr>
        <mc:AlternateContent>
          <mc:Choice Requires="wps">
            <w:drawing>
              <wp:anchor distT="0" distB="0" distL="114300" distR="114300" simplePos="0" relativeHeight="251846144" behindDoc="1" locked="0" layoutInCell="1" allowOverlap="1" wp14:anchorId="1D43832E" wp14:editId="420C40DF">
                <wp:simplePos x="0" y="0"/>
                <wp:positionH relativeFrom="page">
                  <wp:posOffset>0</wp:posOffset>
                </wp:positionH>
                <wp:positionV relativeFrom="page">
                  <wp:posOffset>0</wp:posOffset>
                </wp:positionV>
                <wp:extent cx="7560000" cy="2304000"/>
                <wp:effectExtent l="0" t="0" r="3175" b="1270"/>
                <wp:wrapNone/>
                <wp:docPr id="694" name="Rectangle 694"/>
                <wp:cNvGraphicFramePr/>
                <a:graphic xmlns:a="http://schemas.openxmlformats.org/drawingml/2006/main">
                  <a:graphicData uri="http://schemas.microsoft.com/office/word/2010/wordprocessingShape">
                    <wps:wsp>
                      <wps:cNvSpPr/>
                      <wps:spPr>
                        <a:xfrm>
                          <a:off x="0" y="0"/>
                          <a:ext cx="7560000" cy="2304000"/>
                        </a:xfrm>
                        <a:prstGeom prst="rect">
                          <a:avLst/>
                        </a:prstGeom>
                        <a:solidFill>
                          <a:srgbClr val="B32C16">
                            <a:lumMod val="20000"/>
                            <a:lumOff val="80000"/>
                          </a:srgbClr>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2DFB1" id="Rectangle 694" o:spid="_x0000_s1026" style="position:absolute;margin-left:0;margin-top:0;width:595.3pt;height:181.4pt;z-index:-25147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" fillcolor="#f8cfc8" stroked="f" strokeweight="1pt">
                <w10:wrap anchorx="page" anchory="page"/>
              </v:rect>
            </w:pict>
          </mc:Fallback>
        </mc:AlternateContent>
      </w:r>
      <w:r w:rsidRPr="00761800">
        <w:rPr>
          <w:rFonts w:ascii="Times New Roman" w:hAnsi="Times New Roman"/>
          <w:bCs/>
          <w:color w:val="852010"/>
          <w:spacing w:val="10"/>
          <w:sz w:val="52"/>
          <w:szCs w:val="28"/>
          <w:lang w:eastAsia="bg-BG"/>
        </w:rPr>
        <w:br/>
      </w:r>
      <w:bookmarkStart w:id="431" w:name="_Toc465205568"/>
      <w:r w:rsidRPr="00761800">
        <w:rPr>
          <w:rFonts w:ascii="Times New Roman" w:hAnsi="Times New Roman"/>
          <w:bCs/>
          <w:spacing w:val="10"/>
          <w:sz w:val="52"/>
          <w:szCs w:val="28"/>
          <w:lang w:eastAsia="bg-BG"/>
        </w:rPr>
        <w:t xml:space="preserve">Политика по дълга и финансирането </w:t>
      </w:r>
      <w:r w:rsidRPr="00761800">
        <w:rPr>
          <w:rFonts w:ascii="Times New Roman" w:hAnsi="Times New Roman"/>
          <w:bCs/>
          <w:spacing w:val="10"/>
          <w:sz w:val="52"/>
          <w:szCs w:val="28"/>
          <w:lang w:eastAsia="bg-BG"/>
        </w:rPr>
        <w:br/>
        <w:t>за периода 2026-2028 г.</w:t>
      </w:r>
      <w:bookmarkEnd w:id="415"/>
      <w:bookmarkEnd w:id="416"/>
      <w:bookmarkEnd w:id="417"/>
      <w:bookmarkEnd w:id="418"/>
      <w:bookmarkEnd w:id="419"/>
      <w:bookmarkEnd w:id="420"/>
      <w:bookmarkEnd w:id="421"/>
      <w:bookmarkEnd w:id="422"/>
      <w:bookmarkEnd w:id="430"/>
      <w:bookmarkEnd w:id="431"/>
    </w:p>
    <w:bookmarkEnd w:id="423"/>
    <w:bookmarkEnd w:id="424"/>
    <w:bookmarkEnd w:id="425"/>
    <w:bookmarkEnd w:id="426"/>
    <w:bookmarkEnd w:id="427"/>
    <w:bookmarkEnd w:id="428"/>
    <w:bookmarkEnd w:id="429"/>
    <w:p w14:paraId="06EF7F49" w14:textId="77777777" w:rsidR="00761800" w:rsidRPr="00761800" w:rsidRDefault="00761800" w:rsidP="00761800">
      <w:pPr>
        <w:spacing w:after="200"/>
        <w:jc w:val="both"/>
        <w:rPr>
          <w:rFonts w:ascii="Times New Roman" w:eastAsia="Batang" w:hAnsi="Times New Roman"/>
          <w:szCs w:val="24"/>
          <w:highlight w:val="yellow"/>
          <w:lang w:eastAsia="bg-BG"/>
        </w:rPr>
      </w:pPr>
    </w:p>
    <w:p w14:paraId="2CF2CDAA"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Политиката на правителството за управление на държавния дълг за периода 2026-2028 г. ще бъде насочена към осигуряване на необходимите ресурси за рефинансиране на дълга в обращение, финансиране на планираните дефицити по държавния бюджет, покриване на националния принос по проектите, финансирани по линия на фондовете на ЕС и подкрепа на ликвидността. </w:t>
      </w:r>
      <w:r w:rsidRPr="00761800">
        <w:rPr>
          <w:rFonts w:ascii="Times New Roman" w:hAnsi="Times New Roman"/>
          <w:szCs w:val="22"/>
          <w:lang w:eastAsia="bg-BG"/>
        </w:rPr>
        <w:t xml:space="preserve">Изпълнението на тези стратегически задачи ще се реализира в среда на засилена геополитическа несигурност, очаквания за забавяне на икономическия растеж и </w:t>
      </w:r>
      <w:r w:rsidRPr="00761800">
        <w:rPr>
          <w:rFonts w:ascii="Times New Roman" w:hAnsi="Times New Roman"/>
          <w:szCs w:val="24"/>
          <w:lang w:eastAsia="bg-BG"/>
        </w:rPr>
        <w:t>непредвидимост относно очакванията за паричната политика на водещите централни банки, включително в еврозоната и САЩ,</w:t>
      </w:r>
      <w:r w:rsidRPr="00761800">
        <w:rPr>
          <w:rFonts w:ascii="Times New Roman" w:hAnsi="Times New Roman"/>
          <w:szCs w:val="22"/>
          <w:lang w:eastAsia="bg-BG"/>
        </w:rPr>
        <w:t xml:space="preserve"> в отговор на  </w:t>
      </w:r>
      <w:hyperlink r:id="rId29" w:history="1">
        <w:r w:rsidRPr="00761800">
          <w:rPr>
            <w:rFonts w:ascii="Times New Roman" w:hAnsi="Times New Roman"/>
            <w:szCs w:val="22"/>
            <w:lang w:eastAsia="bg-BG"/>
          </w:rPr>
          <w:t>нарастващата инфлация</w:t>
        </w:r>
      </w:hyperlink>
      <w:r w:rsidRPr="00761800">
        <w:rPr>
          <w:rFonts w:ascii="Times New Roman" w:hAnsi="Times New Roman"/>
          <w:szCs w:val="22"/>
          <w:lang w:eastAsia="bg-BG"/>
        </w:rPr>
        <w:t xml:space="preserve">. </w:t>
      </w:r>
      <w:r w:rsidRPr="00761800">
        <w:rPr>
          <w:rFonts w:ascii="Times New Roman" w:eastAsia="Batang" w:hAnsi="Times New Roman"/>
          <w:szCs w:val="24"/>
          <w:lang w:eastAsia="bg-BG"/>
        </w:rPr>
        <w:t>Усилията ще бъдат съсредоточени в посока обезпечаване на възможности за пазарно-ориентирано финансиране на местния и на международните капиталови пазари, както и към договаряне на държавни заеми по линия на инструменти на Европейския съюз и от международни финансови институции, включително за финансиране на проекти и програми при спазване на нормативно регламентираните годишни дългови ограничения.</w:t>
      </w:r>
    </w:p>
    <w:p w14:paraId="79C8CACC" w14:textId="77777777" w:rsidR="00761800" w:rsidRPr="00761800" w:rsidRDefault="00761800" w:rsidP="00F64909">
      <w:pPr>
        <w:keepNext/>
        <w:keepLines/>
        <w:numPr>
          <w:ilvl w:val="1"/>
          <w:numId w:val="6"/>
        </w:numPr>
        <w:tabs>
          <w:tab w:val="left" w:pos="426"/>
        </w:tabs>
        <w:spacing w:before="480" w:after="360"/>
        <w:jc w:val="both"/>
        <w:outlineLvl w:val="1"/>
        <w:rPr>
          <w:rFonts w:ascii="Times New Roman" w:hAnsi="Times New Roman"/>
          <w:b/>
          <w:bCs/>
          <w:caps/>
          <w:color w:val="852010"/>
          <w:spacing w:val="10"/>
          <w:w w:val="90"/>
          <w:sz w:val="28"/>
          <w:szCs w:val="26"/>
          <w:lang w:eastAsia="bg-BG"/>
        </w:rPr>
      </w:pPr>
      <w:bookmarkStart w:id="432" w:name="_Toc233717490"/>
      <w:bookmarkStart w:id="433" w:name="_Toc464224811"/>
      <w:bookmarkStart w:id="434" w:name="_Toc464225461"/>
      <w:bookmarkStart w:id="435" w:name="_Toc464459008"/>
      <w:bookmarkStart w:id="436" w:name="_Toc464459756"/>
      <w:bookmarkStart w:id="437" w:name="_Toc464460709"/>
      <w:bookmarkStart w:id="438" w:name="_Toc464463108"/>
      <w:bookmarkStart w:id="439" w:name="_Toc464464937"/>
      <w:bookmarkStart w:id="440" w:name="_Toc464465444"/>
      <w:bookmarkStart w:id="441" w:name="_Toc464465630"/>
      <w:bookmarkStart w:id="442" w:name="_Toc464466455"/>
      <w:bookmarkStart w:id="443" w:name="_Toc464466699"/>
      <w:bookmarkStart w:id="444" w:name="_Toc464645019"/>
      <w:bookmarkStart w:id="445" w:name="_Toc465205569"/>
      <w:r w:rsidRPr="00761800">
        <w:rPr>
          <w:rFonts w:ascii="Times New Roman" w:hAnsi="Times New Roman"/>
          <w:b/>
          <w:bCs/>
          <w:caps/>
          <w:color w:val="852010"/>
          <w:spacing w:val="10"/>
          <w:w w:val="90"/>
          <w:sz w:val="28"/>
          <w:szCs w:val="26"/>
          <w:lang w:eastAsia="bg-BG"/>
        </w:rPr>
        <w:t>Държавен дълг. Обслужване и финансиране</w:t>
      </w:r>
      <w:bookmarkEnd w:id="432"/>
    </w:p>
    <w:bookmarkEnd w:id="433"/>
    <w:bookmarkEnd w:id="434"/>
    <w:bookmarkEnd w:id="435"/>
    <w:bookmarkEnd w:id="436"/>
    <w:bookmarkEnd w:id="437"/>
    <w:bookmarkEnd w:id="438"/>
    <w:bookmarkEnd w:id="439"/>
    <w:bookmarkEnd w:id="440"/>
    <w:bookmarkEnd w:id="441"/>
    <w:bookmarkEnd w:id="442"/>
    <w:bookmarkEnd w:id="443"/>
    <w:bookmarkEnd w:id="444"/>
    <w:bookmarkEnd w:id="445"/>
    <w:p w14:paraId="2718DE5C" w14:textId="77777777" w:rsidR="00761800" w:rsidRPr="00761800" w:rsidRDefault="00761800" w:rsidP="00761800">
      <w:p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t>Номиналният размер на държавния дълг към 31.12.2024 г. възлиза на 24,2 млрд. евро или под прага на предвиденото в Закона за държавния бюджет за 2024 г. дългово ограничение от 24,5 млрд. евро (48,0 млрд. лв.), а съотношението на държавния дълг към БВП е в размер на 23,1%. Новопоетият през годината държавен дълг възлиза на 5,2 млрд. евро (при законово ограничение за новия дълг, който може да бъде поет през годината от 6,0 млрд. евро), в т.ч. емисии на ДЦК</w:t>
      </w:r>
      <w:r w:rsidRPr="00761800">
        <w:rPr>
          <w:rFonts w:ascii="Times New Roman" w:eastAsia="Calibri" w:hAnsi="Times New Roman"/>
          <w:position w:val="2"/>
          <w:sz w:val="18"/>
          <w:szCs w:val="24"/>
          <w:vertAlign w:val="superscript"/>
        </w:rPr>
        <w:footnoteReference w:id="74"/>
      </w:r>
      <w:r w:rsidRPr="00761800">
        <w:rPr>
          <w:rFonts w:ascii="Times New Roman" w:eastAsia="Calibri" w:hAnsi="Times New Roman"/>
          <w:szCs w:val="24"/>
          <w:lang w:eastAsia="bg-BG"/>
        </w:rPr>
        <w:t xml:space="preserve"> на вътрешния пазар и облигации на международните капиталови пазари. Емитираните на местния пазар ДЦК, деноминирани в лева, са с обща номинална стойност 0,9 млрд. евро (1,7 млрд. лв.), от които 0,5 млрд. евро 3-годишни ДЦК и 0,4 млрд. евро 6-годишни ДЦК. На външните капиталови пазари, в рамките на Средносрочната програма за емитиране на дълг на МКП</w:t>
      </w:r>
      <w:r w:rsidRPr="00761800">
        <w:rPr>
          <w:rFonts w:ascii="Times New Roman" w:eastAsia="Calibri" w:hAnsi="Times New Roman"/>
          <w:position w:val="2"/>
          <w:sz w:val="18"/>
          <w:szCs w:val="24"/>
          <w:vertAlign w:val="superscript"/>
        </w:rPr>
        <w:footnoteReference w:id="75"/>
      </w:r>
      <w:r w:rsidRPr="00761800">
        <w:rPr>
          <w:rFonts w:ascii="Times New Roman" w:eastAsia="Calibri" w:hAnsi="Times New Roman"/>
          <w:szCs w:val="24"/>
          <w:lang w:eastAsia="bg-BG"/>
        </w:rPr>
        <w:t xml:space="preserve"> (GMTN) са емитирани облигации с общ номинален обем от 4,3 млрд. евро в три транша, както следва: 1,75 млрд. евро </w:t>
      </w:r>
      <w:r w:rsidRPr="00761800">
        <w:rPr>
          <w:rFonts w:ascii="Times New Roman" w:eastAsia="Calibri" w:hAnsi="Times New Roman"/>
          <w:b/>
          <w:szCs w:val="24"/>
          <w:lang w:eastAsia="bg-BG"/>
        </w:rPr>
        <w:t>-</w:t>
      </w:r>
      <w:r w:rsidRPr="00761800">
        <w:rPr>
          <w:rFonts w:ascii="Times New Roman" w:eastAsia="Calibri" w:hAnsi="Times New Roman"/>
          <w:szCs w:val="24"/>
          <w:lang w:eastAsia="bg-BG"/>
        </w:rPr>
        <w:t xml:space="preserve"> 8</w:t>
      </w:r>
      <w:r w:rsidRPr="00761800">
        <w:rPr>
          <w:rFonts w:ascii="Times New Roman" w:eastAsia="Calibri" w:hAnsi="Times New Roman"/>
          <w:b/>
          <w:szCs w:val="24"/>
          <w:lang w:eastAsia="bg-BG"/>
        </w:rPr>
        <w:t>-</w:t>
      </w:r>
      <w:r w:rsidRPr="00761800">
        <w:rPr>
          <w:rFonts w:ascii="Times New Roman" w:eastAsia="Calibri" w:hAnsi="Times New Roman"/>
          <w:szCs w:val="24"/>
          <w:lang w:eastAsia="bg-BG"/>
        </w:rPr>
        <w:t xml:space="preserve">годишни еврооблигации, 1,25 млрд. евро </w:t>
      </w:r>
      <w:r w:rsidRPr="00761800">
        <w:rPr>
          <w:rFonts w:ascii="Times New Roman" w:eastAsia="Calibri" w:hAnsi="Times New Roman"/>
          <w:b/>
          <w:szCs w:val="24"/>
          <w:lang w:eastAsia="bg-BG"/>
        </w:rPr>
        <w:t>-</w:t>
      </w:r>
      <w:r w:rsidRPr="00761800">
        <w:rPr>
          <w:rFonts w:ascii="Times New Roman" w:eastAsia="Calibri" w:hAnsi="Times New Roman"/>
          <w:szCs w:val="24"/>
          <w:lang w:eastAsia="bg-BG"/>
        </w:rPr>
        <w:t xml:space="preserve"> 20</w:t>
      </w:r>
      <w:r w:rsidRPr="00761800">
        <w:rPr>
          <w:rFonts w:ascii="Times New Roman" w:eastAsia="Calibri" w:hAnsi="Times New Roman"/>
          <w:b/>
          <w:szCs w:val="24"/>
          <w:lang w:eastAsia="bg-BG"/>
        </w:rPr>
        <w:t>-</w:t>
      </w:r>
      <w:r w:rsidRPr="00761800">
        <w:rPr>
          <w:rFonts w:ascii="Times New Roman" w:eastAsia="Calibri" w:hAnsi="Times New Roman"/>
          <w:szCs w:val="24"/>
          <w:lang w:eastAsia="bg-BG"/>
        </w:rPr>
        <w:t xml:space="preserve">годишни еврооблигации и 1,5 млрд. щ.д. </w:t>
      </w:r>
      <w:r w:rsidRPr="00761800">
        <w:rPr>
          <w:rFonts w:ascii="Times New Roman" w:eastAsia="Calibri" w:hAnsi="Times New Roman"/>
          <w:b/>
          <w:szCs w:val="24"/>
          <w:lang w:eastAsia="bg-BG"/>
        </w:rPr>
        <w:t>-</w:t>
      </w:r>
      <w:r w:rsidRPr="00761800">
        <w:rPr>
          <w:rFonts w:ascii="Times New Roman" w:eastAsia="Calibri" w:hAnsi="Times New Roman"/>
          <w:szCs w:val="24"/>
          <w:lang w:eastAsia="bg-BG"/>
        </w:rPr>
        <w:t xml:space="preserve"> 12,5</w:t>
      </w:r>
      <w:r w:rsidRPr="00761800">
        <w:rPr>
          <w:rFonts w:ascii="Times New Roman" w:eastAsia="Calibri" w:hAnsi="Times New Roman"/>
          <w:b/>
          <w:szCs w:val="24"/>
          <w:lang w:eastAsia="bg-BG"/>
        </w:rPr>
        <w:t>-</w:t>
      </w:r>
      <w:r w:rsidRPr="00761800">
        <w:rPr>
          <w:rFonts w:ascii="Times New Roman" w:eastAsia="Calibri" w:hAnsi="Times New Roman"/>
          <w:szCs w:val="24"/>
          <w:lang w:eastAsia="bg-BG"/>
        </w:rPr>
        <w:t>годишни облигации. През 2024 г. са извършени 1,8 млрд. евро погашения по държавния дълг към външни и вътрешни кредитори.</w:t>
      </w:r>
    </w:p>
    <w:p w14:paraId="001738C8" w14:textId="77777777" w:rsidR="00761800" w:rsidRPr="00761800" w:rsidRDefault="00761800" w:rsidP="00761800">
      <w:pPr>
        <w:spacing w:after="200"/>
        <w:jc w:val="both"/>
        <w:rPr>
          <w:rFonts w:ascii="Times New Roman" w:eastAsia="Calibri" w:hAnsi="Times New Roman"/>
          <w:szCs w:val="24"/>
          <w:lang w:eastAsia="bg-BG"/>
        </w:rPr>
      </w:pPr>
      <w:r w:rsidRPr="00761800">
        <w:rPr>
          <w:rFonts w:ascii="Times New Roman" w:eastAsia="Calibri" w:hAnsi="Times New Roman"/>
          <w:szCs w:val="24"/>
          <w:lang w:eastAsia="bg-BG"/>
        </w:rPr>
        <w:lastRenderedPageBreak/>
        <w:t>Изминалата 2025 г. започна при липсата на приет от Народното събрание Закон за държавния бюджет на Република България (ЗДБРБ) за 2025 г., като за периода до приемане на ЗДБРБ за 2025 г. бяха прилагани разпоредбите на чл. 87, ал. 2 и ал. 4 на Закона за публичните финанси (ЗПФ), при действието на разпоредбите на Закона за събирането на приходи и извършването на разходи през 2025 г. до приемането на Закона за държавния бюджет на Република България за 2025 г., Закона за бюджета на държавното обществено осигуряване за 2025 г. и Закона за бюджета на Националната здравноосигурителна каса за 2025 г. В съответствие с посочените разпоредби от Закона за публичните финанси, Министерският съвет може да поема държавен дълг за рефинансиране на дълга в обращение до размера на годишните погашения по държавния дълг, поет до началото на съответната бюджетна година.</w:t>
      </w:r>
    </w:p>
    <w:p w14:paraId="15E9FD77"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szCs w:val="24"/>
          <w:lang w:eastAsia="bg-BG"/>
        </w:rPr>
        <w:t>В рамките разпоредбата на чл. 87, ал. 2 от ЗПФ, Министерството на финансите емитира на вътрешния пазар</w:t>
      </w:r>
      <w:r w:rsidRPr="00761800" w:rsidDel="000C253B">
        <w:rPr>
          <w:rFonts w:ascii="Times New Roman" w:eastAsia="Calibri" w:hAnsi="Times New Roman"/>
          <w:szCs w:val="24"/>
          <w:lang w:eastAsia="bg-BG"/>
        </w:rPr>
        <w:t xml:space="preserve"> </w:t>
      </w:r>
      <w:r w:rsidRPr="00761800">
        <w:rPr>
          <w:rFonts w:ascii="Times New Roman" w:eastAsia="Calibri" w:hAnsi="Times New Roman"/>
          <w:szCs w:val="24"/>
          <w:lang w:eastAsia="bg-BG"/>
        </w:rPr>
        <w:t>ДЦК, деноминирани в лева, с общ номинален размер от 511,3 млн. евро (1 000 млн. лв.),</w:t>
      </w:r>
      <w:r w:rsidRPr="00761800">
        <w:rPr>
          <w:rFonts w:ascii="Times New Roman" w:eastAsia="Calibri" w:hAnsi="Times New Roman"/>
          <w:bCs/>
          <w:szCs w:val="24"/>
          <w:lang w:eastAsia="bg-BG"/>
        </w:rPr>
        <w:t xml:space="preserve"> от които:</w:t>
      </w:r>
    </w:p>
    <w:p w14:paraId="4CAD8989" w14:textId="77777777" w:rsidR="00761800" w:rsidRPr="00761800" w:rsidRDefault="00761800" w:rsidP="00F64909">
      <w:pPr>
        <w:numPr>
          <w:ilvl w:val="0"/>
          <w:numId w:val="11"/>
        </w:numPr>
        <w:spacing w:after="120"/>
        <w:ind w:hanging="294"/>
        <w:jc w:val="both"/>
        <w:rPr>
          <w:rFonts w:ascii="Times New Roman" w:eastAsia="Calibri" w:hAnsi="Times New Roman"/>
          <w:bCs/>
          <w:szCs w:val="24"/>
          <w:lang w:eastAsia="bg-BG"/>
        </w:rPr>
      </w:pPr>
      <w:r w:rsidRPr="00761800">
        <w:rPr>
          <w:rFonts w:ascii="Times New Roman" w:eastAsia="Calibri" w:hAnsi="Times New Roman"/>
          <w:szCs w:val="24"/>
          <w:lang w:eastAsia="bg-BG"/>
        </w:rPr>
        <w:t>през януари 2025 г. – ДЦК, деноминирани в лева, с общ номинален размер от 306,8 млн. евро, от които</w:t>
      </w:r>
      <w:r w:rsidRPr="00761800">
        <w:rPr>
          <w:rFonts w:ascii="Times New Roman" w:eastAsia="Calibri" w:hAnsi="Times New Roman"/>
          <w:bCs/>
          <w:szCs w:val="24"/>
          <w:lang w:eastAsia="bg-BG"/>
        </w:rPr>
        <w:t xml:space="preserve"> 3</w:t>
      </w:r>
      <w:r w:rsidRPr="00761800">
        <w:rPr>
          <w:rFonts w:ascii="Times New Roman" w:eastAsia="Calibri" w:hAnsi="Times New Roman"/>
          <w:b/>
          <w:bCs/>
          <w:szCs w:val="24"/>
          <w:lang w:eastAsia="bg-BG"/>
        </w:rPr>
        <w:t>-</w:t>
      </w:r>
      <w:r w:rsidRPr="00761800">
        <w:rPr>
          <w:rFonts w:ascii="Times New Roman" w:eastAsia="Calibri" w:hAnsi="Times New Roman"/>
          <w:bCs/>
          <w:szCs w:val="24"/>
          <w:lang w:eastAsia="bg-BG"/>
        </w:rPr>
        <w:t>годишни ДЦК с номинална стойност 153,4 млн. евро и падеж 22.01.2028 г. и 7</w:t>
      </w:r>
      <w:r w:rsidRPr="00761800">
        <w:rPr>
          <w:rFonts w:ascii="Times New Roman" w:eastAsia="Calibri" w:hAnsi="Times New Roman"/>
          <w:b/>
          <w:bCs/>
          <w:szCs w:val="24"/>
          <w:lang w:eastAsia="bg-BG"/>
        </w:rPr>
        <w:t>-</w:t>
      </w:r>
      <w:r w:rsidRPr="00761800">
        <w:rPr>
          <w:rFonts w:ascii="Times New Roman" w:eastAsia="Calibri" w:hAnsi="Times New Roman"/>
          <w:bCs/>
          <w:szCs w:val="24"/>
          <w:lang w:eastAsia="bg-BG"/>
        </w:rPr>
        <w:t xml:space="preserve">годишни ДЦК с номинална стойност 153,4 млн. евро и падеж 29.01.2032 г.; </w:t>
      </w:r>
    </w:p>
    <w:p w14:paraId="388222F5" w14:textId="77777777" w:rsidR="00761800" w:rsidRPr="00761800" w:rsidRDefault="00761800" w:rsidP="00F64909">
      <w:pPr>
        <w:numPr>
          <w:ilvl w:val="0"/>
          <w:numId w:val="11"/>
        </w:numPr>
        <w:spacing w:after="120"/>
        <w:ind w:hanging="294"/>
        <w:jc w:val="both"/>
        <w:rPr>
          <w:rFonts w:ascii="Times New Roman" w:eastAsia="Calibri" w:hAnsi="Times New Roman"/>
          <w:bCs/>
          <w:szCs w:val="24"/>
          <w:lang w:eastAsia="bg-BG"/>
        </w:rPr>
      </w:pPr>
      <w:r w:rsidRPr="00761800">
        <w:rPr>
          <w:rFonts w:ascii="Times New Roman" w:eastAsia="Calibri" w:hAnsi="Times New Roman"/>
          <w:szCs w:val="24"/>
          <w:lang w:eastAsia="bg-BG"/>
        </w:rPr>
        <w:t xml:space="preserve">през февруари – ДЦК, деноминирани в лева, с общ номинален размер от 102,3 млн. евро, от които </w:t>
      </w:r>
      <w:r w:rsidRPr="00761800">
        <w:rPr>
          <w:rFonts w:ascii="Times New Roman" w:eastAsia="Calibri" w:hAnsi="Times New Roman"/>
          <w:bCs/>
          <w:szCs w:val="24"/>
          <w:lang w:eastAsia="bg-BG"/>
        </w:rPr>
        <w:t>3</w:t>
      </w:r>
      <w:r w:rsidRPr="00761800">
        <w:rPr>
          <w:rFonts w:ascii="Times New Roman" w:eastAsia="Calibri" w:hAnsi="Times New Roman"/>
          <w:b/>
          <w:bCs/>
          <w:szCs w:val="24"/>
          <w:lang w:eastAsia="bg-BG"/>
        </w:rPr>
        <w:t>-</w:t>
      </w:r>
      <w:r w:rsidRPr="00761800">
        <w:rPr>
          <w:rFonts w:ascii="Times New Roman" w:eastAsia="Calibri" w:hAnsi="Times New Roman"/>
          <w:bCs/>
          <w:szCs w:val="24"/>
          <w:lang w:eastAsia="bg-BG"/>
        </w:rPr>
        <w:t>годишни ДЦК с номинална стойност 51,1 млн. евро и 7</w:t>
      </w:r>
      <w:r w:rsidRPr="00761800">
        <w:rPr>
          <w:rFonts w:ascii="Times New Roman" w:eastAsia="Calibri" w:hAnsi="Times New Roman"/>
          <w:b/>
          <w:bCs/>
          <w:szCs w:val="24"/>
          <w:lang w:eastAsia="bg-BG"/>
        </w:rPr>
        <w:t>-</w:t>
      </w:r>
      <w:r w:rsidRPr="00761800">
        <w:rPr>
          <w:rFonts w:ascii="Times New Roman" w:eastAsia="Calibri" w:hAnsi="Times New Roman"/>
          <w:bCs/>
          <w:szCs w:val="24"/>
          <w:lang w:eastAsia="bg-BG"/>
        </w:rPr>
        <w:t xml:space="preserve">годишни ДЦК с номинална стойност 51,1 млн. евро; </w:t>
      </w:r>
    </w:p>
    <w:p w14:paraId="7383DEA0" w14:textId="77777777" w:rsidR="00761800" w:rsidRPr="00761800" w:rsidRDefault="00761800" w:rsidP="00F64909">
      <w:pPr>
        <w:numPr>
          <w:ilvl w:val="0"/>
          <w:numId w:val="11"/>
        </w:numPr>
        <w:spacing w:after="120"/>
        <w:ind w:hanging="294"/>
        <w:jc w:val="both"/>
        <w:rPr>
          <w:rFonts w:ascii="Times New Roman" w:eastAsia="Calibri" w:hAnsi="Times New Roman"/>
          <w:bCs/>
          <w:szCs w:val="24"/>
          <w:lang w:eastAsia="bg-BG"/>
        </w:rPr>
      </w:pPr>
      <w:r w:rsidRPr="00761800">
        <w:rPr>
          <w:rFonts w:ascii="Times New Roman" w:eastAsia="Calibri" w:hAnsi="Times New Roman"/>
          <w:szCs w:val="24"/>
          <w:lang w:eastAsia="bg-BG"/>
        </w:rPr>
        <w:t>през март – ДЦК, деноминирани в лева, с общ номинален размер от 102,3 млн. евро, от които</w:t>
      </w:r>
      <w:r w:rsidRPr="00761800">
        <w:rPr>
          <w:rFonts w:ascii="Times New Roman" w:eastAsia="Calibri" w:hAnsi="Times New Roman"/>
          <w:bCs/>
          <w:szCs w:val="24"/>
          <w:lang w:eastAsia="bg-BG"/>
        </w:rPr>
        <w:t xml:space="preserve"> 3</w:t>
      </w:r>
      <w:r w:rsidRPr="00761800">
        <w:rPr>
          <w:rFonts w:ascii="Times New Roman" w:eastAsia="Calibri" w:hAnsi="Times New Roman"/>
          <w:b/>
          <w:bCs/>
          <w:szCs w:val="24"/>
          <w:lang w:eastAsia="bg-BG"/>
        </w:rPr>
        <w:t>-</w:t>
      </w:r>
      <w:r w:rsidRPr="00761800">
        <w:rPr>
          <w:rFonts w:ascii="Times New Roman" w:eastAsia="Calibri" w:hAnsi="Times New Roman"/>
          <w:bCs/>
          <w:szCs w:val="24"/>
          <w:lang w:eastAsia="bg-BG"/>
        </w:rPr>
        <w:t>годишни ДЦК с номинална стойност 51,1 млн. евро и 7</w:t>
      </w:r>
      <w:r w:rsidRPr="00761800">
        <w:rPr>
          <w:rFonts w:ascii="Times New Roman" w:eastAsia="Calibri" w:hAnsi="Times New Roman"/>
          <w:b/>
          <w:bCs/>
          <w:szCs w:val="24"/>
          <w:lang w:eastAsia="bg-BG"/>
        </w:rPr>
        <w:t>-</w:t>
      </w:r>
      <w:r w:rsidRPr="00761800">
        <w:rPr>
          <w:rFonts w:ascii="Times New Roman" w:eastAsia="Calibri" w:hAnsi="Times New Roman"/>
          <w:bCs/>
          <w:szCs w:val="24"/>
          <w:lang w:eastAsia="bg-BG"/>
        </w:rPr>
        <w:t>годишни ДЦК с номинална стойност 51,1 млн. евро.</w:t>
      </w:r>
    </w:p>
    <w:p w14:paraId="2500A739"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С приемането на ЗДБРБ за 2025 г. се предостави възможност за поемане на държавен дълг за осигуряване на необходимите средства за рефинансиране на дълга в обращение,  за финансиране на планираните дефицити по държавния бюджет и за обезпечаване на ликвидната позиция на фискалния резерв, в т.ч. за осигуряване на възможност за финансиране на специфични програми за капитализация на търговски дружества с държавно участие в капитала в сферите на сектор ВиК, регионално развитие, отбрана, здравеопазване, енергетика и иновации. С предвиденото ново дългово финансиране в размер до 9,7 млрд. евро (18,9 млрд. лв.), съгласно приетия ЗДБРБ за 2025 г., се осигури възможност за емитиране на ДЦК на вътрешния и международните капиталови пазари, както и за сключване на структурни програмни заеми в общ размер до 750,0 млн. евро, в т.ч. с ЕИБ</w:t>
      </w:r>
      <w:r w:rsidRPr="00761800">
        <w:rPr>
          <w:rFonts w:ascii="Times New Roman" w:eastAsia="Calibri" w:hAnsi="Times New Roman"/>
          <w:bCs/>
          <w:position w:val="2"/>
          <w:sz w:val="18"/>
          <w:szCs w:val="24"/>
          <w:vertAlign w:val="superscript"/>
        </w:rPr>
        <w:footnoteReference w:id="76"/>
      </w:r>
      <w:r w:rsidRPr="00761800">
        <w:rPr>
          <w:rFonts w:ascii="Times New Roman" w:eastAsia="Calibri" w:hAnsi="Times New Roman"/>
          <w:bCs/>
          <w:szCs w:val="24"/>
          <w:lang w:eastAsia="bg-BG"/>
        </w:rPr>
        <w:t xml:space="preserve"> (500,0 млн. евро) и БРСЕ</w:t>
      </w:r>
      <w:r w:rsidRPr="00761800">
        <w:rPr>
          <w:rFonts w:ascii="Times New Roman" w:hAnsi="Times New Roman"/>
          <w:position w:val="2"/>
          <w:sz w:val="18"/>
          <w:szCs w:val="22"/>
          <w:vertAlign w:val="superscript"/>
        </w:rPr>
        <w:footnoteReference w:id="77"/>
      </w:r>
      <w:r w:rsidRPr="00761800">
        <w:rPr>
          <w:rFonts w:ascii="Times New Roman" w:hAnsi="Times New Roman"/>
          <w:position w:val="2"/>
          <w:sz w:val="18"/>
          <w:szCs w:val="22"/>
          <w:vertAlign w:val="superscript"/>
        </w:rPr>
        <w:t xml:space="preserve"> </w:t>
      </w:r>
      <w:r w:rsidRPr="00761800">
        <w:rPr>
          <w:rFonts w:ascii="Times New Roman" w:eastAsia="Calibri" w:hAnsi="Times New Roman"/>
          <w:bCs/>
          <w:szCs w:val="24"/>
          <w:lang w:eastAsia="bg-BG"/>
        </w:rPr>
        <w:t>(250,0 млн. евро) за съфинансиране на проекти, изпълнявани със средства от Европейските фондове при споделено управление през програмния период 2021-2027 г.</w:t>
      </w:r>
    </w:p>
    <w:p w14:paraId="251BFC5E"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szCs w:val="24"/>
          <w:lang w:eastAsia="bg-BG"/>
        </w:rPr>
        <w:t>За периода от  приемане на ЗДБРБ в края на м. март до края 2025 г. са емитирани на вътрешния пазар ДЦК, деноминирани в лева, с общ номинален обем от 1 176,0 млн. евро (2 300,0 млн. лв.), както следва:</w:t>
      </w:r>
    </w:p>
    <w:p w14:paraId="3DAD60A4" w14:textId="77777777" w:rsidR="00761800" w:rsidRPr="00761800" w:rsidRDefault="00761800" w:rsidP="00F64909">
      <w:pPr>
        <w:numPr>
          <w:ilvl w:val="0"/>
          <w:numId w:val="14"/>
        </w:numPr>
        <w:spacing w:after="200"/>
        <w:ind w:hanging="294"/>
        <w:jc w:val="both"/>
        <w:rPr>
          <w:rFonts w:ascii="Times New Roman" w:eastAsia="Calibri" w:hAnsi="Times New Roman"/>
          <w:bCs/>
          <w:szCs w:val="24"/>
          <w:lang w:eastAsia="bg-BG"/>
        </w:rPr>
      </w:pPr>
      <w:r w:rsidRPr="00761800">
        <w:rPr>
          <w:rFonts w:ascii="Times New Roman" w:eastAsia="Calibri" w:hAnsi="Times New Roman"/>
          <w:szCs w:val="24"/>
          <w:lang w:eastAsia="bg-BG"/>
        </w:rPr>
        <w:t>през април - ДЦК, деноминирани в лева, с общ номинален размер от 409,0 млн. евро, от които</w:t>
      </w:r>
      <w:r w:rsidRPr="00761800">
        <w:rPr>
          <w:rFonts w:ascii="Times New Roman" w:eastAsia="Calibri" w:hAnsi="Times New Roman"/>
          <w:bCs/>
          <w:szCs w:val="24"/>
          <w:lang w:eastAsia="bg-BG"/>
        </w:rPr>
        <w:t xml:space="preserve"> 3-годишни ДЦК с номинална стойност 255,6 млн. евро и 7-годишни ДЦК с номинална стойност 153,4 млн. евро; </w:t>
      </w:r>
    </w:p>
    <w:p w14:paraId="3F6139C9" w14:textId="77777777" w:rsidR="00761800" w:rsidRPr="00761800" w:rsidRDefault="00761800" w:rsidP="00F64909">
      <w:pPr>
        <w:numPr>
          <w:ilvl w:val="0"/>
          <w:numId w:val="14"/>
        </w:numPr>
        <w:spacing w:after="200"/>
        <w:ind w:hanging="294"/>
        <w:jc w:val="both"/>
        <w:rPr>
          <w:rFonts w:ascii="Times New Roman" w:eastAsia="Calibri" w:hAnsi="Times New Roman"/>
          <w:bCs/>
          <w:szCs w:val="24"/>
          <w:lang w:eastAsia="bg-BG"/>
        </w:rPr>
      </w:pPr>
      <w:r w:rsidRPr="00761800">
        <w:rPr>
          <w:rFonts w:ascii="Times New Roman" w:eastAsia="Calibri" w:hAnsi="Times New Roman"/>
          <w:szCs w:val="24"/>
          <w:lang w:eastAsia="bg-BG"/>
        </w:rPr>
        <w:lastRenderedPageBreak/>
        <w:t xml:space="preserve">през юни - </w:t>
      </w:r>
      <w:r w:rsidRPr="00761800">
        <w:rPr>
          <w:rFonts w:ascii="Times New Roman" w:eastAsia="Calibri" w:hAnsi="Times New Roman"/>
          <w:bCs/>
          <w:szCs w:val="24"/>
          <w:lang w:eastAsia="bg-BG"/>
        </w:rPr>
        <w:t>7-годишни ДЦК,</w:t>
      </w:r>
      <w:r w:rsidRPr="00761800">
        <w:rPr>
          <w:rFonts w:ascii="Times New Roman" w:eastAsia="Calibri" w:hAnsi="Times New Roman"/>
          <w:szCs w:val="24"/>
          <w:lang w:eastAsia="bg-BG"/>
        </w:rPr>
        <w:t xml:space="preserve"> деноминирани в лева,</w:t>
      </w:r>
      <w:r w:rsidRPr="00761800">
        <w:rPr>
          <w:rFonts w:ascii="Times New Roman" w:eastAsia="Calibri" w:hAnsi="Times New Roman"/>
          <w:bCs/>
          <w:szCs w:val="24"/>
          <w:lang w:eastAsia="bg-BG"/>
        </w:rPr>
        <w:t xml:space="preserve"> с номинална стойност </w:t>
      </w:r>
      <w:r w:rsidRPr="00761800">
        <w:rPr>
          <w:rFonts w:ascii="Times New Roman" w:eastAsia="Calibri" w:hAnsi="Times New Roman"/>
          <w:szCs w:val="24"/>
          <w:lang w:eastAsia="bg-BG"/>
        </w:rPr>
        <w:t>153,4 млн. евро</w:t>
      </w:r>
      <w:r w:rsidRPr="00761800">
        <w:rPr>
          <w:rFonts w:ascii="Times New Roman" w:eastAsia="Calibri" w:hAnsi="Times New Roman"/>
          <w:bCs/>
          <w:szCs w:val="24"/>
          <w:lang w:eastAsia="bg-BG"/>
        </w:rPr>
        <w:t xml:space="preserve">; </w:t>
      </w:r>
    </w:p>
    <w:p w14:paraId="0FF2B56E" w14:textId="77777777" w:rsidR="00761800" w:rsidRPr="00761800" w:rsidRDefault="00761800" w:rsidP="00F64909">
      <w:pPr>
        <w:numPr>
          <w:ilvl w:val="0"/>
          <w:numId w:val="14"/>
        </w:numPr>
        <w:spacing w:after="200"/>
        <w:ind w:hanging="294"/>
        <w:jc w:val="both"/>
        <w:rPr>
          <w:rFonts w:ascii="Times New Roman" w:eastAsia="Calibri" w:hAnsi="Times New Roman"/>
          <w:bCs/>
          <w:szCs w:val="24"/>
          <w:lang w:eastAsia="bg-BG"/>
        </w:rPr>
      </w:pPr>
      <w:r w:rsidRPr="00761800">
        <w:rPr>
          <w:rFonts w:ascii="Times New Roman" w:eastAsia="Calibri" w:hAnsi="Times New Roman"/>
          <w:szCs w:val="24"/>
          <w:lang w:eastAsia="bg-BG"/>
        </w:rPr>
        <w:t xml:space="preserve">през август - </w:t>
      </w:r>
      <w:r w:rsidRPr="00761800">
        <w:rPr>
          <w:rFonts w:ascii="Times New Roman" w:eastAsia="Calibri" w:hAnsi="Times New Roman"/>
          <w:bCs/>
          <w:szCs w:val="24"/>
          <w:lang w:eastAsia="bg-BG"/>
        </w:rPr>
        <w:t>3-годишни ДЦК,</w:t>
      </w:r>
      <w:r w:rsidRPr="00761800">
        <w:rPr>
          <w:rFonts w:ascii="Times New Roman" w:eastAsia="Calibri" w:hAnsi="Times New Roman"/>
          <w:szCs w:val="24"/>
          <w:lang w:eastAsia="bg-BG"/>
        </w:rPr>
        <w:t xml:space="preserve"> деноминирани в лева,</w:t>
      </w:r>
      <w:r w:rsidRPr="00761800">
        <w:rPr>
          <w:rFonts w:ascii="Times New Roman" w:eastAsia="Calibri" w:hAnsi="Times New Roman"/>
          <w:bCs/>
          <w:szCs w:val="24"/>
          <w:lang w:eastAsia="bg-BG"/>
        </w:rPr>
        <w:t xml:space="preserve"> с номинална стойност </w:t>
      </w:r>
      <w:r w:rsidRPr="00761800">
        <w:rPr>
          <w:rFonts w:ascii="Times New Roman" w:eastAsia="Calibri" w:hAnsi="Times New Roman"/>
          <w:szCs w:val="24"/>
          <w:lang w:eastAsia="bg-BG"/>
        </w:rPr>
        <w:t>153,4 млн. евро</w:t>
      </w:r>
      <w:r w:rsidRPr="00761800">
        <w:rPr>
          <w:rFonts w:ascii="Times New Roman" w:eastAsia="Calibri" w:hAnsi="Times New Roman"/>
          <w:bCs/>
          <w:szCs w:val="24"/>
          <w:lang w:eastAsia="bg-BG"/>
        </w:rPr>
        <w:t xml:space="preserve">; </w:t>
      </w:r>
    </w:p>
    <w:p w14:paraId="6D26F588" w14:textId="77777777" w:rsidR="00761800" w:rsidRPr="00761800" w:rsidRDefault="00761800" w:rsidP="00F64909">
      <w:pPr>
        <w:numPr>
          <w:ilvl w:val="0"/>
          <w:numId w:val="14"/>
        </w:numPr>
        <w:spacing w:after="200"/>
        <w:ind w:hanging="294"/>
        <w:jc w:val="both"/>
        <w:rPr>
          <w:rFonts w:ascii="Times New Roman" w:eastAsia="Calibri" w:hAnsi="Times New Roman"/>
          <w:bCs/>
          <w:szCs w:val="24"/>
          <w:lang w:eastAsia="bg-BG"/>
        </w:rPr>
      </w:pPr>
      <w:r w:rsidRPr="00761800">
        <w:rPr>
          <w:rFonts w:ascii="Times New Roman" w:eastAsia="Calibri" w:hAnsi="Times New Roman"/>
          <w:szCs w:val="24"/>
          <w:lang w:eastAsia="bg-BG"/>
        </w:rPr>
        <w:t xml:space="preserve">през септември - </w:t>
      </w:r>
      <w:r w:rsidRPr="00761800">
        <w:rPr>
          <w:rFonts w:ascii="Times New Roman" w:eastAsia="Calibri" w:hAnsi="Times New Roman"/>
          <w:bCs/>
          <w:szCs w:val="24"/>
          <w:lang w:eastAsia="bg-BG"/>
        </w:rPr>
        <w:t>7-годишни ДЦК,</w:t>
      </w:r>
      <w:r w:rsidRPr="00761800">
        <w:rPr>
          <w:rFonts w:ascii="Times New Roman" w:eastAsia="Calibri" w:hAnsi="Times New Roman"/>
          <w:szCs w:val="24"/>
          <w:lang w:eastAsia="bg-BG"/>
        </w:rPr>
        <w:t xml:space="preserve"> деноминирани в лева,</w:t>
      </w:r>
      <w:r w:rsidRPr="00761800">
        <w:rPr>
          <w:rFonts w:ascii="Times New Roman" w:eastAsia="Calibri" w:hAnsi="Times New Roman"/>
          <w:bCs/>
          <w:szCs w:val="24"/>
          <w:lang w:eastAsia="bg-BG"/>
        </w:rPr>
        <w:t xml:space="preserve"> с номинална стойност </w:t>
      </w:r>
      <w:r w:rsidRPr="00761800">
        <w:rPr>
          <w:rFonts w:ascii="Times New Roman" w:eastAsia="Calibri" w:hAnsi="Times New Roman"/>
          <w:szCs w:val="24"/>
          <w:lang w:eastAsia="bg-BG"/>
        </w:rPr>
        <w:t>153,4 млн. евро</w:t>
      </w:r>
      <w:r w:rsidRPr="00761800">
        <w:rPr>
          <w:rFonts w:ascii="Times New Roman" w:eastAsia="Calibri" w:hAnsi="Times New Roman"/>
          <w:bCs/>
          <w:szCs w:val="24"/>
          <w:lang w:eastAsia="bg-BG"/>
        </w:rPr>
        <w:t xml:space="preserve">; </w:t>
      </w:r>
    </w:p>
    <w:p w14:paraId="0AA64192" w14:textId="77777777" w:rsidR="00761800" w:rsidRPr="00761800" w:rsidRDefault="00761800" w:rsidP="00F64909">
      <w:pPr>
        <w:numPr>
          <w:ilvl w:val="0"/>
          <w:numId w:val="14"/>
        </w:numPr>
        <w:spacing w:after="120"/>
        <w:ind w:hanging="294"/>
        <w:jc w:val="both"/>
        <w:rPr>
          <w:rFonts w:ascii="Times New Roman" w:eastAsia="Calibri" w:hAnsi="Times New Roman"/>
          <w:bCs/>
          <w:szCs w:val="24"/>
          <w:lang w:eastAsia="bg-BG"/>
        </w:rPr>
      </w:pPr>
      <w:r w:rsidRPr="00761800">
        <w:rPr>
          <w:rFonts w:ascii="Times New Roman" w:eastAsia="Calibri" w:hAnsi="Times New Roman"/>
          <w:szCs w:val="24"/>
          <w:lang w:eastAsia="bg-BG"/>
        </w:rPr>
        <w:t xml:space="preserve">през октомври - </w:t>
      </w:r>
      <w:r w:rsidRPr="00761800">
        <w:rPr>
          <w:rFonts w:ascii="Times New Roman" w:eastAsia="Calibri" w:hAnsi="Times New Roman"/>
          <w:bCs/>
          <w:szCs w:val="24"/>
          <w:lang w:eastAsia="bg-BG"/>
        </w:rPr>
        <w:t>3-годишни ДЦК,</w:t>
      </w:r>
      <w:r w:rsidRPr="00761800">
        <w:rPr>
          <w:rFonts w:ascii="Times New Roman" w:eastAsia="Calibri" w:hAnsi="Times New Roman"/>
          <w:szCs w:val="24"/>
          <w:lang w:eastAsia="bg-BG"/>
        </w:rPr>
        <w:t xml:space="preserve"> деноминирани в лева,</w:t>
      </w:r>
      <w:r w:rsidRPr="00761800">
        <w:rPr>
          <w:rFonts w:ascii="Times New Roman" w:eastAsia="Calibri" w:hAnsi="Times New Roman"/>
          <w:bCs/>
          <w:szCs w:val="24"/>
          <w:lang w:eastAsia="bg-BG"/>
        </w:rPr>
        <w:t xml:space="preserve"> с номинална стойност </w:t>
      </w:r>
      <w:r w:rsidRPr="00761800">
        <w:rPr>
          <w:rFonts w:ascii="Times New Roman" w:eastAsia="Calibri" w:hAnsi="Times New Roman"/>
          <w:szCs w:val="24"/>
          <w:lang w:eastAsia="bg-BG"/>
        </w:rPr>
        <w:t>153,4 млн. евро</w:t>
      </w:r>
      <w:r w:rsidRPr="00761800">
        <w:rPr>
          <w:rFonts w:ascii="Times New Roman" w:eastAsia="Calibri" w:hAnsi="Times New Roman"/>
          <w:bCs/>
          <w:szCs w:val="24"/>
          <w:lang w:eastAsia="bg-BG"/>
        </w:rPr>
        <w:t>;</w:t>
      </w:r>
      <w:r w:rsidRPr="00761800">
        <w:rPr>
          <w:rFonts w:ascii="Times New Roman" w:hAnsi="Times New Roman"/>
          <w:szCs w:val="22"/>
          <w:lang w:eastAsia="bg-BG"/>
        </w:rPr>
        <w:t xml:space="preserve"> </w:t>
      </w:r>
    </w:p>
    <w:p w14:paraId="272E2587" w14:textId="77777777" w:rsidR="00761800" w:rsidRPr="00761800" w:rsidRDefault="00761800" w:rsidP="00F64909">
      <w:pPr>
        <w:numPr>
          <w:ilvl w:val="0"/>
          <w:numId w:val="14"/>
        </w:numPr>
        <w:spacing w:after="120"/>
        <w:ind w:hanging="294"/>
        <w:jc w:val="both"/>
        <w:rPr>
          <w:rFonts w:ascii="Times New Roman" w:eastAsia="Calibri" w:hAnsi="Times New Roman"/>
          <w:bCs/>
          <w:szCs w:val="24"/>
          <w:lang w:eastAsia="bg-BG"/>
        </w:rPr>
      </w:pPr>
      <w:r w:rsidRPr="00761800">
        <w:rPr>
          <w:rFonts w:ascii="Times New Roman" w:eastAsia="Calibri" w:hAnsi="Times New Roman"/>
          <w:bCs/>
          <w:szCs w:val="24"/>
          <w:lang w:eastAsia="bg-BG"/>
        </w:rPr>
        <w:t>през ноември - 7-годишни ДЦК, деноминирани в лева, с номинална стойност 153,4 млн. евро.</w:t>
      </w:r>
    </w:p>
    <w:p w14:paraId="30627B52"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За същия период са емитирани еврооблигации с общ номинален обем от 7,2 млрд. евро, като на 28.04.2025 г. в рамките на Средносрочната програма за емитиране на дълг на международните капиталови пазари (GMTN) са пласирани еврооблигации в два транша с обща номинална стойност от 4,0 млрд. евро. Първият транш е с номинален обем от 2,25 млрд. евро, срочност 9 г. и годишен лихвен купон 3,5%, а вторият транш от облигации е с номинален обем от 1,75 млрд. евро, срочност 13 г. и годишен лихвен купон 4,125%. На 15.07.2025 г. за втори път през тази година са пласирани еврооблигации на МКП в двоен транш с общ номинален обем 3,2 млрд. евро, като първият е с номинален обем 2,0 млрд. евро, срочност 10 г. и годишен лихвен купон 3,375%, а вторият транш е с номинален обем 1,2 млрд. евро, срочност 20 г. и годишен лихвен купон 4,125%.</w:t>
      </w:r>
    </w:p>
    <w:p w14:paraId="4D21B302"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Поетият нов дълг през 2025 г. е в размер на 9 637,3 млн. евро, от които 7 200,0 млн. евро - еврооблигации на външните пазари, 1 687,3 млн. евро (3 000,0 млн. лв.) - емисии ДЦК, деноминирани в лева, на вътрешния пазар,  750,0 млн. евро – ратифицирани  структурни програмни заеми, в т.ч. с ЕИБ  (два заема по 250,0 млн. евро) и БРСЕ  (250,0 млн. евро) за съфинансиране на проекти, изпълнявани със средства от Европейските фондове при споделено управление през програмния период 2021-2027 г.</w:t>
      </w:r>
    </w:p>
    <w:p w14:paraId="20DD32BD"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Общият размер на извършените през годината погашения към външни и вътрешни кредитори достигат 1,8 млрд. евро. В резултат от извършените и планирани дългови операции, към края на 2025 г. дългът възлезе на 31,4 млрд. евро или 27,1% от БВП.</w:t>
      </w:r>
    </w:p>
    <w:p w14:paraId="60F03C6C"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 xml:space="preserve">Настоящата 2026 г. също започна без приет от Народното събрание ЗДБРБ, като за периода до приемане на закона се прилагат разпоредбите на чл. 87, ал. 2 и ал. 4 на Закона за публичните финанси (ЗПФ), при действието на разпоредбите на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(обн., ДВ, бр. 113 от 23.12.2025 г., в сила от 1.01.2026 г., изм. и доп., бр. 30 от 27.03.2026 г., в сила от 27.03.2026 г., бр. 52 от 8.06.2026 г., бр. 57 от 23.06.2026 г., в сила от 23.06.2026 г.). </w:t>
      </w:r>
    </w:p>
    <w:p w14:paraId="7B4AEB2D"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В рамките на ограничението по чл. 87, ал. 2 от ЗПФ с цел рефинансиране на дълг от предходни години, Министерството на финансите емитира на вътрешния пазар ДЦК, деноминирани в евро, с общ номинален размер от 1 410,0 млн. евро, от които:</w:t>
      </w:r>
    </w:p>
    <w:p w14:paraId="042D056D"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w:t>
      </w:r>
      <w:r w:rsidRPr="00761800">
        <w:rPr>
          <w:rFonts w:ascii="Times New Roman" w:eastAsia="Calibri" w:hAnsi="Times New Roman"/>
          <w:bCs/>
          <w:szCs w:val="24"/>
          <w:lang w:eastAsia="bg-BG"/>
        </w:rPr>
        <w:tab/>
        <w:t xml:space="preserve">през януари - ДЦК, с общ номинален размер от 300,0 млн. евро, от които 2-годишни ДЦК с номинална стойност 150,0 млн. евро и 5-годишни ДЦК с номинална стойност 150,0 млн. евро; </w:t>
      </w:r>
    </w:p>
    <w:p w14:paraId="4E35E59D"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lastRenderedPageBreak/>
        <w:t>-</w:t>
      </w:r>
      <w:r w:rsidRPr="00761800">
        <w:rPr>
          <w:rFonts w:ascii="Times New Roman" w:eastAsia="Calibri" w:hAnsi="Times New Roman"/>
          <w:bCs/>
          <w:szCs w:val="24"/>
          <w:lang w:eastAsia="bg-BG"/>
        </w:rPr>
        <w:tab/>
        <w:t xml:space="preserve">през февруари - ДЦК, с общ номинален размер от 300,0 млн. евро, от които 2-годишни ДЦК с номинална стойност 150,0 млн. евро и 10-годишни ДЦК с номинална стойност 150,0 млн. евро; </w:t>
      </w:r>
    </w:p>
    <w:p w14:paraId="04B688A9"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w:t>
      </w:r>
      <w:r w:rsidRPr="00761800">
        <w:rPr>
          <w:rFonts w:ascii="Times New Roman" w:eastAsia="Calibri" w:hAnsi="Times New Roman"/>
          <w:bCs/>
          <w:szCs w:val="24"/>
          <w:lang w:eastAsia="bg-BG"/>
        </w:rPr>
        <w:tab/>
        <w:t xml:space="preserve">през март - ДЦК, с общ номинален размер от 300,0 млн. евро, от които 2-годишни ДЦК с номинална стойност 150,0 млн. евро и 5-годишни ДЦК с номинална стойност 150,0 млн. евро; </w:t>
      </w:r>
    </w:p>
    <w:p w14:paraId="69A57FF4"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w:t>
      </w:r>
      <w:r w:rsidRPr="00761800">
        <w:rPr>
          <w:rFonts w:ascii="Times New Roman" w:eastAsia="Calibri" w:hAnsi="Times New Roman"/>
          <w:bCs/>
          <w:szCs w:val="24"/>
          <w:lang w:eastAsia="bg-BG"/>
        </w:rPr>
        <w:tab/>
        <w:t xml:space="preserve">през април - ДЦК, с общ номинален размер от 300,0 млн. евро, от които 5-годишни ДЦК с номинална стойност 150,0 млн. евро и 10-годишни ДЦК с номинална стойност 150,0 млн. евро; </w:t>
      </w:r>
    </w:p>
    <w:p w14:paraId="0D2A9533"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w:t>
      </w:r>
      <w:r w:rsidRPr="00761800">
        <w:rPr>
          <w:rFonts w:ascii="Times New Roman" w:eastAsia="Calibri" w:hAnsi="Times New Roman"/>
          <w:bCs/>
          <w:szCs w:val="24"/>
          <w:lang w:eastAsia="bg-BG"/>
        </w:rPr>
        <w:tab/>
        <w:t>през май – 10-годишни ДЦК с номинален размер от 210,0 млн. евро.</w:t>
      </w:r>
    </w:p>
    <w:p w14:paraId="35AA8C09"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С последните изменения и допълнения на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се дава възможност до приемането на ЗДБРБ за 2026 г., освен дълга по чл. 87, ал. 2 от ЗПФ, Министерският съвет да поема и държавен дълг в размер до 3,8 млрд. евро за финансиране на бюджетния дефицит, включително за префинансиране по НПВУ на Република България. В рамките на ограничението от 3,8 млрд. евро се осигурява възможност за целите на касовото управление и плащанията на бюджетните организации да се поема краткосрочен държавен дълг, който се изплаща до края на текущата бюджетна година, както и за поемане на външен държавен дълг на международните капиталови пазари, посредством Средносрочната програма за емитиране на дълг на международните пазари. Максималният лимит по програмата се увеличава от 27,0 млрд. евро на 30,8 млрд. евро с оглед диверсификация на дълговите източници за набавяне пълния обем на нужното дългово финансиране.</w:t>
      </w:r>
    </w:p>
    <w:p w14:paraId="6ACB0C2F"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 xml:space="preserve">В проекта на ЗДБРБ за 2026 г. планираният максимален размер на новия държавен дълг, който може да бъде поет през годината е до 10,1 млрд. евро, с което се осигурява възможност за емитиране на ДЦК на местния и международните капиталови пазари в размер до 6,8 млрд. евро  (в т.ч. 1,41 млрд. евро, емитирани съгласно чл. 87, ал.2 от ЗПФ) и възможност за провеждане на преговори и сключване с Европейската комисия на споразумение за заем в размер до 3,3 млрд. евро за получаване на финансова подкрепа по линия на инструмента „Мерки за сигурността на Европа (SAFE) чрез укрепване на европейската отбранителна промишленост“, при условие за последваща ратификация. В ограничението за максималния размер на новия държавен дълг, който може да бъде поет през 2026 г. заемът е предвиден в пълния му размер от 3 261,7 млн. евро, като само очакваното през 2026 г. предварително финансиране (аванс) от ЕК в размер на 15% от размера на финансовата помощ или 489,3 млн. евро ще рефлектира върху нивото на държавния дълг към края на годината. </w:t>
      </w:r>
    </w:p>
    <w:p w14:paraId="0A9F5BE4"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Възможността за договаряне и сключване с Европейската комисия на споразумението за заем по линия на инструмента „Мерки за сигурността на Европа (SAFE), е регламентирана с разпоредбата на чл. 3а, ал. 1, т.3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Тъй като действието на тази норма е времево ограничено, същите разпоредби са взети предвид и са нормативно регламентирани в законопроекта, в т.ч. при формирането на общите дългови ограничения.</w:t>
      </w:r>
    </w:p>
    <w:p w14:paraId="1E94F433"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lastRenderedPageBreak/>
        <w:t>През годината са планирани и усвоявания по вече договорени държавни заеми в общ размер на 400,0 млн. евро, в т.ч. пълния размер на заема от 250,0 млн. евро по Финансовия договор между Република България и ЕИБ за финансиране на проект „България-съфинансиране по фондовете на ЕС 2021-2027 г.(СПЗ)“Б (Финансов договор Б) и остатъка за усвояване в размер на 150,0 млн. евро по Рамковото споразумение за заем в размер на 250,0 млн. евро между Банката за развитие на Съвета на Европа и Република България, Механизъм за съфинансиране на програми, съфинансирани от Европейския социален фонд плюс през 2021-2027 г. програмен период.</w:t>
      </w:r>
    </w:p>
    <w:p w14:paraId="53690F1C" w14:textId="77777777" w:rsidR="00761800" w:rsidRPr="00761800" w:rsidRDefault="00761800" w:rsidP="00761800">
      <w:pPr>
        <w:spacing w:after="200"/>
        <w:jc w:val="both"/>
        <w:rPr>
          <w:rFonts w:ascii="Times New Roman" w:eastAsia="Calibri" w:hAnsi="Times New Roman"/>
          <w:bCs/>
          <w:szCs w:val="24"/>
          <w:highlight w:val="yellow"/>
          <w:lang w:eastAsia="bg-BG"/>
        </w:rPr>
      </w:pPr>
      <w:r w:rsidRPr="00761800">
        <w:rPr>
          <w:rFonts w:ascii="Times New Roman" w:eastAsia="Calibri" w:hAnsi="Times New Roman"/>
          <w:bCs/>
          <w:szCs w:val="24"/>
          <w:lang w:eastAsia="bg-BG"/>
        </w:rPr>
        <w:t xml:space="preserve">Средствата от новия държавен дълг, който се предвижда да бъде поет през годината, ще бъдат насочени </w:t>
      </w:r>
      <w:r w:rsidRPr="00761800">
        <w:rPr>
          <w:rFonts w:ascii="Times New Roman" w:hAnsi="Times New Roman"/>
          <w:szCs w:val="24"/>
          <w:lang w:eastAsia="bg-BG"/>
        </w:rPr>
        <w:t>за рефинасиране на дълга в обращение, покриване на бюджетен дефицит, включително за префинансиране по Плана за възстановяване и устойчивост на Република България, за придобиване на дялове, акции и съучастия</w:t>
      </w:r>
      <w:r w:rsidRPr="00761800">
        <w:rPr>
          <w:rFonts w:ascii="Times New Roman" w:hAnsi="Times New Roman"/>
          <w:position w:val="2"/>
          <w:sz w:val="18"/>
          <w:szCs w:val="24"/>
          <w:vertAlign w:val="superscript"/>
        </w:rPr>
        <w:footnoteReference w:id="78"/>
      </w:r>
      <w:r w:rsidRPr="00761800">
        <w:rPr>
          <w:rFonts w:ascii="Times New Roman" w:hAnsi="Times New Roman"/>
          <w:szCs w:val="24"/>
          <w:lang w:eastAsia="bg-BG"/>
        </w:rPr>
        <w:t xml:space="preserve"> и други финансиращи операции. </w:t>
      </w:r>
    </w:p>
    <w:p w14:paraId="00758310"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 xml:space="preserve">На базата на планираните дългови операции се очаква държавния дълг към края на 2026 г. да достигне до 37 691,8 млн. евро (30,1% от БВП), като в проекта на Закон за държавния бюджет на Република България за 2026 г. е определено ограничение за максималния размер на държавния дълг към края на годината до 37,7 млрд. евро. </w:t>
      </w:r>
    </w:p>
    <w:p w14:paraId="3731A0C7"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В средносрочен план за периода 2027-2028 г. се планира поемането на нов държавен дълг съответно от 8,8 млрд. евро и 8,0 млрд. евро</w:t>
      </w:r>
      <w:r w:rsidRPr="00761800">
        <w:rPr>
          <w:rFonts w:ascii="Times New Roman" w:eastAsia="Calibri" w:hAnsi="Times New Roman"/>
          <w:b/>
          <w:bCs/>
          <w:szCs w:val="24"/>
          <w:lang w:eastAsia="bg-BG"/>
        </w:rPr>
        <w:t xml:space="preserve"> </w:t>
      </w:r>
      <w:r w:rsidRPr="00761800">
        <w:rPr>
          <w:rFonts w:ascii="Times New Roman" w:eastAsia="Calibri" w:hAnsi="Times New Roman"/>
          <w:bCs/>
          <w:szCs w:val="24"/>
          <w:lang w:eastAsia="bg-BG"/>
        </w:rPr>
        <w:t>годишно, като дългът в обращение, който ще бъде рефинансиран е в размер на 1,8 млрд. евро за 2027 г. и 2,6 млрд. евро за 2028 г. Въз основа на тези допускания през периода 2027-2028 г. се предвижда значителен  темп на нарастване на държавния дълг, достигайки съответно до 44,7 млрд. евро (33,2% от БВП) и 50,5 млрд. евро (35,2% от БВП).</w:t>
      </w:r>
    </w:p>
    <w:p w14:paraId="05F1D355"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Пред реализирането на дълговото финансиране както през 2026 г., така и в средносрочен план, продължават да съществуват рискове, произтичащи от външни фактори, които са извън контрола на емитента, включително засилената геополитическа несигурност, като например войната в Украйна, конфликтите в Близкия изток и продължаващите глобални търговски и стратегически напрежения, които създават предпоставки за повишена волатилност на международните финансови пазари и периодични промени в инвеститорските нагласи. Те водят до сериозен натиск върху инфлацията чрез по-високите търговски и енергийни разходи, породени от риска за енергийните доставки и нарастващите цени на енергоизточниците, блокиране на търговските маршрути, промяна на търговските потоци и др.</w:t>
      </w:r>
    </w:p>
    <w:p w14:paraId="29450513"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 xml:space="preserve">Предвид горните рискови фактори се наблюдава нарастване на степента на непредвидимост относно очакванията за паричната политика на водещите централни банки, включително в еврозоната и САЩ.  Предприетото през юни 2026 г. повишение на основните лихвени проценти от Европейската централна банка от 2,0% на 2,25% допълнително подчертава зависимостта на бъдещите решения от развитието на инфлационните процеси и външната среда, което предполага запазване на несигурността относно динамиката на лихвените проценти по международните дългови пазари. </w:t>
      </w:r>
    </w:p>
    <w:p w14:paraId="57E06F49"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 xml:space="preserve">Дългосрочните лихвени проценти остават на сравнително високи нива спрямо средните стойности от предходното десетилетие, а значителният дял на пазарното финансиране предполага пренасяне на тези външни фактори както върху изпълнението на бюджетното </w:t>
      </w:r>
      <w:r w:rsidRPr="00761800">
        <w:rPr>
          <w:rFonts w:ascii="Times New Roman" w:eastAsia="Calibri" w:hAnsi="Times New Roman"/>
          <w:bCs/>
          <w:szCs w:val="24"/>
          <w:lang w:eastAsia="bg-BG"/>
        </w:rPr>
        <w:lastRenderedPageBreak/>
        <w:t>финансиране, така и върху вътрешния дългов пазар, който продължава да се характеризира с относително ограничен капацитет и инвеститорска база.</w:t>
      </w:r>
    </w:p>
    <w:p w14:paraId="581A2500" w14:textId="77777777" w:rsidR="00761800" w:rsidRPr="00761800" w:rsidRDefault="00761800" w:rsidP="00761800">
      <w:pPr>
        <w:spacing w:after="200"/>
        <w:jc w:val="both"/>
        <w:rPr>
          <w:rFonts w:ascii="Times New Roman" w:eastAsia="Calibri" w:hAnsi="Times New Roman"/>
          <w:bCs/>
          <w:szCs w:val="24"/>
          <w:lang w:eastAsia="bg-BG"/>
        </w:rPr>
      </w:pPr>
      <w:r w:rsidRPr="00761800">
        <w:rPr>
          <w:rFonts w:ascii="Times New Roman" w:eastAsia="Calibri" w:hAnsi="Times New Roman"/>
          <w:bCs/>
          <w:szCs w:val="24"/>
          <w:lang w:eastAsia="bg-BG"/>
        </w:rPr>
        <w:t>От друга страна, членството на България в еврозоната от 1 януари 2026 г. създаде предпоставки за по-благоприятни условия за достъп до финансиране чрез разширяване на инвеститорската база, намаляване на валутния риск и постепенно сближаване на доходностите по българските държавни ценни книжа с тези на държавите от еврозоната. Освен това, позитивното развитие на тенденциите при суапите за кредитно неизпълнение (CDS) в перспектива потенциално биха смекчили въздействието на покачващите се лихвени проценти, свивайки спредовете към бенчмарка.</w:t>
      </w:r>
    </w:p>
    <w:p w14:paraId="7E0A56E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eastAsia="Calibri" w:hAnsi="Times New Roman"/>
          <w:bCs/>
          <w:szCs w:val="24"/>
          <w:lang w:eastAsia="bg-BG"/>
        </w:rPr>
        <w:t>Направените допускания относно новото дългово финансиране на бюджета в средносрочен хоризонт, както и индикативното разпределение между външни и вътрешни източници на финансиране, валутна структура, матуритетен профил и лихвени характеристики на планирания нов дълг, заедно с реализираните дългови операции, оказват пряко влияние върху развитието и структурата на държавния дълг през прогнозния период 2026-2028 г. и следва да бъдат разглеждани в контекста на динамичната геополитическа среда, променящите се условия на международните капиталови пазари и очакванията за постепенно нормализиране на лихвените равнища в еврозоната и САЩ.</w:t>
      </w:r>
    </w:p>
    <w:p w14:paraId="6DB4B6F4" w14:textId="5A03D44C" w:rsidR="00761800" w:rsidRPr="00761800" w:rsidRDefault="00761800" w:rsidP="00761800">
      <w:pPr>
        <w:spacing w:after="120"/>
        <w:ind w:left="1440" w:hanging="1440"/>
        <w:rPr>
          <w:rFonts w:ascii="Times New Roman" w:hAnsi="Times New Roman" w:cs="Calibri"/>
          <w:b/>
          <w:bCs/>
          <w:color w:val="000000"/>
          <w:szCs w:val="24"/>
          <w:lang w:eastAsia="bg-BG"/>
        </w:rPr>
      </w:pPr>
      <w:bookmarkStart w:id="446" w:name="_Toc233185138"/>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20</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r>
      <w:r w:rsidRPr="00761800">
        <w:rPr>
          <w:rFonts w:ascii="Times New Roman" w:hAnsi="Times New Roman" w:cs="Calibri"/>
          <w:b/>
          <w:bCs/>
          <w:color w:val="000000"/>
          <w:szCs w:val="24"/>
          <w:lang w:eastAsia="bg-BG"/>
        </w:rPr>
        <w:t>Държавен дълг – вътрешен и външен и съотношение спрямо БВП</w:t>
      </w:r>
      <w:bookmarkEnd w:id="446"/>
    </w:p>
    <w:tbl>
      <w:tblPr>
        <w:tblW w:w="9060" w:type="dxa"/>
        <w:tblInd w:w="-10" w:type="dxa"/>
        <w:tblCellMar>
          <w:left w:w="70" w:type="dxa"/>
          <w:right w:w="70" w:type="dxa"/>
        </w:tblCellMar>
        <w:tblLook w:val="04A0" w:firstRow="1" w:lastRow="0" w:firstColumn="1" w:lastColumn="0" w:noHBand="0" w:noVBand="1"/>
      </w:tblPr>
      <w:tblGrid>
        <w:gridCol w:w="2635"/>
        <w:gridCol w:w="1334"/>
        <w:gridCol w:w="1276"/>
        <w:gridCol w:w="1225"/>
        <w:gridCol w:w="1327"/>
        <w:gridCol w:w="1263"/>
      </w:tblGrid>
      <w:tr w:rsidR="00761800" w:rsidRPr="00761800" w14:paraId="054FC63B" w14:textId="77777777" w:rsidTr="00406B4D">
        <w:trPr>
          <w:trHeight w:val="216"/>
        </w:trPr>
        <w:tc>
          <w:tcPr>
            <w:tcW w:w="2635" w:type="dxa"/>
            <w:tcBorders>
              <w:top w:val="single" w:sz="4" w:space="0" w:color="auto"/>
            </w:tcBorders>
            <w:shd w:val="clear" w:color="000000" w:fill="D9D9D9"/>
            <w:vAlign w:val="center"/>
            <w:hideMark/>
          </w:tcPr>
          <w:p w14:paraId="48DBA32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Показатели</w:t>
            </w:r>
          </w:p>
        </w:tc>
        <w:tc>
          <w:tcPr>
            <w:tcW w:w="1334" w:type="dxa"/>
            <w:tcBorders>
              <w:top w:val="single" w:sz="4" w:space="0" w:color="auto"/>
            </w:tcBorders>
            <w:shd w:val="clear" w:color="000000" w:fill="D9D9D9"/>
            <w:noWrap/>
            <w:vAlign w:val="center"/>
            <w:hideMark/>
          </w:tcPr>
          <w:p w14:paraId="2D0EFA6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2024</w:t>
            </w:r>
          </w:p>
        </w:tc>
        <w:tc>
          <w:tcPr>
            <w:tcW w:w="1276" w:type="dxa"/>
            <w:tcBorders>
              <w:top w:val="single" w:sz="4" w:space="0" w:color="auto"/>
            </w:tcBorders>
            <w:shd w:val="clear" w:color="000000" w:fill="D9D9D9"/>
            <w:noWrap/>
            <w:vAlign w:val="center"/>
            <w:hideMark/>
          </w:tcPr>
          <w:p w14:paraId="32A8A56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2025</w:t>
            </w:r>
          </w:p>
        </w:tc>
        <w:tc>
          <w:tcPr>
            <w:tcW w:w="1225" w:type="dxa"/>
            <w:tcBorders>
              <w:top w:val="single" w:sz="4" w:space="0" w:color="auto"/>
            </w:tcBorders>
            <w:shd w:val="clear" w:color="000000" w:fill="D9D9D9"/>
            <w:noWrap/>
            <w:vAlign w:val="center"/>
            <w:hideMark/>
          </w:tcPr>
          <w:p w14:paraId="0ADDF01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2026</w:t>
            </w:r>
          </w:p>
        </w:tc>
        <w:tc>
          <w:tcPr>
            <w:tcW w:w="1327" w:type="dxa"/>
            <w:tcBorders>
              <w:top w:val="single" w:sz="4" w:space="0" w:color="auto"/>
            </w:tcBorders>
            <w:shd w:val="clear" w:color="000000" w:fill="D9D9D9"/>
            <w:noWrap/>
            <w:vAlign w:val="center"/>
            <w:hideMark/>
          </w:tcPr>
          <w:p w14:paraId="7F5007A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2027</w:t>
            </w:r>
          </w:p>
        </w:tc>
        <w:tc>
          <w:tcPr>
            <w:tcW w:w="1263" w:type="dxa"/>
            <w:tcBorders>
              <w:top w:val="single" w:sz="4" w:space="0" w:color="auto"/>
            </w:tcBorders>
            <w:shd w:val="clear" w:color="000000" w:fill="D9D9D9"/>
            <w:noWrap/>
            <w:vAlign w:val="center"/>
            <w:hideMark/>
          </w:tcPr>
          <w:p w14:paraId="3C4384F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2028</w:t>
            </w:r>
          </w:p>
        </w:tc>
      </w:tr>
      <w:tr w:rsidR="00761800" w:rsidRPr="00761800" w14:paraId="3AC34EC0" w14:textId="77777777" w:rsidTr="00406B4D">
        <w:trPr>
          <w:trHeight w:val="345"/>
        </w:trPr>
        <w:tc>
          <w:tcPr>
            <w:tcW w:w="2635" w:type="dxa"/>
            <w:tcBorders>
              <w:bottom w:val="single" w:sz="4" w:space="0" w:color="auto"/>
            </w:tcBorders>
            <w:shd w:val="clear" w:color="000000" w:fill="D9D9D9"/>
            <w:vAlign w:val="center"/>
            <w:hideMark/>
          </w:tcPr>
          <w:p w14:paraId="60746D2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1334" w:type="dxa"/>
            <w:tcBorders>
              <w:bottom w:val="single" w:sz="4" w:space="0" w:color="auto"/>
            </w:tcBorders>
            <w:shd w:val="clear" w:color="000000" w:fill="D9D9D9"/>
            <w:vAlign w:val="center"/>
            <w:hideMark/>
          </w:tcPr>
          <w:p w14:paraId="6D8C089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Отчет</w:t>
            </w:r>
          </w:p>
        </w:tc>
        <w:tc>
          <w:tcPr>
            <w:tcW w:w="1276" w:type="dxa"/>
            <w:tcBorders>
              <w:bottom w:val="single" w:sz="4" w:space="0" w:color="auto"/>
            </w:tcBorders>
            <w:shd w:val="clear" w:color="000000" w:fill="D9D9D9"/>
            <w:vAlign w:val="center"/>
            <w:hideMark/>
          </w:tcPr>
          <w:p w14:paraId="30338FF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Отчет</w:t>
            </w:r>
          </w:p>
        </w:tc>
        <w:tc>
          <w:tcPr>
            <w:tcW w:w="1225" w:type="dxa"/>
            <w:tcBorders>
              <w:bottom w:val="single" w:sz="4" w:space="0" w:color="auto"/>
            </w:tcBorders>
            <w:shd w:val="clear" w:color="000000" w:fill="D9D9D9"/>
            <w:vAlign w:val="center"/>
            <w:hideMark/>
          </w:tcPr>
          <w:p w14:paraId="4527705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Проект</w:t>
            </w:r>
          </w:p>
        </w:tc>
        <w:tc>
          <w:tcPr>
            <w:tcW w:w="1327" w:type="dxa"/>
            <w:tcBorders>
              <w:bottom w:val="single" w:sz="4" w:space="0" w:color="auto"/>
            </w:tcBorders>
            <w:shd w:val="clear" w:color="000000" w:fill="D9D9D9"/>
            <w:vAlign w:val="center"/>
            <w:hideMark/>
          </w:tcPr>
          <w:p w14:paraId="150CAEF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Прогноза</w:t>
            </w:r>
          </w:p>
        </w:tc>
        <w:tc>
          <w:tcPr>
            <w:tcW w:w="1263" w:type="dxa"/>
            <w:tcBorders>
              <w:bottom w:val="single" w:sz="4" w:space="0" w:color="auto"/>
            </w:tcBorders>
            <w:shd w:val="clear" w:color="000000" w:fill="D9D9D9"/>
            <w:vAlign w:val="center"/>
            <w:hideMark/>
          </w:tcPr>
          <w:p w14:paraId="22A1F86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Прогноза</w:t>
            </w:r>
          </w:p>
        </w:tc>
      </w:tr>
      <w:tr w:rsidR="00761800" w:rsidRPr="00761800" w14:paraId="4B1C5C8D" w14:textId="77777777" w:rsidTr="00406B4D">
        <w:trPr>
          <w:trHeight w:val="197"/>
        </w:trPr>
        <w:tc>
          <w:tcPr>
            <w:tcW w:w="2635" w:type="dxa"/>
            <w:tcBorders>
              <w:top w:val="single" w:sz="4" w:space="0" w:color="auto"/>
            </w:tcBorders>
            <w:shd w:val="clear" w:color="000000" w:fill="FFFFFF"/>
            <w:noWrap/>
            <w:vAlign w:val="center"/>
            <w:hideMark/>
          </w:tcPr>
          <w:p w14:paraId="71B0F297"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xml:space="preserve"> Държавен дълг, млн. евро</w:t>
            </w:r>
          </w:p>
        </w:tc>
        <w:tc>
          <w:tcPr>
            <w:tcW w:w="1334" w:type="dxa"/>
            <w:tcBorders>
              <w:top w:val="single" w:sz="4" w:space="0" w:color="auto"/>
            </w:tcBorders>
            <w:shd w:val="clear" w:color="auto" w:fill="auto"/>
            <w:noWrap/>
            <w:vAlign w:val="bottom"/>
            <w:hideMark/>
          </w:tcPr>
          <w:p w14:paraId="2C5778B4"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24 227,0 </w:t>
            </w:r>
          </w:p>
        </w:tc>
        <w:tc>
          <w:tcPr>
            <w:tcW w:w="1276" w:type="dxa"/>
            <w:tcBorders>
              <w:top w:val="single" w:sz="4" w:space="0" w:color="auto"/>
            </w:tcBorders>
            <w:shd w:val="clear" w:color="auto" w:fill="auto"/>
            <w:noWrap/>
            <w:vAlign w:val="bottom"/>
            <w:hideMark/>
          </w:tcPr>
          <w:p w14:paraId="32BE4FF5"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31 428,9 </w:t>
            </w:r>
          </w:p>
        </w:tc>
        <w:tc>
          <w:tcPr>
            <w:tcW w:w="1225" w:type="dxa"/>
            <w:tcBorders>
              <w:top w:val="single" w:sz="4" w:space="0" w:color="auto"/>
            </w:tcBorders>
            <w:shd w:val="clear" w:color="auto" w:fill="auto"/>
            <w:noWrap/>
            <w:vAlign w:val="bottom"/>
            <w:hideMark/>
          </w:tcPr>
          <w:p w14:paraId="4A0E372E"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w:t>
            </w:r>
            <w:r w:rsidRPr="00761800">
              <w:rPr>
                <w:rFonts w:ascii="Times New Roman" w:hAnsi="Times New Roman"/>
                <w:b/>
                <w:bCs/>
                <w:sz w:val="20"/>
                <w:lang w:val="en-US" w:eastAsia="bg-BG"/>
              </w:rPr>
              <w:t>37 691,8</w:t>
            </w:r>
            <w:r w:rsidRPr="00761800">
              <w:rPr>
                <w:rFonts w:ascii="Times New Roman" w:hAnsi="Times New Roman"/>
                <w:b/>
                <w:bCs/>
                <w:sz w:val="20"/>
                <w:lang w:eastAsia="bg-BG"/>
              </w:rPr>
              <w:t xml:space="preserve"> </w:t>
            </w:r>
          </w:p>
        </w:tc>
        <w:tc>
          <w:tcPr>
            <w:tcW w:w="1327" w:type="dxa"/>
            <w:tcBorders>
              <w:top w:val="single" w:sz="4" w:space="0" w:color="auto"/>
            </w:tcBorders>
            <w:shd w:val="clear" w:color="auto" w:fill="auto"/>
            <w:noWrap/>
            <w:vAlign w:val="bottom"/>
            <w:hideMark/>
          </w:tcPr>
          <w:p w14:paraId="1E67BD00"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4</w:t>
            </w:r>
            <w:r w:rsidRPr="00761800">
              <w:rPr>
                <w:rFonts w:ascii="Times New Roman" w:hAnsi="Times New Roman"/>
                <w:b/>
                <w:bCs/>
                <w:sz w:val="20"/>
                <w:lang w:val="en-US" w:eastAsia="bg-BG"/>
              </w:rPr>
              <w:t>4</w:t>
            </w:r>
            <w:r w:rsidRPr="00761800">
              <w:rPr>
                <w:rFonts w:ascii="Times New Roman" w:hAnsi="Times New Roman"/>
                <w:b/>
                <w:bCs/>
                <w:sz w:val="20"/>
                <w:lang w:eastAsia="bg-BG"/>
              </w:rPr>
              <w:t> </w:t>
            </w:r>
            <w:r w:rsidRPr="00761800">
              <w:rPr>
                <w:rFonts w:ascii="Times New Roman" w:hAnsi="Times New Roman"/>
                <w:b/>
                <w:bCs/>
                <w:sz w:val="20"/>
                <w:lang w:val="en-US" w:eastAsia="bg-BG"/>
              </w:rPr>
              <w:t>698,9</w:t>
            </w:r>
            <w:r w:rsidRPr="00761800">
              <w:rPr>
                <w:rFonts w:ascii="Times New Roman" w:hAnsi="Times New Roman"/>
                <w:b/>
                <w:bCs/>
                <w:sz w:val="20"/>
                <w:lang w:eastAsia="bg-BG"/>
              </w:rPr>
              <w:t xml:space="preserve"> </w:t>
            </w:r>
          </w:p>
        </w:tc>
        <w:tc>
          <w:tcPr>
            <w:tcW w:w="1263" w:type="dxa"/>
            <w:tcBorders>
              <w:top w:val="single" w:sz="4" w:space="0" w:color="auto"/>
            </w:tcBorders>
            <w:shd w:val="clear" w:color="auto" w:fill="auto"/>
            <w:noWrap/>
            <w:vAlign w:val="bottom"/>
            <w:hideMark/>
          </w:tcPr>
          <w:p w14:paraId="0CCA61F3"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w:t>
            </w:r>
            <w:r w:rsidRPr="00761800">
              <w:rPr>
                <w:rFonts w:ascii="Times New Roman" w:hAnsi="Times New Roman"/>
                <w:b/>
                <w:bCs/>
                <w:sz w:val="20"/>
                <w:lang w:val="en-US" w:eastAsia="bg-BG"/>
              </w:rPr>
              <w:t>50</w:t>
            </w:r>
            <w:r w:rsidRPr="00761800">
              <w:rPr>
                <w:rFonts w:ascii="Times New Roman" w:hAnsi="Times New Roman"/>
                <w:b/>
                <w:bCs/>
                <w:sz w:val="20"/>
                <w:lang w:eastAsia="bg-BG"/>
              </w:rPr>
              <w:t xml:space="preserve"> </w:t>
            </w:r>
            <w:r w:rsidRPr="00761800">
              <w:rPr>
                <w:rFonts w:ascii="Times New Roman" w:hAnsi="Times New Roman"/>
                <w:b/>
                <w:bCs/>
                <w:sz w:val="20"/>
                <w:lang w:val="en-US" w:eastAsia="bg-BG"/>
              </w:rPr>
              <w:t>468</w:t>
            </w:r>
            <w:r w:rsidRPr="00761800">
              <w:rPr>
                <w:rFonts w:ascii="Times New Roman" w:hAnsi="Times New Roman"/>
                <w:b/>
                <w:bCs/>
                <w:sz w:val="20"/>
                <w:lang w:eastAsia="bg-BG"/>
              </w:rPr>
              <w:t xml:space="preserve">,3 </w:t>
            </w:r>
          </w:p>
        </w:tc>
      </w:tr>
      <w:tr w:rsidR="00761800" w:rsidRPr="00761800" w14:paraId="163D6465" w14:textId="77777777" w:rsidTr="00406B4D">
        <w:trPr>
          <w:trHeight w:val="206"/>
        </w:trPr>
        <w:tc>
          <w:tcPr>
            <w:tcW w:w="2635" w:type="dxa"/>
            <w:shd w:val="clear" w:color="000000" w:fill="FFFFFF"/>
            <w:noWrap/>
            <w:vAlign w:val="center"/>
            <w:hideMark/>
          </w:tcPr>
          <w:p w14:paraId="1A176CA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Държавен дълг/БВП (%)*</w:t>
            </w:r>
          </w:p>
        </w:tc>
        <w:tc>
          <w:tcPr>
            <w:tcW w:w="1334" w:type="dxa"/>
            <w:shd w:val="clear" w:color="000000" w:fill="FFFFFF"/>
            <w:noWrap/>
            <w:vAlign w:val="center"/>
            <w:hideMark/>
          </w:tcPr>
          <w:p w14:paraId="0FB138C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23,1%</w:t>
            </w:r>
          </w:p>
        </w:tc>
        <w:tc>
          <w:tcPr>
            <w:tcW w:w="1276" w:type="dxa"/>
            <w:shd w:val="clear" w:color="000000" w:fill="FFFFFF"/>
            <w:noWrap/>
            <w:vAlign w:val="center"/>
            <w:hideMark/>
          </w:tcPr>
          <w:p w14:paraId="1CDC4E3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27,1%</w:t>
            </w:r>
          </w:p>
        </w:tc>
        <w:tc>
          <w:tcPr>
            <w:tcW w:w="1225" w:type="dxa"/>
            <w:shd w:val="clear" w:color="000000" w:fill="FFFFFF"/>
            <w:noWrap/>
            <w:vAlign w:val="center"/>
            <w:hideMark/>
          </w:tcPr>
          <w:p w14:paraId="4AB23E1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val="en-US" w:eastAsia="bg-BG"/>
              </w:rPr>
              <w:t>30,1</w:t>
            </w:r>
            <w:r w:rsidRPr="00761800">
              <w:rPr>
                <w:rFonts w:ascii="Times New Roman" w:hAnsi="Times New Roman"/>
                <w:sz w:val="20"/>
                <w:lang w:eastAsia="bg-BG"/>
              </w:rPr>
              <w:t>%</w:t>
            </w:r>
          </w:p>
        </w:tc>
        <w:tc>
          <w:tcPr>
            <w:tcW w:w="1327" w:type="dxa"/>
            <w:shd w:val="clear" w:color="000000" w:fill="FFFFFF"/>
            <w:noWrap/>
            <w:vAlign w:val="center"/>
            <w:hideMark/>
          </w:tcPr>
          <w:p w14:paraId="3305FB7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w:t>
            </w:r>
            <w:r w:rsidRPr="00761800">
              <w:rPr>
                <w:rFonts w:ascii="Times New Roman" w:hAnsi="Times New Roman"/>
                <w:sz w:val="20"/>
                <w:lang w:val="en-US" w:eastAsia="bg-BG"/>
              </w:rPr>
              <w:t>3,2</w:t>
            </w:r>
            <w:r w:rsidRPr="00761800">
              <w:rPr>
                <w:rFonts w:ascii="Times New Roman" w:hAnsi="Times New Roman"/>
                <w:sz w:val="20"/>
                <w:lang w:eastAsia="bg-BG"/>
              </w:rPr>
              <w:t>%</w:t>
            </w:r>
          </w:p>
        </w:tc>
        <w:tc>
          <w:tcPr>
            <w:tcW w:w="1263" w:type="dxa"/>
            <w:shd w:val="clear" w:color="000000" w:fill="FFFFFF"/>
            <w:noWrap/>
            <w:vAlign w:val="center"/>
            <w:hideMark/>
          </w:tcPr>
          <w:p w14:paraId="078BB8C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w:t>
            </w:r>
            <w:r w:rsidRPr="00761800">
              <w:rPr>
                <w:rFonts w:ascii="Times New Roman" w:hAnsi="Times New Roman"/>
                <w:sz w:val="20"/>
                <w:lang w:val="en-US" w:eastAsia="bg-BG"/>
              </w:rPr>
              <w:t>5</w:t>
            </w:r>
            <w:r w:rsidRPr="00761800">
              <w:rPr>
                <w:rFonts w:ascii="Times New Roman" w:hAnsi="Times New Roman"/>
                <w:sz w:val="20"/>
                <w:lang w:eastAsia="bg-BG"/>
              </w:rPr>
              <w:t>,</w:t>
            </w:r>
            <w:r w:rsidRPr="00761800">
              <w:rPr>
                <w:rFonts w:ascii="Times New Roman" w:hAnsi="Times New Roman"/>
                <w:sz w:val="20"/>
                <w:lang w:val="en-US" w:eastAsia="bg-BG"/>
              </w:rPr>
              <w:t>2</w:t>
            </w:r>
            <w:r w:rsidRPr="00761800">
              <w:rPr>
                <w:rFonts w:ascii="Times New Roman" w:hAnsi="Times New Roman"/>
                <w:sz w:val="20"/>
                <w:lang w:eastAsia="bg-BG"/>
              </w:rPr>
              <w:t>%</w:t>
            </w:r>
          </w:p>
        </w:tc>
      </w:tr>
      <w:tr w:rsidR="00761800" w:rsidRPr="00761800" w14:paraId="723E893E" w14:textId="77777777" w:rsidTr="00406B4D">
        <w:trPr>
          <w:trHeight w:val="66"/>
        </w:trPr>
        <w:tc>
          <w:tcPr>
            <w:tcW w:w="2635" w:type="dxa"/>
            <w:shd w:val="clear" w:color="auto" w:fill="auto"/>
            <w:noWrap/>
            <w:vAlign w:val="center"/>
            <w:hideMark/>
          </w:tcPr>
          <w:p w14:paraId="4C413AF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334" w:type="dxa"/>
            <w:shd w:val="clear" w:color="auto" w:fill="auto"/>
            <w:noWrap/>
            <w:vAlign w:val="bottom"/>
            <w:hideMark/>
          </w:tcPr>
          <w:p w14:paraId="7D7F685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c>
          <w:tcPr>
            <w:tcW w:w="1276" w:type="dxa"/>
            <w:shd w:val="clear" w:color="auto" w:fill="auto"/>
            <w:noWrap/>
            <w:vAlign w:val="bottom"/>
            <w:hideMark/>
          </w:tcPr>
          <w:p w14:paraId="1BD20F2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c>
          <w:tcPr>
            <w:tcW w:w="1225" w:type="dxa"/>
            <w:shd w:val="clear" w:color="auto" w:fill="auto"/>
            <w:noWrap/>
            <w:vAlign w:val="bottom"/>
            <w:hideMark/>
          </w:tcPr>
          <w:p w14:paraId="649BD3E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c>
          <w:tcPr>
            <w:tcW w:w="1327" w:type="dxa"/>
            <w:shd w:val="clear" w:color="auto" w:fill="auto"/>
            <w:noWrap/>
            <w:vAlign w:val="bottom"/>
            <w:hideMark/>
          </w:tcPr>
          <w:p w14:paraId="491E5B5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c>
          <w:tcPr>
            <w:tcW w:w="1263" w:type="dxa"/>
            <w:shd w:val="clear" w:color="auto" w:fill="auto"/>
            <w:noWrap/>
            <w:vAlign w:val="bottom"/>
            <w:hideMark/>
          </w:tcPr>
          <w:p w14:paraId="2CA287C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r>
      <w:tr w:rsidR="00761800" w:rsidRPr="00761800" w14:paraId="46A5DACF" w14:textId="77777777" w:rsidTr="00406B4D">
        <w:trPr>
          <w:trHeight w:val="197"/>
        </w:trPr>
        <w:tc>
          <w:tcPr>
            <w:tcW w:w="2635" w:type="dxa"/>
            <w:shd w:val="clear" w:color="000000" w:fill="FFFFFF"/>
            <w:noWrap/>
            <w:vAlign w:val="center"/>
            <w:hideMark/>
          </w:tcPr>
          <w:p w14:paraId="64240E13"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xml:space="preserve"> Външен дълг, млн. евро</w:t>
            </w:r>
          </w:p>
        </w:tc>
        <w:tc>
          <w:tcPr>
            <w:tcW w:w="1334" w:type="dxa"/>
            <w:shd w:val="clear" w:color="auto" w:fill="auto"/>
            <w:noWrap/>
            <w:vAlign w:val="bottom"/>
            <w:hideMark/>
          </w:tcPr>
          <w:p w14:paraId="563CE729"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18 124,5 </w:t>
            </w:r>
          </w:p>
        </w:tc>
        <w:tc>
          <w:tcPr>
            <w:tcW w:w="1276" w:type="dxa"/>
            <w:shd w:val="clear" w:color="auto" w:fill="auto"/>
            <w:noWrap/>
            <w:vAlign w:val="bottom"/>
            <w:hideMark/>
          </w:tcPr>
          <w:p w14:paraId="797CFE30"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25 373,9 </w:t>
            </w:r>
          </w:p>
        </w:tc>
        <w:tc>
          <w:tcPr>
            <w:tcW w:w="1225" w:type="dxa"/>
            <w:shd w:val="clear" w:color="auto" w:fill="auto"/>
            <w:noWrap/>
            <w:vAlign w:val="bottom"/>
            <w:hideMark/>
          </w:tcPr>
          <w:p w14:paraId="4B305FAA"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3</w:t>
            </w:r>
            <w:r w:rsidRPr="00761800">
              <w:rPr>
                <w:rFonts w:ascii="Times New Roman" w:hAnsi="Times New Roman"/>
                <w:b/>
                <w:bCs/>
                <w:sz w:val="20"/>
                <w:lang w:val="en-US" w:eastAsia="bg-BG"/>
              </w:rPr>
              <w:t>1</w:t>
            </w:r>
            <w:r w:rsidRPr="00761800">
              <w:rPr>
                <w:rFonts w:ascii="Times New Roman" w:hAnsi="Times New Roman"/>
                <w:b/>
                <w:bCs/>
                <w:sz w:val="20"/>
                <w:lang w:eastAsia="bg-BG"/>
              </w:rPr>
              <w:t xml:space="preserve"> </w:t>
            </w:r>
            <w:r w:rsidRPr="00761800">
              <w:rPr>
                <w:rFonts w:ascii="Times New Roman" w:hAnsi="Times New Roman"/>
                <w:b/>
                <w:bCs/>
                <w:sz w:val="20"/>
                <w:lang w:val="en-US" w:eastAsia="bg-BG"/>
              </w:rPr>
              <w:t>036</w:t>
            </w:r>
            <w:r w:rsidRPr="00761800">
              <w:rPr>
                <w:rFonts w:ascii="Times New Roman" w:hAnsi="Times New Roman"/>
                <w:b/>
                <w:bCs/>
                <w:sz w:val="20"/>
                <w:lang w:eastAsia="bg-BG"/>
              </w:rPr>
              <w:t xml:space="preserve">,4 </w:t>
            </w:r>
          </w:p>
        </w:tc>
        <w:tc>
          <w:tcPr>
            <w:tcW w:w="1327" w:type="dxa"/>
            <w:shd w:val="clear" w:color="auto" w:fill="auto"/>
            <w:noWrap/>
            <w:vAlign w:val="bottom"/>
            <w:hideMark/>
          </w:tcPr>
          <w:p w14:paraId="19D2C9B6"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3</w:t>
            </w:r>
            <w:r w:rsidRPr="00761800">
              <w:rPr>
                <w:rFonts w:ascii="Times New Roman" w:hAnsi="Times New Roman"/>
                <w:b/>
                <w:bCs/>
                <w:sz w:val="20"/>
                <w:lang w:val="en-US" w:eastAsia="bg-BG"/>
              </w:rPr>
              <w:t>6</w:t>
            </w:r>
            <w:r w:rsidRPr="00761800">
              <w:rPr>
                <w:rFonts w:ascii="Times New Roman" w:hAnsi="Times New Roman"/>
                <w:b/>
                <w:bCs/>
                <w:sz w:val="20"/>
                <w:lang w:eastAsia="bg-BG"/>
              </w:rPr>
              <w:t xml:space="preserve"> </w:t>
            </w:r>
            <w:r w:rsidRPr="00761800">
              <w:rPr>
                <w:rFonts w:ascii="Times New Roman" w:hAnsi="Times New Roman"/>
                <w:b/>
                <w:bCs/>
                <w:sz w:val="20"/>
                <w:lang w:val="en-US" w:eastAsia="bg-BG"/>
              </w:rPr>
              <w:t>82</w:t>
            </w:r>
            <w:r w:rsidRPr="00761800">
              <w:rPr>
                <w:rFonts w:ascii="Times New Roman" w:hAnsi="Times New Roman"/>
                <w:b/>
                <w:bCs/>
                <w:sz w:val="20"/>
                <w:lang w:eastAsia="bg-BG"/>
              </w:rPr>
              <w:t xml:space="preserve">2,3 </w:t>
            </w:r>
          </w:p>
        </w:tc>
        <w:tc>
          <w:tcPr>
            <w:tcW w:w="1263" w:type="dxa"/>
            <w:shd w:val="clear" w:color="auto" w:fill="auto"/>
            <w:noWrap/>
            <w:vAlign w:val="bottom"/>
            <w:hideMark/>
          </w:tcPr>
          <w:p w14:paraId="4691137F"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4</w:t>
            </w:r>
            <w:r w:rsidRPr="00761800">
              <w:rPr>
                <w:rFonts w:ascii="Times New Roman" w:hAnsi="Times New Roman"/>
                <w:b/>
                <w:bCs/>
                <w:sz w:val="20"/>
                <w:lang w:val="en-US" w:eastAsia="bg-BG"/>
              </w:rPr>
              <w:t>3</w:t>
            </w:r>
            <w:r w:rsidRPr="00761800">
              <w:rPr>
                <w:rFonts w:ascii="Times New Roman" w:hAnsi="Times New Roman"/>
                <w:b/>
                <w:bCs/>
                <w:sz w:val="20"/>
                <w:lang w:eastAsia="bg-BG"/>
              </w:rPr>
              <w:t xml:space="preserve"> </w:t>
            </w:r>
            <w:r w:rsidRPr="00761800">
              <w:rPr>
                <w:rFonts w:ascii="Times New Roman" w:hAnsi="Times New Roman"/>
                <w:b/>
                <w:bCs/>
                <w:sz w:val="20"/>
                <w:lang w:val="en-US" w:eastAsia="bg-BG"/>
              </w:rPr>
              <w:t>362</w:t>
            </w:r>
            <w:r w:rsidRPr="00761800">
              <w:rPr>
                <w:rFonts w:ascii="Times New Roman" w:hAnsi="Times New Roman"/>
                <w:b/>
                <w:bCs/>
                <w:sz w:val="20"/>
                <w:lang w:eastAsia="bg-BG"/>
              </w:rPr>
              <w:t xml:space="preserve">,8 </w:t>
            </w:r>
          </w:p>
        </w:tc>
      </w:tr>
      <w:tr w:rsidR="00761800" w:rsidRPr="00761800" w14:paraId="1E21939D" w14:textId="77777777" w:rsidTr="00406B4D">
        <w:trPr>
          <w:trHeight w:val="206"/>
        </w:trPr>
        <w:tc>
          <w:tcPr>
            <w:tcW w:w="2635" w:type="dxa"/>
            <w:shd w:val="clear" w:color="000000" w:fill="FFFFFF"/>
            <w:noWrap/>
            <w:vAlign w:val="center"/>
            <w:hideMark/>
          </w:tcPr>
          <w:p w14:paraId="63C811B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Външен дълг/БВП (%)</w:t>
            </w:r>
          </w:p>
        </w:tc>
        <w:tc>
          <w:tcPr>
            <w:tcW w:w="1334" w:type="dxa"/>
            <w:shd w:val="clear" w:color="000000" w:fill="FFFFFF"/>
            <w:noWrap/>
            <w:vAlign w:val="center"/>
            <w:hideMark/>
          </w:tcPr>
          <w:p w14:paraId="0D5C5D2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17,3%</w:t>
            </w:r>
          </w:p>
        </w:tc>
        <w:tc>
          <w:tcPr>
            <w:tcW w:w="1276" w:type="dxa"/>
            <w:shd w:val="clear" w:color="000000" w:fill="FFFFFF"/>
            <w:noWrap/>
            <w:vAlign w:val="center"/>
            <w:hideMark/>
          </w:tcPr>
          <w:p w14:paraId="2B6E08B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21,9%</w:t>
            </w:r>
          </w:p>
        </w:tc>
        <w:tc>
          <w:tcPr>
            <w:tcW w:w="1225" w:type="dxa"/>
            <w:shd w:val="clear" w:color="000000" w:fill="FFFFFF"/>
            <w:noWrap/>
            <w:vAlign w:val="center"/>
            <w:hideMark/>
          </w:tcPr>
          <w:p w14:paraId="3752329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24,</w:t>
            </w:r>
            <w:r w:rsidRPr="00761800">
              <w:rPr>
                <w:rFonts w:ascii="Times New Roman" w:hAnsi="Times New Roman"/>
                <w:sz w:val="20"/>
                <w:lang w:val="en-US" w:eastAsia="bg-BG"/>
              </w:rPr>
              <w:t>8</w:t>
            </w:r>
            <w:r w:rsidRPr="00761800">
              <w:rPr>
                <w:rFonts w:ascii="Times New Roman" w:hAnsi="Times New Roman"/>
                <w:sz w:val="20"/>
                <w:lang w:eastAsia="bg-BG"/>
              </w:rPr>
              <w:t>%</w:t>
            </w:r>
          </w:p>
        </w:tc>
        <w:tc>
          <w:tcPr>
            <w:tcW w:w="1327" w:type="dxa"/>
            <w:shd w:val="clear" w:color="000000" w:fill="FFFFFF"/>
            <w:noWrap/>
            <w:vAlign w:val="center"/>
            <w:hideMark/>
          </w:tcPr>
          <w:p w14:paraId="676CD02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w:t>
            </w:r>
            <w:r w:rsidRPr="00761800">
              <w:rPr>
                <w:rFonts w:ascii="Times New Roman" w:hAnsi="Times New Roman"/>
                <w:sz w:val="20"/>
                <w:lang w:val="en-US" w:eastAsia="bg-BG"/>
              </w:rPr>
              <w:t>7</w:t>
            </w:r>
            <w:r w:rsidRPr="00761800">
              <w:rPr>
                <w:rFonts w:ascii="Times New Roman" w:hAnsi="Times New Roman"/>
                <w:sz w:val="20"/>
                <w:lang w:eastAsia="bg-BG"/>
              </w:rPr>
              <w:t>,</w:t>
            </w:r>
            <w:r w:rsidRPr="00761800">
              <w:rPr>
                <w:rFonts w:ascii="Times New Roman" w:hAnsi="Times New Roman"/>
                <w:sz w:val="20"/>
                <w:lang w:val="en-US" w:eastAsia="bg-BG"/>
              </w:rPr>
              <w:t>4</w:t>
            </w:r>
            <w:r w:rsidRPr="00761800">
              <w:rPr>
                <w:rFonts w:ascii="Times New Roman" w:hAnsi="Times New Roman"/>
                <w:sz w:val="20"/>
                <w:lang w:eastAsia="bg-BG"/>
              </w:rPr>
              <w:t>%</w:t>
            </w:r>
          </w:p>
        </w:tc>
        <w:tc>
          <w:tcPr>
            <w:tcW w:w="1263" w:type="dxa"/>
            <w:shd w:val="clear" w:color="000000" w:fill="FFFFFF"/>
            <w:noWrap/>
            <w:vAlign w:val="center"/>
            <w:hideMark/>
          </w:tcPr>
          <w:p w14:paraId="547B6D6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val="en-US" w:eastAsia="bg-BG"/>
              </w:rPr>
              <w:t>30,3</w:t>
            </w:r>
            <w:r w:rsidRPr="00761800">
              <w:rPr>
                <w:rFonts w:ascii="Times New Roman" w:hAnsi="Times New Roman"/>
                <w:sz w:val="20"/>
                <w:lang w:eastAsia="bg-BG"/>
              </w:rPr>
              <w:t>%</w:t>
            </w:r>
          </w:p>
        </w:tc>
      </w:tr>
      <w:tr w:rsidR="00761800" w:rsidRPr="00761800" w14:paraId="34B14802" w14:textId="77777777" w:rsidTr="00406B4D">
        <w:trPr>
          <w:trHeight w:val="35"/>
        </w:trPr>
        <w:tc>
          <w:tcPr>
            <w:tcW w:w="2635" w:type="dxa"/>
            <w:shd w:val="clear" w:color="auto" w:fill="auto"/>
            <w:noWrap/>
            <w:vAlign w:val="center"/>
            <w:hideMark/>
          </w:tcPr>
          <w:p w14:paraId="0928BD8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334" w:type="dxa"/>
            <w:shd w:val="clear" w:color="auto" w:fill="auto"/>
            <w:noWrap/>
            <w:vAlign w:val="bottom"/>
            <w:hideMark/>
          </w:tcPr>
          <w:p w14:paraId="7AFBFFE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c>
          <w:tcPr>
            <w:tcW w:w="1276" w:type="dxa"/>
            <w:shd w:val="clear" w:color="auto" w:fill="auto"/>
            <w:noWrap/>
            <w:vAlign w:val="bottom"/>
            <w:hideMark/>
          </w:tcPr>
          <w:p w14:paraId="3094C6D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c>
          <w:tcPr>
            <w:tcW w:w="1225" w:type="dxa"/>
            <w:shd w:val="clear" w:color="auto" w:fill="auto"/>
            <w:noWrap/>
            <w:vAlign w:val="bottom"/>
            <w:hideMark/>
          </w:tcPr>
          <w:p w14:paraId="569CE71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c>
          <w:tcPr>
            <w:tcW w:w="1327" w:type="dxa"/>
            <w:shd w:val="clear" w:color="auto" w:fill="auto"/>
            <w:noWrap/>
            <w:vAlign w:val="bottom"/>
            <w:hideMark/>
          </w:tcPr>
          <w:p w14:paraId="5C59638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c>
          <w:tcPr>
            <w:tcW w:w="1263" w:type="dxa"/>
            <w:shd w:val="clear" w:color="auto" w:fill="auto"/>
            <w:noWrap/>
            <w:vAlign w:val="bottom"/>
            <w:hideMark/>
          </w:tcPr>
          <w:p w14:paraId="6C4BD82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r>
      <w:tr w:rsidR="00761800" w:rsidRPr="00761800" w14:paraId="09138D0F" w14:textId="77777777" w:rsidTr="00406B4D">
        <w:trPr>
          <w:trHeight w:val="167"/>
        </w:trPr>
        <w:tc>
          <w:tcPr>
            <w:tcW w:w="2635" w:type="dxa"/>
            <w:shd w:val="clear" w:color="000000" w:fill="FFFFFF"/>
            <w:noWrap/>
            <w:vAlign w:val="center"/>
            <w:hideMark/>
          </w:tcPr>
          <w:p w14:paraId="102452C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xml:space="preserve"> Вътрешен дълг, млн. евро</w:t>
            </w:r>
          </w:p>
        </w:tc>
        <w:tc>
          <w:tcPr>
            <w:tcW w:w="1334" w:type="dxa"/>
            <w:shd w:val="clear" w:color="auto" w:fill="auto"/>
            <w:noWrap/>
            <w:vAlign w:val="bottom"/>
            <w:hideMark/>
          </w:tcPr>
          <w:p w14:paraId="5C87DB1B"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6 102,5 </w:t>
            </w:r>
          </w:p>
        </w:tc>
        <w:tc>
          <w:tcPr>
            <w:tcW w:w="1276" w:type="dxa"/>
            <w:shd w:val="clear" w:color="auto" w:fill="auto"/>
            <w:noWrap/>
            <w:vAlign w:val="bottom"/>
            <w:hideMark/>
          </w:tcPr>
          <w:p w14:paraId="62ED7399"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6 055,0 </w:t>
            </w:r>
          </w:p>
        </w:tc>
        <w:tc>
          <w:tcPr>
            <w:tcW w:w="1225" w:type="dxa"/>
            <w:shd w:val="clear" w:color="auto" w:fill="auto"/>
            <w:noWrap/>
            <w:vAlign w:val="bottom"/>
            <w:hideMark/>
          </w:tcPr>
          <w:p w14:paraId="4A7897C9"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6 655,4 </w:t>
            </w:r>
          </w:p>
        </w:tc>
        <w:tc>
          <w:tcPr>
            <w:tcW w:w="1327" w:type="dxa"/>
            <w:shd w:val="clear" w:color="auto" w:fill="auto"/>
            <w:noWrap/>
            <w:vAlign w:val="bottom"/>
            <w:hideMark/>
          </w:tcPr>
          <w:p w14:paraId="0F63E6BE"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7 876,6 </w:t>
            </w:r>
          </w:p>
        </w:tc>
        <w:tc>
          <w:tcPr>
            <w:tcW w:w="1263" w:type="dxa"/>
            <w:shd w:val="clear" w:color="auto" w:fill="auto"/>
            <w:noWrap/>
            <w:vAlign w:val="bottom"/>
            <w:hideMark/>
          </w:tcPr>
          <w:p w14:paraId="0697D002" w14:textId="77777777" w:rsidR="00761800" w:rsidRPr="00761800" w:rsidRDefault="00761800" w:rsidP="00761800">
            <w:pPr>
              <w:jc w:val="right"/>
              <w:rPr>
                <w:rFonts w:ascii="Times New Roman" w:hAnsi="Times New Roman"/>
                <w:b/>
                <w:bCs/>
                <w:sz w:val="20"/>
                <w:lang w:eastAsia="bg-BG"/>
              </w:rPr>
            </w:pPr>
            <w:r w:rsidRPr="00761800">
              <w:rPr>
                <w:rFonts w:ascii="Times New Roman" w:hAnsi="Times New Roman"/>
                <w:b/>
                <w:bCs/>
                <w:sz w:val="20"/>
                <w:lang w:eastAsia="bg-BG"/>
              </w:rPr>
              <w:t xml:space="preserve">     7 105,6 </w:t>
            </w:r>
          </w:p>
        </w:tc>
      </w:tr>
      <w:tr w:rsidR="00761800" w:rsidRPr="00761800" w14:paraId="46114F62" w14:textId="77777777" w:rsidTr="00406B4D">
        <w:trPr>
          <w:trHeight w:val="177"/>
        </w:trPr>
        <w:tc>
          <w:tcPr>
            <w:tcW w:w="2635" w:type="dxa"/>
            <w:shd w:val="clear" w:color="000000" w:fill="FFFFFF"/>
            <w:noWrap/>
            <w:vAlign w:val="center"/>
            <w:hideMark/>
          </w:tcPr>
          <w:p w14:paraId="4E1731F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Вътрешен дълг/БВП (%)</w:t>
            </w:r>
          </w:p>
        </w:tc>
        <w:tc>
          <w:tcPr>
            <w:tcW w:w="1334" w:type="dxa"/>
            <w:shd w:val="clear" w:color="000000" w:fill="FFFFFF"/>
            <w:noWrap/>
            <w:vAlign w:val="center"/>
            <w:hideMark/>
          </w:tcPr>
          <w:p w14:paraId="6AE5CA4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5,8%</w:t>
            </w:r>
          </w:p>
        </w:tc>
        <w:tc>
          <w:tcPr>
            <w:tcW w:w="1276" w:type="dxa"/>
            <w:shd w:val="clear" w:color="000000" w:fill="FFFFFF"/>
            <w:noWrap/>
            <w:vAlign w:val="center"/>
            <w:hideMark/>
          </w:tcPr>
          <w:p w14:paraId="0C8E841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5,2%</w:t>
            </w:r>
          </w:p>
        </w:tc>
        <w:tc>
          <w:tcPr>
            <w:tcW w:w="1225" w:type="dxa"/>
            <w:shd w:val="clear" w:color="000000" w:fill="FFFFFF"/>
            <w:noWrap/>
            <w:vAlign w:val="center"/>
            <w:hideMark/>
          </w:tcPr>
          <w:p w14:paraId="526E9FC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5,3%</w:t>
            </w:r>
          </w:p>
        </w:tc>
        <w:tc>
          <w:tcPr>
            <w:tcW w:w="1327" w:type="dxa"/>
            <w:shd w:val="clear" w:color="000000" w:fill="FFFFFF"/>
            <w:noWrap/>
            <w:vAlign w:val="center"/>
            <w:hideMark/>
          </w:tcPr>
          <w:p w14:paraId="78F56AD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5,9%</w:t>
            </w:r>
          </w:p>
        </w:tc>
        <w:tc>
          <w:tcPr>
            <w:tcW w:w="1263" w:type="dxa"/>
            <w:shd w:val="clear" w:color="000000" w:fill="FFFFFF"/>
            <w:noWrap/>
            <w:vAlign w:val="center"/>
            <w:hideMark/>
          </w:tcPr>
          <w:p w14:paraId="7A0FAA9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5,0%</w:t>
            </w:r>
          </w:p>
        </w:tc>
      </w:tr>
      <w:tr w:rsidR="00761800" w:rsidRPr="00761800" w14:paraId="351BFA0A" w14:textId="77777777" w:rsidTr="00406B4D">
        <w:trPr>
          <w:trHeight w:val="81"/>
        </w:trPr>
        <w:tc>
          <w:tcPr>
            <w:tcW w:w="2635" w:type="dxa"/>
            <w:shd w:val="clear" w:color="auto" w:fill="auto"/>
            <w:noWrap/>
            <w:vAlign w:val="bottom"/>
            <w:hideMark/>
          </w:tcPr>
          <w:p w14:paraId="211F304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334" w:type="dxa"/>
            <w:shd w:val="clear" w:color="auto" w:fill="auto"/>
            <w:noWrap/>
            <w:vAlign w:val="bottom"/>
            <w:hideMark/>
          </w:tcPr>
          <w:p w14:paraId="448CE1A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76" w:type="dxa"/>
            <w:shd w:val="clear" w:color="auto" w:fill="auto"/>
            <w:noWrap/>
            <w:vAlign w:val="bottom"/>
            <w:hideMark/>
          </w:tcPr>
          <w:p w14:paraId="6BBA6C4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25" w:type="dxa"/>
            <w:shd w:val="clear" w:color="auto" w:fill="auto"/>
            <w:noWrap/>
            <w:vAlign w:val="bottom"/>
            <w:hideMark/>
          </w:tcPr>
          <w:p w14:paraId="69D9F0F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327" w:type="dxa"/>
            <w:shd w:val="clear" w:color="auto" w:fill="auto"/>
            <w:noWrap/>
            <w:vAlign w:val="bottom"/>
            <w:hideMark/>
          </w:tcPr>
          <w:p w14:paraId="68FDD45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63" w:type="dxa"/>
            <w:shd w:val="clear" w:color="auto" w:fill="auto"/>
            <w:noWrap/>
            <w:vAlign w:val="bottom"/>
            <w:hideMark/>
          </w:tcPr>
          <w:p w14:paraId="6CC74E8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r>
      <w:tr w:rsidR="00761800" w:rsidRPr="00761800" w14:paraId="097039DA" w14:textId="77777777" w:rsidTr="00406B4D">
        <w:trPr>
          <w:trHeight w:val="86"/>
        </w:trPr>
        <w:tc>
          <w:tcPr>
            <w:tcW w:w="2635" w:type="dxa"/>
            <w:tcBorders>
              <w:bottom w:val="single" w:sz="4" w:space="0" w:color="auto"/>
            </w:tcBorders>
            <w:shd w:val="clear" w:color="000000" w:fill="FCD5B4"/>
            <w:noWrap/>
            <w:vAlign w:val="center"/>
            <w:hideMark/>
          </w:tcPr>
          <w:p w14:paraId="0D54349E" w14:textId="77777777" w:rsidR="00761800" w:rsidRPr="00761800" w:rsidRDefault="00761800" w:rsidP="00761800">
            <w:pPr>
              <w:spacing w:before="120"/>
              <w:rPr>
                <w:rFonts w:ascii="Times New Roman" w:hAnsi="Times New Roman"/>
                <w:b/>
                <w:bCs/>
                <w:i/>
                <w:iCs/>
                <w:sz w:val="22"/>
                <w:szCs w:val="22"/>
                <w:lang w:eastAsia="bg-BG"/>
              </w:rPr>
            </w:pPr>
            <w:r w:rsidRPr="00761800">
              <w:rPr>
                <w:rFonts w:ascii="Times New Roman" w:hAnsi="Times New Roman"/>
                <w:b/>
                <w:bCs/>
                <w:i/>
                <w:iCs/>
                <w:sz w:val="22"/>
                <w:szCs w:val="22"/>
                <w:lang w:eastAsia="bg-BG"/>
              </w:rPr>
              <w:t>БВП, млн. евро</w:t>
            </w:r>
          </w:p>
        </w:tc>
        <w:tc>
          <w:tcPr>
            <w:tcW w:w="1334" w:type="dxa"/>
            <w:tcBorders>
              <w:bottom w:val="single" w:sz="4" w:space="0" w:color="auto"/>
            </w:tcBorders>
            <w:shd w:val="clear" w:color="000000" w:fill="FCD5B4"/>
            <w:noWrap/>
            <w:vAlign w:val="center"/>
            <w:hideMark/>
          </w:tcPr>
          <w:p w14:paraId="727342D9" w14:textId="77777777" w:rsidR="00761800" w:rsidRPr="00761800" w:rsidRDefault="00761800" w:rsidP="00761800">
            <w:pPr>
              <w:spacing w:before="120"/>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104 767,2</w:t>
            </w:r>
          </w:p>
        </w:tc>
        <w:tc>
          <w:tcPr>
            <w:tcW w:w="1276" w:type="dxa"/>
            <w:tcBorders>
              <w:bottom w:val="single" w:sz="4" w:space="0" w:color="auto"/>
            </w:tcBorders>
            <w:shd w:val="clear" w:color="000000" w:fill="FCD5B4"/>
            <w:noWrap/>
            <w:vAlign w:val="center"/>
            <w:hideMark/>
          </w:tcPr>
          <w:p w14:paraId="4AD87A8A" w14:textId="77777777" w:rsidR="00761800" w:rsidRPr="00761800" w:rsidRDefault="00761800" w:rsidP="00761800">
            <w:pPr>
              <w:spacing w:before="120"/>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116 018,3</w:t>
            </w:r>
          </w:p>
        </w:tc>
        <w:tc>
          <w:tcPr>
            <w:tcW w:w="1225" w:type="dxa"/>
            <w:tcBorders>
              <w:bottom w:val="single" w:sz="4" w:space="0" w:color="auto"/>
            </w:tcBorders>
            <w:shd w:val="clear" w:color="000000" w:fill="FCD5B4"/>
            <w:noWrap/>
            <w:vAlign w:val="center"/>
            <w:hideMark/>
          </w:tcPr>
          <w:p w14:paraId="6DE1D5C6" w14:textId="77777777" w:rsidR="00761800" w:rsidRPr="00761800" w:rsidRDefault="00761800" w:rsidP="00761800">
            <w:pPr>
              <w:spacing w:before="120"/>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125 246,7</w:t>
            </w:r>
          </w:p>
        </w:tc>
        <w:tc>
          <w:tcPr>
            <w:tcW w:w="1327" w:type="dxa"/>
            <w:tcBorders>
              <w:bottom w:val="single" w:sz="4" w:space="0" w:color="auto"/>
            </w:tcBorders>
            <w:shd w:val="clear" w:color="000000" w:fill="FCD5B4"/>
            <w:noWrap/>
            <w:vAlign w:val="center"/>
            <w:hideMark/>
          </w:tcPr>
          <w:p w14:paraId="0BD2FE60" w14:textId="77777777" w:rsidR="00761800" w:rsidRPr="00761800" w:rsidRDefault="00761800" w:rsidP="00761800">
            <w:pPr>
              <w:spacing w:before="120"/>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134 592,2</w:t>
            </w:r>
          </w:p>
        </w:tc>
        <w:tc>
          <w:tcPr>
            <w:tcW w:w="1263" w:type="dxa"/>
            <w:tcBorders>
              <w:bottom w:val="single" w:sz="4" w:space="0" w:color="auto"/>
            </w:tcBorders>
            <w:shd w:val="clear" w:color="000000" w:fill="FCD5B4"/>
            <w:noWrap/>
            <w:vAlign w:val="center"/>
            <w:hideMark/>
          </w:tcPr>
          <w:p w14:paraId="38755CA7" w14:textId="77777777" w:rsidR="00761800" w:rsidRPr="00761800" w:rsidRDefault="00761800" w:rsidP="00761800">
            <w:pPr>
              <w:spacing w:before="120"/>
              <w:jc w:val="right"/>
              <w:rPr>
                <w:rFonts w:ascii="Times New Roman" w:hAnsi="Times New Roman"/>
                <w:b/>
                <w:bCs/>
                <w:i/>
                <w:iCs/>
                <w:sz w:val="16"/>
                <w:szCs w:val="16"/>
                <w:lang w:eastAsia="bg-BG"/>
              </w:rPr>
            </w:pPr>
            <w:r w:rsidRPr="00761800">
              <w:rPr>
                <w:rFonts w:ascii="Times New Roman" w:hAnsi="Times New Roman"/>
                <w:b/>
                <w:bCs/>
                <w:i/>
                <w:iCs/>
                <w:sz w:val="16"/>
                <w:szCs w:val="16"/>
                <w:lang w:eastAsia="bg-BG"/>
              </w:rPr>
              <w:t>143 253,9</w:t>
            </w:r>
          </w:p>
        </w:tc>
      </w:tr>
    </w:tbl>
    <w:p w14:paraId="3168291A" w14:textId="77777777" w:rsidR="00761800" w:rsidRPr="00761800" w:rsidRDefault="00761800" w:rsidP="00761800">
      <w:pPr>
        <w:spacing w:after="200"/>
        <w:ind w:left="993" w:hanging="993"/>
        <w:jc w:val="both"/>
        <w:rPr>
          <w:rFonts w:ascii="Times New Roman" w:eastAsia="Calibri" w:hAnsi="Times New Roman"/>
          <w:szCs w:val="24"/>
          <w:highlight w:val="yellow"/>
          <w:lang w:eastAsia="bg-BG"/>
        </w:rPr>
      </w:pPr>
      <w:r w:rsidRPr="00761800">
        <w:rPr>
          <w:rFonts w:ascii="Times New Roman" w:hAnsi="Times New Roman"/>
          <w:i/>
          <w:iCs/>
          <w:color w:val="000000"/>
          <w:sz w:val="18"/>
          <w:lang w:eastAsia="bg-BG"/>
        </w:rPr>
        <w:t>Забележка: Поради закръгления някои от сумарните позиции е възможно да не се изчерпват от съставните им числа.</w:t>
      </w:r>
    </w:p>
    <w:p w14:paraId="03FD9A2C" w14:textId="77777777" w:rsidR="00761800" w:rsidRPr="00761800" w:rsidRDefault="00761800" w:rsidP="00761800">
      <w:pPr>
        <w:spacing w:after="200"/>
        <w:jc w:val="right"/>
        <w:rPr>
          <w:rFonts w:ascii="Times New Roman" w:hAnsi="Times New Roman"/>
          <w:sz w:val="18"/>
          <w:szCs w:val="18"/>
          <w:lang w:eastAsia="bg-BG"/>
        </w:rPr>
      </w:pPr>
      <w:r w:rsidRPr="00761800">
        <w:rPr>
          <w:rFonts w:ascii="Times New Roman" w:hAnsi="Times New Roman"/>
          <w:sz w:val="18"/>
          <w:szCs w:val="18"/>
          <w:lang w:eastAsia="bg-BG"/>
        </w:rPr>
        <w:t>Източник: МФ</w:t>
      </w:r>
    </w:p>
    <w:p w14:paraId="331047A7"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В сравнение с нивата през 2025 г., към края на 2026 г. се очаква външният дълг да нарасне от 25,4 млрд. евро до 31,0 млрд. евро, а вътрешният дълг - от 6,1 млрд. евро до 6,7 млрд. евро. За периода 2027-2028 г. при външния държавен дълг</w:t>
      </w:r>
      <w:r w:rsidRPr="00761800" w:rsidDel="005F2385">
        <w:rPr>
          <w:rFonts w:ascii="Times New Roman" w:eastAsia="Batang" w:hAnsi="Times New Roman"/>
          <w:szCs w:val="22"/>
          <w:lang w:eastAsia="bg-BG"/>
        </w:rPr>
        <w:t xml:space="preserve"> </w:t>
      </w:r>
      <w:r w:rsidRPr="00761800">
        <w:rPr>
          <w:rFonts w:ascii="Times New Roman" w:eastAsia="Batang" w:hAnsi="Times New Roman"/>
          <w:szCs w:val="22"/>
          <w:lang w:eastAsia="bg-BG"/>
        </w:rPr>
        <w:t>се запазва възходящата тенденция, докато при вътрешния се наблюдава увеличение на нивата през 2026 г. и 2027 г., последвано от намаление през 2028 г.</w:t>
      </w:r>
    </w:p>
    <w:p w14:paraId="129997F4" w14:textId="39100BE5" w:rsidR="00761800" w:rsidRPr="00761800" w:rsidRDefault="00761800" w:rsidP="00761800">
      <w:pPr>
        <w:keepNext/>
        <w:spacing w:after="240"/>
        <w:rPr>
          <w:rFonts w:ascii="Times New Roman" w:hAnsi="Times New Roman"/>
          <w:b/>
          <w:bCs/>
          <w:szCs w:val="18"/>
          <w:lang w:eastAsia="bg-BG"/>
        </w:rPr>
      </w:pPr>
      <w:r w:rsidRPr="00761800">
        <w:rPr>
          <w:rFonts w:ascii="Times New Roman" w:hAnsi="Times New Roman"/>
          <w:b/>
          <w:bCs/>
          <w:szCs w:val="18"/>
          <w:lang w:eastAsia="bg-BG"/>
        </w:rPr>
        <w:lastRenderedPageBreak/>
        <w:t xml:space="preserve">Граф.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Граф.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6</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 xml:space="preserve">: </w:t>
      </w:r>
      <w:r w:rsidRPr="00761800">
        <w:rPr>
          <w:rFonts w:ascii="Times New Roman" w:hAnsi="Times New Roman"/>
          <w:b/>
          <w:bCs/>
          <w:szCs w:val="18"/>
          <w:lang w:eastAsia="bg-BG"/>
        </w:rPr>
        <w:tab/>
        <w:t xml:space="preserve"> Държавен дълг и съотношение на държавния дълг към БВП</w:t>
      </w:r>
    </w:p>
    <w:p w14:paraId="29672DA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noProof/>
          <w:szCs w:val="22"/>
          <w:lang w:eastAsia="bg-BG"/>
        </w:rPr>
        <w:drawing>
          <wp:inline distT="0" distB="0" distL="0" distR="0" wp14:anchorId="6B217796" wp14:editId="7DF5A7C1">
            <wp:extent cx="5525020" cy="3658576"/>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34531" cy="3664874"/>
                    </a:xfrm>
                    <a:prstGeom prst="rect">
                      <a:avLst/>
                    </a:prstGeom>
                    <a:noFill/>
                  </pic:spPr>
                </pic:pic>
              </a:graphicData>
            </a:graphic>
          </wp:inline>
        </w:drawing>
      </w:r>
    </w:p>
    <w:p w14:paraId="764F3A7A" w14:textId="77777777" w:rsidR="00761800" w:rsidRPr="00761800" w:rsidRDefault="00761800" w:rsidP="00761800">
      <w:pPr>
        <w:spacing w:after="200"/>
        <w:jc w:val="right"/>
        <w:rPr>
          <w:rFonts w:ascii="Times New Roman" w:hAnsi="Times New Roman"/>
          <w:sz w:val="18"/>
          <w:szCs w:val="18"/>
          <w:lang w:eastAsia="bg-BG"/>
        </w:rPr>
      </w:pPr>
      <w:r w:rsidRPr="00761800">
        <w:rPr>
          <w:rFonts w:ascii="Times New Roman" w:hAnsi="Times New Roman"/>
          <w:sz w:val="18"/>
          <w:szCs w:val="18"/>
          <w:lang w:eastAsia="bg-BG"/>
        </w:rPr>
        <w:t>Източник: МФ</w:t>
      </w:r>
    </w:p>
    <w:p w14:paraId="58836037" w14:textId="77777777" w:rsidR="00761800" w:rsidRPr="00761800" w:rsidRDefault="00761800" w:rsidP="00761800">
      <w:pPr>
        <w:spacing w:after="200"/>
        <w:jc w:val="both"/>
        <w:rPr>
          <w:rFonts w:ascii="Times New Roman" w:eastAsia="Batang" w:hAnsi="Times New Roman"/>
          <w:i/>
          <w:szCs w:val="22"/>
          <w:lang w:eastAsia="bg-BG"/>
        </w:rPr>
      </w:pPr>
      <w:r w:rsidRPr="00761800">
        <w:rPr>
          <w:rFonts w:ascii="Times New Roman" w:eastAsia="Batang" w:hAnsi="Times New Roman"/>
          <w:szCs w:val="22"/>
          <w:lang w:eastAsia="bg-BG"/>
        </w:rPr>
        <w:t xml:space="preserve">В </w:t>
      </w:r>
      <w:r w:rsidRPr="00761800">
        <w:rPr>
          <w:rFonts w:ascii="Times New Roman" w:eastAsia="Batang" w:hAnsi="Times New Roman"/>
          <w:i/>
          <w:szCs w:val="22"/>
          <w:lang w:eastAsia="bg-BG"/>
        </w:rPr>
        <w:t>структурата на дълга по остатъчен матуритет</w:t>
      </w:r>
      <w:r w:rsidRPr="00761800">
        <w:rPr>
          <w:rFonts w:ascii="Times New Roman" w:eastAsia="Batang" w:hAnsi="Times New Roman"/>
          <w:szCs w:val="22"/>
          <w:lang w:eastAsia="bg-BG"/>
        </w:rPr>
        <w:t xml:space="preserve"> към края на 2025 г. се наблюдава  превес на дълга със срочност от 5 до 10 г. – 39,4% (при 31,4% за 2024 г.), следван от дълга със срочност над 10 г. – 30,4% (при 32,4% за 2024 г.), дълга със срочност от 1 до 5 г. – 26,1% (при 29,1% за 2024 г.) и този с матуритет до 1 г. – 4,1% (при 7,2% за 2024 г.). През целия прогнозен период се наблюдава запазване на преобладаващия дял на дълга с матуритет от 5 до 10 г. и на дълга с матуритет над 10 години.</w:t>
      </w:r>
    </w:p>
    <w:p w14:paraId="430F0E99"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i/>
          <w:szCs w:val="22"/>
          <w:lang w:eastAsia="bg-BG"/>
        </w:rPr>
        <w:t>В структурата на дълга по видове инструменти</w:t>
      </w:r>
      <w:r w:rsidRPr="00761800">
        <w:rPr>
          <w:rFonts w:ascii="Times New Roman" w:eastAsia="Batang" w:hAnsi="Times New Roman"/>
          <w:szCs w:val="22"/>
          <w:lang w:eastAsia="bg-BG"/>
        </w:rPr>
        <w:t xml:space="preserve"> в края на 2025 г. облигациите, емитирани на МКП и ДЦК емитирани на вътрешния пазар заемат доминантна позиция с дял от 91,7% (при 90,2% за 2024 г.). Тази тенденция се наблюдава през целия прогнозен период, като делът им нараства и се очаква в края на периода да достигне до 93,3%. Държавните и държавните инвестиционни заеми са с намаляващ дял, който в края на 2028 г. достига съответно до 6,5% и 0,2%. </w:t>
      </w:r>
    </w:p>
    <w:p w14:paraId="33AFDDA6"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i/>
          <w:szCs w:val="22"/>
          <w:lang w:eastAsia="bg-BG"/>
        </w:rPr>
        <w:t xml:space="preserve">Лихвената и валутната структура </w:t>
      </w:r>
      <w:r w:rsidRPr="00761800">
        <w:rPr>
          <w:rFonts w:ascii="Times New Roman" w:eastAsia="Batang" w:hAnsi="Times New Roman"/>
          <w:szCs w:val="22"/>
          <w:lang w:eastAsia="bg-BG"/>
        </w:rPr>
        <w:t xml:space="preserve">на дълга към края на 2025 г. се характеризират с ясно изразен превес на задълженията с фиксиран лихвен процент от 99,9% и на евровия и левовия компонент на дълга – 95,9%. До края на периода се очаква целият държавен дълг да бъде съставен от дълг с фиксирани лихвени проценти, като 97,4% от дълга да бъде в евро ( от 01.01.2026 г. еврото </w:t>
      </w:r>
      <w:r w:rsidRPr="00761800">
        <w:rPr>
          <w:rFonts w:ascii="Times New Roman" w:eastAsia="Batang" w:hAnsi="Times New Roman"/>
          <w:szCs w:val="22"/>
          <w:lang w:val="en-US" w:eastAsia="bg-BG"/>
        </w:rPr>
        <w:t>e</w:t>
      </w:r>
      <w:r w:rsidRPr="00761800">
        <w:rPr>
          <w:rFonts w:ascii="Times New Roman" w:eastAsia="Batang" w:hAnsi="Times New Roman"/>
          <w:szCs w:val="22"/>
          <w:lang w:eastAsia="bg-BG"/>
        </w:rPr>
        <w:t xml:space="preserve"> официална валута в Република България). Делът на дълга в</w:t>
      </w:r>
      <w:r w:rsidRPr="00761800">
        <w:rPr>
          <w:rFonts w:ascii="Times New Roman" w:hAnsi="Times New Roman"/>
          <w:szCs w:val="22"/>
          <w:lang w:eastAsia="bg-BG"/>
        </w:rPr>
        <w:t xml:space="preserve"> щатски долари спада от 3,4% през 2026 г. до 2,6% през 2028 г., като този в </w:t>
      </w:r>
      <w:r w:rsidRPr="00761800">
        <w:rPr>
          <w:rFonts w:ascii="Times New Roman" w:eastAsia="Batang" w:hAnsi="Times New Roman"/>
          <w:szCs w:val="22"/>
          <w:lang w:eastAsia="bg-BG"/>
        </w:rPr>
        <w:t>японски йени остава под 0,1% през целия прогнозен период.</w:t>
      </w:r>
    </w:p>
    <w:p w14:paraId="7CD6E984"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i/>
          <w:szCs w:val="22"/>
          <w:lang w:eastAsia="bg-BG"/>
        </w:rPr>
        <w:t>В структурата на държавните заеми по кредитори</w:t>
      </w:r>
      <w:r w:rsidRPr="00761800">
        <w:rPr>
          <w:rFonts w:ascii="Times New Roman" w:eastAsia="Batang" w:hAnsi="Times New Roman"/>
          <w:szCs w:val="22"/>
          <w:lang w:eastAsia="bg-BG"/>
        </w:rPr>
        <w:t xml:space="preserve"> към края на 2025 г. най-голям дял имат получените заеми от Европейски съюз (в т.ч. от ЕИБ и ЕК) – 81,6% (при 82,3% за 2024 г.), като през следващите години се прогнозира запазване на доминантната им </w:t>
      </w:r>
      <w:r w:rsidRPr="00761800">
        <w:rPr>
          <w:rFonts w:ascii="Times New Roman" w:eastAsia="Batang" w:hAnsi="Times New Roman"/>
          <w:szCs w:val="22"/>
          <w:lang w:eastAsia="bg-BG"/>
        </w:rPr>
        <w:lastRenderedPageBreak/>
        <w:t>позиция. Очакванията са за дял на заемите, получени от БРСЕ на нива около 10,3-11,6%, при намаляващ дял на заемите от МБВР</w:t>
      </w:r>
      <w:r w:rsidRPr="00761800">
        <w:rPr>
          <w:rFonts w:ascii="Times New Roman" w:eastAsia="Batang" w:hAnsi="Times New Roman"/>
          <w:position w:val="2"/>
          <w:sz w:val="18"/>
          <w:szCs w:val="22"/>
          <w:vertAlign w:val="superscript"/>
        </w:rPr>
        <w:footnoteReference w:id="79"/>
      </w:r>
      <w:r w:rsidRPr="00761800">
        <w:rPr>
          <w:rFonts w:ascii="Times New Roman" w:eastAsia="Batang" w:hAnsi="Times New Roman"/>
          <w:szCs w:val="22"/>
          <w:lang w:eastAsia="bg-BG"/>
        </w:rPr>
        <w:t xml:space="preserve"> и на заемите от кредитори в раздел „Други“.</w:t>
      </w:r>
    </w:p>
    <w:p w14:paraId="5BC96057" w14:textId="0BB36E84" w:rsidR="00761800" w:rsidRPr="00761800" w:rsidRDefault="00761800" w:rsidP="00761800">
      <w:pPr>
        <w:keepNext/>
        <w:spacing w:after="120"/>
        <w:rPr>
          <w:rFonts w:ascii="Times New Roman" w:hAnsi="Times New Roman"/>
          <w:b/>
          <w:bCs/>
          <w:szCs w:val="18"/>
          <w:lang w:eastAsia="bg-BG"/>
        </w:rPr>
      </w:pPr>
      <w:bookmarkStart w:id="447" w:name="_Toc233185139"/>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21</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Структура на държавния дълг за периода 2024-2028 г.</w:t>
      </w:r>
      <w:bookmarkEnd w:id="447"/>
    </w:p>
    <w:tbl>
      <w:tblPr>
        <w:tblW w:w="5002" w:type="pct"/>
        <w:tblLayout w:type="fixed"/>
        <w:tblCellMar>
          <w:left w:w="70" w:type="dxa"/>
          <w:right w:w="70" w:type="dxa"/>
        </w:tblCellMar>
        <w:tblLook w:val="04A0" w:firstRow="1" w:lastRow="0" w:firstColumn="1" w:lastColumn="0" w:noHBand="0" w:noVBand="1"/>
      </w:tblPr>
      <w:tblGrid>
        <w:gridCol w:w="2923"/>
        <w:gridCol w:w="1045"/>
        <w:gridCol w:w="294"/>
        <w:gridCol w:w="584"/>
        <w:gridCol w:w="13"/>
        <w:gridCol w:w="229"/>
        <w:gridCol w:w="753"/>
        <w:gridCol w:w="11"/>
        <w:gridCol w:w="203"/>
        <w:gridCol w:w="777"/>
        <w:gridCol w:w="11"/>
        <w:gridCol w:w="263"/>
        <w:gridCol w:w="837"/>
        <w:gridCol w:w="238"/>
        <w:gridCol w:w="893"/>
      </w:tblGrid>
      <w:tr w:rsidR="00761800" w:rsidRPr="00761800" w14:paraId="20ACAB27" w14:textId="77777777" w:rsidTr="00761800">
        <w:trPr>
          <w:trHeight w:val="317"/>
          <w:tblHeader/>
        </w:trPr>
        <w:tc>
          <w:tcPr>
            <w:tcW w:w="1611" w:type="pct"/>
            <w:tcBorders>
              <w:top w:val="single" w:sz="4" w:space="0" w:color="auto"/>
            </w:tcBorders>
            <w:shd w:val="clear" w:color="auto" w:fill="E3E4E6"/>
            <w:vAlign w:val="center"/>
            <w:hideMark/>
          </w:tcPr>
          <w:p w14:paraId="5781DF5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Показатели</w:t>
            </w:r>
          </w:p>
        </w:tc>
        <w:tc>
          <w:tcPr>
            <w:tcW w:w="576" w:type="pct"/>
            <w:tcBorders>
              <w:top w:val="single" w:sz="4" w:space="0" w:color="auto"/>
            </w:tcBorders>
            <w:shd w:val="clear" w:color="auto" w:fill="E3E4E6"/>
            <w:noWrap/>
            <w:vAlign w:val="center"/>
          </w:tcPr>
          <w:p w14:paraId="2C610DFA" w14:textId="77777777" w:rsidR="00761800" w:rsidRPr="00761800" w:rsidRDefault="00761800" w:rsidP="00761800">
            <w:pPr>
              <w:jc w:val="center"/>
              <w:rPr>
                <w:rFonts w:ascii="Times New Roman" w:hAnsi="Times New Roman"/>
                <w:b/>
                <w:bCs/>
                <w:sz w:val="20"/>
                <w:lang w:eastAsia="bg-BG"/>
              </w:rPr>
            </w:pPr>
          </w:p>
        </w:tc>
        <w:tc>
          <w:tcPr>
            <w:tcW w:w="491" w:type="pct"/>
            <w:gridSpan w:val="3"/>
            <w:tcBorders>
              <w:top w:val="single" w:sz="4" w:space="0" w:color="auto"/>
            </w:tcBorders>
            <w:shd w:val="clear" w:color="auto" w:fill="E3E4E6"/>
            <w:noWrap/>
            <w:vAlign w:val="center"/>
            <w:hideMark/>
          </w:tcPr>
          <w:p w14:paraId="22620AB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2024</w:t>
            </w:r>
          </w:p>
        </w:tc>
        <w:tc>
          <w:tcPr>
            <w:tcW w:w="547" w:type="pct"/>
            <w:gridSpan w:val="3"/>
            <w:tcBorders>
              <w:top w:val="single" w:sz="4" w:space="0" w:color="auto"/>
            </w:tcBorders>
            <w:shd w:val="clear" w:color="auto" w:fill="E3E4E6"/>
            <w:noWrap/>
            <w:vAlign w:val="center"/>
            <w:hideMark/>
          </w:tcPr>
          <w:p w14:paraId="2641A84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2025</w:t>
            </w:r>
          </w:p>
        </w:tc>
        <w:tc>
          <w:tcPr>
            <w:tcW w:w="546" w:type="pct"/>
            <w:gridSpan w:val="3"/>
            <w:tcBorders>
              <w:top w:val="single" w:sz="4" w:space="0" w:color="auto"/>
            </w:tcBorders>
            <w:shd w:val="clear" w:color="auto" w:fill="E3E4E6"/>
            <w:noWrap/>
            <w:vAlign w:val="center"/>
            <w:hideMark/>
          </w:tcPr>
          <w:p w14:paraId="3FE0B20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2026</w:t>
            </w:r>
          </w:p>
        </w:tc>
        <w:tc>
          <w:tcPr>
            <w:tcW w:w="606" w:type="pct"/>
            <w:gridSpan w:val="2"/>
            <w:tcBorders>
              <w:top w:val="single" w:sz="4" w:space="0" w:color="auto"/>
            </w:tcBorders>
            <w:shd w:val="clear" w:color="auto" w:fill="E3E4E6"/>
            <w:noWrap/>
            <w:vAlign w:val="center"/>
            <w:hideMark/>
          </w:tcPr>
          <w:p w14:paraId="2A1AD6B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2027</w:t>
            </w:r>
          </w:p>
        </w:tc>
        <w:tc>
          <w:tcPr>
            <w:tcW w:w="624" w:type="pct"/>
            <w:gridSpan w:val="2"/>
            <w:tcBorders>
              <w:top w:val="single" w:sz="4" w:space="0" w:color="auto"/>
            </w:tcBorders>
            <w:shd w:val="clear" w:color="auto" w:fill="E3E4E6"/>
            <w:noWrap/>
            <w:vAlign w:val="center"/>
            <w:hideMark/>
          </w:tcPr>
          <w:p w14:paraId="62ACF7D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2028</w:t>
            </w:r>
          </w:p>
        </w:tc>
      </w:tr>
      <w:tr w:rsidR="00761800" w:rsidRPr="00761800" w14:paraId="62509342" w14:textId="77777777" w:rsidTr="00761800">
        <w:trPr>
          <w:trHeight w:val="202"/>
          <w:tblHeader/>
        </w:trPr>
        <w:tc>
          <w:tcPr>
            <w:tcW w:w="1611" w:type="pct"/>
            <w:tcBorders>
              <w:bottom w:val="single" w:sz="4" w:space="0" w:color="auto"/>
            </w:tcBorders>
            <w:shd w:val="clear" w:color="auto" w:fill="E3E4E6"/>
            <w:vAlign w:val="center"/>
            <w:hideMark/>
          </w:tcPr>
          <w:p w14:paraId="1B2ECBE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576" w:type="pct"/>
            <w:tcBorders>
              <w:bottom w:val="single" w:sz="4" w:space="0" w:color="auto"/>
            </w:tcBorders>
            <w:shd w:val="clear" w:color="auto" w:fill="E3E4E6"/>
            <w:vAlign w:val="center"/>
          </w:tcPr>
          <w:p w14:paraId="6D519431" w14:textId="77777777" w:rsidR="00761800" w:rsidRPr="00761800" w:rsidRDefault="00761800" w:rsidP="00761800">
            <w:pPr>
              <w:jc w:val="center"/>
              <w:rPr>
                <w:rFonts w:ascii="Times New Roman" w:hAnsi="Times New Roman"/>
                <w:b/>
                <w:bCs/>
                <w:sz w:val="20"/>
                <w:lang w:eastAsia="bg-BG"/>
              </w:rPr>
            </w:pPr>
          </w:p>
        </w:tc>
        <w:tc>
          <w:tcPr>
            <w:tcW w:w="491" w:type="pct"/>
            <w:gridSpan w:val="3"/>
            <w:tcBorders>
              <w:bottom w:val="single" w:sz="4" w:space="0" w:color="auto"/>
            </w:tcBorders>
            <w:shd w:val="clear" w:color="auto" w:fill="E3E4E6"/>
            <w:vAlign w:val="center"/>
            <w:hideMark/>
          </w:tcPr>
          <w:p w14:paraId="6DAF00E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Отчет</w:t>
            </w:r>
          </w:p>
        </w:tc>
        <w:tc>
          <w:tcPr>
            <w:tcW w:w="547" w:type="pct"/>
            <w:gridSpan w:val="3"/>
            <w:tcBorders>
              <w:bottom w:val="single" w:sz="4" w:space="0" w:color="auto"/>
            </w:tcBorders>
            <w:shd w:val="clear" w:color="auto" w:fill="E3E4E6"/>
            <w:vAlign w:val="center"/>
            <w:hideMark/>
          </w:tcPr>
          <w:p w14:paraId="6DC192E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Отчет</w:t>
            </w:r>
          </w:p>
        </w:tc>
        <w:tc>
          <w:tcPr>
            <w:tcW w:w="546" w:type="pct"/>
            <w:gridSpan w:val="3"/>
            <w:tcBorders>
              <w:bottom w:val="single" w:sz="4" w:space="0" w:color="auto"/>
            </w:tcBorders>
            <w:shd w:val="clear" w:color="auto" w:fill="E3E4E6"/>
            <w:vAlign w:val="center"/>
            <w:hideMark/>
          </w:tcPr>
          <w:p w14:paraId="362E6A2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Проект</w:t>
            </w:r>
          </w:p>
        </w:tc>
        <w:tc>
          <w:tcPr>
            <w:tcW w:w="606" w:type="pct"/>
            <w:gridSpan w:val="2"/>
            <w:tcBorders>
              <w:bottom w:val="single" w:sz="4" w:space="0" w:color="auto"/>
            </w:tcBorders>
            <w:shd w:val="clear" w:color="auto" w:fill="E3E4E6"/>
            <w:vAlign w:val="center"/>
            <w:hideMark/>
          </w:tcPr>
          <w:p w14:paraId="2DAC700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Прогноза</w:t>
            </w:r>
          </w:p>
        </w:tc>
        <w:tc>
          <w:tcPr>
            <w:tcW w:w="624" w:type="pct"/>
            <w:gridSpan w:val="2"/>
            <w:tcBorders>
              <w:bottom w:val="single" w:sz="4" w:space="0" w:color="auto"/>
            </w:tcBorders>
            <w:shd w:val="clear" w:color="auto" w:fill="E3E4E6"/>
            <w:vAlign w:val="center"/>
            <w:hideMark/>
          </w:tcPr>
          <w:p w14:paraId="4B53A0E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Прогноза</w:t>
            </w:r>
          </w:p>
        </w:tc>
      </w:tr>
      <w:tr w:rsidR="00761800" w:rsidRPr="00761800" w14:paraId="57EC70EC" w14:textId="77777777" w:rsidTr="00761800">
        <w:trPr>
          <w:trHeight w:val="333"/>
        </w:trPr>
        <w:tc>
          <w:tcPr>
            <w:tcW w:w="3219" w:type="pct"/>
            <w:gridSpan w:val="7"/>
            <w:tcBorders>
              <w:bottom w:val="single" w:sz="4" w:space="0" w:color="auto"/>
            </w:tcBorders>
            <w:shd w:val="clear" w:color="auto" w:fill="EEF1F6"/>
            <w:noWrap/>
            <w:vAlign w:val="center"/>
          </w:tcPr>
          <w:p w14:paraId="482E46E8"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xml:space="preserve">Mатуритетна структура на дълга </w:t>
            </w:r>
          </w:p>
          <w:p w14:paraId="32631CC1"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(по остатъчен матуритет)</w:t>
            </w:r>
          </w:p>
        </w:tc>
        <w:tc>
          <w:tcPr>
            <w:tcW w:w="546" w:type="pct"/>
            <w:gridSpan w:val="3"/>
            <w:tcBorders>
              <w:bottom w:val="single" w:sz="4" w:space="0" w:color="auto"/>
            </w:tcBorders>
            <w:shd w:val="clear" w:color="auto" w:fill="EEF1F6"/>
            <w:noWrap/>
            <w:vAlign w:val="center"/>
            <w:hideMark/>
          </w:tcPr>
          <w:p w14:paraId="1F52F63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609" w:type="pct"/>
            <w:gridSpan w:val="3"/>
            <w:tcBorders>
              <w:bottom w:val="single" w:sz="4" w:space="0" w:color="auto"/>
            </w:tcBorders>
            <w:shd w:val="clear" w:color="auto" w:fill="EEF1F6"/>
            <w:noWrap/>
            <w:vAlign w:val="center"/>
            <w:hideMark/>
          </w:tcPr>
          <w:p w14:paraId="4CBCC7F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624" w:type="pct"/>
            <w:gridSpan w:val="2"/>
            <w:tcBorders>
              <w:bottom w:val="single" w:sz="4" w:space="0" w:color="auto"/>
            </w:tcBorders>
            <w:shd w:val="clear" w:color="auto" w:fill="EEF1F6"/>
            <w:noWrap/>
            <w:vAlign w:val="center"/>
            <w:hideMark/>
          </w:tcPr>
          <w:p w14:paraId="014F3D3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r>
      <w:tr w:rsidR="00761800" w:rsidRPr="00761800" w14:paraId="2FB1DA55" w14:textId="77777777" w:rsidTr="00406B4D">
        <w:trPr>
          <w:trHeight w:val="302"/>
        </w:trPr>
        <w:tc>
          <w:tcPr>
            <w:tcW w:w="1611" w:type="pct"/>
            <w:tcBorders>
              <w:top w:val="single" w:sz="4" w:space="0" w:color="auto"/>
            </w:tcBorders>
            <w:shd w:val="clear" w:color="auto" w:fill="auto"/>
            <w:noWrap/>
            <w:vAlign w:val="center"/>
            <w:hideMark/>
          </w:tcPr>
          <w:p w14:paraId="24B4F6F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Дълг с матуритет до 1 г.</w:t>
            </w:r>
          </w:p>
        </w:tc>
        <w:tc>
          <w:tcPr>
            <w:tcW w:w="576" w:type="pct"/>
            <w:tcBorders>
              <w:top w:val="single" w:sz="4" w:space="0" w:color="auto"/>
            </w:tcBorders>
            <w:shd w:val="clear" w:color="auto" w:fill="auto"/>
            <w:noWrap/>
            <w:vAlign w:val="bottom"/>
          </w:tcPr>
          <w:p w14:paraId="4D721507" w14:textId="77777777" w:rsidR="00761800" w:rsidRPr="00761800" w:rsidRDefault="00761800" w:rsidP="00761800">
            <w:pPr>
              <w:jc w:val="right"/>
              <w:rPr>
                <w:rFonts w:ascii="Times New Roman" w:hAnsi="Times New Roman"/>
                <w:sz w:val="20"/>
                <w:lang w:eastAsia="bg-BG"/>
              </w:rPr>
            </w:pPr>
          </w:p>
        </w:tc>
        <w:tc>
          <w:tcPr>
            <w:tcW w:w="491" w:type="pct"/>
            <w:gridSpan w:val="3"/>
            <w:tcBorders>
              <w:top w:val="single" w:sz="4" w:space="0" w:color="auto"/>
            </w:tcBorders>
            <w:shd w:val="clear" w:color="auto" w:fill="auto"/>
            <w:noWrap/>
            <w:hideMark/>
          </w:tcPr>
          <w:p w14:paraId="2C9D7E1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7,2%</w:t>
            </w:r>
          </w:p>
        </w:tc>
        <w:tc>
          <w:tcPr>
            <w:tcW w:w="547" w:type="pct"/>
            <w:gridSpan w:val="3"/>
            <w:tcBorders>
              <w:top w:val="nil"/>
              <w:left w:val="nil"/>
              <w:bottom w:val="nil"/>
              <w:right w:val="nil"/>
            </w:tcBorders>
            <w:shd w:val="clear" w:color="auto" w:fill="auto"/>
            <w:noWrap/>
          </w:tcPr>
          <w:p w14:paraId="30FB1C5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4,1%</w:t>
            </w:r>
          </w:p>
        </w:tc>
        <w:tc>
          <w:tcPr>
            <w:tcW w:w="546" w:type="pct"/>
            <w:gridSpan w:val="3"/>
            <w:tcBorders>
              <w:top w:val="single" w:sz="4" w:space="0" w:color="auto"/>
            </w:tcBorders>
            <w:shd w:val="clear" w:color="auto" w:fill="auto"/>
            <w:noWrap/>
          </w:tcPr>
          <w:p w14:paraId="2C79E86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4,4%</w:t>
            </w:r>
          </w:p>
        </w:tc>
        <w:tc>
          <w:tcPr>
            <w:tcW w:w="606" w:type="pct"/>
            <w:gridSpan w:val="2"/>
            <w:tcBorders>
              <w:top w:val="single" w:sz="4" w:space="0" w:color="auto"/>
            </w:tcBorders>
            <w:shd w:val="clear" w:color="auto" w:fill="auto"/>
            <w:noWrap/>
          </w:tcPr>
          <w:p w14:paraId="5BD4975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w:t>
            </w:r>
            <w:r w:rsidRPr="00761800">
              <w:rPr>
                <w:rFonts w:ascii="Times New Roman" w:hAnsi="Times New Roman"/>
                <w:sz w:val="20"/>
                <w:lang w:val="en-US" w:eastAsia="bg-BG"/>
              </w:rPr>
              <w:t>6</w:t>
            </w:r>
            <w:r w:rsidRPr="00761800">
              <w:rPr>
                <w:rFonts w:ascii="Times New Roman" w:hAnsi="Times New Roman"/>
                <w:sz w:val="20"/>
                <w:lang w:eastAsia="bg-BG"/>
              </w:rPr>
              <w:t>%</w:t>
            </w:r>
          </w:p>
        </w:tc>
        <w:tc>
          <w:tcPr>
            <w:tcW w:w="624" w:type="pct"/>
            <w:gridSpan w:val="2"/>
            <w:tcBorders>
              <w:top w:val="single" w:sz="4" w:space="0" w:color="auto"/>
            </w:tcBorders>
            <w:shd w:val="clear" w:color="auto" w:fill="auto"/>
            <w:noWrap/>
          </w:tcPr>
          <w:p w14:paraId="05BFF1F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w:t>
            </w:r>
            <w:r w:rsidRPr="00761800">
              <w:rPr>
                <w:rFonts w:ascii="Times New Roman" w:hAnsi="Times New Roman"/>
                <w:sz w:val="20"/>
                <w:lang w:val="en-US" w:eastAsia="bg-BG"/>
              </w:rPr>
              <w:t>6</w:t>
            </w:r>
            <w:r w:rsidRPr="00761800">
              <w:rPr>
                <w:rFonts w:ascii="Times New Roman" w:hAnsi="Times New Roman"/>
                <w:sz w:val="20"/>
                <w:lang w:eastAsia="bg-BG"/>
              </w:rPr>
              <w:t>%</w:t>
            </w:r>
          </w:p>
        </w:tc>
      </w:tr>
      <w:tr w:rsidR="00761800" w:rsidRPr="00761800" w14:paraId="7F61017F" w14:textId="77777777" w:rsidTr="00406B4D">
        <w:trPr>
          <w:trHeight w:val="302"/>
        </w:trPr>
        <w:tc>
          <w:tcPr>
            <w:tcW w:w="1611" w:type="pct"/>
            <w:shd w:val="clear" w:color="auto" w:fill="auto"/>
            <w:noWrap/>
            <w:vAlign w:val="center"/>
            <w:hideMark/>
          </w:tcPr>
          <w:p w14:paraId="5511CDA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Дълг с матуритет от 1 до 5 г.</w:t>
            </w:r>
          </w:p>
        </w:tc>
        <w:tc>
          <w:tcPr>
            <w:tcW w:w="576" w:type="pct"/>
            <w:shd w:val="clear" w:color="auto" w:fill="auto"/>
            <w:noWrap/>
            <w:vAlign w:val="bottom"/>
          </w:tcPr>
          <w:p w14:paraId="270BC3FB"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hideMark/>
          </w:tcPr>
          <w:p w14:paraId="096A4A2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29,1%</w:t>
            </w:r>
          </w:p>
        </w:tc>
        <w:tc>
          <w:tcPr>
            <w:tcW w:w="547" w:type="pct"/>
            <w:gridSpan w:val="3"/>
            <w:tcBorders>
              <w:top w:val="nil"/>
              <w:left w:val="nil"/>
              <w:bottom w:val="nil"/>
              <w:right w:val="nil"/>
            </w:tcBorders>
            <w:shd w:val="clear" w:color="auto" w:fill="auto"/>
            <w:noWrap/>
          </w:tcPr>
          <w:p w14:paraId="4DAA949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26,1%</w:t>
            </w:r>
          </w:p>
        </w:tc>
        <w:tc>
          <w:tcPr>
            <w:tcW w:w="546" w:type="pct"/>
            <w:gridSpan w:val="3"/>
            <w:shd w:val="clear" w:color="auto" w:fill="auto"/>
            <w:noWrap/>
          </w:tcPr>
          <w:p w14:paraId="2412BB4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val="en-US" w:eastAsia="bg-BG"/>
              </w:rPr>
              <w:t>25</w:t>
            </w:r>
            <w:r w:rsidRPr="00761800">
              <w:rPr>
                <w:rFonts w:ascii="Times New Roman" w:hAnsi="Times New Roman"/>
                <w:sz w:val="20"/>
                <w:lang w:eastAsia="bg-BG"/>
              </w:rPr>
              <w:t>,</w:t>
            </w:r>
            <w:r w:rsidRPr="00761800">
              <w:rPr>
                <w:rFonts w:ascii="Times New Roman" w:hAnsi="Times New Roman"/>
                <w:sz w:val="20"/>
                <w:lang w:val="en-US" w:eastAsia="bg-BG"/>
              </w:rPr>
              <w:t>4</w:t>
            </w:r>
            <w:r w:rsidRPr="00761800">
              <w:rPr>
                <w:rFonts w:ascii="Times New Roman" w:hAnsi="Times New Roman"/>
                <w:sz w:val="20"/>
                <w:lang w:eastAsia="bg-BG"/>
              </w:rPr>
              <w:t>%</w:t>
            </w:r>
          </w:p>
        </w:tc>
        <w:tc>
          <w:tcPr>
            <w:tcW w:w="606" w:type="pct"/>
            <w:gridSpan w:val="2"/>
            <w:shd w:val="clear" w:color="auto" w:fill="auto"/>
            <w:noWrap/>
          </w:tcPr>
          <w:p w14:paraId="7DA7272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val="en-US" w:eastAsia="bg-BG"/>
              </w:rPr>
              <w:t>21</w:t>
            </w:r>
            <w:r w:rsidRPr="00761800">
              <w:rPr>
                <w:rFonts w:ascii="Times New Roman" w:hAnsi="Times New Roman"/>
                <w:sz w:val="20"/>
                <w:lang w:eastAsia="bg-BG"/>
              </w:rPr>
              <w:t>,</w:t>
            </w:r>
            <w:r w:rsidRPr="00761800">
              <w:rPr>
                <w:rFonts w:ascii="Times New Roman" w:hAnsi="Times New Roman"/>
                <w:sz w:val="20"/>
                <w:lang w:val="en-US" w:eastAsia="bg-BG"/>
              </w:rPr>
              <w:t>5</w:t>
            </w:r>
            <w:r w:rsidRPr="00761800">
              <w:rPr>
                <w:rFonts w:ascii="Times New Roman" w:hAnsi="Times New Roman"/>
                <w:sz w:val="20"/>
                <w:lang w:eastAsia="bg-BG"/>
              </w:rPr>
              <w:t>%</w:t>
            </w:r>
          </w:p>
        </w:tc>
        <w:tc>
          <w:tcPr>
            <w:tcW w:w="624" w:type="pct"/>
            <w:gridSpan w:val="2"/>
            <w:shd w:val="clear" w:color="auto" w:fill="auto"/>
            <w:noWrap/>
          </w:tcPr>
          <w:p w14:paraId="1096AC6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18,0%</w:t>
            </w:r>
          </w:p>
        </w:tc>
      </w:tr>
      <w:tr w:rsidR="00761800" w:rsidRPr="00761800" w14:paraId="3F8008E6" w14:textId="77777777" w:rsidTr="00406B4D">
        <w:trPr>
          <w:trHeight w:val="302"/>
        </w:trPr>
        <w:tc>
          <w:tcPr>
            <w:tcW w:w="1611" w:type="pct"/>
            <w:shd w:val="clear" w:color="auto" w:fill="auto"/>
            <w:noWrap/>
            <w:vAlign w:val="center"/>
            <w:hideMark/>
          </w:tcPr>
          <w:p w14:paraId="47835EA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Дълг с матуритет от 5 до 10 г.</w:t>
            </w:r>
          </w:p>
        </w:tc>
        <w:tc>
          <w:tcPr>
            <w:tcW w:w="576" w:type="pct"/>
            <w:shd w:val="clear" w:color="auto" w:fill="auto"/>
            <w:noWrap/>
            <w:vAlign w:val="bottom"/>
          </w:tcPr>
          <w:p w14:paraId="15D3B7F1"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hideMark/>
          </w:tcPr>
          <w:p w14:paraId="764448A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31,4%</w:t>
            </w:r>
          </w:p>
        </w:tc>
        <w:tc>
          <w:tcPr>
            <w:tcW w:w="547" w:type="pct"/>
            <w:gridSpan w:val="3"/>
            <w:tcBorders>
              <w:top w:val="nil"/>
              <w:left w:val="nil"/>
              <w:bottom w:val="nil"/>
              <w:right w:val="nil"/>
            </w:tcBorders>
            <w:shd w:val="clear" w:color="auto" w:fill="auto"/>
            <w:noWrap/>
          </w:tcPr>
          <w:p w14:paraId="34A4200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39,4%</w:t>
            </w:r>
          </w:p>
        </w:tc>
        <w:tc>
          <w:tcPr>
            <w:tcW w:w="546" w:type="pct"/>
            <w:gridSpan w:val="3"/>
            <w:shd w:val="clear" w:color="auto" w:fill="auto"/>
            <w:noWrap/>
          </w:tcPr>
          <w:p w14:paraId="176DCC5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37,5%</w:t>
            </w:r>
          </w:p>
        </w:tc>
        <w:tc>
          <w:tcPr>
            <w:tcW w:w="606" w:type="pct"/>
            <w:gridSpan w:val="2"/>
            <w:shd w:val="clear" w:color="auto" w:fill="auto"/>
            <w:noWrap/>
          </w:tcPr>
          <w:p w14:paraId="6A45F67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31,5%</w:t>
            </w:r>
          </w:p>
        </w:tc>
        <w:tc>
          <w:tcPr>
            <w:tcW w:w="624" w:type="pct"/>
            <w:gridSpan w:val="2"/>
            <w:shd w:val="clear" w:color="auto" w:fill="auto"/>
            <w:noWrap/>
          </w:tcPr>
          <w:p w14:paraId="190DBFB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30,1%</w:t>
            </w:r>
          </w:p>
        </w:tc>
      </w:tr>
      <w:tr w:rsidR="00761800" w:rsidRPr="00761800" w14:paraId="776693D7" w14:textId="77777777" w:rsidTr="00406B4D">
        <w:trPr>
          <w:trHeight w:val="317"/>
        </w:trPr>
        <w:tc>
          <w:tcPr>
            <w:tcW w:w="1611" w:type="pct"/>
            <w:shd w:val="clear" w:color="auto" w:fill="auto"/>
            <w:noWrap/>
            <w:vAlign w:val="center"/>
            <w:hideMark/>
          </w:tcPr>
          <w:p w14:paraId="2DE2355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Дълг с матуритет над 10 г.</w:t>
            </w:r>
          </w:p>
        </w:tc>
        <w:tc>
          <w:tcPr>
            <w:tcW w:w="576" w:type="pct"/>
            <w:shd w:val="clear" w:color="auto" w:fill="auto"/>
            <w:noWrap/>
            <w:vAlign w:val="bottom"/>
          </w:tcPr>
          <w:p w14:paraId="5A257058"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hideMark/>
          </w:tcPr>
          <w:p w14:paraId="6953D81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32,4%</w:t>
            </w:r>
          </w:p>
        </w:tc>
        <w:tc>
          <w:tcPr>
            <w:tcW w:w="547" w:type="pct"/>
            <w:gridSpan w:val="3"/>
            <w:tcBorders>
              <w:top w:val="nil"/>
              <w:left w:val="nil"/>
              <w:bottom w:val="nil"/>
              <w:right w:val="nil"/>
            </w:tcBorders>
            <w:shd w:val="clear" w:color="auto" w:fill="auto"/>
            <w:noWrap/>
          </w:tcPr>
          <w:p w14:paraId="5095579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30,4%</w:t>
            </w:r>
          </w:p>
        </w:tc>
        <w:tc>
          <w:tcPr>
            <w:tcW w:w="546" w:type="pct"/>
            <w:gridSpan w:val="3"/>
            <w:shd w:val="clear" w:color="auto" w:fill="auto"/>
            <w:noWrap/>
          </w:tcPr>
          <w:p w14:paraId="0C4F5F3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32,8%</w:t>
            </w:r>
          </w:p>
        </w:tc>
        <w:tc>
          <w:tcPr>
            <w:tcW w:w="606" w:type="pct"/>
            <w:gridSpan w:val="2"/>
            <w:shd w:val="clear" w:color="auto" w:fill="auto"/>
            <w:noWrap/>
          </w:tcPr>
          <w:p w14:paraId="5C05268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41,3%</w:t>
            </w:r>
          </w:p>
        </w:tc>
        <w:tc>
          <w:tcPr>
            <w:tcW w:w="624" w:type="pct"/>
            <w:gridSpan w:val="2"/>
            <w:shd w:val="clear" w:color="auto" w:fill="auto"/>
            <w:noWrap/>
          </w:tcPr>
          <w:p w14:paraId="4CA52AC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46,3%</w:t>
            </w:r>
          </w:p>
        </w:tc>
      </w:tr>
      <w:tr w:rsidR="00761800" w:rsidRPr="00761800" w14:paraId="51C1ECA7" w14:textId="77777777" w:rsidTr="00761800">
        <w:trPr>
          <w:trHeight w:val="333"/>
        </w:trPr>
        <w:tc>
          <w:tcPr>
            <w:tcW w:w="2349" w:type="pct"/>
            <w:gridSpan w:val="3"/>
            <w:tcBorders>
              <w:top w:val="single" w:sz="4" w:space="0" w:color="auto"/>
              <w:bottom w:val="single" w:sz="4" w:space="0" w:color="auto"/>
            </w:tcBorders>
            <w:shd w:val="clear" w:color="auto" w:fill="EEF1F6"/>
            <w:noWrap/>
            <w:vAlign w:val="center"/>
            <w:hideMark/>
          </w:tcPr>
          <w:p w14:paraId="35429BD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xml:space="preserve">Структура на дълга по видове инструменти </w:t>
            </w:r>
          </w:p>
        </w:tc>
        <w:tc>
          <w:tcPr>
            <w:tcW w:w="455" w:type="pct"/>
            <w:gridSpan w:val="3"/>
            <w:tcBorders>
              <w:top w:val="single" w:sz="4" w:space="0" w:color="auto"/>
              <w:bottom w:val="single" w:sz="4" w:space="0" w:color="auto"/>
            </w:tcBorders>
            <w:shd w:val="clear" w:color="auto" w:fill="EEF1F6"/>
            <w:noWrap/>
            <w:vAlign w:val="center"/>
            <w:hideMark/>
          </w:tcPr>
          <w:p w14:paraId="57623165"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533" w:type="pct"/>
            <w:gridSpan w:val="3"/>
            <w:tcBorders>
              <w:top w:val="single" w:sz="4" w:space="0" w:color="auto"/>
              <w:bottom w:val="single" w:sz="4" w:space="0" w:color="auto"/>
            </w:tcBorders>
            <w:shd w:val="clear" w:color="auto" w:fill="EEF1F6"/>
            <w:noWrap/>
            <w:vAlign w:val="center"/>
            <w:hideMark/>
          </w:tcPr>
          <w:p w14:paraId="6D0DCDC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579" w:type="pct"/>
            <w:gridSpan w:val="3"/>
            <w:tcBorders>
              <w:top w:val="single" w:sz="4" w:space="0" w:color="auto"/>
              <w:bottom w:val="single" w:sz="4" w:space="0" w:color="auto"/>
            </w:tcBorders>
            <w:shd w:val="clear" w:color="auto" w:fill="EEF1F6"/>
            <w:noWrap/>
            <w:vAlign w:val="center"/>
            <w:hideMark/>
          </w:tcPr>
          <w:p w14:paraId="459D10B5"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592" w:type="pct"/>
            <w:gridSpan w:val="2"/>
            <w:tcBorders>
              <w:top w:val="single" w:sz="4" w:space="0" w:color="auto"/>
              <w:bottom w:val="single" w:sz="4" w:space="0" w:color="auto"/>
            </w:tcBorders>
            <w:shd w:val="clear" w:color="auto" w:fill="EEF1F6"/>
            <w:noWrap/>
            <w:vAlign w:val="center"/>
            <w:hideMark/>
          </w:tcPr>
          <w:p w14:paraId="3596C480"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490" w:type="pct"/>
            <w:tcBorders>
              <w:top w:val="single" w:sz="4" w:space="0" w:color="auto"/>
              <w:bottom w:val="single" w:sz="4" w:space="0" w:color="auto"/>
            </w:tcBorders>
            <w:shd w:val="clear" w:color="auto" w:fill="EEF1F6"/>
            <w:noWrap/>
            <w:vAlign w:val="center"/>
            <w:hideMark/>
          </w:tcPr>
          <w:p w14:paraId="73FD26AF"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r>
      <w:tr w:rsidR="00761800" w:rsidRPr="00761800" w14:paraId="348361B1" w14:textId="77777777" w:rsidTr="00406B4D">
        <w:trPr>
          <w:trHeight w:val="302"/>
        </w:trPr>
        <w:tc>
          <w:tcPr>
            <w:tcW w:w="1611" w:type="pct"/>
            <w:tcBorders>
              <w:top w:val="single" w:sz="4" w:space="0" w:color="auto"/>
            </w:tcBorders>
            <w:shd w:val="clear" w:color="auto" w:fill="auto"/>
            <w:noWrap/>
            <w:vAlign w:val="center"/>
            <w:hideMark/>
          </w:tcPr>
          <w:p w14:paraId="17A09DD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Облигации, емитирани на МКП</w:t>
            </w:r>
          </w:p>
        </w:tc>
        <w:tc>
          <w:tcPr>
            <w:tcW w:w="576" w:type="pct"/>
            <w:tcBorders>
              <w:top w:val="single" w:sz="4" w:space="0" w:color="auto"/>
            </w:tcBorders>
            <w:shd w:val="clear" w:color="auto" w:fill="auto"/>
            <w:noWrap/>
            <w:vAlign w:val="bottom"/>
          </w:tcPr>
          <w:p w14:paraId="07D4B693" w14:textId="77777777" w:rsidR="00761800" w:rsidRPr="00761800" w:rsidRDefault="00761800" w:rsidP="00761800">
            <w:pPr>
              <w:jc w:val="right"/>
              <w:rPr>
                <w:rFonts w:ascii="Times New Roman" w:hAnsi="Times New Roman"/>
                <w:sz w:val="20"/>
                <w:lang w:eastAsia="bg-BG"/>
              </w:rPr>
            </w:pPr>
          </w:p>
        </w:tc>
        <w:tc>
          <w:tcPr>
            <w:tcW w:w="491" w:type="pct"/>
            <w:gridSpan w:val="3"/>
            <w:tcBorders>
              <w:top w:val="single" w:sz="4" w:space="0" w:color="auto"/>
            </w:tcBorders>
            <w:shd w:val="clear" w:color="auto" w:fill="auto"/>
            <w:noWrap/>
            <w:vAlign w:val="bottom"/>
            <w:hideMark/>
          </w:tcPr>
          <w:p w14:paraId="066CDAF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65,0%</w:t>
            </w:r>
          </w:p>
        </w:tc>
        <w:tc>
          <w:tcPr>
            <w:tcW w:w="547" w:type="pct"/>
            <w:gridSpan w:val="3"/>
            <w:tcBorders>
              <w:top w:val="nil"/>
              <w:left w:val="nil"/>
              <w:bottom w:val="nil"/>
              <w:right w:val="nil"/>
            </w:tcBorders>
            <w:shd w:val="clear" w:color="auto" w:fill="auto"/>
            <w:noWrap/>
            <w:vAlign w:val="bottom"/>
          </w:tcPr>
          <w:p w14:paraId="19197DC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72,5%</w:t>
            </w:r>
          </w:p>
        </w:tc>
        <w:tc>
          <w:tcPr>
            <w:tcW w:w="546" w:type="pct"/>
            <w:gridSpan w:val="3"/>
            <w:tcBorders>
              <w:top w:val="single" w:sz="4" w:space="0" w:color="auto"/>
            </w:tcBorders>
            <w:shd w:val="clear" w:color="auto" w:fill="auto"/>
            <w:noWrap/>
            <w:vAlign w:val="bottom"/>
          </w:tcPr>
          <w:p w14:paraId="01FB877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73,4%</w:t>
            </w:r>
          </w:p>
        </w:tc>
        <w:tc>
          <w:tcPr>
            <w:tcW w:w="606" w:type="pct"/>
            <w:gridSpan w:val="2"/>
            <w:tcBorders>
              <w:top w:val="single" w:sz="4" w:space="0" w:color="auto"/>
            </w:tcBorders>
            <w:shd w:val="clear" w:color="auto" w:fill="auto"/>
            <w:noWrap/>
            <w:vAlign w:val="bottom"/>
          </w:tcPr>
          <w:p w14:paraId="298905A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75,1%</w:t>
            </w:r>
          </w:p>
        </w:tc>
        <w:tc>
          <w:tcPr>
            <w:tcW w:w="624" w:type="pct"/>
            <w:gridSpan w:val="2"/>
            <w:tcBorders>
              <w:top w:val="single" w:sz="4" w:space="0" w:color="auto"/>
            </w:tcBorders>
            <w:shd w:val="clear" w:color="auto" w:fill="auto"/>
            <w:noWrap/>
            <w:vAlign w:val="bottom"/>
          </w:tcPr>
          <w:p w14:paraId="08AB73B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79,2%</w:t>
            </w:r>
          </w:p>
        </w:tc>
      </w:tr>
      <w:tr w:rsidR="00761800" w:rsidRPr="00761800" w14:paraId="3FD0155A" w14:textId="77777777" w:rsidTr="00406B4D">
        <w:trPr>
          <w:trHeight w:val="302"/>
        </w:trPr>
        <w:tc>
          <w:tcPr>
            <w:tcW w:w="1611" w:type="pct"/>
            <w:shd w:val="clear" w:color="auto" w:fill="auto"/>
            <w:noWrap/>
            <w:vAlign w:val="center"/>
            <w:hideMark/>
          </w:tcPr>
          <w:p w14:paraId="2F4782D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ДЦК, емитирани на вътр. пазар</w:t>
            </w:r>
          </w:p>
        </w:tc>
        <w:tc>
          <w:tcPr>
            <w:tcW w:w="576" w:type="pct"/>
            <w:shd w:val="clear" w:color="auto" w:fill="auto"/>
            <w:noWrap/>
            <w:vAlign w:val="bottom"/>
          </w:tcPr>
          <w:p w14:paraId="65734D24"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vAlign w:val="bottom"/>
            <w:hideMark/>
          </w:tcPr>
          <w:p w14:paraId="1363528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25,2%</w:t>
            </w:r>
          </w:p>
        </w:tc>
        <w:tc>
          <w:tcPr>
            <w:tcW w:w="547" w:type="pct"/>
            <w:gridSpan w:val="3"/>
            <w:tcBorders>
              <w:top w:val="nil"/>
              <w:left w:val="nil"/>
              <w:bottom w:val="nil"/>
              <w:right w:val="nil"/>
            </w:tcBorders>
            <w:shd w:val="clear" w:color="auto" w:fill="auto"/>
            <w:noWrap/>
            <w:vAlign w:val="bottom"/>
          </w:tcPr>
          <w:p w14:paraId="6461762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19,3%</w:t>
            </w:r>
          </w:p>
        </w:tc>
        <w:tc>
          <w:tcPr>
            <w:tcW w:w="546" w:type="pct"/>
            <w:gridSpan w:val="3"/>
            <w:shd w:val="clear" w:color="auto" w:fill="auto"/>
            <w:noWrap/>
            <w:vAlign w:val="bottom"/>
          </w:tcPr>
          <w:p w14:paraId="09FDCA9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17,7%</w:t>
            </w:r>
          </w:p>
        </w:tc>
        <w:tc>
          <w:tcPr>
            <w:tcW w:w="606" w:type="pct"/>
            <w:gridSpan w:val="2"/>
            <w:shd w:val="clear" w:color="auto" w:fill="auto"/>
            <w:noWrap/>
            <w:vAlign w:val="bottom"/>
          </w:tcPr>
          <w:p w14:paraId="6851232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17,6%</w:t>
            </w:r>
          </w:p>
        </w:tc>
        <w:tc>
          <w:tcPr>
            <w:tcW w:w="624" w:type="pct"/>
            <w:gridSpan w:val="2"/>
            <w:shd w:val="clear" w:color="auto" w:fill="auto"/>
            <w:noWrap/>
            <w:vAlign w:val="bottom"/>
          </w:tcPr>
          <w:p w14:paraId="0BBF2A8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14,1%</w:t>
            </w:r>
          </w:p>
        </w:tc>
      </w:tr>
      <w:tr w:rsidR="00761800" w:rsidRPr="00761800" w14:paraId="7DC2EAA2" w14:textId="77777777" w:rsidTr="00406B4D">
        <w:trPr>
          <w:trHeight w:val="302"/>
        </w:trPr>
        <w:tc>
          <w:tcPr>
            <w:tcW w:w="1611" w:type="pct"/>
            <w:shd w:val="clear" w:color="auto" w:fill="auto"/>
            <w:noWrap/>
            <w:vAlign w:val="center"/>
            <w:hideMark/>
          </w:tcPr>
          <w:p w14:paraId="2CCFE50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Държавни заеми</w:t>
            </w:r>
          </w:p>
        </w:tc>
        <w:tc>
          <w:tcPr>
            <w:tcW w:w="576" w:type="pct"/>
            <w:shd w:val="clear" w:color="auto" w:fill="auto"/>
            <w:noWrap/>
            <w:vAlign w:val="bottom"/>
          </w:tcPr>
          <w:p w14:paraId="3E921463"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vAlign w:val="bottom"/>
            <w:hideMark/>
          </w:tcPr>
          <w:p w14:paraId="0524E17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8,8%</w:t>
            </w:r>
          </w:p>
        </w:tc>
        <w:tc>
          <w:tcPr>
            <w:tcW w:w="547" w:type="pct"/>
            <w:gridSpan w:val="3"/>
            <w:tcBorders>
              <w:top w:val="nil"/>
              <w:left w:val="nil"/>
              <w:bottom w:val="nil"/>
              <w:right w:val="nil"/>
            </w:tcBorders>
            <w:shd w:val="clear" w:color="auto" w:fill="auto"/>
            <w:noWrap/>
            <w:vAlign w:val="bottom"/>
          </w:tcPr>
          <w:p w14:paraId="72E9B73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7,6%</w:t>
            </w:r>
          </w:p>
        </w:tc>
        <w:tc>
          <w:tcPr>
            <w:tcW w:w="546" w:type="pct"/>
            <w:gridSpan w:val="3"/>
            <w:shd w:val="clear" w:color="auto" w:fill="auto"/>
            <w:noWrap/>
            <w:vAlign w:val="bottom"/>
          </w:tcPr>
          <w:p w14:paraId="0B25B86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8,4%</w:t>
            </w:r>
          </w:p>
        </w:tc>
        <w:tc>
          <w:tcPr>
            <w:tcW w:w="606" w:type="pct"/>
            <w:gridSpan w:val="2"/>
            <w:shd w:val="clear" w:color="auto" w:fill="auto"/>
            <w:noWrap/>
            <w:vAlign w:val="bottom"/>
          </w:tcPr>
          <w:p w14:paraId="41202CF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6,9%</w:t>
            </w:r>
          </w:p>
        </w:tc>
        <w:tc>
          <w:tcPr>
            <w:tcW w:w="624" w:type="pct"/>
            <w:gridSpan w:val="2"/>
            <w:shd w:val="clear" w:color="auto" w:fill="auto"/>
            <w:noWrap/>
            <w:vAlign w:val="bottom"/>
          </w:tcPr>
          <w:p w14:paraId="0A691E7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6,5%</w:t>
            </w:r>
          </w:p>
        </w:tc>
      </w:tr>
      <w:tr w:rsidR="00761800" w:rsidRPr="00761800" w14:paraId="664EEE26" w14:textId="77777777" w:rsidTr="00406B4D">
        <w:trPr>
          <w:trHeight w:val="317"/>
        </w:trPr>
        <w:tc>
          <w:tcPr>
            <w:tcW w:w="1611" w:type="pct"/>
            <w:shd w:val="clear" w:color="auto" w:fill="auto"/>
            <w:noWrap/>
            <w:vAlign w:val="center"/>
            <w:hideMark/>
          </w:tcPr>
          <w:p w14:paraId="39B0518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Държавни инвестиционни заеми</w:t>
            </w:r>
          </w:p>
        </w:tc>
        <w:tc>
          <w:tcPr>
            <w:tcW w:w="576" w:type="pct"/>
            <w:shd w:val="clear" w:color="auto" w:fill="auto"/>
            <w:noWrap/>
            <w:vAlign w:val="bottom"/>
          </w:tcPr>
          <w:p w14:paraId="3C344125"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vAlign w:val="bottom"/>
            <w:hideMark/>
          </w:tcPr>
          <w:p w14:paraId="3BB3FC8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1,0%</w:t>
            </w:r>
          </w:p>
        </w:tc>
        <w:tc>
          <w:tcPr>
            <w:tcW w:w="547" w:type="pct"/>
            <w:gridSpan w:val="3"/>
            <w:tcBorders>
              <w:top w:val="nil"/>
              <w:left w:val="nil"/>
              <w:bottom w:val="nil"/>
              <w:right w:val="nil"/>
            </w:tcBorders>
            <w:shd w:val="clear" w:color="auto" w:fill="auto"/>
            <w:noWrap/>
            <w:vAlign w:val="bottom"/>
          </w:tcPr>
          <w:p w14:paraId="02EAFFC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0,6%</w:t>
            </w:r>
          </w:p>
        </w:tc>
        <w:tc>
          <w:tcPr>
            <w:tcW w:w="546" w:type="pct"/>
            <w:gridSpan w:val="3"/>
            <w:shd w:val="clear" w:color="auto" w:fill="auto"/>
            <w:noWrap/>
            <w:vAlign w:val="bottom"/>
          </w:tcPr>
          <w:p w14:paraId="0C63A5D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0,5%</w:t>
            </w:r>
          </w:p>
        </w:tc>
        <w:tc>
          <w:tcPr>
            <w:tcW w:w="606" w:type="pct"/>
            <w:gridSpan w:val="2"/>
            <w:shd w:val="clear" w:color="auto" w:fill="auto"/>
            <w:noWrap/>
            <w:vAlign w:val="bottom"/>
          </w:tcPr>
          <w:p w14:paraId="65DD676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0,3%</w:t>
            </w:r>
          </w:p>
        </w:tc>
        <w:tc>
          <w:tcPr>
            <w:tcW w:w="624" w:type="pct"/>
            <w:gridSpan w:val="2"/>
            <w:shd w:val="clear" w:color="auto" w:fill="auto"/>
            <w:noWrap/>
            <w:vAlign w:val="bottom"/>
          </w:tcPr>
          <w:p w14:paraId="79D4730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0,2%</w:t>
            </w:r>
          </w:p>
        </w:tc>
      </w:tr>
      <w:tr w:rsidR="00761800" w:rsidRPr="00761800" w14:paraId="6E8CD95F" w14:textId="77777777" w:rsidTr="00761800">
        <w:trPr>
          <w:trHeight w:val="333"/>
        </w:trPr>
        <w:tc>
          <w:tcPr>
            <w:tcW w:w="1611" w:type="pct"/>
            <w:tcBorders>
              <w:top w:val="single" w:sz="4" w:space="0" w:color="auto"/>
              <w:bottom w:val="single" w:sz="4" w:space="0" w:color="auto"/>
            </w:tcBorders>
            <w:shd w:val="clear" w:color="auto" w:fill="EEF1F6"/>
            <w:noWrap/>
            <w:vAlign w:val="center"/>
            <w:hideMark/>
          </w:tcPr>
          <w:p w14:paraId="7D1310A0"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Лихвена структура</w:t>
            </w:r>
          </w:p>
        </w:tc>
        <w:tc>
          <w:tcPr>
            <w:tcW w:w="576" w:type="pct"/>
            <w:tcBorders>
              <w:top w:val="single" w:sz="4" w:space="0" w:color="auto"/>
              <w:bottom w:val="single" w:sz="4" w:space="0" w:color="auto"/>
            </w:tcBorders>
            <w:shd w:val="clear" w:color="auto" w:fill="EEF1F6"/>
            <w:noWrap/>
            <w:vAlign w:val="center"/>
          </w:tcPr>
          <w:p w14:paraId="5F71CEBF" w14:textId="77777777" w:rsidR="00761800" w:rsidRPr="00761800" w:rsidRDefault="00761800" w:rsidP="00761800">
            <w:pPr>
              <w:rPr>
                <w:rFonts w:ascii="Times New Roman" w:hAnsi="Times New Roman"/>
                <w:b/>
                <w:bCs/>
                <w:sz w:val="20"/>
                <w:lang w:eastAsia="bg-BG"/>
              </w:rPr>
            </w:pPr>
          </w:p>
        </w:tc>
        <w:tc>
          <w:tcPr>
            <w:tcW w:w="491" w:type="pct"/>
            <w:gridSpan w:val="3"/>
            <w:tcBorders>
              <w:top w:val="single" w:sz="4" w:space="0" w:color="auto"/>
              <w:bottom w:val="single" w:sz="4" w:space="0" w:color="auto"/>
            </w:tcBorders>
            <w:shd w:val="clear" w:color="auto" w:fill="EEF1F6"/>
            <w:noWrap/>
            <w:vAlign w:val="center"/>
            <w:hideMark/>
          </w:tcPr>
          <w:p w14:paraId="2C1562B5"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547" w:type="pct"/>
            <w:gridSpan w:val="3"/>
            <w:tcBorders>
              <w:top w:val="single" w:sz="4" w:space="0" w:color="auto"/>
              <w:bottom w:val="single" w:sz="4" w:space="0" w:color="auto"/>
            </w:tcBorders>
            <w:shd w:val="clear" w:color="auto" w:fill="EEF1F6"/>
            <w:noWrap/>
            <w:vAlign w:val="center"/>
            <w:hideMark/>
          </w:tcPr>
          <w:p w14:paraId="4B78941E"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546" w:type="pct"/>
            <w:gridSpan w:val="3"/>
            <w:tcBorders>
              <w:top w:val="single" w:sz="4" w:space="0" w:color="auto"/>
              <w:bottom w:val="single" w:sz="4" w:space="0" w:color="auto"/>
            </w:tcBorders>
            <w:shd w:val="clear" w:color="auto" w:fill="EEF1F6"/>
            <w:noWrap/>
            <w:vAlign w:val="center"/>
            <w:hideMark/>
          </w:tcPr>
          <w:p w14:paraId="6BD71EFC"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606" w:type="pct"/>
            <w:gridSpan w:val="2"/>
            <w:tcBorders>
              <w:top w:val="single" w:sz="4" w:space="0" w:color="auto"/>
              <w:bottom w:val="single" w:sz="4" w:space="0" w:color="auto"/>
            </w:tcBorders>
            <w:shd w:val="clear" w:color="auto" w:fill="EEF1F6"/>
            <w:noWrap/>
            <w:vAlign w:val="center"/>
            <w:hideMark/>
          </w:tcPr>
          <w:p w14:paraId="36CC8C7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624" w:type="pct"/>
            <w:gridSpan w:val="2"/>
            <w:tcBorders>
              <w:top w:val="single" w:sz="4" w:space="0" w:color="auto"/>
              <w:bottom w:val="single" w:sz="4" w:space="0" w:color="auto"/>
            </w:tcBorders>
            <w:shd w:val="clear" w:color="auto" w:fill="EEF1F6"/>
            <w:noWrap/>
            <w:vAlign w:val="center"/>
            <w:hideMark/>
          </w:tcPr>
          <w:p w14:paraId="60350EF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r>
      <w:tr w:rsidR="00761800" w:rsidRPr="00761800" w14:paraId="32F3934E" w14:textId="77777777" w:rsidTr="00406B4D">
        <w:trPr>
          <w:trHeight w:val="317"/>
        </w:trPr>
        <w:tc>
          <w:tcPr>
            <w:tcW w:w="1611" w:type="pct"/>
            <w:tcBorders>
              <w:top w:val="single" w:sz="4" w:space="0" w:color="auto"/>
            </w:tcBorders>
            <w:shd w:val="clear" w:color="auto" w:fill="auto"/>
            <w:noWrap/>
            <w:vAlign w:val="center"/>
            <w:hideMark/>
          </w:tcPr>
          <w:p w14:paraId="2C7C0D1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Заеми с фиксирани лихви</w:t>
            </w:r>
          </w:p>
        </w:tc>
        <w:tc>
          <w:tcPr>
            <w:tcW w:w="576" w:type="pct"/>
            <w:tcBorders>
              <w:top w:val="single" w:sz="4" w:space="0" w:color="auto"/>
            </w:tcBorders>
            <w:shd w:val="clear" w:color="auto" w:fill="auto"/>
            <w:noWrap/>
            <w:vAlign w:val="bottom"/>
          </w:tcPr>
          <w:p w14:paraId="2E0E333F" w14:textId="77777777" w:rsidR="00761800" w:rsidRPr="00761800" w:rsidRDefault="00761800" w:rsidP="00761800">
            <w:pPr>
              <w:jc w:val="right"/>
              <w:rPr>
                <w:rFonts w:ascii="Times New Roman" w:hAnsi="Times New Roman"/>
                <w:sz w:val="20"/>
                <w:lang w:eastAsia="bg-BG"/>
              </w:rPr>
            </w:pPr>
          </w:p>
        </w:tc>
        <w:tc>
          <w:tcPr>
            <w:tcW w:w="491" w:type="pct"/>
            <w:gridSpan w:val="3"/>
            <w:tcBorders>
              <w:top w:val="single" w:sz="4" w:space="0" w:color="auto"/>
            </w:tcBorders>
            <w:shd w:val="clear" w:color="auto" w:fill="auto"/>
            <w:noWrap/>
            <w:hideMark/>
          </w:tcPr>
          <w:p w14:paraId="71D0CB3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99,7%</w:t>
            </w:r>
          </w:p>
        </w:tc>
        <w:tc>
          <w:tcPr>
            <w:tcW w:w="547" w:type="pct"/>
            <w:gridSpan w:val="3"/>
            <w:tcBorders>
              <w:top w:val="nil"/>
              <w:left w:val="nil"/>
              <w:bottom w:val="nil"/>
              <w:right w:val="nil"/>
            </w:tcBorders>
            <w:shd w:val="clear" w:color="auto" w:fill="auto"/>
            <w:noWrap/>
          </w:tcPr>
          <w:p w14:paraId="7210897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99,9%</w:t>
            </w:r>
          </w:p>
        </w:tc>
        <w:tc>
          <w:tcPr>
            <w:tcW w:w="546" w:type="pct"/>
            <w:gridSpan w:val="3"/>
            <w:tcBorders>
              <w:top w:val="single" w:sz="4" w:space="0" w:color="auto"/>
            </w:tcBorders>
            <w:shd w:val="clear" w:color="auto" w:fill="auto"/>
            <w:noWrap/>
          </w:tcPr>
          <w:p w14:paraId="7F778D7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99,9%</w:t>
            </w:r>
          </w:p>
        </w:tc>
        <w:tc>
          <w:tcPr>
            <w:tcW w:w="606" w:type="pct"/>
            <w:gridSpan w:val="2"/>
            <w:tcBorders>
              <w:top w:val="single" w:sz="4" w:space="0" w:color="auto"/>
            </w:tcBorders>
            <w:shd w:val="clear" w:color="auto" w:fill="auto"/>
            <w:noWrap/>
          </w:tcPr>
          <w:p w14:paraId="287C428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100,0%</w:t>
            </w:r>
          </w:p>
        </w:tc>
        <w:tc>
          <w:tcPr>
            <w:tcW w:w="624" w:type="pct"/>
            <w:gridSpan w:val="2"/>
            <w:tcBorders>
              <w:top w:val="single" w:sz="4" w:space="0" w:color="auto"/>
            </w:tcBorders>
            <w:shd w:val="clear" w:color="auto" w:fill="auto"/>
            <w:noWrap/>
          </w:tcPr>
          <w:p w14:paraId="4211764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100,0%</w:t>
            </w:r>
          </w:p>
        </w:tc>
      </w:tr>
      <w:tr w:rsidR="00761800" w:rsidRPr="00761800" w14:paraId="7D590917" w14:textId="77777777" w:rsidTr="00406B4D">
        <w:trPr>
          <w:trHeight w:val="317"/>
        </w:trPr>
        <w:tc>
          <w:tcPr>
            <w:tcW w:w="1611" w:type="pct"/>
            <w:shd w:val="clear" w:color="auto" w:fill="auto"/>
            <w:noWrap/>
            <w:vAlign w:val="center"/>
            <w:hideMark/>
          </w:tcPr>
          <w:p w14:paraId="4566E76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Заеми с плаващи лихви</w:t>
            </w:r>
          </w:p>
        </w:tc>
        <w:tc>
          <w:tcPr>
            <w:tcW w:w="576" w:type="pct"/>
            <w:shd w:val="clear" w:color="auto" w:fill="auto"/>
            <w:noWrap/>
            <w:vAlign w:val="bottom"/>
          </w:tcPr>
          <w:p w14:paraId="17C96DD6"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hideMark/>
          </w:tcPr>
          <w:p w14:paraId="25875C6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0,3%</w:t>
            </w:r>
          </w:p>
        </w:tc>
        <w:tc>
          <w:tcPr>
            <w:tcW w:w="547" w:type="pct"/>
            <w:gridSpan w:val="3"/>
            <w:tcBorders>
              <w:top w:val="nil"/>
              <w:left w:val="nil"/>
              <w:bottom w:val="nil"/>
              <w:right w:val="nil"/>
            </w:tcBorders>
            <w:shd w:val="clear" w:color="auto" w:fill="auto"/>
            <w:noWrap/>
          </w:tcPr>
          <w:p w14:paraId="54F15F1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0,1%</w:t>
            </w:r>
          </w:p>
        </w:tc>
        <w:tc>
          <w:tcPr>
            <w:tcW w:w="546" w:type="pct"/>
            <w:gridSpan w:val="3"/>
            <w:shd w:val="clear" w:color="auto" w:fill="auto"/>
            <w:noWrap/>
          </w:tcPr>
          <w:p w14:paraId="4ADAF17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0,1%</w:t>
            </w:r>
          </w:p>
        </w:tc>
        <w:tc>
          <w:tcPr>
            <w:tcW w:w="606" w:type="pct"/>
            <w:gridSpan w:val="2"/>
            <w:shd w:val="clear" w:color="auto" w:fill="auto"/>
            <w:noWrap/>
          </w:tcPr>
          <w:p w14:paraId="4C6E4DD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0,0%</w:t>
            </w:r>
          </w:p>
        </w:tc>
        <w:tc>
          <w:tcPr>
            <w:tcW w:w="624" w:type="pct"/>
            <w:gridSpan w:val="2"/>
            <w:shd w:val="clear" w:color="auto" w:fill="auto"/>
            <w:noWrap/>
          </w:tcPr>
          <w:p w14:paraId="3EAC919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0,0%</w:t>
            </w:r>
          </w:p>
        </w:tc>
      </w:tr>
      <w:tr w:rsidR="00761800" w:rsidRPr="00761800" w14:paraId="4665A90C" w14:textId="77777777" w:rsidTr="00761800">
        <w:trPr>
          <w:trHeight w:val="333"/>
        </w:trPr>
        <w:tc>
          <w:tcPr>
            <w:tcW w:w="1611" w:type="pct"/>
            <w:tcBorders>
              <w:top w:val="single" w:sz="4" w:space="0" w:color="auto"/>
              <w:bottom w:val="single" w:sz="4" w:space="0" w:color="auto"/>
            </w:tcBorders>
            <w:shd w:val="clear" w:color="auto" w:fill="EEF1F6"/>
            <w:noWrap/>
            <w:vAlign w:val="center"/>
            <w:hideMark/>
          </w:tcPr>
          <w:p w14:paraId="5BBEB802"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Валутна структура</w:t>
            </w:r>
          </w:p>
        </w:tc>
        <w:tc>
          <w:tcPr>
            <w:tcW w:w="576" w:type="pct"/>
            <w:tcBorders>
              <w:top w:val="single" w:sz="4" w:space="0" w:color="auto"/>
              <w:bottom w:val="single" w:sz="4" w:space="0" w:color="auto"/>
            </w:tcBorders>
            <w:shd w:val="clear" w:color="auto" w:fill="EEF1F6"/>
            <w:noWrap/>
            <w:vAlign w:val="center"/>
          </w:tcPr>
          <w:p w14:paraId="3EA5F9EC" w14:textId="77777777" w:rsidR="00761800" w:rsidRPr="00761800" w:rsidRDefault="00761800" w:rsidP="00761800">
            <w:pPr>
              <w:rPr>
                <w:rFonts w:ascii="Times New Roman" w:hAnsi="Times New Roman"/>
                <w:b/>
                <w:bCs/>
                <w:sz w:val="20"/>
                <w:lang w:eastAsia="bg-BG"/>
              </w:rPr>
            </w:pPr>
          </w:p>
        </w:tc>
        <w:tc>
          <w:tcPr>
            <w:tcW w:w="491" w:type="pct"/>
            <w:gridSpan w:val="3"/>
            <w:tcBorders>
              <w:top w:val="single" w:sz="4" w:space="0" w:color="auto"/>
              <w:bottom w:val="single" w:sz="4" w:space="0" w:color="auto"/>
            </w:tcBorders>
            <w:shd w:val="clear" w:color="auto" w:fill="EEF1F6"/>
            <w:noWrap/>
            <w:vAlign w:val="center"/>
            <w:hideMark/>
          </w:tcPr>
          <w:p w14:paraId="00719A5F"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547" w:type="pct"/>
            <w:gridSpan w:val="3"/>
            <w:tcBorders>
              <w:top w:val="single" w:sz="4" w:space="0" w:color="auto"/>
              <w:bottom w:val="single" w:sz="4" w:space="0" w:color="auto"/>
            </w:tcBorders>
            <w:shd w:val="clear" w:color="auto" w:fill="EEF1F6"/>
            <w:noWrap/>
            <w:vAlign w:val="center"/>
            <w:hideMark/>
          </w:tcPr>
          <w:p w14:paraId="213BD481"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546" w:type="pct"/>
            <w:gridSpan w:val="3"/>
            <w:tcBorders>
              <w:top w:val="single" w:sz="4" w:space="0" w:color="auto"/>
              <w:bottom w:val="single" w:sz="4" w:space="0" w:color="auto"/>
            </w:tcBorders>
            <w:shd w:val="clear" w:color="auto" w:fill="EEF1F6"/>
            <w:noWrap/>
            <w:vAlign w:val="center"/>
            <w:hideMark/>
          </w:tcPr>
          <w:p w14:paraId="0F540FD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606" w:type="pct"/>
            <w:gridSpan w:val="2"/>
            <w:tcBorders>
              <w:top w:val="single" w:sz="4" w:space="0" w:color="auto"/>
              <w:bottom w:val="single" w:sz="4" w:space="0" w:color="auto"/>
            </w:tcBorders>
            <w:shd w:val="clear" w:color="auto" w:fill="EEF1F6"/>
            <w:noWrap/>
            <w:vAlign w:val="center"/>
            <w:hideMark/>
          </w:tcPr>
          <w:p w14:paraId="26F15CB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624" w:type="pct"/>
            <w:gridSpan w:val="2"/>
            <w:tcBorders>
              <w:top w:val="single" w:sz="4" w:space="0" w:color="auto"/>
              <w:bottom w:val="single" w:sz="4" w:space="0" w:color="auto"/>
            </w:tcBorders>
            <w:shd w:val="clear" w:color="auto" w:fill="EEF1F6"/>
            <w:noWrap/>
            <w:vAlign w:val="center"/>
            <w:hideMark/>
          </w:tcPr>
          <w:p w14:paraId="147E2532"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r>
      <w:tr w:rsidR="00761800" w:rsidRPr="00761800" w14:paraId="41B0CD34" w14:textId="77777777" w:rsidTr="00406B4D">
        <w:trPr>
          <w:trHeight w:val="317"/>
        </w:trPr>
        <w:tc>
          <w:tcPr>
            <w:tcW w:w="1611" w:type="pct"/>
            <w:tcBorders>
              <w:top w:val="single" w:sz="4" w:space="0" w:color="auto"/>
            </w:tcBorders>
            <w:shd w:val="clear" w:color="auto" w:fill="auto"/>
            <w:noWrap/>
            <w:vAlign w:val="center"/>
            <w:hideMark/>
          </w:tcPr>
          <w:p w14:paraId="4513043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Дълг в лева</w:t>
            </w:r>
          </w:p>
        </w:tc>
        <w:tc>
          <w:tcPr>
            <w:tcW w:w="576" w:type="pct"/>
            <w:tcBorders>
              <w:top w:val="single" w:sz="4" w:space="0" w:color="auto"/>
            </w:tcBorders>
            <w:shd w:val="clear" w:color="auto" w:fill="auto"/>
            <w:noWrap/>
            <w:vAlign w:val="bottom"/>
          </w:tcPr>
          <w:p w14:paraId="0594B142" w14:textId="77777777" w:rsidR="00761800" w:rsidRPr="00761800" w:rsidRDefault="00761800" w:rsidP="00761800">
            <w:pPr>
              <w:jc w:val="right"/>
              <w:rPr>
                <w:rFonts w:ascii="Times New Roman" w:hAnsi="Times New Roman"/>
                <w:sz w:val="20"/>
                <w:lang w:eastAsia="bg-BG"/>
              </w:rPr>
            </w:pPr>
          </w:p>
        </w:tc>
        <w:tc>
          <w:tcPr>
            <w:tcW w:w="491" w:type="pct"/>
            <w:gridSpan w:val="3"/>
            <w:tcBorders>
              <w:top w:val="single" w:sz="4" w:space="0" w:color="auto"/>
            </w:tcBorders>
            <w:shd w:val="clear" w:color="auto" w:fill="auto"/>
            <w:noWrap/>
            <w:vAlign w:val="bottom"/>
            <w:hideMark/>
          </w:tcPr>
          <w:p w14:paraId="3460E23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24,2%</w:t>
            </w:r>
          </w:p>
        </w:tc>
        <w:tc>
          <w:tcPr>
            <w:tcW w:w="547" w:type="pct"/>
            <w:gridSpan w:val="3"/>
            <w:tcBorders>
              <w:top w:val="nil"/>
              <w:left w:val="nil"/>
              <w:bottom w:val="nil"/>
              <w:right w:val="nil"/>
            </w:tcBorders>
            <w:shd w:val="clear" w:color="auto" w:fill="auto"/>
            <w:noWrap/>
            <w:vAlign w:val="bottom"/>
          </w:tcPr>
          <w:p w14:paraId="03D2CBB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19,3%</w:t>
            </w:r>
          </w:p>
        </w:tc>
        <w:tc>
          <w:tcPr>
            <w:tcW w:w="546" w:type="pct"/>
            <w:gridSpan w:val="3"/>
            <w:tcBorders>
              <w:top w:val="single" w:sz="4" w:space="0" w:color="auto"/>
            </w:tcBorders>
            <w:shd w:val="clear" w:color="auto" w:fill="auto"/>
            <w:noWrap/>
            <w:vAlign w:val="bottom"/>
          </w:tcPr>
          <w:p w14:paraId="48DD273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w:t>
            </w:r>
          </w:p>
        </w:tc>
        <w:tc>
          <w:tcPr>
            <w:tcW w:w="606" w:type="pct"/>
            <w:gridSpan w:val="2"/>
            <w:tcBorders>
              <w:top w:val="single" w:sz="4" w:space="0" w:color="auto"/>
            </w:tcBorders>
            <w:shd w:val="clear" w:color="auto" w:fill="auto"/>
            <w:noWrap/>
            <w:vAlign w:val="bottom"/>
          </w:tcPr>
          <w:p w14:paraId="6736EBC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w:t>
            </w:r>
          </w:p>
        </w:tc>
        <w:tc>
          <w:tcPr>
            <w:tcW w:w="624" w:type="pct"/>
            <w:gridSpan w:val="2"/>
            <w:tcBorders>
              <w:top w:val="single" w:sz="4" w:space="0" w:color="auto"/>
            </w:tcBorders>
            <w:shd w:val="clear" w:color="auto" w:fill="auto"/>
            <w:noWrap/>
            <w:vAlign w:val="bottom"/>
          </w:tcPr>
          <w:p w14:paraId="4100405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w:t>
            </w:r>
          </w:p>
        </w:tc>
      </w:tr>
      <w:tr w:rsidR="00761800" w:rsidRPr="00761800" w14:paraId="4B4F0DD2" w14:textId="77777777" w:rsidTr="00406B4D">
        <w:trPr>
          <w:trHeight w:val="317"/>
        </w:trPr>
        <w:tc>
          <w:tcPr>
            <w:tcW w:w="1611" w:type="pct"/>
            <w:shd w:val="clear" w:color="auto" w:fill="auto"/>
            <w:noWrap/>
            <w:vAlign w:val="center"/>
            <w:hideMark/>
          </w:tcPr>
          <w:p w14:paraId="36BD12F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Дълг в щатски долари</w:t>
            </w:r>
          </w:p>
        </w:tc>
        <w:tc>
          <w:tcPr>
            <w:tcW w:w="576" w:type="pct"/>
            <w:shd w:val="clear" w:color="auto" w:fill="auto"/>
            <w:noWrap/>
            <w:vAlign w:val="bottom"/>
          </w:tcPr>
          <w:p w14:paraId="0E8C733B"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vAlign w:val="bottom"/>
            <w:hideMark/>
          </w:tcPr>
          <w:p w14:paraId="3D2D637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6,0%</w:t>
            </w:r>
          </w:p>
        </w:tc>
        <w:tc>
          <w:tcPr>
            <w:tcW w:w="547" w:type="pct"/>
            <w:gridSpan w:val="3"/>
            <w:tcBorders>
              <w:top w:val="nil"/>
              <w:left w:val="nil"/>
              <w:bottom w:val="nil"/>
              <w:right w:val="nil"/>
            </w:tcBorders>
            <w:shd w:val="clear" w:color="auto" w:fill="auto"/>
            <w:noWrap/>
            <w:vAlign w:val="bottom"/>
          </w:tcPr>
          <w:p w14:paraId="114CCB0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4,1%</w:t>
            </w:r>
          </w:p>
        </w:tc>
        <w:tc>
          <w:tcPr>
            <w:tcW w:w="546" w:type="pct"/>
            <w:gridSpan w:val="3"/>
            <w:shd w:val="clear" w:color="auto" w:fill="auto"/>
            <w:noWrap/>
            <w:vAlign w:val="bottom"/>
          </w:tcPr>
          <w:p w14:paraId="4A16AC3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3,4%</w:t>
            </w:r>
          </w:p>
        </w:tc>
        <w:tc>
          <w:tcPr>
            <w:tcW w:w="606" w:type="pct"/>
            <w:gridSpan w:val="2"/>
            <w:shd w:val="clear" w:color="auto" w:fill="auto"/>
            <w:noWrap/>
            <w:vAlign w:val="bottom"/>
          </w:tcPr>
          <w:p w14:paraId="62DA2C9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2,9%</w:t>
            </w:r>
          </w:p>
        </w:tc>
        <w:tc>
          <w:tcPr>
            <w:tcW w:w="624" w:type="pct"/>
            <w:gridSpan w:val="2"/>
            <w:shd w:val="clear" w:color="auto" w:fill="auto"/>
            <w:noWrap/>
            <w:vAlign w:val="bottom"/>
          </w:tcPr>
          <w:p w14:paraId="66EDC94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2,6%</w:t>
            </w:r>
          </w:p>
        </w:tc>
      </w:tr>
      <w:tr w:rsidR="00761800" w:rsidRPr="00761800" w14:paraId="0BE0ED3D" w14:textId="77777777" w:rsidTr="00406B4D">
        <w:trPr>
          <w:trHeight w:val="302"/>
        </w:trPr>
        <w:tc>
          <w:tcPr>
            <w:tcW w:w="1611" w:type="pct"/>
            <w:shd w:val="clear" w:color="auto" w:fill="auto"/>
            <w:noWrap/>
            <w:vAlign w:val="center"/>
            <w:hideMark/>
          </w:tcPr>
          <w:p w14:paraId="32D1FC2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Дълг в евро</w:t>
            </w:r>
          </w:p>
        </w:tc>
        <w:tc>
          <w:tcPr>
            <w:tcW w:w="576" w:type="pct"/>
            <w:shd w:val="clear" w:color="auto" w:fill="auto"/>
            <w:noWrap/>
            <w:vAlign w:val="bottom"/>
          </w:tcPr>
          <w:p w14:paraId="3CC2DC87"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vAlign w:val="bottom"/>
            <w:hideMark/>
          </w:tcPr>
          <w:p w14:paraId="1A92ECA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69,7%</w:t>
            </w:r>
          </w:p>
        </w:tc>
        <w:tc>
          <w:tcPr>
            <w:tcW w:w="547" w:type="pct"/>
            <w:gridSpan w:val="3"/>
            <w:tcBorders>
              <w:top w:val="nil"/>
              <w:left w:val="nil"/>
              <w:bottom w:val="nil"/>
              <w:right w:val="nil"/>
            </w:tcBorders>
            <w:shd w:val="clear" w:color="auto" w:fill="auto"/>
            <w:noWrap/>
            <w:vAlign w:val="bottom"/>
          </w:tcPr>
          <w:p w14:paraId="118D92B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76,6%</w:t>
            </w:r>
          </w:p>
        </w:tc>
        <w:tc>
          <w:tcPr>
            <w:tcW w:w="546" w:type="pct"/>
            <w:gridSpan w:val="3"/>
            <w:shd w:val="clear" w:color="auto" w:fill="auto"/>
            <w:noWrap/>
            <w:vAlign w:val="bottom"/>
          </w:tcPr>
          <w:p w14:paraId="7F4169D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96,5%</w:t>
            </w:r>
          </w:p>
        </w:tc>
        <w:tc>
          <w:tcPr>
            <w:tcW w:w="606" w:type="pct"/>
            <w:gridSpan w:val="2"/>
            <w:shd w:val="clear" w:color="auto" w:fill="auto"/>
            <w:noWrap/>
            <w:vAlign w:val="bottom"/>
          </w:tcPr>
          <w:p w14:paraId="0B86394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97,1%</w:t>
            </w:r>
          </w:p>
        </w:tc>
        <w:tc>
          <w:tcPr>
            <w:tcW w:w="624" w:type="pct"/>
            <w:gridSpan w:val="2"/>
            <w:shd w:val="clear" w:color="auto" w:fill="auto"/>
            <w:noWrap/>
            <w:vAlign w:val="bottom"/>
          </w:tcPr>
          <w:p w14:paraId="374FCFB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97,4%</w:t>
            </w:r>
          </w:p>
        </w:tc>
      </w:tr>
      <w:tr w:rsidR="00761800" w:rsidRPr="00761800" w14:paraId="2176EA3D" w14:textId="77777777" w:rsidTr="00406B4D">
        <w:trPr>
          <w:trHeight w:val="317"/>
        </w:trPr>
        <w:tc>
          <w:tcPr>
            <w:tcW w:w="1611" w:type="pct"/>
            <w:shd w:val="clear" w:color="auto" w:fill="auto"/>
            <w:noWrap/>
            <w:vAlign w:val="center"/>
            <w:hideMark/>
          </w:tcPr>
          <w:p w14:paraId="4EF9E86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Дълг в други валути (яп. йени)</w:t>
            </w:r>
          </w:p>
        </w:tc>
        <w:tc>
          <w:tcPr>
            <w:tcW w:w="576" w:type="pct"/>
            <w:shd w:val="clear" w:color="auto" w:fill="auto"/>
            <w:noWrap/>
            <w:vAlign w:val="bottom"/>
          </w:tcPr>
          <w:p w14:paraId="64553D1C"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vAlign w:val="bottom"/>
            <w:hideMark/>
          </w:tcPr>
          <w:p w14:paraId="351653E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0,1%</w:t>
            </w:r>
          </w:p>
        </w:tc>
        <w:tc>
          <w:tcPr>
            <w:tcW w:w="547" w:type="pct"/>
            <w:gridSpan w:val="3"/>
            <w:tcBorders>
              <w:top w:val="nil"/>
              <w:left w:val="nil"/>
              <w:bottom w:val="nil"/>
              <w:right w:val="nil"/>
            </w:tcBorders>
            <w:shd w:val="clear" w:color="auto" w:fill="auto"/>
            <w:noWrap/>
            <w:vAlign w:val="bottom"/>
          </w:tcPr>
          <w:p w14:paraId="349CD07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0,0%</w:t>
            </w:r>
          </w:p>
        </w:tc>
        <w:tc>
          <w:tcPr>
            <w:tcW w:w="546" w:type="pct"/>
            <w:gridSpan w:val="3"/>
            <w:shd w:val="clear" w:color="auto" w:fill="auto"/>
            <w:noWrap/>
            <w:vAlign w:val="bottom"/>
          </w:tcPr>
          <w:p w14:paraId="7EF6CE2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0,0%</w:t>
            </w:r>
          </w:p>
        </w:tc>
        <w:tc>
          <w:tcPr>
            <w:tcW w:w="606" w:type="pct"/>
            <w:gridSpan w:val="2"/>
            <w:shd w:val="clear" w:color="auto" w:fill="auto"/>
            <w:noWrap/>
            <w:vAlign w:val="bottom"/>
          </w:tcPr>
          <w:p w14:paraId="5D50B03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0,0%</w:t>
            </w:r>
          </w:p>
        </w:tc>
        <w:tc>
          <w:tcPr>
            <w:tcW w:w="624" w:type="pct"/>
            <w:gridSpan w:val="2"/>
            <w:shd w:val="clear" w:color="auto" w:fill="auto"/>
            <w:noWrap/>
            <w:vAlign w:val="bottom"/>
          </w:tcPr>
          <w:p w14:paraId="7B84672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0,0%</w:t>
            </w:r>
          </w:p>
        </w:tc>
      </w:tr>
      <w:tr w:rsidR="00761800" w:rsidRPr="00761800" w14:paraId="01C7EA51" w14:textId="77777777" w:rsidTr="00761800">
        <w:trPr>
          <w:trHeight w:val="317"/>
        </w:trPr>
        <w:tc>
          <w:tcPr>
            <w:tcW w:w="2671" w:type="pct"/>
            <w:gridSpan w:val="4"/>
            <w:tcBorders>
              <w:top w:val="single" w:sz="4" w:space="0" w:color="auto"/>
              <w:bottom w:val="single" w:sz="4" w:space="0" w:color="auto"/>
            </w:tcBorders>
            <w:shd w:val="clear" w:color="auto" w:fill="EEF1F6"/>
            <w:noWrap/>
            <w:vAlign w:val="center"/>
            <w:hideMark/>
          </w:tcPr>
          <w:p w14:paraId="6A04E553"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Структура на държавните заеми по кредитори</w:t>
            </w:r>
          </w:p>
        </w:tc>
        <w:tc>
          <w:tcPr>
            <w:tcW w:w="548" w:type="pct"/>
            <w:gridSpan w:val="3"/>
            <w:tcBorders>
              <w:top w:val="single" w:sz="4" w:space="0" w:color="auto"/>
              <w:bottom w:val="single" w:sz="4" w:space="0" w:color="auto"/>
            </w:tcBorders>
            <w:shd w:val="clear" w:color="auto" w:fill="EEF1F6"/>
            <w:vAlign w:val="center"/>
            <w:hideMark/>
          </w:tcPr>
          <w:p w14:paraId="58DE7FB6"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546" w:type="pct"/>
            <w:gridSpan w:val="3"/>
            <w:tcBorders>
              <w:top w:val="single" w:sz="4" w:space="0" w:color="auto"/>
              <w:bottom w:val="single" w:sz="4" w:space="0" w:color="auto"/>
            </w:tcBorders>
            <w:shd w:val="clear" w:color="auto" w:fill="EEF1F6"/>
            <w:vAlign w:val="center"/>
            <w:hideMark/>
          </w:tcPr>
          <w:p w14:paraId="6AD64BCC"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609" w:type="pct"/>
            <w:gridSpan w:val="3"/>
            <w:tcBorders>
              <w:top w:val="single" w:sz="4" w:space="0" w:color="auto"/>
              <w:bottom w:val="single" w:sz="4" w:space="0" w:color="auto"/>
            </w:tcBorders>
            <w:shd w:val="clear" w:color="auto" w:fill="EEF1F6"/>
            <w:vAlign w:val="center"/>
            <w:hideMark/>
          </w:tcPr>
          <w:p w14:paraId="3A26B36A"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624" w:type="pct"/>
            <w:gridSpan w:val="2"/>
            <w:tcBorders>
              <w:top w:val="single" w:sz="4" w:space="0" w:color="auto"/>
              <w:bottom w:val="single" w:sz="4" w:space="0" w:color="auto"/>
            </w:tcBorders>
            <w:shd w:val="clear" w:color="auto" w:fill="EEF1F6"/>
            <w:vAlign w:val="center"/>
            <w:hideMark/>
          </w:tcPr>
          <w:p w14:paraId="79BDCF55"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r>
      <w:tr w:rsidR="00761800" w:rsidRPr="00761800" w14:paraId="1EDE343B" w14:textId="77777777" w:rsidTr="00406B4D">
        <w:trPr>
          <w:trHeight w:val="317"/>
        </w:trPr>
        <w:tc>
          <w:tcPr>
            <w:tcW w:w="1611" w:type="pct"/>
            <w:tcBorders>
              <w:top w:val="single" w:sz="4" w:space="0" w:color="auto"/>
            </w:tcBorders>
            <w:shd w:val="clear" w:color="auto" w:fill="auto"/>
            <w:noWrap/>
            <w:vAlign w:val="center"/>
            <w:hideMark/>
          </w:tcPr>
          <w:p w14:paraId="6D74D16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Заеми от ЕС /в т.ч. ЕИБ и ЕК/</w:t>
            </w:r>
          </w:p>
        </w:tc>
        <w:tc>
          <w:tcPr>
            <w:tcW w:w="576" w:type="pct"/>
            <w:tcBorders>
              <w:top w:val="single" w:sz="4" w:space="0" w:color="auto"/>
            </w:tcBorders>
            <w:shd w:val="clear" w:color="auto" w:fill="auto"/>
            <w:noWrap/>
            <w:vAlign w:val="bottom"/>
          </w:tcPr>
          <w:p w14:paraId="35927487" w14:textId="77777777" w:rsidR="00761800" w:rsidRPr="00761800" w:rsidRDefault="00761800" w:rsidP="00761800">
            <w:pPr>
              <w:jc w:val="right"/>
              <w:rPr>
                <w:rFonts w:ascii="Times New Roman" w:hAnsi="Times New Roman"/>
                <w:sz w:val="20"/>
                <w:lang w:eastAsia="bg-BG"/>
              </w:rPr>
            </w:pPr>
          </w:p>
        </w:tc>
        <w:tc>
          <w:tcPr>
            <w:tcW w:w="491" w:type="pct"/>
            <w:gridSpan w:val="3"/>
            <w:tcBorders>
              <w:top w:val="single" w:sz="4" w:space="0" w:color="auto"/>
            </w:tcBorders>
            <w:shd w:val="clear" w:color="auto" w:fill="auto"/>
            <w:noWrap/>
            <w:vAlign w:val="bottom"/>
            <w:hideMark/>
          </w:tcPr>
          <w:p w14:paraId="4E8D1F4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82,3%</w:t>
            </w:r>
          </w:p>
        </w:tc>
        <w:tc>
          <w:tcPr>
            <w:tcW w:w="547" w:type="pct"/>
            <w:gridSpan w:val="3"/>
            <w:tcBorders>
              <w:top w:val="nil"/>
              <w:left w:val="nil"/>
              <w:bottom w:val="nil"/>
              <w:right w:val="nil"/>
            </w:tcBorders>
            <w:shd w:val="clear" w:color="auto" w:fill="auto"/>
            <w:noWrap/>
            <w:vAlign w:val="bottom"/>
          </w:tcPr>
          <w:p w14:paraId="16F4F40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81,6%</w:t>
            </w:r>
          </w:p>
        </w:tc>
        <w:tc>
          <w:tcPr>
            <w:tcW w:w="546" w:type="pct"/>
            <w:gridSpan w:val="3"/>
            <w:tcBorders>
              <w:top w:val="single" w:sz="4" w:space="0" w:color="auto"/>
            </w:tcBorders>
            <w:shd w:val="clear" w:color="auto" w:fill="auto"/>
            <w:noWrap/>
            <w:vAlign w:val="bottom"/>
          </w:tcPr>
          <w:p w14:paraId="4E4199B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82,7%</w:t>
            </w:r>
          </w:p>
        </w:tc>
        <w:tc>
          <w:tcPr>
            <w:tcW w:w="606" w:type="pct"/>
            <w:gridSpan w:val="2"/>
            <w:tcBorders>
              <w:top w:val="single" w:sz="4" w:space="0" w:color="auto"/>
            </w:tcBorders>
            <w:shd w:val="clear" w:color="auto" w:fill="auto"/>
            <w:noWrap/>
            <w:vAlign w:val="bottom"/>
          </w:tcPr>
          <w:p w14:paraId="45B2C2A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83,3%</w:t>
            </w:r>
          </w:p>
        </w:tc>
        <w:tc>
          <w:tcPr>
            <w:tcW w:w="624" w:type="pct"/>
            <w:gridSpan w:val="2"/>
            <w:tcBorders>
              <w:top w:val="single" w:sz="4" w:space="0" w:color="auto"/>
            </w:tcBorders>
            <w:shd w:val="clear" w:color="auto" w:fill="auto"/>
            <w:noWrap/>
            <w:vAlign w:val="bottom"/>
          </w:tcPr>
          <w:p w14:paraId="75E2F50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89,5%</w:t>
            </w:r>
          </w:p>
        </w:tc>
      </w:tr>
      <w:tr w:rsidR="00761800" w:rsidRPr="00761800" w14:paraId="2EE0B273" w14:textId="77777777" w:rsidTr="00406B4D">
        <w:trPr>
          <w:trHeight w:val="302"/>
        </w:trPr>
        <w:tc>
          <w:tcPr>
            <w:tcW w:w="1611" w:type="pct"/>
            <w:shd w:val="clear" w:color="auto" w:fill="auto"/>
            <w:noWrap/>
            <w:vAlign w:val="center"/>
            <w:hideMark/>
          </w:tcPr>
          <w:p w14:paraId="4D86817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Заеми от МБВР</w:t>
            </w:r>
          </w:p>
        </w:tc>
        <w:tc>
          <w:tcPr>
            <w:tcW w:w="576" w:type="pct"/>
            <w:shd w:val="clear" w:color="auto" w:fill="auto"/>
            <w:noWrap/>
            <w:vAlign w:val="bottom"/>
          </w:tcPr>
          <w:p w14:paraId="3C22923E"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vAlign w:val="bottom"/>
            <w:hideMark/>
          </w:tcPr>
          <w:p w14:paraId="15513BB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3,0%</w:t>
            </w:r>
          </w:p>
        </w:tc>
        <w:tc>
          <w:tcPr>
            <w:tcW w:w="547" w:type="pct"/>
            <w:gridSpan w:val="3"/>
            <w:tcBorders>
              <w:top w:val="nil"/>
              <w:left w:val="nil"/>
              <w:bottom w:val="nil"/>
              <w:right w:val="nil"/>
            </w:tcBorders>
            <w:shd w:val="clear" w:color="auto" w:fill="auto"/>
            <w:noWrap/>
            <w:vAlign w:val="bottom"/>
          </w:tcPr>
          <w:p w14:paraId="686C206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1,7%</w:t>
            </w:r>
          </w:p>
        </w:tc>
        <w:tc>
          <w:tcPr>
            <w:tcW w:w="546" w:type="pct"/>
            <w:gridSpan w:val="3"/>
            <w:shd w:val="clear" w:color="auto" w:fill="auto"/>
            <w:noWrap/>
            <w:vAlign w:val="bottom"/>
          </w:tcPr>
          <w:p w14:paraId="17253D6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0,7%</w:t>
            </w:r>
          </w:p>
        </w:tc>
        <w:tc>
          <w:tcPr>
            <w:tcW w:w="606" w:type="pct"/>
            <w:gridSpan w:val="2"/>
            <w:shd w:val="clear" w:color="auto" w:fill="auto"/>
            <w:noWrap/>
            <w:vAlign w:val="bottom"/>
          </w:tcPr>
          <w:p w14:paraId="0AB28F8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0,1%</w:t>
            </w:r>
          </w:p>
        </w:tc>
        <w:tc>
          <w:tcPr>
            <w:tcW w:w="624" w:type="pct"/>
            <w:gridSpan w:val="2"/>
            <w:shd w:val="clear" w:color="auto" w:fill="auto"/>
            <w:noWrap/>
            <w:vAlign w:val="bottom"/>
          </w:tcPr>
          <w:p w14:paraId="7F38534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0,0%</w:t>
            </w:r>
          </w:p>
        </w:tc>
      </w:tr>
      <w:tr w:rsidR="00761800" w:rsidRPr="00761800" w14:paraId="4015C978" w14:textId="77777777" w:rsidTr="00406B4D">
        <w:trPr>
          <w:trHeight w:val="333"/>
        </w:trPr>
        <w:tc>
          <w:tcPr>
            <w:tcW w:w="1611" w:type="pct"/>
            <w:shd w:val="clear" w:color="auto" w:fill="auto"/>
            <w:noWrap/>
            <w:vAlign w:val="center"/>
            <w:hideMark/>
          </w:tcPr>
          <w:p w14:paraId="7D2ABAD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Заеми от БРСЕ</w:t>
            </w:r>
          </w:p>
        </w:tc>
        <w:tc>
          <w:tcPr>
            <w:tcW w:w="576" w:type="pct"/>
            <w:shd w:val="clear" w:color="auto" w:fill="auto"/>
            <w:noWrap/>
            <w:vAlign w:val="bottom"/>
          </w:tcPr>
          <w:p w14:paraId="6B4DEA58"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vAlign w:val="bottom"/>
            <w:hideMark/>
          </w:tcPr>
          <w:p w14:paraId="27242D1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7,2%</w:t>
            </w:r>
          </w:p>
        </w:tc>
        <w:tc>
          <w:tcPr>
            <w:tcW w:w="547" w:type="pct"/>
            <w:gridSpan w:val="3"/>
            <w:tcBorders>
              <w:top w:val="nil"/>
              <w:left w:val="nil"/>
              <w:bottom w:val="nil"/>
              <w:right w:val="nil"/>
            </w:tcBorders>
            <w:shd w:val="clear" w:color="auto" w:fill="auto"/>
            <w:noWrap/>
            <w:vAlign w:val="bottom"/>
          </w:tcPr>
          <w:p w14:paraId="31E21C8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10,0%</w:t>
            </w:r>
          </w:p>
        </w:tc>
        <w:tc>
          <w:tcPr>
            <w:tcW w:w="546" w:type="pct"/>
            <w:gridSpan w:val="3"/>
            <w:shd w:val="clear" w:color="auto" w:fill="auto"/>
            <w:noWrap/>
            <w:vAlign w:val="bottom"/>
          </w:tcPr>
          <w:p w14:paraId="4A6D2CB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11,6%</w:t>
            </w:r>
          </w:p>
        </w:tc>
        <w:tc>
          <w:tcPr>
            <w:tcW w:w="606" w:type="pct"/>
            <w:gridSpan w:val="2"/>
            <w:shd w:val="clear" w:color="auto" w:fill="auto"/>
            <w:noWrap/>
            <w:vAlign w:val="bottom"/>
          </w:tcPr>
          <w:p w14:paraId="5959B29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11,4%</w:t>
            </w:r>
          </w:p>
        </w:tc>
        <w:tc>
          <w:tcPr>
            <w:tcW w:w="624" w:type="pct"/>
            <w:gridSpan w:val="2"/>
            <w:shd w:val="clear" w:color="auto" w:fill="auto"/>
            <w:noWrap/>
            <w:vAlign w:val="bottom"/>
          </w:tcPr>
          <w:p w14:paraId="612413B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10,3%</w:t>
            </w:r>
          </w:p>
        </w:tc>
      </w:tr>
      <w:tr w:rsidR="00761800" w:rsidRPr="00761800" w14:paraId="79E6FB99" w14:textId="77777777" w:rsidTr="00406B4D">
        <w:trPr>
          <w:trHeight w:val="317"/>
        </w:trPr>
        <w:tc>
          <w:tcPr>
            <w:tcW w:w="1611" w:type="pct"/>
            <w:shd w:val="clear" w:color="auto" w:fill="auto"/>
            <w:noWrap/>
            <w:vAlign w:val="center"/>
            <w:hideMark/>
          </w:tcPr>
          <w:p w14:paraId="1EDEE6F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Заеми от други кредитори</w:t>
            </w:r>
          </w:p>
        </w:tc>
        <w:tc>
          <w:tcPr>
            <w:tcW w:w="576" w:type="pct"/>
            <w:shd w:val="clear" w:color="auto" w:fill="auto"/>
            <w:noWrap/>
            <w:vAlign w:val="bottom"/>
          </w:tcPr>
          <w:p w14:paraId="684EB066" w14:textId="77777777" w:rsidR="00761800" w:rsidRPr="00761800" w:rsidRDefault="00761800" w:rsidP="00761800">
            <w:pPr>
              <w:jc w:val="right"/>
              <w:rPr>
                <w:rFonts w:ascii="Times New Roman" w:hAnsi="Times New Roman"/>
                <w:sz w:val="20"/>
                <w:lang w:eastAsia="bg-BG"/>
              </w:rPr>
            </w:pPr>
          </w:p>
        </w:tc>
        <w:tc>
          <w:tcPr>
            <w:tcW w:w="491" w:type="pct"/>
            <w:gridSpan w:val="3"/>
            <w:shd w:val="clear" w:color="auto" w:fill="auto"/>
            <w:noWrap/>
            <w:vAlign w:val="bottom"/>
            <w:hideMark/>
          </w:tcPr>
          <w:p w14:paraId="2DD214C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7,5%</w:t>
            </w:r>
          </w:p>
        </w:tc>
        <w:tc>
          <w:tcPr>
            <w:tcW w:w="547" w:type="pct"/>
            <w:gridSpan w:val="3"/>
            <w:tcBorders>
              <w:top w:val="nil"/>
              <w:left w:val="nil"/>
              <w:bottom w:val="nil"/>
              <w:right w:val="nil"/>
            </w:tcBorders>
            <w:shd w:val="clear" w:color="auto" w:fill="auto"/>
            <w:noWrap/>
            <w:vAlign w:val="bottom"/>
          </w:tcPr>
          <w:p w14:paraId="6F7389A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6,7%</w:t>
            </w:r>
          </w:p>
        </w:tc>
        <w:tc>
          <w:tcPr>
            <w:tcW w:w="546" w:type="pct"/>
            <w:gridSpan w:val="3"/>
            <w:shd w:val="clear" w:color="auto" w:fill="auto"/>
            <w:noWrap/>
            <w:vAlign w:val="bottom"/>
          </w:tcPr>
          <w:p w14:paraId="3E73CAF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5,1%</w:t>
            </w:r>
          </w:p>
        </w:tc>
        <w:tc>
          <w:tcPr>
            <w:tcW w:w="606" w:type="pct"/>
            <w:gridSpan w:val="2"/>
            <w:shd w:val="clear" w:color="auto" w:fill="auto"/>
            <w:noWrap/>
            <w:vAlign w:val="bottom"/>
          </w:tcPr>
          <w:p w14:paraId="7B3D574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5,1%</w:t>
            </w:r>
          </w:p>
        </w:tc>
        <w:tc>
          <w:tcPr>
            <w:tcW w:w="624" w:type="pct"/>
            <w:gridSpan w:val="2"/>
            <w:shd w:val="clear" w:color="auto" w:fill="auto"/>
            <w:noWrap/>
            <w:vAlign w:val="bottom"/>
          </w:tcPr>
          <w:p w14:paraId="7B4AA69E" w14:textId="77777777" w:rsidR="00761800" w:rsidRPr="00761800" w:rsidRDefault="00761800" w:rsidP="00761800">
            <w:pPr>
              <w:ind w:hanging="75"/>
              <w:jc w:val="right"/>
              <w:rPr>
                <w:rFonts w:ascii="Times New Roman" w:hAnsi="Times New Roman"/>
                <w:sz w:val="20"/>
                <w:lang w:eastAsia="bg-BG"/>
              </w:rPr>
            </w:pPr>
            <w:r w:rsidRPr="00761800">
              <w:rPr>
                <w:rFonts w:ascii="Times New Roman" w:hAnsi="Times New Roman"/>
                <w:sz w:val="20"/>
                <w:lang w:eastAsia="bg-BG"/>
              </w:rPr>
              <w:t>0,2%</w:t>
            </w:r>
          </w:p>
        </w:tc>
      </w:tr>
      <w:tr w:rsidR="00761800" w:rsidRPr="00761800" w14:paraId="614A3D4C" w14:textId="77777777" w:rsidTr="00761800">
        <w:trPr>
          <w:trHeight w:val="590"/>
        </w:trPr>
        <w:tc>
          <w:tcPr>
            <w:tcW w:w="1611" w:type="pct"/>
            <w:tcBorders>
              <w:top w:val="single" w:sz="4" w:space="0" w:color="auto"/>
              <w:bottom w:val="single" w:sz="4" w:space="0" w:color="auto"/>
            </w:tcBorders>
            <w:shd w:val="clear" w:color="auto" w:fill="EEF1F6"/>
            <w:vAlign w:val="center"/>
            <w:hideMark/>
          </w:tcPr>
          <w:p w14:paraId="2D4F14B2"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Средна продължителност на дълга в обращение /в години/</w:t>
            </w:r>
          </w:p>
        </w:tc>
        <w:tc>
          <w:tcPr>
            <w:tcW w:w="576" w:type="pct"/>
            <w:tcBorders>
              <w:top w:val="single" w:sz="4" w:space="0" w:color="auto"/>
              <w:bottom w:val="single" w:sz="4" w:space="0" w:color="auto"/>
            </w:tcBorders>
            <w:shd w:val="clear" w:color="auto" w:fill="EEF1F6"/>
            <w:vAlign w:val="center"/>
          </w:tcPr>
          <w:p w14:paraId="4DD9AABC" w14:textId="77777777" w:rsidR="00761800" w:rsidRPr="00761800" w:rsidRDefault="00761800" w:rsidP="00761800">
            <w:pPr>
              <w:jc w:val="center"/>
              <w:rPr>
                <w:rFonts w:ascii="Times New Roman" w:hAnsi="Times New Roman"/>
                <w:b/>
                <w:bCs/>
                <w:sz w:val="20"/>
                <w:lang w:eastAsia="bg-BG"/>
              </w:rPr>
            </w:pPr>
          </w:p>
        </w:tc>
        <w:tc>
          <w:tcPr>
            <w:tcW w:w="491" w:type="pct"/>
            <w:gridSpan w:val="3"/>
            <w:tcBorders>
              <w:top w:val="single" w:sz="4" w:space="0" w:color="auto"/>
              <w:bottom w:val="single" w:sz="4" w:space="0" w:color="auto"/>
            </w:tcBorders>
            <w:shd w:val="clear" w:color="auto" w:fill="EEF1F6"/>
            <w:vAlign w:val="center"/>
            <w:hideMark/>
          </w:tcPr>
          <w:p w14:paraId="3277BF5F"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8 г. и 3 м.</w:t>
            </w:r>
          </w:p>
        </w:tc>
        <w:tc>
          <w:tcPr>
            <w:tcW w:w="547" w:type="pct"/>
            <w:gridSpan w:val="3"/>
            <w:tcBorders>
              <w:top w:val="single" w:sz="4" w:space="0" w:color="auto"/>
              <w:bottom w:val="single" w:sz="4" w:space="0" w:color="auto"/>
            </w:tcBorders>
            <w:shd w:val="clear" w:color="auto" w:fill="EEF1F6"/>
            <w:vAlign w:val="center"/>
            <w:hideMark/>
          </w:tcPr>
          <w:p w14:paraId="36F56785"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8 г. и 8 м.</w:t>
            </w:r>
          </w:p>
        </w:tc>
        <w:tc>
          <w:tcPr>
            <w:tcW w:w="546" w:type="pct"/>
            <w:gridSpan w:val="3"/>
            <w:tcBorders>
              <w:top w:val="single" w:sz="4" w:space="0" w:color="auto"/>
              <w:bottom w:val="single" w:sz="4" w:space="0" w:color="auto"/>
            </w:tcBorders>
            <w:shd w:val="clear" w:color="auto" w:fill="EEF1F6"/>
            <w:vAlign w:val="center"/>
          </w:tcPr>
          <w:p w14:paraId="7F912225"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9 г. и 1 м.</w:t>
            </w:r>
          </w:p>
        </w:tc>
        <w:tc>
          <w:tcPr>
            <w:tcW w:w="606" w:type="pct"/>
            <w:gridSpan w:val="2"/>
            <w:tcBorders>
              <w:top w:val="single" w:sz="4" w:space="0" w:color="auto"/>
              <w:bottom w:val="single" w:sz="4" w:space="0" w:color="auto"/>
            </w:tcBorders>
            <w:shd w:val="clear" w:color="auto" w:fill="EEF1F6"/>
            <w:vAlign w:val="center"/>
          </w:tcPr>
          <w:p w14:paraId="7DD7D48E"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9 г. и 5 м.</w:t>
            </w:r>
          </w:p>
        </w:tc>
        <w:tc>
          <w:tcPr>
            <w:tcW w:w="624" w:type="pct"/>
            <w:gridSpan w:val="2"/>
            <w:tcBorders>
              <w:top w:val="single" w:sz="4" w:space="0" w:color="auto"/>
              <w:bottom w:val="single" w:sz="4" w:space="0" w:color="auto"/>
            </w:tcBorders>
            <w:shd w:val="clear" w:color="auto" w:fill="EEF1F6"/>
            <w:vAlign w:val="center"/>
          </w:tcPr>
          <w:p w14:paraId="5C025A2C" w14:textId="77777777" w:rsidR="00761800" w:rsidRPr="00761800" w:rsidRDefault="00761800" w:rsidP="00761800">
            <w:pPr>
              <w:jc w:val="center"/>
              <w:rPr>
                <w:rFonts w:ascii="Times New Roman" w:hAnsi="Times New Roman"/>
                <w:b/>
                <w:bCs/>
                <w:sz w:val="16"/>
                <w:szCs w:val="16"/>
                <w:lang w:eastAsia="bg-BG"/>
              </w:rPr>
            </w:pPr>
            <w:r w:rsidRPr="00761800">
              <w:rPr>
                <w:rFonts w:ascii="Times New Roman" w:hAnsi="Times New Roman"/>
                <w:b/>
                <w:bCs/>
                <w:sz w:val="16"/>
                <w:szCs w:val="16"/>
                <w:lang w:eastAsia="bg-BG"/>
              </w:rPr>
              <w:t>10 г. и 3 м.</w:t>
            </w:r>
          </w:p>
        </w:tc>
      </w:tr>
    </w:tbl>
    <w:p w14:paraId="781E7B5A" w14:textId="77777777" w:rsidR="00761800" w:rsidRPr="00761800" w:rsidRDefault="00761800" w:rsidP="00761800">
      <w:pPr>
        <w:spacing w:before="120" w:after="200"/>
        <w:jc w:val="both"/>
        <w:rPr>
          <w:rFonts w:ascii="Times New Roman" w:eastAsia="Batang" w:hAnsi="Times New Roman"/>
          <w:sz w:val="18"/>
          <w:szCs w:val="18"/>
          <w:lang w:eastAsia="bg-BG"/>
        </w:rPr>
      </w:pPr>
      <w:r w:rsidRPr="00761800">
        <w:rPr>
          <w:rFonts w:ascii="Times New Roman" w:hAnsi="Times New Roman"/>
          <w:i/>
          <w:iCs/>
          <w:color w:val="000000"/>
          <w:sz w:val="18"/>
          <w:lang w:eastAsia="bg-BG"/>
        </w:rPr>
        <w:t>Забележка: Поради закръгления някои от сумарните позиции е възможно да не се изчерпват от съставните им числа</w:t>
      </w:r>
      <w:r w:rsidRPr="00761800">
        <w:rPr>
          <w:rFonts w:ascii="Times New Roman" w:eastAsia="Batang" w:hAnsi="Times New Roman"/>
          <w:sz w:val="18"/>
          <w:szCs w:val="18"/>
          <w:lang w:eastAsia="bg-BG"/>
        </w:rPr>
        <w:t xml:space="preserve"> </w:t>
      </w:r>
    </w:p>
    <w:p w14:paraId="446F175E" w14:textId="77777777" w:rsidR="00761800" w:rsidRPr="00761800" w:rsidRDefault="00761800" w:rsidP="00761800">
      <w:pPr>
        <w:spacing w:before="120" w:after="200"/>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Източник: МФ</w:t>
      </w:r>
    </w:p>
    <w:p w14:paraId="74E04BBC" w14:textId="77777777" w:rsidR="00761800" w:rsidRPr="00761800" w:rsidRDefault="00761800" w:rsidP="00761800">
      <w:pPr>
        <w:spacing w:after="200"/>
        <w:jc w:val="both"/>
        <w:rPr>
          <w:rFonts w:ascii="Times New Roman" w:eastAsia="Batang" w:hAnsi="Times New Roman"/>
          <w:szCs w:val="22"/>
          <w:lang w:eastAsia="bg-BG"/>
        </w:rPr>
      </w:pPr>
      <w:r w:rsidRPr="00761800">
        <w:rPr>
          <w:rFonts w:ascii="Times New Roman" w:eastAsia="Batang" w:hAnsi="Times New Roman"/>
          <w:szCs w:val="22"/>
          <w:lang w:eastAsia="bg-BG"/>
        </w:rPr>
        <w:t>Лихвените разходи за обслужването на държавния дълг през 2024 г. възлизат на 487,4 млн. евро (424,8 млн. евро по външния и 62,6 млн. евро по вътрешния), а  през 2025 г. - на 708,9 млн. евро (602,5 млн. евро по външния и 106,4 млн. евро по вътрешния държавен дълг). За периода 2026-2028 г. тенденцията за нарастване на лихвените разходи за обслужването на държавния дълг се запазва вследствие на прогнозираното увеличение на размера на дълга за целия период в комбинация с конюнктурата на местния и международните пазари на суверенен дълг, като съотношението на лихвените разходи спрямо прогнозния БВП в края на средносрочния хоризонт се очаква да достигне до 1,2% (при 0,5% в края на 2024 г.).</w:t>
      </w:r>
    </w:p>
    <w:p w14:paraId="5BC65C4A" w14:textId="4CB91307" w:rsidR="00761800" w:rsidRPr="00761800" w:rsidRDefault="00761800" w:rsidP="00761800">
      <w:pPr>
        <w:keepNext/>
        <w:spacing w:after="240"/>
        <w:rPr>
          <w:rFonts w:ascii="Times New Roman" w:hAnsi="Times New Roman"/>
          <w:b/>
          <w:bCs/>
          <w:szCs w:val="18"/>
          <w:lang w:eastAsia="bg-BG"/>
        </w:rPr>
      </w:pPr>
      <w:r w:rsidRPr="00761800">
        <w:rPr>
          <w:rFonts w:ascii="Times New Roman" w:hAnsi="Times New Roman"/>
          <w:b/>
          <w:bCs/>
          <w:szCs w:val="18"/>
          <w:lang w:eastAsia="bg-BG"/>
        </w:rPr>
        <w:lastRenderedPageBreak/>
        <w:t xml:space="preserve">Граф.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Граф.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7</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 Съотношение на лихвените разходи към БВП по държавния бюджет</w:t>
      </w:r>
    </w:p>
    <w:p w14:paraId="63CF596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noProof/>
          <w:szCs w:val="22"/>
          <w:lang w:eastAsia="bg-BG"/>
        </w:rPr>
        <w:drawing>
          <wp:inline distT="0" distB="0" distL="0" distR="0" wp14:anchorId="54319777" wp14:editId="0D8C8FEB">
            <wp:extent cx="5722356" cy="290403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8350" cy="2927375"/>
                    </a:xfrm>
                    <a:prstGeom prst="rect">
                      <a:avLst/>
                    </a:prstGeom>
                    <a:noFill/>
                  </pic:spPr>
                </pic:pic>
              </a:graphicData>
            </a:graphic>
          </wp:inline>
        </w:drawing>
      </w:r>
      <w:r w:rsidRPr="00761800">
        <w:rPr>
          <w:rFonts w:ascii="Times New Roman" w:hAnsi="Times New Roman"/>
          <w:i/>
          <w:iCs/>
          <w:color w:val="000000"/>
          <w:sz w:val="18"/>
          <w:lang w:eastAsia="bg-BG"/>
        </w:rPr>
        <w:t>Забележка: Поради закръгления някои от сумарните позиции е възможно не се изчерпват от съставните им числа.</w:t>
      </w:r>
    </w:p>
    <w:p w14:paraId="24A67C92" w14:textId="77777777" w:rsidR="00761800" w:rsidRPr="00761800" w:rsidRDefault="00761800" w:rsidP="00761800">
      <w:pPr>
        <w:spacing w:after="60" w:line="276" w:lineRule="auto"/>
        <w:jc w:val="right"/>
        <w:rPr>
          <w:rFonts w:ascii="Times New Roman" w:eastAsia="Calibri" w:hAnsi="Times New Roman"/>
          <w:sz w:val="18"/>
          <w:szCs w:val="18"/>
        </w:rPr>
      </w:pPr>
      <w:r w:rsidRPr="00761800">
        <w:rPr>
          <w:rFonts w:ascii="Times New Roman" w:eastAsia="Calibri" w:hAnsi="Times New Roman"/>
          <w:sz w:val="18"/>
          <w:szCs w:val="18"/>
        </w:rPr>
        <w:t>Източник: МФ</w:t>
      </w:r>
    </w:p>
    <w:p w14:paraId="2205BBF1" w14:textId="77777777" w:rsidR="00761800" w:rsidRPr="00761800" w:rsidRDefault="00761800" w:rsidP="00F64909">
      <w:pPr>
        <w:keepNext/>
        <w:keepLines/>
        <w:numPr>
          <w:ilvl w:val="1"/>
          <w:numId w:val="6"/>
        </w:numPr>
        <w:tabs>
          <w:tab w:val="left" w:pos="426"/>
        </w:tabs>
        <w:spacing w:before="480" w:after="360"/>
        <w:jc w:val="both"/>
        <w:outlineLvl w:val="1"/>
        <w:rPr>
          <w:rFonts w:ascii="Times New Roman" w:hAnsi="Times New Roman"/>
          <w:b/>
          <w:bCs/>
          <w:caps/>
          <w:color w:val="852010"/>
          <w:spacing w:val="10"/>
          <w:w w:val="90"/>
          <w:sz w:val="28"/>
          <w:szCs w:val="26"/>
          <w:lang w:eastAsia="bg-BG"/>
        </w:rPr>
      </w:pPr>
      <w:bookmarkStart w:id="448" w:name="_Toc233717491"/>
      <w:bookmarkStart w:id="449" w:name="_Toc464224812"/>
      <w:bookmarkStart w:id="450" w:name="_Toc464225462"/>
      <w:bookmarkStart w:id="451" w:name="_Toc464459009"/>
      <w:bookmarkStart w:id="452" w:name="_Toc464459757"/>
      <w:bookmarkStart w:id="453" w:name="_Toc464460710"/>
      <w:bookmarkStart w:id="454" w:name="_Toc464463109"/>
      <w:bookmarkStart w:id="455" w:name="_Toc464464938"/>
      <w:bookmarkStart w:id="456" w:name="_Toc464465445"/>
      <w:bookmarkStart w:id="457" w:name="_Toc464465631"/>
      <w:bookmarkStart w:id="458" w:name="_Toc464466456"/>
      <w:bookmarkStart w:id="459" w:name="_Toc464466700"/>
      <w:bookmarkStart w:id="460" w:name="_Toc464645020"/>
      <w:bookmarkStart w:id="461" w:name="_Toc465205570"/>
      <w:r w:rsidRPr="00761800">
        <w:rPr>
          <w:rFonts w:ascii="Times New Roman" w:hAnsi="Times New Roman"/>
          <w:b/>
          <w:bCs/>
          <w:caps/>
          <w:color w:val="852010"/>
          <w:spacing w:val="10"/>
          <w:w w:val="90"/>
          <w:sz w:val="28"/>
          <w:szCs w:val="26"/>
          <w:lang w:eastAsia="bg-BG"/>
        </w:rPr>
        <w:t>Държавногарантиран дълг</w:t>
      </w:r>
      <w:bookmarkEnd w:id="448"/>
    </w:p>
    <w:bookmarkEnd w:id="449"/>
    <w:bookmarkEnd w:id="450"/>
    <w:bookmarkEnd w:id="451"/>
    <w:bookmarkEnd w:id="452"/>
    <w:bookmarkEnd w:id="453"/>
    <w:bookmarkEnd w:id="454"/>
    <w:bookmarkEnd w:id="455"/>
    <w:bookmarkEnd w:id="456"/>
    <w:bookmarkEnd w:id="457"/>
    <w:bookmarkEnd w:id="458"/>
    <w:bookmarkEnd w:id="459"/>
    <w:bookmarkEnd w:id="460"/>
    <w:bookmarkEnd w:id="461"/>
    <w:p w14:paraId="5107CA4A"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Към края на 2025 г. нивото на държавногарантирания дълг намалява до ниво от 646,2 млн. евро от 869,0 млн. евро през 2024 г. Съотношението му спрямо БВП също отбелязва спад до 0,6% от 0,8%. Към края на 2025 г. външният държавногарантиран дълг възлиза на 422,3 млн. евро (при 745,1 млн. евро през 2024 г.), а вътрешният на 223,9 млн. евро (при 123,9 млн. евро през 2024 г.). През годината превес имат издадените държавни гаранции за сектор „Енергетика“ – 48,9%, следвани от сектор „Инструменти на ЕС“ – 24,2%, сектор „Финансов“ – 19,3%, сектор „Образование“ – 3,7%, сектор „Транспорт“ – 3,4% и сектор „Други“ – 0,5%, докато през 2024 г. доминиращ дял имат издадените държавни гаранции за сектор „Финансов“ – 46,0%, следвани от сектор „Енергетика“ – 28,6%, сектор „Инструменти на ЕС“ – 18,4%, сектор „Транспорт“ – 3,3%, сектор „Образование“ – 3,1% и сектор „Други“ – 0,5%. </w:t>
      </w:r>
    </w:p>
    <w:p w14:paraId="32E86C80" w14:textId="77777777" w:rsidR="00761800" w:rsidRPr="00761800" w:rsidRDefault="00761800" w:rsidP="00761800">
      <w:pPr>
        <w:spacing w:after="200"/>
        <w:jc w:val="both"/>
        <w:rPr>
          <w:rFonts w:ascii="Times New Roman" w:eastAsia="Batang" w:hAnsi="Times New Roman"/>
          <w:szCs w:val="24"/>
          <w:highlight w:val="yellow"/>
          <w:lang w:eastAsia="bg-BG"/>
        </w:rPr>
      </w:pPr>
      <w:r w:rsidRPr="00761800">
        <w:rPr>
          <w:rFonts w:ascii="Times New Roman" w:eastAsia="Batang" w:hAnsi="Times New Roman"/>
          <w:szCs w:val="24"/>
          <w:lang w:eastAsia="bg-BG"/>
        </w:rPr>
        <w:t xml:space="preserve">В рамките на ограничението за максималния размер на държавните гаранции, които могат да бъдат издадени през 2025 г. (до 3,5 млрд. евро съгласно чл. 74 от ЗДБРБ за 2025 г.) са издадени </w:t>
      </w:r>
      <w:r w:rsidRPr="00761800">
        <w:rPr>
          <w:rFonts w:ascii="Times New Roman" w:hAnsi="Times New Roman"/>
          <w:szCs w:val="24"/>
          <w:lang w:eastAsia="bg-BG"/>
        </w:rPr>
        <w:t xml:space="preserve">нови държавни гаранции в общ размер на 241,1 млн. евро (471,6 млн. лв.), в т.ч. </w:t>
      </w:r>
      <w:r w:rsidRPr="00761800">
        <w:rPr>
          <w:rFonts w:ascii="Times New Roman" w:eastAsia="Batang" w:hAnsi="Times New Roman"/>
          <w:szCs w:val="24"/>
          <w:lang w:eastAsia="bg-BG"/>
        </w:rPr>
        <w:t xml:space="preserve">вътрешни държавни гаранции в размер на 127,3 млн. евро в полза на „Булгартрансгаз“ ЕАД във връзка с Договори за дългосрочни кредити с „Обединена Българска Банка“ АД (102,3 млн. евро) и „Инвестбанк“ АД (25,0 млн. евро) за частично финансиране на проекта „Разширение на газопреносната инфраструктура на „Булгартрансгаз“ ЕАД за изпълнение на инициативата Вертикален коридор на газопреносните оператори на България, Гърция, Румъния, Унгария, Словакия, Украйна и Молдова“.  Издадена е нова държавна гаранция (с РМС № 913 от 19.12.2025 г.), като е подписано Гаранционно споразумение между Република България като (Гарант) и „Обединена Българска Банка“ АД, във връзка с Договор за банков кредит между „Обединена Българска Банка“ АД и „Българска банка за развитие” ЕАД (кредитополучател) в размер на 100,0 млн. евро с цел финансиране на Инвестиционната </w:t>
      </w:r>
      <w:r w:rsidRPr="00761800">
        <w:rPr>
          <w:rFonts w:ascii="Times New Roman" w:eastAsia="Batang" w:hAnsi="Times New Roman"/>
          <w:szCs w:val="24"/>
          <w:lang w:eastAsia="bg-BG"/>
        </w:rPr>
        <w:lastRenderedPageBreak/>
        <w:t>програма за общински проекти (ИПОП) по чл. 113 от ЗББР</w:t>
      </w:r>
      <w:r w:rsidRPr="00761800">
        <w:rPr>
          <w:rFonts w:ascii="Times New Roman" w:eastAsia="Batang" w:hAnsi="Times New Roman"/>
          <w:position w:val="2"/>
          <w:sz w:val="18"/>
          <w:szCs w:val="24"/>
          <w:vertAlign w:val="superscript"/>
        </w:rPr>
        <w:footnoteReference w:id="80"/>
      </w:r>
      <w:r w:rsidRPr="00761800">
        <w:rPr>
          <w:rFonts w:ascii="Times New Roman" w:eastAsia="Batang" w:hAnsi="Times New Roman"/>
          <w:szCs w:val="24"/>
          <w:lang w:eastAsia="bg-BG"/>
        </w:rPr>
        <w:t xml:space="preserve"> и Национална програма за енергийна ефективност на многофамилните жилищни сгради за периода 2025-2029 г (НПЕЕ)</w:t>
      </w:r>
      <w:r w:rsidRPr="00761800">
        <w:rPr>
          <w:rFonts w:ascii="Times New Roman" w:hAnsi="Times New Roman"/>
          <w:szCs w:val="22"/>
          <w:lang w:eastAsia="bg-BG"/>
        </w:rPr>
        <w:t xml:space="preserve"> </w:t>
      </w:r>
      <w:r w:rsidRPr="00761800">
        <w:rPr>
          <w:rFonts w:ascii="Times New Roman" w:eastAsia="Batang" w:hAnsi="Times New Roman"/>
          <w:szCs w:val="24"/>
          <w:lang w:eastAsia="bg-BG"/>
        </w:rPr>
        <w:t xml:space="preserve">по чл. 109 от ЗББР. На 19.12.2025 г. е ратифицирано със закон от Народното събрание и Споразумението за гаранция с Европейската инвестиционна банка (ЕИБ) във връзка със споразумение за принос между Република България и ЕИБ по отношение на участието на Република България с гаранция в размер до левовата равностойност на 10,0 млн. евро в доверителния фонд „ЕС за Украйна“ в размер до левовата равностойност на 10,0 млн. евро (обн., ДВ, бр.115 от 30.12.2025 г.). </w:t>
      </w:r>
      <w:r w:rsidRPr="00761800">
        <w:rPr>
          <w:rFonts w:ascii="Times New Roman" w:eastAsia="Calibri" w:hAnsi="Times New Roman"/>
          <w:szCs w:val="22"/>
          <w:lang w:eastAsia="bg-BG"/>
        </w:rPr>
        <w:t xml:space="preserve">В рамките на ограничението </w:t>
      </w:r>
      <w:r w:rsidRPr="00761800">
        <w:rPr>
          <w:rFonts w:ascii="Times New Roman" w:hAnsi="Times New Roman"/>
          <w:szCs w:val="24"/>
          <w:lang w:eastAsia="bg-BG"/>
        </w:rPr>
        <w:t>по чл. 73, т.1 от ЗДБРБ за 2025 г. (издаване на нови държавни гаранции по Закона за кредитиране на студенти и докторанти в размер до 30,0 млн. лв. или 15,3 млн. евро), към края на годината реално са договорени студентски кредити с държавни гаранции за такси и издръжка в размер на 3,8 млн. евро (7,5 млн. лв.).</w:t>
      </w:r>
    </w:p>
    <w:p w14:paraId="19972865"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В проекта на ЗДБРБ за 2026 г. е предвидено да бъдат издадени държавни гаранции в общ размер до 2 040 млн. евро, които бяха предвидени за издаване в ЗДБРБ за 2025 г. и не бяха реализирани, в т.ч. както следва:</w:t>
      </w:r>
    </w:p>
    <w:p w14:paraId="56F55F84" w14:textId="77777777" w:rsidR="00761800" w:rsidRPr="00761800" w:rsidRDefault="00761800" w:rsidP="00F64909">
      <w:pPr>
        <w:numPr>
          <w:ilvl w:val="0"/>
          <w:numId w:val="15"/>
        </w:numPr>
        <w:spacing w:after="200"/>
        <w:ind w:left="426" w:hanging="426"/>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По реда на Закона за държавния дълг в размер до 2 020 млн. евро, за финансиране на инвестиционните проекти: </w:t>
      </w:r>
    </w:p>
    <w:p w14:paraId="1E5E26F8" w14:textId="77777777" w:rsidR="00761800" w:rsidRPr="00761800" w:rsidRDefault="00761800" w:rsidP="00761800">
      <w:pPr>
        <w:spacing w:after="200"/>
        <w:ind w:firstLine="426"/>
        <w:jc w:val="both"/>
        <w:rPr>
          <w:rFonts w:ascii="Times New Roman" w:eastAsia="Batang" w:hAnsi="Times New Roman"/>
          <w:szCs w:val="24"/>
          <w:lang w:eastAsia="bg-BG"/>
        </w:rPr>
      </w:pPr>
      <w:r w:rsidRPr="00761800">
        <w:rPr>
          <w:rFonts w:ascii="Times New Roman" w:eastAsia="Batang" w:hAnsi="Times New Roman"/>
          <w:szCs w:val="24"/>
          <w:lang w:eastAsia="bg-BG"/>
        </w:rPr>
        <w:t>1.</w:t>
      </w:r>
      <w:r w:rsidRPr="00761800">
        <w:rPr>
          <w:rFonts w:ascii="Times New Roman" w:eastAsia="Batang" w:hAnsi="Times New Roman"/>
          <w:szCs w:val="24"/>
          <w:lang w:eastAsia="bg-BG"/>
        </w:rPr>
        <w:tab/>
        <w:t>на „Булгартрансгаз“ ЕАД в размер до 192</w:t>
      </w:r>
      <w:r w:rsidRPr="00761800">
        <w:rPr>
          <w:rFonts w:ascii="Times New Roman" w:eastAsia="Batang" w:hAnsi="Times New Roman"/>
          <w:szCs w:val="24"/>
          <w:lang w:val="en-US" w:eastAsia="bg-BG"/>
        </w:rPr>
        <w:t> </w:t>
      </w:r>
      <w:r w:rsidRPr="00761800">
        <w:rPr>
          <w:rFonts w:ascii="Times New Roman" w:eastAsia="Batang" w:hAnsi="Times New Roman"/>
          <w:szCs w:val="24"/>
          <w:lang w:eastAsia="bg-BG"/>
        </w:rPr>
        <w:t>299 056 евро или тяхната равностойност в друга валута за финансиране на инвестиционен проект „Разширение на газопреносната инфраструктура на „Булгартрансгаз“ ЕАД във връзка с инициативата Вертикален коридор на газопреносните оператори на България, Гърция, Румъния, Унгария, Словакия, Украйна и Молдова“, осигуряваща възможност за пренос на допълнителни обеми природен газ, при спазване на законодателството в областта на държавните помощи, чрез реализация на следните инвестиционни проекти:</w:t>
      </w:r>
    </w:p>
    <w:p w14:paraId="1D09ADAC" w14:textId="77777777" w:rsidR="00761800" w:rsidRPr="00761800" w:rsidRDefault="00761800" w:rsidP="00761800">
      <w:pPr>
        <w:spacing w:after="200"/>
        <w:ind w:firstLine="426"/>
        <w:jc w:val="both"/>
        <w:rPr>
          <w:rFonts w:ascii="Times New Roman" w:eastAsia="Batang" w:hAnsi="Times New Roman"/>
          <w:szCs w:val="24"/>
          <w:lang w:eastAsia="bg-BG"/>
        </w:rPr>
      </w:pPr>
      <w:r w:rsidRPr="00761800">
        <w:rPr>
          <w:rFonts w:ascii="Times New Roman" w:eastAsia="Batang" w:hAnsi="Times New Roman"/>
          <w:szCs w:val="24"/>
          <w:lang w:eastAsia="bg-BG"/>
        </w:rPr>
        <w:t>а) „Повишаване на капацитета за пренос на природен газ в точка на междусистемно свързване Кулата/Сидирокастро в посока от Гърция към България“;</w:t>
      </w:r>
    </w:p>
    <w:p w14:paraId="17584E18" w14:textId="77777777" w:rsidR="00761800" w:rsidRPr="00761800" w:rsidRDefault="00761800" w:rsidP="00761800">
      <w:pPr>
        <w:spacing w:after="200"/>
        <w:ind w:firstLine="426"/>
        <w:jc w:val="both"/>
        <w:rPr>
          <w:rFonts w:ascii="Times New Roman" w:eastAsia="Batang" w:hAnsi="Times New Roman"/>
          <w:szCs w:val="24"/>
          <w:lang w:eastAsia="bg-BG"/>
        </w:rPr>
      </w:pPr>
      <w:r w:rsidRPr="00761800">
        <w:rPr>
          <w:rFonts w:ascii="Times New Roman" w:eastAsia="Batang" w:hAnsi="Times New Roman"/>
          <w:szCs w:val="24"/>
          <w:lang w:eastAsia="bg-BG"/>
        </w:rPr>
        <w:t>б) „Повишаване на капацитета за пренос на природен газ в точка на междусистемно свързване Негру Вода/Кардам в посока от България към Румъния“;</w:t>
      </w:r>
    </w:p>
    <w:p w14:paraId="31B8A172" w14:textId="77777777" w:rsidR="00761800" w:rsidRPr="00761800" w:rsidRDefault="00761800" w:rsidP="00761800">
      <w:pPr>
        <w:spacing w:after="200"/>
        <w:ind w:firstLine="426"/>
        <w:jc w:val="both"/>
        <w:rPr>
          <w:rFonts w:ascii="Times New Roman" w:eastAsia="Batang" w:hAnsi="Times New Roman"/>
          <w:szCs w:val="24"/>
          <w:highlight w:val="yellow"/>
          <w:lang w:eastAsia="bg-BG"/>
        </w:rPr>
      </w:pPr>
      <w:r w:rsidRPr="00761800">
        <w:rPr>
          <w:rFonts w:ascii="Times New Roman" w:eastAsia="Batang" w:hAnsi="Times New Roman"/>
          <w:szCs w:val="24"/>
          <w:lang w:eastAsia="bg-BG"/>
        </w:rPr>
        <w:t>в) „Довеждаща газопреносна инфраструктура с високо налягане за захранване на потребители в Източномаришкия регион“.</w:t>
      </w:r>
    </w:p>
    <w:p w14:paraId="13166B22" w14:textId="77777777" w:rsidR="00761800" w:rsidRPr="00761800" w:rsidRDefault="00761800" w:rsidP="00761800">
      <w:pPr>
        <w:spacing w:after="200"/>
        <w:ind w:firstLine="426"/>
        <w:jc w:val="both"/>
        <w:rPr>
          <w:rFonts w:ascii="Times New Roman" w:eastAsia="Batang" w:hAnsi="Times New Roman"/>
          <w:szCs w:val="24"/>
          <w:lang w:eastAsia="bg-BG"/>
        </w:rPr>
      </w:pPr>
      <w:r w:rsidRPr="00761800">
        <w:rPr>
          <w:rFonts w:ascii="Times New Roman" w:eastAsia="Batang" w:hAnsi="Times New Roman"/>
          <w:szCs w:val="24"/>
          <w:lang w:eastAsia="bg-BG"/>
        </w:rPr>
        <w:t>2.</w:t>
      </w:r>
      <w:r w:rsidRPr="00761800">
        <w:rPr>
          <w:rFonts w:ascii="Times New Roman" w:eastAsia="Batang" w:hAnsi="Times New Roman"/>
          <w:szCs w:val="24"/>
          <w:lang w:eastAsia="bg-BG"/>
        </w:rPr>
        <w:tab/>
        <w:t>на „Булгартрансгаз“ ЕАД  - по проекта от общ интерес 6.20.2 „Разширение на капацитета на ПГХ</w:t>
      </w:r>
      <w:r w:rsidRPr="00761800">
        <w:rPr>
          <w:rFonts w:ascii="Times New Roman" w:eastAsia="Batang" w:hAnsi="Times New Roman"/>
          <w:position w:val="2"/>
          <w:sz w:val="18"/>
          <w:szCs w:val="24"/>
          <w:vertAlign w:val="superscript"/>
        </w:rPr>
        <w:footnoteReference w:id="81"/>
      </w:r>
      <w:r w:rsidRPr="00761800">
        <w:rPr>
          <w:rFonts w:ascii="Times New Roman" w:eastAsia="Batang" w:hAnsi="Times New Roman"/>
          <w:szCs w:val="24"/>
          <w:lang w:eastAsia="bg-BG"/>
        </w:rPr>
        <w:t xml:space="preserve"> Чирен“, в размер до 207 586 411 евро или тяхната равностойност в друга валута, при спазване на условията в решението на ЕК по дело за държавна помощ SA.106120 (2023/N) – Bulgaria State guarantee to Bulgartransgaz EAD for expansion of the capacity of the Chiren natural gas storage facility;</w:t>
      </w:r>
    </w:p>
    <w:p w14:paraId="5E18AD39" w14:textId="77777777" w:rsidR="00761800" w:rsidRPr="00761800" w:rsidRDefault="00761800" w:rsidP="00761800">
      <w:pPr>
        <w:spacing w:after="200"/>
        <w:ind w:firstLine="426"/>
        <w:jc w:val="both"/>
        <w:rPr>
          <w:rFonts w:ascii="Times New Roman" w:eastAsia="Batang" w:hAnsi="Times New Roman"/>
          <w:szCs w:val="24"/>
          <w:lang w:eastAsia="bg-BG"/>
        </w:rPr>
      </w:pPr>
      <w:r w:rsidRPr="00761800">
        <w:rPr>
          <w:rFonts w:ascii="Times New Roman" w:eastAsia="Batang" w:hAnsi="Times New Roman"/>
          <w:szCs w:val="24"/>
          <w:lang w:eastAsia="bg-BG"/>
        </w:rPr>
        <w:t>3.</w:t>
      </w:r>
      <w:r w:rsidRPr="00761800">
        <w:rPr>
          <w:rFonts w:ascii="Times New Roman" w:eastAsia="Batang" w:hAnsi="Times New Roman"/>
          <w:szCs w:val="24"/>
          <w:lang w:eastAsia="bg-BG"/>
        </w:rPr>
        <w:tab/>
        <w:t>на „Националната Електрическа Компания“ ЕАД за финансиране на инвестиционен проект „Модернизация и рехабилитация на ПАВЕЦ</w:t>
      </w:r>
      <w:r w:rsidRPr="00761800">
        <w:rPr>
          <w:rFonts w:ascii="Times New Roman" w:eastAsia="Batang" w:hAnsi="Times New Roman"/>
          <w:position w:val="2"/>
          <w:sz w:val="18"/>
          <w:szCs w:val="24"/>
          <w:vertAlign w:val="superscript"/>
        </w:rPr>
        <w:footnoteReference w:id="82"/>
      </w:r>
      <w:r w:rsidRPr="00761800">
        <w:rPr>
          <w:rFonts w:ascii="Times New Roman" w:eastAsia="Batang" w:hAnsi="Times New Roman"/>
          <w:szCs w:val="24"/>
          <w:lang w:eastAsia="bg-BG"/>
        </w:rPr>
        <w:t xml:space="preserve"> „Чаира“, в размер до 79 250 242 евро (или тяхната равностойност в друга валута), при спазване на законодателството в областта на държавните помощи;</w:t>
      </w:r>
    </w:p>
    <w:p w14:paraId="73BA548C" w14:textId="77777777" w:rsidR="00761800" w:rsidRPr="00761800" w:rsidRDefault="00761800" w:rsidP="00761800">
      <w:pPr>
        <w:spacing w:after="200"/>
        <w:ind w:firstLine="426"/>
        <w:jc w:val="both"/>
        <w:rPr>
          <w:rFonts w:ascii="Times New Roman" w:eastAsia="Batang" w:hAnsi="Times New Roman"/>
          <w:szCs w:val="24"/>
          <w:lang w:eastAsia="bg-BG"/>
        </w:rPr>
      </w:pPr>
      <w:r w:rsidRPr="00761800">
        <w:rPr>
          <w:rFonts w:ascii="Times New Roman" w:eastAsia="Batang" w:hAnsi="Times New Roman"/>
          <w:szCs w:val="24"/>
          <w:lang w:eastAsia="bg-BG"/>
        </w:rPr>
        <w:t>4.</w:t>
      </w:r>
      <w:r w:rsidRPr="00761800">
        <w:rPr>
          <w:rFonts w:ascii="Times New Roman" w:eastAsia="Batang" w:hAnsi="Times New Roman"/>
          <w:szCs w:val="24"/>
          <w:lang w:eastAsia="bg-BG"/>
        </w:rPr>
        <w:tab/>
        <w:t xml:space="preserve">на „Националната Електрическа Компания“ ЕАД във връзка с финансиране на проект „Увеличаване обема на долния изравнител на ПАВЕЦ „Чаира“ с изграждането на </w:t>
      </w:r>
      <w:r w:rsidRPr="00761800">
        <w:rPr>
          <w:rFonts w:ascii="Times New Roman" w:eastAsia="Batang" w:hAnsi="Times New Roman"/>
          <w:szCs w:val="24"/>
          <w:lang w:eastAsia="bg-BG"/>
        </w:rPr>
        <w:lastRenderedPageBreak/>
        <w:t>язовир „Яденица“ и реверсивен напорен тунел за връзка с язовир „Чаира“ в размер до 38 346 891 евро или тяхната равностойност в друга валута, при спазване на законодателството в областта на държавните помощи.</w:t>
      </w:r>
    </w:p>
    <w:p w14:paraId="4E4A6DD4" w14:textId="77777777" w:rsidR="00761800" w:rsidRPr="00761800" w:rsidRDefault="00761800" w:rsidP="00761800">
      <w:pPr>
        <w:spacing w:after="200"/>
        <w:ind w:firstLine="426"/>
        <w:jc w:val="both"/>
        <w:rPr>
          <w:rFonts w:ascii="Times New Roman" w:eastAsia="Batang" w:hAnsi="Times New Roman"/>
          <w:szCs w:val="24"/>
          <w:lang w:eastAsia="bg-BG"/>
        </w:rPr>
      </w:pPr>
      <w:r w:rsidRPr="00761800">
        <w:rPr>
          <w:rFonts w:ascii="Times New Roman" w:eastAsia="Batang" w:hAnsi="Times New Roman"/>
          <w:szCs w:val="24"/>
          <w:lang w:eastAsia="bg-BG"/>
        </w:rPr>
        <w:t>5.</w:t>
      </w:r>
      <w:r w:rsidRPr="00761800">
        <w:rPr>
          <w:rFonts w:ascii="Times New Roman" w:eastAsia="Batang" w:hAnsi="Times New Roman"/>
          <w:szCs w:val="24"/>
          <w:lang w:eastAsia="bg-BG"/>
        </w:rPr>
        <w:tab/>
      </w:r>
      <w:r w:rsidRPr="00761800">
        <w:rPr>
          <w:rFonts w:ascii="Times New Roman" w:hAnsi="Times New Roman"/>
          <w:szCs w:val="24"/>
          <w:lang w:eastAsia="bg-BG"/>
        </w:rPr>
        <w:t>на АЕЦ „Козлодуй – Нови мощности“ ЕАД</w:t>
      </w:r>
      <w:r w:rsidRPr="00761800">
        <w:rPr>
          <w:rFonts w:ascii="Times New Roman" w:eastAsia="Batang" w:hAnsi="Times New Roman"/>
          <w:szCs w:val="24"/>
          <w:lang w:eastAsia="bg-BG"/>
        </w:rPr>
        <w:t xml:space="preserve"> </w:t>
      </w:r>
      <w:r w:rsidRPr="00761800">
        <w:rPr>
          <w:rFonts w:ascii="Times New Roman" w:hAnsi="Times New Roman"/>
          <w:szCs w:val="24"/>
          <w:lang w:eastAsia="bg-BG"/>
        </w:rPr>
        <w:t>по нови заемни споразумения</w:t>
      </w:r>
      <w:r w:rsidRPr="00761800">
        <w:rPr>
          <w:rFonts w:ascii="Times New Roman" w:eastAsia="Batang" w:hAnsi="Times New Roman"/>
          <w:szCs w:val="24"/>
          <w:lang w:eastAsia="bg-BG"/>
        </w:rPr>
        <w:t xml:space="preserve"> във връзка с финансиране на проект „Изграждане на нова ядрена мощност от най-ново поколение на площадка на АЕЦ „Козлодуй“ (7 блок) в  размер до 1 500 417 089 евро или тяхната равностойност в друга валута, при спазване на законодателството в областта на държавните помощи.</w:t>
      </w:r>
    </w:p>
    <w:p w14:paraId="1864384F" w14:textId="77777777" w:rsidR="00761800" w:rsidRPr="00761800" w:rsidRDefault="00761800" w:rsidP="00761800">
      <w:pPr>
        <w:spacing w:after="200"/>
        <w:jc w:val="both"/>
        <w:rPr>
          <w:rFonts w:ascii="Times New Roman" w:eastAsia="Batang" w:hAnsi="Times New Roman"/>
          <w:szCs w:val="24"/>
          <w:lang w:eastAsia="bg-BG"/>
        </w:rPr>
      </w:pPr>
      <w:r w:rsidRPr="00761800">
        <w:rPr>
          <w:rFonts w:ascii="Times New Roman" w:eastAsia="Batang" w:hAnsi="Times New Roman"/>
          <w:szCs w:val="24"/>
          <w:lang w:eastAsia="bg-BG"/>
        </w:rPr>
        <w:t>Държавногарантираното финансиране по инициативата Вертикален газов коридор първоначално е включено в Закона за държавния бюджет на Република България за 2025 г. в размер до валутната равностойност на 625,0 млн. лв. (319,6 млн. евро)  В процеса на реализация  на проекта са издадени държавни гаранции с общ размер от 127 258 370 евро. За останалата, нереализирана част от предвиденото финансиране на проекта в размер на 192 299 056 евро, през 2026 г. Министерският съвет може да издава  държавни гаранции по заемни споразумения на  „Булгартрансгаз“ ЕАД.  Финансирането на проектите по т. 2 – 5 през 2026 г. се запазва непроменено.</w:t>
      </w:r>
    </w:p>
    <w:p w14:paraId="57D0DD74" w14:textId="77777777" w:rsidR="00761800" w:rsidRPr="00761800" w:rsidRDefault="00761800" w:rsidP="00F64909">
      <w:pPr>
        <w:numPr>
          <w:ilvl w:val="0"/>
          <w:numId w:val="15"/>
        </w:numPr>
        <w:spacing w:after="200"/>
        <w:ind w:left="426" w:hanging="426"/>
        <w:jc w:val="both"/>
        <w:rPr>
          <w:rFonts w:ascii="Times New Roman" w:eastAsia="Batang" w:hAnsi="Times New Roman"/>
          <w:szCs w:val="24"/>
          <w:lang w:eastAsia="bg-BG"/>
        </w:rPr>
      </w:pPr>
      <w:r w:rsidRPr="00761800">
        <w:rPr>
          <w:rFonts w:ascii="Times New Roman" w:eastAsia="Batang" w:hAnsi="Times New Roman"/>
          <w:szCs w:val="24"/>
          <w:lang w:eastAsia="bg-BG"/>
        </w:rPr>
        <w:t xml:space="preserve">На други държавни гаранции по чл. 37, ал. 1, т. 4 от Закона за публичните финанси в размер до 15,4 млн. евро - по Закона за кредитиране на студенти и докторанти, относно прилагане на програмата за студентско кредитиране, в общ размер до 15 338 756 евро (одобрени с РМС № 614 от 2025 г.). </w:t>
      </w:r>
    </w:p>
    <w:p w14:paraId="02CC922C" w14:textId="77777777" w:rsidR="00761800" w:rsidRPr="00761800" w:rsidRDefault="00761800" w:rsidP="00761800">
      <w:pPr>
        <w:spacing w:after="200"/>
        <w:jc w:val="both"/>
        <w:rPr>
          <w:rFonts w:ascii="Times New Roman" w:eastAsia="Batang" w:hAnsi="Times New Roman"/>
          <w:bCs/>
          <w:szCs w:val="24"/>
          <w:lang w:eastAsia="bg-BG"/>
        </w:rPr>
      </w:pPr>
      <w:r w:rsidRPr="00761800">
        <w:rPr>
          <w:rFonts w:ascii="Times New Roman" w:eastAsia="Batang" w:hAnsi="Times New Roman"/>
          <w:szCs w:val="24"/>
          <w:lang w:eastAsia="bg-BG"/>
        </w:rPr>
        <w:t xml:space="preserve">При допускането за издаване на по-горе изброените нови държавни гаранции и при пълно усвояване на средствата от заемите до края на 2026 г. се очаква общият размер на </w:t>
      </w:r>
      <w:r w:rsidRPr="00761800">
        <w:rPr>
          <w:rFonts w:ascii="Times New Roman" w:eastAsia="Batang" w:hAnsi="Times New Roman"/>
          <w:bCs/>
          <w:szCs w:val="24"/>
          <w:lang w:eastAsia="bg-BG"/>
        </w:rPr>
        <w:t xml:space="preserve">държавногарантирания дълг да нарасне до ниво от около 3,0 млрд. евро, </w:t>
      </w:r>
      <w:r w:rsidRPr="00761800">
        <w:rPr>
          <w:rFonts w:ascii="Times New Roman" w:eastAsia="Batang" w:hAnsi="Times New Roman"/>
          <w:szCs w:val="24"/>
          <w:lang w:eastAsia="bg-BG"/>
        </w:rPr>
        <w:t>а</w:t>
      </w:r>
      <w:r w:rsidRPr="00761800">
        <w:rPr>
          <w:rFonts w:ascii="Times New Roman" w:eastAsia="Batang" w:hAnsi="Times New Roman"/>
          <w:bCs/>
          <w:szCs w:val="24"/>
          <w:lang w:eastAsia="bg-BG"/>
        </w:rPr>
        <w:t xml:space="preserve"> </w:t>
      </w:r>
      <w:r w:rsidRPr="00761800">
        <w:rPr>
          <w:rFonts w:ascii="Times New Roman" w:eastAsia="Batang" w:hAnsi="Times New Roman"/>
          <w:szCs w:val="24"/>
          <w:lang w:eastAsia="bg-BG"/>
        </w:rPr>
        <w:t xml:space="preserve">показателят „Съотношение на държавногарантирания дълг към прогнозния размер на БВП“ съответно до 2,4% (при 0,6% за </w:t>
      </w:r>
      <w:r w:rsidRPr="00761800">
        <w:rPr>
          <w:rFonts w:ascii="Times New Roman" w:eastAsia="Batang" w:hAnsi="Times New Roman"/>
          <w:bCs/>
          <w:szCs w:val="24"/>
          <w:lang w:eastAsia="bg-BG"/>
        </w:rPr>
        <w:t xml:space="preserve">2025 г.). </w:t>
      </w:r>
    </w:p>
    <w:p w14:paraId="7D104C17" w14:textId="77777777" w:rsidR="00761800" w:rsidRPr="00761800" w:rsidRDefault="00761800" w:rsidP="00761800">
      <w:pPr>
        <w:spacing w:after="200"/>
        <w:jc w:val="both"/>
        <w:rPr>
          <w:rFonts w:ascii="Times New Roman" w:eastAsia="Batang" w:hAnsi="Times New Roman"/>
          <w:bCs/>
          <w:szCs w:val="24"/>
          <w:lang w:eastAsia="bg-BG"/>
        </w:rPr>
      </w:pPr>
      <w:r w:rsidRPr="00761800">
        <w:rPr>
          <w:rFonts w:ascii="Times New Roman" w:eastAsia="Batang" w:hAnsi="Times New Roman"/>
          <w:bCs/>
          <w:szCs w:val="24"/>
          <w:lang w:eastAsia="bg-BG"/>
        </w:rPr>
        <w:t>За периода до 2028 г. прогнозите са за лек спад в нивото на държавногарантирания дълг в абсолютна стойност спрямо нивото му от края на 2026 г. (2,9 млрд. евро), но като относителния дял спрямо прогнозния БВП в края на 2028 г. също се очаква да отбележи намаление достигайки до 2,0%.</w:t>
      </w:r>
    </w:p>
    <w:p w14:paraId="754411B4" w14:textId="77777777" w:rsidR="00761800" w:rsidRPr="00761800" w:rsidRDefault="00761800" w:rsidP="00F64909">
      <w:pPr>
        <w:keepNext/>
        <w:keepLines/>
        <w:numPr>
          <w:ilvl w:val="1"/>
          <w:numId w:val="6"/>
        </w:numPr>
        <w:tabs>
          <w:tab w:val="left" w:pos="426"/>
        </w:tabs>
        <w:spacing w:after="200"/>
        <w:jc w:val="both"/>
        <w:outlineLvl w:val="1"/>
        <w:rPr>
          <w:rFonts w:ascii="Times New Roman" w:hAnsi="Times New Roman"/>
          <w:b/>
          <w:bCs/>
          <w:caps/>
          <w:color w:val="852010"/>
          <w:spacing w:val="10"/>
          <w:w w:val="90"/>
          <w:sz w:val="28"/>
          <w:szCs w:val="26"/>
          <w:lang w:eastAsia="bg-BG"/>
        </w:rPr>
      </w:pPr>
      <w:bookmarkStart w:id="462" w:name="_Toc233717492"/>
      <w:bookmarkStart w:id="463" w:name="_Toc464224814"/>
      <w:bookmarkStart w:id="464" w:name="_Toc464225464"/>
      <w:bookmarkStart w:id="465" w:name="_Toc464459011"/>
      <w:bookmarkStart w:id="466" w:name="_Toc464459759"/>
      <w:bookmarkStart w:id="467" w:name="_Toc464460712"/>
      <w:bookmarkStart w:id="468" w:name="_Toc464463111"/>
      <w:bookmarkStart w:id="469" w:name="_Toc464464940"/>
      <w:bookmarkStart w:id="470" w:name="_Toc464465447"/>
      <w:bookmarkStart w:id="471" w:name="_Toc464465633"/>
      <w:bookmarkStart w:id="472" w:name="_Toc464466458"/>
      <w:bookmarkStart w:id="473" w:name="_Toc464466702"/>
      <w:bookmarkStart w:id="474" w:name="_Toc464645022"/>
      <w:bookmarkStart w:id="475" w:name="_Toc465205572"/>
      <w:r w:rsidRPr="00761800">
        <w:rPr>
          <w:rFonts w:ascii="Times New Roman" w:hAnsi="Times New Roman"/>
          <w:b/>
          <w:bCs/>
          <w:caps/>
          <w:color w:val="852010"/>
          <w:spacing w:val="10"/>
          <w:w w:val="90"/>
          <w:sz w:val="28"/>
          <w:szCs w:val="26"/>
          <w:lang w:eastAsia="bg-BG"/>
        </w:rPr>
        <w:t>Държавен дълг чрез финансов лизинг и други форми на държавен дълг</w:t>
      </w:r>
      <w:bookmarkEnd w:id="462"/>
    </w:p>
    <w:p w14:paraId="4F68273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eastAsia="Batang" w:hAnsi="Times New Roman"/>
          <w:bCs/>
          <w:szCs w:val="24"/>
          <w:lang w:eastAsia="bg-BG"/>
        </w:rPr>
        <w:t xml:space="preserve">За периода 2026-2028 г. </w:t>
      </w:r>
      <w:r w:rsidRPr="00761800">
        <w:rPr>
          <w:rFonts w:ascii="Times New Roman" w:hAnsi="Times New Roman"/>
          <w:szCs w:val="22"/>
          <w:lang w:eastAsia="bg-BG"/>
        </w:rPr>
        <w:t>не се предвижда поемане на нов дълг от първостепенните разпоредители с бюджет по държавния бюджет по чл. 37, ал. 1, т. 1, буква „б“ от Закона за публичните финанси.</w:t>
      </w:r>
    </w:p>
    <w:p w14:paraId="69B465EE" w14:textId="77777777" w:rsidR="00761800" w:rsidRPr="00761800" w:rsidRDefault="00761800" w:rsidP="00F64909">
      <w:pPr>
        <w:keepNext/>
        <w:keepLines/>
        <w:numPr>
          <w:ilvl w:val="1"/>
          <w:numId w:val="6"/>
        </w:numPr>
        <w:tabs>
          <w:tab w:val="left" w:pos="426"/>
        </w:tabs>
        <w:spacing w:after="200"/>
        <w:ind w:hanging="270"/>
        <w:jc w:val="both"/>
        <w:outlineLvl w:val="1"/>
        <w:rPr>
          <w:rFonts w:ascii="Times New Roman" w:hAnsi="Times New Roman"/>
          <w:b/>
          <w:bCs/>
          <w:caps/>
          <w:color w:val="852010"/>
          <w:spacing w:val="10"/>
          <w:w w:val="90"/>
          <w:sz w:val="28"/>
          <w:szCs w:val="26"/>
          <w:lang w:eastAsia="bg-BG"/>
        </w:rPr>
      </w:pPr>
      <w:bookmarkStart w:id="476" w:name="_Toc233717493"/>
      <w:r w:rsidRPr="00761800">
        <w:rPr>
          <w:rFonts w:ascii="Times New Roman" w:hAnsi="Times New Roman"/>
          <w:b/>
          <w:bCs/>
          <w:caps/>
          <w:color w:val="852010"/>
          <w:spacing w:val="10"/>
          <w:w w:val="90"/>
          <w:sz w:val="28"/>
          <w:szCs w:val="26"/>
          <w:lang w:eastAsia="bg-BG"/>
        </w:rPr>
        <w:t>Други операции в частта на финансирането</w:t>
      </w:r>
      <w:bookmarkEnd w:id="476"/>
    </w:p>
    <w:bookmarkEnd w:id="463"/>
    <w:bookmarkEnd w:id="464"/>
    <w:bookmarkEnd w:id="465"/>
    <w:bookmarkEnd w:id="466"/>
    <w:bookmarkEnd w:id="467"/>
    <w:bookmarkEnd w:id="468"/>
    <w:bookmarkEnd w:id="469"/>
    <w:bookmarkEnd w:id="470"/>
    <w:bookmarkEnd w:id="471"/>
    <w:bookmarkEnd w:id="472"/>
    <w:bookmarkEnd w:id="473"/>
    <w:bookmarkEnd w:id="474"/>
    <w:bookmarkEnd w:id="475"/>
    <w:p w14:paraId="48B74137"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Усвоявания по държавните инвестиционни заеми за периода 2026-2028 г.</w:t>
      </w:r>
    </w:p>
    <w:p w14:paraId="394DA81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За периода 2026-2028 г. не е предвидено усвояване на външно финансиране по държавни инвестиционни заеми. По централния бюджет са разчетени приходи от лихви по държавни инвестиционни заеми с краен бенефициент търговско дружество общо за 2026 г. в размер на 381,4 хил. евро, за 2027 г. – 264,7 хил. евро и за 2028 г. – 148,2 хил. евро. </w:t>
      </w:r>
    </w:p>
    <w:p w14:paraId="733603F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Общо разчетените разходи по държавните инвестиционни заеми, в т.ч. и с краен бенефициент търговско дружество, за 2026 г. са в размер на 5 746,2 хил. евро, в т.ч. </w:t>
      </w:r>
      <w:r w:rsidRPr="00761800">
        <w:rPr>
          <w:rFonts w:ascii="Times New Roman" w:hAnsi="Times New Roman"/>
          <w:szCs w:val="22"/>
          <w:lang w:eastAsia="bg-BG"/>
        </w:rPr>
        <w:lastRenderedPageBreak/>
        <w:t xml:space="preserve">5 695,1 хил. евро разходи за лихви и 51,1 хил. евро разходи за издръжка по проект, изпълняван от Министерството на финансите. За 2027 г. са планирани разходи по държавните инвестиционни заеми в общ размер 5 096,0 хил. евро и за 2028 г. – 4 149,6 хил. евро. </w:t>
      </w:r>
    </w:p>
    <w:p w14:paraId="7A423E5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Разчетените средства за погашения по държавни инвестиционни заеми, в т.ч. и с краен бенефициент търговско дружество, за 2026 г. са в размер на 28 538,5 хил. евро, за 2027 г. – 28 413,9 хил. евро и за 2028 г. – 26 311,3 хил. евро.</w:t>
      </w:r>
    </w:p>
    <w:p w14:paraId="5A5E914E"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Финансиране по чл. 9, ал. 1 от Закона за експортното застраховане за периода 2026-2028 г.</w:t>
      </w:r>
    </w:p>
    <w:p w14:paraId="78F9475B"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Съгласно чл. 9, ал. 1 от Закона за експортното застраховане (ЗЕЗ) в закона за държавния бюджет на Република България за съответната година се предвиждат средства от централния бюджет за изплащане на застрахователни обезщетения по чл. 3 от ЗЕЗ (дейността за сметка на държавата). За периода 2026-2028 г. се предвиждат средства в размер както следва: 76,7 млн. евро за 2026 г., 79,3 млн. евро за 2027 г., 81,8 млн. евро за 2028 г.   </w:t>
      </w:r>
    </w:p>
    <w:p w14:paraId="0E336F1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В съответствие с мисията и целите на „Българска агенция за експортно застраховане“ (БАЕЗ) като държавна агенция, която да подкрепя българските износители, дружеството акцентира върху развитието в предлагането на застрахователните продукти по дейността за сметка на държавата. За изпълнението на заложените показатели БАЕЗ се нуждае от съответния застрахователен капацитет, който да покрива нуждите на компанията.  </w:t>
      </w:r>
    </w:p>
    <w:p w14:paraId="663970BD"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Мерките за постепенно повишаване на заделените средства в държавния бюджет целят повишаване на застрахователния капацитет на БАЕЗ по дейността за сметка на държавата, в съответствие със ЗЕЗ, както и са необходими като превенция относно достигане на застрахователния капацитет и невъзможност за сключване на застрахователни договори или спешно увеличаване на средствата през текущата година.</w:t>
      </w:r>
    </w:p>
    <w:p w14:paraId="44A6E305"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Постъпления от приватизация за периода 2026-2028 г.</w:t>
      </w:r>
    </w:p>
    <w:p w14:paraId="516000EB" w14:textId="77777777" w:rsidR="00761800" w:rsidRPr="00761800" w:rsidRDefault="00761800" w:rsidP="00761800">
      <w:pPr>
        <w:tabs>
          <w:tab w:val="left" w:pos="741"/>
          <w:tab w:val="left" w:pos="2736"/>
          <w:tab w:val="center" w:pos="4153"/>
          <w:tab w:val="right" w:pos="8306"/>
        </w:tabs>
        <w:spacing w:after="200"/>
        <w:jc w:val="both"/>
        <w:rPr>
          <w:rFonts w:ascii="Times New Roman" w:hAnsi="Times New Roman"/>
          <w:bCs/>
          <w:szCs w:val="24"/>
          <w:lang w:eastAsia="bg-BG"/>
        </w:rPr>
      </w:pPr>
      <w:r w:rsidRPr="00761800">
        <w:rPr>
          <w:rFonts w:ascii="Times New Roman" w:hAnsi="Times New Roman"/>
          <w:bCs/>
          <w:szCs w:val="24"/>
          <w:lang w:eastAsia="bg-BG"/>
        </w:rPr>
        <w:t>Прогнозните постъпления от приватизация за периода 2026-2028 г. са по 1,0 млн. евро годишно за всяка година от разглеждания период.</w:t>
      </w:r>
    </w:p>
    <w:p w14:paraId="6B1029DC"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2"/>
          <w:lang w:eastAsia="bg-BG"/>
        </w:rPr>
      </w:pPr>
      <w:bookmarkStart w:id="477" w:name="_Придобиване_на_дялове,"/>
      <w:bookmarkEnd w:id="477"/>
      <w:r w:rsidRPr="00761800">
        <w:rPr>
          <w:rFonts w:ascii="Times New Roman" w:hAnsi="Times New Roman"/>
          <w:b/>
          <w:bCs/>
          <w:caps/>
          <w:color w:val="852010"/>
          <w:szCs w:val="22"/>
          <w:lang w:eastAsia="bg-BG"/>
        </w:rPr>
        <w:t>Придобиване на дялове, акции и съучастия</w:t>
      </w:r>
    </w:p>
    <w:p w14:paraId="6622CBBD" w14:textId="77777777" w:rsidR="00761800" w:rsidRPr="00761800" w:rsidRDefault="00761800" w:rsidP="00761800">
      <w:pPr>
        <w:spacing w:after="200"/>
        <w:jc w:val="both"/>
        <w:rPr>
          <w:rFonts w:ascii="Times New Roman" w:hAnsi="Times New Roman"/>
          <w:bCs/>
          <w:szCs w:val="22"/>
          <w:highlight w:val="yellow"/>
          <w:lang w:eastAsia="bg-BG"/>
        </w:rPr>
      </w:pPr>
      <w:r w:rsidRPr="00761800">
        <w:rPr>
          <w:rFonts w:ascii="Times New Roman" w:hAnsi="Times New Roman"/>
          <w:bCs/>
          <w:szCs w:val="22"/>
          <w:lang w:eastAsia="bg-BG"/>
        </w:rPr>
        <w:t>За 2026 г., с оглед изпълнението на инвестиционни програми, както и на възложени публични политики, за капитализация на търговски дружества с държавно участие в капитала в сферите на сектор ВиК, земеделие, регионално развитие, здравеопазване, енергетика, икономика, индустрия и иновации, са направени допускания за прогнозни средства в размер до 429,3 млн. евро, както следва:</w:t>
      </w:r>
    </w:p>
    <w:tbl>
      <w:tblPr>
        <w:tblStyle w:val="TableGrid30"/>
        <w:tblW w:w="9749" w:type="dxa"/>
        <w:tblInd w:w="-82" w:type="dxa"/>
        <w:tblLayout w:type="fixed"/>
        <w:tblCellMar>
          <w:top w:w="50" w:type="dxa"/>
          <w:left w:w="70" w:type="dxa"/>
          <w:right w:w="16" w:type="dxa"/>
        </w:tblCellMar>
        <w:tblLook w:val="04A0" w:firstRow="1" w:lastRow="0" w:firstColumn="1" w:lastColumn="0" w:noHBand="0" w:noVBand="1"/>
      </w:tblPr>
      <w:tblGrid>
        <w:gridCol w:w="484"/>
        <w:gridCol w:w="3288"/>
        <w:gridCol w:w="1492"/>
        <w:gridCol w:w="4379"/>
        <w:gridCol w:w="106"/>
      </w:tblGrid>
      <w:tr w:rsidR="00761800" w:rsidRPr="00761800" w14:paraId="06632956" w14:textId="77777777" w:rsidTr="00406B4D">
        <w:trPr>
          <w:trHeight w:val="520"/>
          <w:tblHeader/>
        </w:trPr>
        <w:tc>
          <w:tcPr>
            <w:tcW w:w="484" w:type="dxa"/>
            <w:tcBorders>
              <w:top w:val="single" w:sz="4" w:space="0" w:color="000000"/>
              <w:left w:val="nil"/>
              <w:bottom w:val="single" w:sz="4" w:space="0" w:color="000000"/>
              <w:right w:val="nil"/>
            </w:tcBorders>
            <w:shd w:val="clear" w:color="auto" w:fill="F2F2F2"/>
            <w:vAlign w:val="center"/>
          </w:tcPr>
          <w:p w14:paraId="5FEF0460" w14:textId="77777777" w:rsidR="00761800" w:rsidRPr="00761800" w:rsidRDefault="00761800" w:rsidP="00761800">
            <w:pPr>
              <w:spacing w:line="259" w:lineRule="auto"/>
              <w:ind w:left="67"/>
              <w:rPr>
                <w:rFonts w:ascii="Times New Roman" w:hAnsi="Times New Roman"/>
                <w:sz w:val="22"/>
                <w:lang w:eastAsia="bg-BG"/>
              </w:rPr>
            </w:pPr>
            <w:r w:rsidRPr="00761800">
              <w:rPr>
                <w:rFonts w:ascii="Times New Roman" w:hAnsi="Times New Roman"/>
                <w:b/>
                <w:sz w:val="22"/>
                <w:lang w:eastAsia="bg-BG"/>
              </w:rPr>
              <w:t>№</w:t>
            </w:r>
          </w:p>
        </w:tc>
        <w:tc>
          <w:tcPr>
            <w:tcW w:w="3288" w:type="dxa"/>
            <w:tcBorders>
              <w:top w:val="single" w:sz="4" w:space="0" w:color="000000"/>
              <w:left w:val="nil"/>
              <w:bottom w:val="single" w:sz="4" w:space="0" w:color="000000"/>
              <w:right w:val="nil"/>
            </w:tcBorders>
            <w:vAlign w:val="center"/>
          </w:tcPr>
          <w:p w14:paraId="6F87B43C" w14:textId="77777777" w:rsidR="00761800" w:rsidRPr="00761800" w:rsidRDefault="00761800" w:rsidP="00761800">
            <w:pPr>
              <w:spacing w:line="259" w:lineRule="auto"/>
              <w:jc w:val="center"/>
              <w:rPr>
                <w:rFonts w:ascii="Times New Roman" w:hAnsi="Times New Roman"/>
                <w:sz w:val="22"/>
                <w:lang w:eastAsia="bg-BG"/>
              </w:rPr>
            </w:pPr>
            <w:r w:rsidRPr="00761800">
              <w:rPr>
                <w:rFonts w:ascii="Times New Roman" w:hAnsi="Times New Roman"/>
                <w:b/>
                <w:sz w:val="22"/>
                <w:lang w:eastAsia="bg-BG"/>
              </w:rPr>
              <w:t>Дружество</w:t>
            </w:r>
          </w:p>
        </w:tc>
        <w:tc>
          <w:tcPr>
            <w:tcW w:w="1492" w:type="dxa"/>
            <w:tcBorders>
              <w:top w:val="single" w:sz="4" w:space="0" w:color="000000"/>
              <w:left w:val="nil"/>
              <w:bottom w:val="single" w:sz="4" w:space="0" w:color="000000"/>
              <w:right w:val="nil"/>
            </w:tcBorders>
            <w:shd w:val="clear" w:color="auto" w:fill="F2F2F2"/>
            <w:vAlign w:val="center"/>
          </w:tcPr>
          <w:p w14:paraId="441A4813" w14:textId="77777777" w:rsidR="00761800" w:rsidRPr="00761800" w:rsidRDefault="00761800" w:rsidP="00761800">
            <w:pPr>
              <w:spacing w:line="259" w:lineRule="auto"/>
              <w:ind w:right="54"/>
              <w:jc w:val="center"/>
              <w:rPr>
                <w:rFonts w:ascii="Times New Roman" w:hAnsi="Times New Roman"/>
                <w:sz w:val="22"/>
                <w:lang w:eastAsia="bg-BG"/>
              </w:rPr>
            </w:pPr>
            <w:r w:rsidRPr="00761800">
              <w:rPr>
                <w:rFonts w:ascii="Times New Roman" w:hAnsi="Times New Roman"/>
                <w:b/>
                <w:sz w:val="22"/>
                <w:lang w:eastAsia="bg-BG"/>
              </w:rPr>
              <w:t>Сума в евро</w:t>
            </w:r>
          </w:p>
        </w:tc>
        <w:tc>
          <w:tcPr>
            <w:tcW w:w="4379" w:type="dxa"/>
            <w:tcBorders>
              <w:top w:val="single" w:sz="4" w:space="0" w:color="000000"/>
              <w:left w:val="nil"/>
              <w:bottom w:val="single" w:sz="4" w:space="0" w:color="000000"/>
              <w:right w:val="nil"/>
            </w:tcBorders>
            <w:vAlign w:val="center"/>
          </w:tcPr>
          <w:p w14:paraId="3F4BD87E" w14:textId="77777777" w:rsidR="00761800" w:rsidRPr="00761800" w:rsidRDefault="00761800" w:rsidP="00761800">
            <w:pPr>
              <w:spacing w:line="259" w:lineRule="auto"/>
              <w:jc w:val="center"/>
              <w:rPr>
                <w:rFonts w:ascii="Times New Roman" w:hAnsi="Times New Roman"/>
                <w:b/>
                <w:sz w:val="22"/>
                <w:lang w:eastAsia="bg-BG"/>
              </w:rPr>
            </w:pPr>
            <w:r w:rsidRPr="00761800">
              <w:rPr>
                <w:rFonts w:ascii="Times New Roman" w:hAnsi="Times New Roman"/>
                <w:b/>
                <w:sz w:val="22"/>
                <w:lang w:eastAsia="bg-BG"/>
              </w:rPr>
              <w:t>Цел на увеличаване на капитала</w:t>
            </w:r>
          </w:p>
        </w:tc>
        <w:tc>
          <w:tcPr>
            <w:tcW w:w="106" w:type="dxa"/>
            <w:tcBorders>
              <w:top w:val="single" w:sz="4" w:space="0" w:color="000000"/>
              <w:left w:val="nil"/>
              <w:bottom w:val="single" w:sz="4" w:space="0" w:color="000000"/>
              <w:right w:val="nil"/>
            </w:tcBorders>
          </w:tcPr>
          <w:p w14:paraId="5BBD4093" w14:textId="77777777" w:rsidR="00761800" w:rsidRPr="00761800" w:rsidDel="00EB73A1" w:rsidRDefault="00761800" w:rsidP="00761800">
            <w:pPr>
              <w:spacing w:line="259" w:lineRule="auto"/>
              <w:rPr>
                <w:rFonts w:ascii="Times New Roman" w:hAnsi="Times New Roman"/>
                <w:sz w:val="22"/>
                <w:lang w:eastAsia="bg-BG"/>
              </w:rPr>
            </w:pPr>
          </w:p>
        </w:tc>
      </w:tr>
      <w:tr w:rsidR="00761800" w:rsidRPr="00761800" w14:paraId="616FED0E" w14:textId="77777777" w:rsidTr="00406B4D">
        <w:trPr>
          <w:trHeight w:val="625"/>
        </w:trPr>
        <w:tc>
          <w:tcPr>
            <w:tcW w:w="484" w:type="dxa"/>
            <w:tcBorders>
              <w:top w:val="single" w:sz="4" w:space="0" w:color="000000"/>
              <w:left w:val="nil"/>
              <w:bottom w:val="single" w:sz="4" w:space="0" w:color="000000"/>
              <w:right w:val="nil"/>
            </w:tcBorders>
            <w:shd w:val="clear" w:color="auto" w:fill="F2F2F2"/>
            <w:vAlign w:val="center"/>
          </w:tcPr>
          <w:p w14:paraId="25358B3B" w14:textId="77777777" w:rsidR="00761800" w:rsidRPr="00761800" w:rsidRDefault="00761800" w:rsidP="00761800">
            <w:pPr>
              <w:spacing w:line="259" w:lineRule="auto"/>
              <w:ind w:left="67"/>
              <w:rPr>
                <w:rFonts w:ascii="Times New Roman" w:hAnsi="Times New Roman"/>
                <w:sz w:val="22"/>
                <w:lang w:eastAsia="bg-BG"/>
              </w:rPr>
            </w:pPr>
            <w:r w:rsidRPr="00761800">
              <w:rPr>
                <w:rFonts w:ascii="Times New Roman" w:hAnsi="Times New Roman"/>
                <w:sz w:val="22"/>
                <w:lang w:eastAsia="bg-BG"/>
              </w:rPr>
              <w:t>1</w:t>
            </w:r>
          </w:p>
        </w:tc>
        <w:tc>
          <w:tcPr>
            <w:tcW w:w="3288" w:type="dxa"/>
            <w:tcBorders>
              <w:top w:val="single" w:sz="4" w:space="0" w:color="000000"/>
              <w:left w:val="nil"/>
              <w:bottom w:val="single" w:sz="4" w:space="0" w:color="000000"/>
              <w:right w:val="nil"/>
            </w:tcBorders>
          </w:tcPr>
          <w:p w14:paraId="122B18C0" w14:textId="77777777" w:rsidR="00761800" w:rsidRPr="00761800" w:rsidRDefault="00761800" w:rsidP="00761800">
            <w:pPr>
              <w:spacing w:after="18" w:line="259" w:lineRule="auto"/>
              <w:rPr>
                <w:rFonts w:ascii="Times New Roman" w:hAnsi="Times New Roman"/>
                <w:sz w:val="22"/>
                <w:lang w:eastAsia="bg-BG"/>
              </w:rPr>
            </w:pPr>
          </w:p>
          <w:p w14:paraId="1A6127B6" w14:textId="77777777" w:rsidR="00761800" w:rsidRPr="00761800" w:rsidRDefault="00761800" w:rsidP="00761800">
            <w:pPr>
              <w:spacing w:after="18" w:line="259" w:lineRule="auto"/>
              <w:rPr>
                <w:rFonts w:ascii="Times New Roman" w:hAnsi="Times New Roman"/>
                <w:sz w:val="22"/>
                <w:lang w:eastAsia="bg-BG"/>
              </w:rPr>
            </w:pPr>
          </w:p>
          <w:p w14:paraId="1C3D402B" w14:textId="77777777" w:rsidR="00761800" w:rsidRPr="00761800" w:rsidRDefault="00761800" w:rsidP="00761800">
            <w:pPr>
              <w:spacing w:after="18" w:line="259" w:lineRule="auto"/>
              <w:rPr>
                <w:rFonts w:ascii="Times New Roman" w:hAnsi="Times New Roman"/>
                <w:sz w:val="22"/>
                <w:lang w:eastAsia="bg-BG"/>
              </w:rPr>
            </w:pPr>
            <w:r w:rsidRPr="00761800">
              <w:rPr>
                <w:rFonts w:ascii="Times New Roman" w:hAnsi="Times New Roman"/>
                <w:sz w:val="22"/>
                <w:lang w:eastAsia="bg-BG"/>
              </w:rPr>
              <w:t xml:space="preserve">„МБАЛ „Св. Пантелеймон“ - </w:t>
            </w:r>
          </w:p>
          <w:p w14:paraId="74D37D4C" w14:textId="77777777" w:rsidR="00761800" w:rsidRPr="00761800" w:rsidRDefault="00761800" w:rsidP="00761800">
            <w:pPr>
              <w:spacing w:after="18" w:line="259" w:lineRule="auto"/>
              <w:rPr>
                <w:rFonts w:ascii="Times New Roman" w:hAnsi="Times New Roman"/>
                <w:sz w:val="22"/>
                <w:lang w:eastAsia="bg-BG"/>
              </w:rPr>
            </w:pPr>
            <w:r w:rsidRPr="00761800">
              <w:rPr>
                <w:rFonts w:ascii="Times New Roman" w:hAnsi="Times New Roman"/>
                <w:sz w:val="22"/>
                <w:lang w:eastAsia="bg-BG"/>
              </w:rPr>
              <w:t>Ямбол“ АД, гр. Ямбол</w:t>
            </w:r>
          </w:p>
        </w:tc>
        <w:tc>
          <w:tcPr>
            <w:tcW w:w="1492" w:type="dxa"/>
            <w:tcBorders>
              <w:top w:val="single" w:sz="4" w:space="0" w:color="000000"/>
              <w:left w:val="nil"/>
              <w:bottom w:val="single" w:sz="4" w:space="0" w:color="000000"/>
              <w:right w:val="nil"/>
            </w:tcBorders>
            <w:shd w:val="clear" w:color="auto" w:fill="F2F2F2"/>
            <w:vAlign w:val="center"/>
          </w:tcPr>
          <w:p w14:paraId="707AB7FB" w14:textId="77777777" w:rsidR="00761800" w:rsidRPr="00761800" w:rsidRDefault="00761800" w:rsidP="00761800">
            <w:pPr>
              <w:spacing w:line="259" w:lineRule="auto"/>
              <w:ind w:right="57"/>
              <w:jc w:val="center"/>
              <w:rPr>
                <w:rFonts w:ascii="Times New Roman" w:hAnsi="Times New Roman"/>
                <w:sz w:val="22"/>
                <w:lang w:eastAsia="bg-BG"/>
              </w:rPr>
            </w:pPr>
            <w:r w:rsidRPr="00761800">
              <w:rPr>
                <w:rFonts w:ascii="Times New Roman" w:hAnsi="Times New Roman"/>
                <w:sz w:val="22"/>
                <w:lang w:eastAsia="bg-BG"/>
              </w:rPr>
              <w:t>3 056 400</w:t>
            </w:r>
          </w:p>
        </w:tc>
        <w:tc>
          <w:tcPr>
            <w:tcW w:w="4379" w:type="dxa"/>
            <w:tcBorders>
              <w:top w:val="single" w:sz="4" w:space="0" w:color="000000"/>
              <w:left w:val="nil"/>
              <w:bottom w:val="single" w:sz="4" w:space="0" w:color="000000"/>
              <w:right w:val="nil"/>
            </w:tcBorders>
          </w:tcPr>
          <w:p w14:paraId="2EF0FD43" w14:textId="77777777" w:rsidR="00761800" w:rsidRPr="00761800" w:rsidRDefault="00761800" w:rsidP="00761800">
            <w:pPr>
              <w:spacing w:line="259" w:lineRule="auto"/>
              <w:jc w:val="both"/>
              <w:rPr>
                <w:rFonts w:ascii="Times New Roman" w:hAnsi="Times New Roman"/>
                <w:sz w:val="22"/>
                <w:lang w:eastAsia="bg-BG"/>
              </w:rPr>
            </w:pPr>
            <w:r w:rsidRPr="00761800">
              <w:rPr>
                <w:rFonts w:ascii="Times New Roman" w:hAnsi="Times New Roman"/>
                <w:sz w:val="22"/>
                <w:lang w:eastAsia="bg-BG"/>
              </w:rPr>
              <w:t>Закупуване на медицинска апаратура, информационни табели, обзавеждане и оборудване на Спешно отделение и проектиране и извършване на допълнителни СМР</w:t>
            </w:r>
            <w:r w:rsidRPr="00761800">
              <w:rPr>
                <w:rFonts w:ascii="Times New Roman" w:hAnsi="Times New Roman"/>
                <w:position w:val="2"/>
                <w:sz w:val="18"/>
                <w:vertAlign w:val="superscript"/>
              </w:rPr>
              <w:footnoteReference w:id="83"/>
            </w:r>
            <w:r w:rsidRPr="00761800">
              <w:rPr>
                <w:rFonts w:ascii="Times New Roman" w:hAnsi="Times New Roman"/>
                <w:sz w:val="22"/>
                <w:lang w:eastAsia="bg-BG"/>
              </w:rPr>
              <w:t>, необходими за въвеждане в експлоатация на обекта</w:t>
            </w:r>
          </w:p>
        </w:tc>
        <w:tc>
          <w:tcPr>
            <w:tcW w:w="106" w:type="dxa"/>
            <w:tcBorders>
              <w:top w:val="single" w:sz="4" w:space="0" w:color="000000"/>
              <w:left w:val="nil"/>
              <w:bottom w:val="single" w:sz="4" w:space="0" w:color="000000"/>
              <w:right w:val="nil"/>
            </w:tcBorders>
          </w:tcPr>
          <w:p w14:paraId="6E30CE86" w14:textId="77777777" w:rsidR="00761800" w:rsidRPr="00761800" w:rsidRDefault="00761800" w:rsidP="00761800">
            <w:pPr>
              <w:spacing w:line="259" w:lineRule="auto"/>
              <w:jc w:val="both"/>
              <w:rPr>
                <w:rFonts w:ascii="Times New Roman" w:hAnsi="Times New Roman"/>
                <w:sz w:val="22"/>
                <w:lang w:eastAsia="bg-BG"/>
              </w:rPr>
            </w:pPr>
          </w:p>
        </w:tc>
      </w:tr>
      <w:tr w:rsidR="00761800" w:rsidRPr="00761800" w14:paraId="15ACFC7E" w14:textId="77777777" w:rsidTr="00406B4D">
        <w:trPr>
          <w:trHeight w:val="625"/>
        </w:trPr>
        <w:tc>
          <w:tcPr>
            <w:tcW w:w="484" w:type="dxa"/>
            <w:tcBorders>
              <w:top w:val="single" w:sz="4" w:space="0" w:color="000000"/>
              <w:left w:val="nil"/>
              <w:bottom w:val="single" w:sz="4" w:space="0" w:color="000000"/>
              <w:right w:val="nil"/>
            </w:tcBorders>
            <w:shd w:val="clear" w:color="auto" w:fill="F2F2F2"/>
            <w:vAlign w:val="center"/>
          </w:tcPr>
          <w:p w14:paraId="1DE60E06" w14:textId="77777777" w:rsidR="00761800" w:rsidRPr="00761800" w:rsidRDefault="00761800" w:rsidP="00761800">
            <w:pPr>
              <w:spacing w:line="259" w:lineRule="auto"/>
              <w:ind w:left="67"/>
              <w:rPr>
                <w:rFonts w:ascii="Times New Roman" w:hAnsi="Times New Roman"/>
                <w:sz w:val="22"/>
                <w:lang w:eastAsia="bg-BG"/>
              </w:rPr>
            </w:pPr>
            <w:r w:rsidRPr="00761800">
              <w:rPr>
                <w:rFonts w:ascii="Times New Roman" w:hAnsi="Times New Roman"/>
                <w:sz w:val="22"/>
                <w:lang w:eastAsia="bg-BG"/>
              </w:rPr>
              <w:lastRenderedPageBreak/>
              <w:t>2</w:t>
            </w:r>
          </w:p>
        </w:tc>
        <w:tc>
          <w:tcPr>
            <w:tcW w:w="3288" w:type="dxa"/>
            <w:tcBorders>
              <w:top w:val="single" w:sz="4" w:space="0" w:color="000000"/>
              <w:left w:val="nil"/>
              <w:bottom w:val="single" w:sz="4" w:space="0" w:color="000000"/>
              <w:right w:val="nil"/>
            </w:tcBorders>
          </w:tcPr>
          <w:p w14:paraId="1DB4D127" w14:textId="77777777" w:rsidR="00761800" w:rsidRPr="00761800" w:rsidRDefault="00761800" w:rsidP="00761800">
            <w:pPr>
              <w:spacing w:line="259" w:lineRule="auto"/>
              <w:rPr>
                <w:rFonts w:ascii="Times New Roman" w:hAnsi="Times New Roman"/>
                <w:sz w:val="22"/>
                <w:lang w:eastAsia="bg-BG"/>
              </w:rPr>
            </w:pPr>
          </w:p>
          <w:p w14:paraId="3CC877E5" w14:textId="77777777" w:rsidR="00761800" w:rsidRPr="00761800" w:rsidRDefault="00761800" w:rsidP="00761800">
            <w:pPr>
              <w:spacing w:line="259" w:lineRule="auto"/>
              <w:rPr>
                <w:rFonts w:ascii="Times New Roman" w:hAnsi="Times New Roman"/>
                <w:sz w:val="22"/>
                <w:lang w:eastAsia="bg-BG"/>
              </w:rPr>
            </w:pPr>
            <w:r w:rsidRPr="00761800">
              <w:rPr>
                <w:rFonts w:ascii="Times New Roman" w:hAnsi="Times New Roman"/>
                <w:sz w:val="22"/>
                <w:lang w:eastAsia="bg-BG"/>
              </w:rPr>
              <w:t>Напоителни системи ЕАД</w:t>
            </w:r>
          </w:p>
        </w:tc>
        <w:tc>
          <w:tcPr>
            <w:tcW w:w="1492" w:type="dxa"/>
            <w:tcBorders>
              <w:top w:val="single" w:sz="4" w:space="0" w:color="000000"/>
              <w:left w:val="nil"/>
              <w:bottom w:val="single" w:sz="4" w:space="0" w:color="000000"/>
              <w:right w:val="nil"/>
            </w:tcBorders>
            <w:shd w:val="clear" w:color="auto" w:fill="F2F2F2"/>
            <w:vAlign w:val="center"/>
          </w:tcPr>
          <w:p w14:paraId="71AC64E7" w14:textId="77777777" w:rsidR="00761800" w:rsidRPr="00761800" w:rsidRDefault="00761800" w:rsidP="00761800">
            <w:pPr>
              <w:spacing w:line="259" w:lineRule="auto"/>
              <w:ind w:right="57"/>
              <w:jc w:val="center"/>
              <w:rPr>
                <w:rFonts w:ascii="Times New Roman" w:hAnsi="Times New Roman"/>
                <w:sz w:val="22"/>
                <w:lang w:eastAsia="bg-BG"/>
              </w:rPr>
            </w:pPr>
            <w:r w:rsidRPr="00761800">
              <w:rPr>
                <w:rFonts w:ascii="Times New Roman" w:hAnsi="Times New Roman"/>
                <w:sz w:val="22"/>
                <w:lang w:eastAsia="bg-BG"/>
              </w:rPr>
              <w:t xml:space="preserve">20 000 000 </w:t>
            </w:r>
          </w:p>
        </w:tc>
        <w:tc>
          <w:tcPr>
            <w:tcW w:w="4379" w:type="dxa"/>
            <w:tcBorders>
              <w:top w:val="single" w:sz="4" w:space="0" w:color="000000"/>
              <w:left w:val="nil"/>
              <w:bottom w:val="single" w:sz="4" w:space="0" w:color="000000"/>
              <w:right w:val="nil"/>
            </w:tcBorders>
          </w:tcPr>
          <w:p w14:paraId="7DA7F484" w14:textId="77777777" w:rsidR="00761800" w:rsidRPr="00761800" w:rsidRDefault="00761800" w:rsidP="00761800">
            <w:pPr>
              <w:jc w:val="both"/>
              <w:rPr>
                <w:rFonts w:ascii="Times New Roman" w:hAnsi="Times New Roman"/>
                <w:sz w:val="22"/>
                <w:lang w:eastAsia="bg-BG"/>
              </w:rPr>
            </w:pPr>
            <w:r w:rsidRPr="00761800">
              <w:rPr>
                <w:rFonts w:ascii="Times New Roman" w:hAnsi="Times New Roman"/>
                <w:sz w:val="22"/>
                <w:lang w:eastAsia="bg-BG"/>
              </w:rPr>
              <w:t>Възстановяване и модернизация на обекти от</w:t>
            </w:r>
          </w:p>
          <w:p w14:paraId="2F5C5CDF" w14:textId="77777777" w:rsidR="00761800" w:rsidRPr="00761800" w:rsidRDefault="00761800" w:rsidP="00761800">
            <w:pPr>
              <w:jc w:val="both"/>
              <w:rPr>
                <w:rFonts w:ascii="Times New Roman" w:hAnsi="Times New Roman"/>
                <w:sz w:val="22"/>
                <w:lang w:eastAsia="bg-BG"/>
              </w:rPr>
            </w:pPr>
            <w:r w:rsidRPr="00761800">
              <w:rPr>
                <w:rFonts w:ascii="Times New Roman" w:hAnsi="Times New Roman"/>
                <w:sz w:val="22"/>
                <w:lang w:eastAsia="bg-BG"/>
              </w:rPr>
              <w:t>съществуващия държавен</w:t>
            </w:r>
          </w:p>
          <w:p w14:paraId="0563A6AA" w14:textId="77777777" w:rsidR="00761800" w:rsidRPr="00761800" w:rsidRDefault="00761800" w:rsidP="00761800">
            <w:pPr>
              <w:jc w:val="both"/>
              <w:rPr>
                <w:rFonts w:ascii="Times New Roman" w:hAnsi="Times New Roman"/>
                <w:sz w:val="22"/>
                <w:lang w:eastAsia="bg-BG"/>
              </w:rPr>
            </w:pPr>
            <w:r w:rsidRPr="00761800">
              <w:rPr>
                <w:rFonts w:ascii="Times New Roman" w:hAnsi="Times New Roman"/>
                <w:sz w:val="22"/>
                <w:lang w:eastAsia="bg-BG"/>
              </w:rPr>
              <w:t>хидромелиоративен фонд с оглед ефикасно и</w:t>
            </w:r>
          </w:p>
          <w:p w14:paraId="5AFD7E74" w14:textId="77777777" w:rsidR="00761800" w:rsidRPr="00761800" w:rsidRDefault="00761800" w:rsidP="00761800">
            <w:pPr>
              <w:jc w:val="both"/>
              <w:rPr>
                <w:rFonts w:ascii="Times New Roman" w:hAnsi="Times New Roman"/>
                <w:sz w:val="22"/>
                <w:lang w:eastAsia="bg-BG"/>
              </w:rPr>
            </w:pPr>
            <w:r w:rsidRPr="00761800">
              <w:rPr>
                <w:rFonts w:ascii="Times New Roman" w:hAnsi="Times New Roman"/>
                <w:sz w:val="22"/>
                <w:lang w:eastAsia="bg-BG"/>
              </w:rPr>
              <w:t>устойчиво използване на водните ресурси в</w:t>
            </w:r>
          </w:p>
          <w:p w14:paraId="49E918E8" w14:textId="77777777" w:rsidR="00761800" w:rsidRPr="00761800" w:rsidRDefault="00761800" w:rsidP="00761800">
            <w:pPr>
              <w:jc w:val="both"/>
              <w:rPr>
                <w:rFonts w:ascii="Times New Roman" w:hAnsi="Times New Roman"/>
                <w:sz w:val="22"/>
                <w:lang w:eastAsia="bg-BG"/>
              </w:rPr>
            </w:pPr>
            <w:r w:rsidRPr="00761800">
              <w:rPr>
                <w:rFonts w:ascii="Times New Roman" w:hAnsi="Times New Roman"/>
                <w:sz w:val="22"/>
                <w:lang w:eastAsia="bg-BG"/>
              </w:rPr>
              <w:t>страната</w:t>
            </w:r>
          </w:p>
        </w:tc>
        <w:tc>
          <w:tcPr>
            <w:tcW w:w="106" w:type="dxa"/>
            <w:tcBorders>
              <w:top w:val="single" w:sz="4" w:space="0" w:color="000000"/>
              <w:left w:val="nil"/>
              <w:bottom w:val="single" w:sz="4" w:space="0" w:color="000000"/>
              <w:right w:val="nil"/>
            </w:tcBorders>
          </w:tcPr>
          <w:p w14:paraId="0E6D6449" w14:textId="77777777" w:rsidR="00761800" w:rsidRPr="00761800" w:rsidDel="00EB73A1" w:rsidRDefault="00761800" w:rsidP="00761800">
            <w:pPr>
              <w:spacing w:line="259" w:lineRule="auto"/>
              <w:jc w:val="both"/>
              <w:rPr>
                <w:rFonts w:ascii="Times New Roman" w:hAnsi="Times New Roman"/>
                <w:sz w:val="22"/>
                <w:lang w:eastAsia="bg-BG"/>
              </w:rPr>
            </w:pPr>
          </w:p>
        </w:tc>
      </w:tr>
      <w:tr w:rsidR="00761800" w:rsidRPr="00761800" w14:paraId="6FD4BDB5" w14:textId="77777777" w:rsidTr="00406B4D">
        <w:trPr>
          <w:trHeight w:val="779"/>
        </w:trPr>
        <w:tc>
          <w:tcPr>
            <w:tcW w:w="484" w:type="dxa"/>
            <w:tcBorders>
              <w:top w:val="single" w:sz="4" w:space="0" w:color="000000"/>
              <w:left w:val="nil"/>
              <w:bottom w:val="single" w:sz="4" w:space="0" w:color="000000"/>
              <w:right w:val="nil"/>
            </w:tcBorders>
            <w:shd w:val="clear" w:color="auto" w:fill="F2F2F2"/>
            <w:vAlign w:val="center"/>
          </w:tcPr>
          <w:p w14:paraId="285F3B8D" w14:textId="77777777" w:rsidR="00761800" w:rsidRPr="00761800" w:rsidRDefault="00761800" w:rsidP="00761800">
            <w:pPr>
              <w:spacing w:line="259" w:lineRule="auto"/>
              <w:ind w:left="67"/>
              <w:rPr>
                <w:rFonts w:ascii="Times New Roman" w:hAnsi="Times New Roman"/>
                <w:sz w:val="22"/>
                <w:lang w:eastAsia="bg-BG"/>
              </w:rPr>
            </w:pPr>
            <w:r w:rsidRPr="00761800">
              <w:rPr>
                <w:rFonts w:ascii="Times New Roman" w:hAnsi="Times New Roman"/>
                <w:sz w:val="22"/>
                <w:lang w:eastAsia="bg-BG"/>
              </w:rPr>
              <w:t xml:space="preserve">3 </w:t>
            </w:r>
          </w:p>
        </w:tc>
        <w:tc>
          <w:tcPr>
            <w:tcW w:w="3288" w:type="dxa"/>
            <w:tcBorders>
              <w:top w:val="single" w:sz="4" w:space="0" w:color="000000"/>
              <w:left w:val="nil"/>
              <w:bottom w:val="single" w:sz="4" w:space="0" w:color="000000"/>
              <w:right w:val="nil"/>
            </w:tcBorders>
            <w:vAlign w:val="center"/>
          </w:tcPr>
          <w:p w14:paraId="687C5887" w14:textId="77777777" w:rsidR="00761800" w:rsidRPr="00761800" w:rsidRDefault="00761800" w:rsidP="00761800">
            <w:pPr>
              <w:spacing w:after="17" w:line="259" w:lineRule="auto"/>
              <w:jc w:val="both"/>
              <w:rPr>
                <w:rFonts w:ascii="Times New Roman" w:hAnsi="Times New Roman"/>
                <w:sz w:val="22"/>
                <w:lang w:eastAsia="bg-BG"/>
              </w:rPr>
            </w:pPr>
            <w:r w:rsidRPr="00761800">
              <w:rPr>
                <w:rFonts w:ascii="Times New Roman" w:hAnsi="Times New Roman"/>
                <w:sz w:val="22"/>
                <w:lang w:eastAsia="bg-BG"/>
              </w:rPr>
              <w:t xml:space="preserve">Български Енергиен Холдинг </w:t>
            </w:r>
          </w:p>
          <w:p w14:paraId="055D17C0" w14:textId="77777777" w:rsidR="00761800" w:rsidRPr="00761800" w:rsidRDefault="00761800" w:rsidP="00761800">
            <w:pPr>
              <w:spacing w:line="259" w:lineRule="auto"/>
              <w:rPr>
                <w:rFonts w:ascii="Times New Roman" w:hAnsi="Times New Roman"/>
                <w:sz w:val="22"/>
                <w:lang w:eastAsia="bg-BG"/>
              </w:rPr>
            </w:pPr>
            <w:r w:rsidRPr="00761800">
              <w:rPr>
                <w:rFonts w:ascii="Times New Roman" w:hAnsi="Times New Roman"/>
                <w:sz w:val="22"/>
                <w:lang w:eastAsia="bg-BG"/>
              </w:rPr>
              <w:t>ЕАД (БЕХ) или новосъздадено държавно дружество</w:t>
            </w:r>
          </w:p>
        </w:tc>
        <w:tc>
          <w:tcPr>
            <w:tcW w:w="1492" w:type="dxa"/>
            <w:tcBorders>
              <w:top w:val="single" w:sz="4" w:space="0" w:color="000000"/>
              <w:left w:val="nil"/>
              <w:bottom w:val="single" w:sz="4" w:space="0" w:color="000000"/>
              <w:right w:val="nil"/>
            </w:tcBorders>
            <w:shd w:val="clear" w:color="auto" w:fill="F2F2F2"/>
            <w:vAlign w:val="center"/>
          </w:tcPr>
          <w:p w14:paraId="5F64D905" w14:textId="77777777" w:rsidR="00761800" w:rsidRPr="00761800" w:rsidRDefault="00761800" w:rsidP="00761800">
            <w:pPr>
              <w:spacing w:line="259" w:lineRule="auto"/>
              <w:ind w:right="57"/>
              <w:jc w:val="center"/>
              <w:rPr>
                <w:rFonts w:ascii="Times New Roman" w:hAnsi="Times New Roman"/>
                <w:sz w:val="22"/>
                <w:lang w:eastAsia="bg-BG"/>
              </w:rPr>
            </w:pPr>
            <w:r w:rsidRPr="00761800">
              <w:rPr>
                <w:rFonts w:ascii="Times New Roman" w:hAnsi="Times New Roman"/>
                <w:sz w:val="22"/>
                <w:lang w:eastAsia="bg-BG"/>
              </w:rPr>
              <w:t>127 82</w:t>
            </w:r>
            <w:r w:rsidRPr="00761800">
              <w:rPr>
                <w:rFonts w:ascii="Times New Roman" w:hAnsi="Times New Roman"/>
                <w:sz w:val="22"/>
                <w:lang w:val="en-US" w:eastAsia="bg-BG"/>
              </w:rPr>
              <w:t>3</w:t>
            </w:r>
            <w:r w:rsidRPr="00761800">
              <w:rPr>
                <w:rFonts w:ascii="Times New Roman" w:hAnsi="Times New Roman"/>
                <w:sz w:val="22"/>
                <w:lang w:eastAsia="bg-BG"/>
              </w:rPr>
              <w:t> </w:t>
            </w:r>
            <w:r w:rsidRPr="00761800">
              <w:rPr>
                <w:rFonts w:ascii="Times New Roman" w:hAnsi="Times New Roman"/>
                <w:sz w:val="22"/>
                <w:lang w:val="en-US" w:eastAsia="bg-BG"/>
              </w:rPr>
              <w:t>00</w:t>
            </w:r>
            <w:r w:rsidRPr="00761800">
              <w:rPr>
                <w:rFonts w:ascii="Times New Roman" w:hAnsi="Times New Roman"/>
                <w:sz w:val="22"/>
                <w:lang w:eastAsia="bg-BG"/>
              </w:rPr>
              <w:t xml:space="preserve">0 </w:t>
            </w:r>
          </w:p>
        </w:tc>
        <w:tc>
          <w:tcPr>
            <w:tcW w:w="4379" w:type="dxa"/>
            <w:tcBorders>
              <w:top w:val="single" w:sz="4" w:space="0" w:color="000000"/>
              <w:left w:val="nil"/>
              <w:bottom w:val="single" w:sz="4" w:space="0" w:color="000000"/>
              <w:right w:val="nil"/>
            </w:tcBorders>
          </w:tcPr>
          <w:p w14:paraId="3AE67E77" w14:textId="77777777" w:rsidR="00761800" w:rsidRPr="00761800" w:rsidRDefault="00761800" w:rsidP="00761800">
            <w:pPr>
              <w:spacing w:line="259" w:lineRule="auto"/>
              <w:jc w:val="both"/>
              <w:rPr>
                <w:rFonts w:ascii="Times New Roman" w:hAnsi="Times New Roman"/>
                <w:sz w:val="22"/>
                <w:lang w:eastAsia="bg-BG"/>
              </w:rPr>
            </w:pPr>
            <w:r w:rsidRPr="00761800">
              <w:rPr>
                <w:rFonts w:ascii="Times New Roman" w:hAnsi="Times New Roman"/>
                <w:sz w:val="22"/>
                <w:lang w:eastAsia="bg-BG"/>
              </w:rPr>
              <w:t>Инвестиции с цел за обезпечаване на дейности по техническа рекултивация на нарушените терени на находище „Източномаришки въглищен басейн“, при условие на положително решение от Европейската комисия по нотифицираната държавна помощ</w:t>
            </w:r>
          </w:p>
        </w:tc>
        <w:tc>
          <w:tcPr>
            <w:tcW w:w="106" w:type="dxa"/>
            <w:tcBorders>
              <w:top w:val="single" w:sz="4" w:space="0" w:color="000000"/>
              <w:left w:val="nil"/>
              <w:bottom w:val="single" w:sz="4" w:space="0" w:color="000000"/>
              <w:right w:val="nil"/>
            </w:tcBorders>
          </w:tcPr>
          <w:p w14:paraId="378E796B" w14:textId="77777777" w:rsidR="00761800" w:rsidRPr="00761800" w:rsidRDefault="00761800" w:rsidP="00761800">
            <w:pPr>
              <w:spacing w:line="259" w:lineRule="auto"/>
              <w:rPr>
                <w:rFonts w:ascii="Times New Roman" w:hAnsi="Times New Roman"/>
                <w:sz w:val="22"/>
                <w:lang w:eastAsia="bg-BG"/>
              </w:rPr>
            </w:pPr>
          </w:p>
        </w:tc>
      </w:tr>
      <w:tr w:rsidR="00761800" w:rsidRPr="00761800" w14:paraId="51EE5ACA" w14:textId="77777777" w:rsidTr="00406B4D">
        <w:trPr>
          <w:trHeight w:val="1069"/>
        </w:trPr>
        <w:tc>
          <w:tcPr>
            <w:tcW w:w="484" w:type="dxa"/>
            <w:tcBorders>
              <w:top w:val="single" w:sz="4" w:space="0" w:color="000000"/>
              <w:left w:val="nil"/>
              <w:bottom w:val="single" w:sz="4" w:space="0" w:color="000000"/>
              <w:right w:val="nil"/>
            </w:tcBorders>
            <w:shd w:val="clear" w:color="auto" w:fill="F2F2F2"/>
            <w:vAlign w:val="center"/>
          </w:tcPr>
          <w:p w14:paraId="4F7EBFAA" w14:textId="77777777" w:rsidR="00761800" w:rsidRPr="00761800" w:rsidRDefault="00761800" w:rsidP="00761800">
            <w:pPr>
              <w:spacing w:line="259" w:lineRule="auto"/>
              <w:ind w:left="67"/>
              <w:rPr>
                <w:rFonts w:ascii="Times New Roman" w:hAnsi="Times New Roman"/>
                <w:sz w:val="22"/>
                <w:lang w:eastAsia="bg-BG"/>
              </w:rPr>
            </w:pPr>
            <w:r w:rsidRPr="00761800">
              <w:rPr>
                <w:rFonts w:ascii="Times New Roman" w:hAnsi="Times New Roman"/>
                <w:sz w:val="22"/>
                <w:lang w:eastAsia="bg-BG"/>
              </w:rPr>
              <w:t>4</w:t>
            </w:r>
          </w:p>
        </w:tc>
        <w:tc>
          <w:tcPr>
            <w:tcW w:w="3288" w:type="dxa"/>
            <w:tcBorders>
              <w:top w:val="single" w:sz="4" w:space="0" w:color="000000"/>
              <w:left w:val="nil"/>
              <w:bottom w:val="single" w:sz="4" w:space="0" w:color="000000"/>
              <w:right w:val="nil"/>
            </w:tcBorders>
            <w:vAlign w:val="center"/>
          </w:tcPr>
          <w:p w14:paraId="4C8BC0C9" w14:textId="77777777" w:rsidR="00761800" w:rsidRPr="00761800" w:rsidRDefault="00761800" w:rsidP="00761800">
            <w:pPr>
              <w:spacing w:line="259" w:lineRule="auto"/>
              <w:rPr>
                <w:rFonts w:ascii="Times New Roman" w:hAnsi="Times New Roman"/>
                <w:sz w:val="22"/>
                <w:lang w:eastAsia="bg-BG"/>
              </w:rPr>
            </w:pPr>
            <w:r w:rsidRPr="00761800">
              <w:rPr>
                <w:rFonts w:ascii="Times New Roman" w:hAnsi="Times New Roman"/>
                <w:sz w:val="22"/>
                <w:lang w:eastAsia="bg-BG"/>
              </w:rPr>
              <w:t xml:space="preserve">Български ВиК Холдинг </w:t>
            </w:r>
          </w:p>
        </w:tc>
        <w:tc>
          <w:tcPr>
            <w:tcW w:w="1492" w:type="dxa"/>
            <w:tcBorders>
              <w:top w:val="single" w:sz="4" w:space="0" w:color="000000"/>
              <w:left w:val="nil"/>
              <w:bottom w:val="single" w:sz="4" w:space="0" w:color="000000"/>
              <w:right w:val="nil"/>
            </w:tcBorders>
            <w:shd w:val="clear" w:color="auto" w:fill="F2F2F2"/>
            <w:vAlign w:val="center"/>
          </w:tcPr>
          <w:p w14:paraId="286FCBAB" w14:textId="77777777" w:rsidR="00761800" w:rsidRPr="00761800" w:rsidRDefault="00761800" w:rsidP="00761800">
            <w:pPr>
              <w:spacing w:line="259" w:lineRule="auto"/>
              <w:ind w:right="54"/>
              <w:jc w:val="center"/>
              <w:rPr>
                <w:rFonts w:ascii="Times New Roman" w:hAnsi="Times New Roman"/>
                <w:sz w:val="22"/>
                <w:lang w:eastAsia="bg-BG"/>
              </w:rPr>
            </w:pPr>
            <w:r w:rsidRPr="00761800">
              <w:rPr>
                <w:rFonts w:ascii="Times New Roman" w:hAnsi="Times New Roman"/>
                <w:sz w:val="22"/>
                <w:lang w:eastAsia="bg-BG"/>
              </w:rPr>
              <w:t>166 514 300</w:t>
            </w:r>
          </w:p>
        </w:tc>
        <w:tc>
          <w:tcPr>
            <w:tcW w:w="4379" w:type="dxa"/>
            <w:tcBorders>
              <w:top w:val="single" w:sz="4" w:space="0" w:color="000000"/>
              <w:left w:val="nil"/>
              <w:bottom w:val="single" w:sz="4" w:space="0" w:color="000000"/>
              <w:right w:val="nil"/>
            </w:tcBorders>
          </w:tcPr>
          <w:p w14:paraId="63E52122" w14:textId="77777777" w:rsidR="00761800" w:rsidRPr="00761800" w:rsidRDefault="00761800" w:rsidP="00761800">
            <w:pPr>
              <w:spacing w:after="2" w:line="237" w:lineRule="auto"/>
              <w:jc w:val="both"/>
              <w:rPr>
                <w:rFonts w:ascii="Times New Roman" w:hAnsi="Times New Roman"/>
                <w:sz w:val="22"/>
                <w:lang w:eastAsia="bg-BG"/>
              </w:rPr>
            </w:pPr>
            <w:r w:rsidRPr="00761800">
              <w:rPr>
                <w:rFonts w:ascii="Times New Roman" w:hAnsi="Times New Roman"/>
                <w:sz w:val="22"/>
                <w:lang w:eastAsia="bg-BG"/>
              </w:rPr>
              <w:t>Осигуряване на съфинансиране и краткосрочно финансиране за разплащания към изпълнители по проекти по Програма „Околна среда“ 2021-2027 г., както и финансиране за изпълнение на инвестиционни проекти във връзка с подобряване на техническото и експлоатационно състояние на ВиК системите, модернизация и гарантиране непрекъснатост на услугите, минимизиране негативното влияние на климатичните изменение</w:t>
            </w:r>
          </w:p>
        </w:tc>
        <w:tc>
          <w:tcPr>
            <w:tcW w:w="106" w:type="dxa"/>
            <w:tcBorders>
              <w:top w:val="single" w:sz="4" w:space="0" w:color="000000"/>
              <w:left w:val="nil"/>
              <w:bottom w:val="single" w:sz="4" w:space="0" w:color="000000"/>
              <w:right w:val="nil"/>
            </w:tcBorders>
          </w:tcPr>
          <w:p w14:paraId="6834F02A" w14:textId="77777777" w:rsidR="00761800" w:rsidRPr="00761800" w:rsidRDefault="00761800" w:rsidP="00761800">
            <w:pPr>
              <w:spacing w:after="2" w:line="237" w:lineRule="auto"/>
              <w:rPr>
                <w:rFonts w:ascii="Times New Roman" w:hAnsi="Times New Roman"/>
                <w:sz w:val="22"/>
                <w:lang w:eastAsia="bg-BG"/>
              </w:rPr>
            </w:pPr>
          </w:p>
        </w:tc>
      </w:tr>
      <w:tr w:rsidR="00761800" w:rsidRPr="00761800" w14:paraId="7D66934B" w14:textId="77777777" w:rsidTr="00406B4D">
        <w:trPr>
          <w:trHeight w:val="1339"/>
        </w:trPr>
        <w:tc>
          <w:tcPr>
            <w:tcW w:w="484" w:type="dxa"/>
            <w:tcBorders>
              <w:top w:val="single" w:sz="4" w:space="0" w:color="000000"/>
              <w:left w:val="nil"/>
              <w:bottom w:val="single" w:sz="4" w:space="0" w:color="000000"/>
              <w:right w:val="nil"/>
            </w:tcBorders>
            <w:shd w:val="clear" w:color="auto" w:fill="F2F2F2"/>
            <w:vAlign w:val="center"/>
          </w:tcPr>
          <w:p w14:paraId="401DE7ED" w14:textId="77777777" w:rsidR="00761800" w:rsidRPr="00761800" w:rsidRDefault="00761800" w:rsidP="00761800">
            <w:pPr>
              <w:spacing w:line="259" w:lineRule="auto"/>
              <w:ind w:left="67"/>
              <w:rPr>
                <w:rFonts w:ascii="Times New Roman" w:hAnsi="Times New Roman"/>
                <w:sz w:val="22"/>
                <w:lang w:eastAsia="bg-BG"/>
              </w:rPr>
            </w:pPr>
            <w:r w:rsidRPr="00761800">
              <w:rPr>
                <w:rFonts w:ascii="Times New Roman" w:hAnsi="Times New Roman"/>
                <w:sz w:val="22"/>
                <w:lang w:eastAsia="bg-BG"/>
              </w:rPr>
              <w:t>5</w:t>
            </w:r>
          </w:p>
        </w:tc>
        <w:tc>
          <w:tcPr>
            <w:tcW w:w="3288" w:type="dxa"/>
            <w:tcBorders>
              <w:top w:val="single" w:sz="4" w:space="0" w:color="000000"/>
              <w:left w:val="nil"/>
              <w:bottom w:val="single" w:sz="4" w:space="0" w:color="000000"/>
              <w:right w:val="nil"/>
            </w:tcBorders>
            <w:vAlign w:val="center"/>
          </w:tcPr>
          <w:p w14:paraId="56574231" w14:textId="77777777" w:rsidR="00761800" w:rsidRPr="00761800" w:rsidRDefault="00761800" w:rsidP="00761800">
            <w:pPr>
              <w:spacing w:line="259" w:lineRule="auto"/>
              <w:rPr>
                <w:rFonts w:ascii="Times New Roman" w:hAnsi="Times New Roman"/>
                <w:sz w:val="22"/>
                <w:lang w:eastAsia="bg-BG"/>
              </w:rPr>
            </w:pPr>
            <w:r w:rsidRPr="00761800">
              <w:rPr>
                <w:rFonts w:ascii="Times New Roman" w:hAnsi="Times New Roman"/>
                <w:sz w:val="22"/>
                <w:lang w:eastAsia="bg-BG"/>
              </w:rPr>
              <w:t>Фонд ФЛАГ ЕАД</w:t>
            </w:r>
          </w:p>
        </w:tc>
        <w:tc>
          <w:tcPr>
            <w:tcW w:w="1492" w:type="dxa"/>
            <w:tcBorders>
              <w:top w:val="single" w:sz="4" w:space="0" w:color="000000"/>
              <w:left w:val="nil"/>
              <w:bottom w:val="single" w:sz="4" w:space="0" w:color="000000"/>
              <w:right w:val="nil"/>
            </w:tcBorders>
            <w:shd w:val="clear" w:color="auto" w:fill="F2F2F2"/>
            <w:vAlign w:val="center"/>
          </w:tcPr>
          <w:p w14:paraId="6C933C7F" w14:textId="77777777" w:rsidR="00761800" w:rsidRPr="00761800" w:rsidRDefault="00761800" w:rsidP="00761800">
            <w:pPr>
              <w:spacing w:line="259" w:lineRule="auto"/>
              <w:ind w:right="54"/>
              <w:jc w:val="center"/>
              <w:rPr>
                <w:rFonts w:ascii="Times New Roman" w:hAnsi="Times New Roman"/>
                <w:sz w:val="22"/>
                <w:lang w:eastAsia="bg-BG"/>
              </w:rPr>
            </w:pPr>
            <w:r w:rsidRPr="00761800">
              <w:rPr>
                <w:rFonts w:ascii="Times New Roman" w:hAnsi="Times New Roman"/>
                <w:sz w:val="22"/>
                <w:lang w:eastAsia="bg-BG"/>
              </w:rPr>
              <w:t>40 000 000</w:t>
            </w:r>
          </w:p>
        </w:tc>
        <w:tc>
          <w:tcPr>
            <w:tcW w:w="4379" w:type="dxa"/>
            <w:tcBorders>
              <w:top w:val="single" w:sz="4" w:space="0" w:color="000000"/>
              <w:left w:val="nil"/>
              <w:bottom w:val="single" w:sz="4" w:space="0" w:color="000000"/>
              <w:right w:val="nil"/>
            </w:tcBorders>
          </w:tcPr>
          <w:p w14:paraId="6784C726" w14:textId="77777777" w:rsidR="00761800" w:rsidRPr="00761800" w:rsidRDefault="00761800" w:rsidP="00761800">
            <w:pPr>
              <w:spacing w:after="2" w:line="237" w:lineRule="auto"/>
              <w:jc w:val="both"/>
              <w:rPr>
                <w:rFonts w:ascii="Times New Roman" w:hAnsi="Times New Roman"/>
                <w:sz w:val="22"/>
                <w:lang w:eastAsia="bg-BG"/>
              </w:rPr>
            </w:pPr>
            <w:r w:rsidRPr="00761800">
              <w:rPr>
                <w:rFonts w:ascii="Times New Roman" w:hAnsi="Times New Roman"/>
                <w:sz w:val="22"/>
                <w:lang w:eastAsia="bg-BG"/>
              </w:rPr>
              <w:t>Повишаване на капацитета за управление на финансови инструменти по линия на ЕС и финансиране на общински инвестиции в сфери като ВиК, енергийна ефективност и градско развитие</w:t>
            </w:r>
          </w:p>
        </w:tc>
        <w:tc>
          <w:tcPr>
            <w:tcW w:w="106" w:type="dxa"/>
            <w:tcBorders>
              <w:top w:val="single" w:sz="4" w:space="0" w:color="000000"/>
              <w:left w:val="nil"/>
              <w:bottom w:val="single" w:sz="4" w:space="0" w:color="000000"/>
              <w:right w:val="nil"/>
            </w:tcBorders>
          </w:tcPr>
          <w:p w14:paraId="6BD8F61C" w14:textId="77777777" w:rsidR="00761800" w:rsidRPr="00761800" w:rsidRDefault="00761800" w:rsidP="00761800">
            <w:pPr>
              <w:spacing w:after="2" w:line="237" w:lineRule="auto"/>
              <w:rPr>
                <w:rFonts w:ascii="Times New Roman" w:hAnsi="Times New Roman"/>
                <w:sz w:val="22"/>
                <w:lang w:eastAsia="bg-BG"/>
              </w:rPr>
            </w:pPr>
          </w:p>
        </w:tc>
      </w:tr>
      <w:tr w:rsidR="00761800" w:rsidRPr="00761800" w14:paraId="199BC4D4" w14:textId="77777777" w:rsidTr="00406B4D">
        <w:trPr>
          <w:trHeight w:val="638"/>
        </w:trPr>
        <w:tc>
          <w:tcPr>
            <w:tcW w:w="484" w:type="dxa"/>
            <w:tcBorders>
              <w:top w:val="single" w:sz="4" w:space="0" w:color="000000"/>
              <w:left w:val="nil"/>
              <w:bottom w:val="single" w:sz="4" w:space="0" w:color="000000"/>
              <w:right w:val="nil"/>
            </w:tcBorders>
            <w:shd w:val="clear" w:color="auto" w:fill="F2F2F2"/>
            <w:vAlign w:val="center"/>
          </w:tcPr>
          <w:p w14:paraId="632D9FA7" w14:textId="77777777" w:rsidR="00761800" w:rsidRPr="00761800" w:rsidRDefault="00761800" w:rsidP="00761800">
            <w:pPr>
              <w:spacing w:line="259" w:lineRule="auto"/>
              <w:ind w:left="67"/>
              <w:rPr>
                <w:rFonts w:ascii="Times New Roman" w:hAnsi="Times New Roman"/>
                <w:sz w:val="22"/>
                <w:lang w:eastAsia="bg-BG"/>
              </w:rPr>
            </w:pPr>
            <w:r w:rsidRPr="00761800">
              <w:rPr>
                <w:rFonts w:ascii="Times New Roman" w:hAnsi="Times New Roman"/>
                <w:sz w:val="22"/>
                <w:lang w:eastAsia="bg-BG"/>
              </w:rPr>
              <w:t>6</w:t>
            </w:r>
          </w:p>
        </w:tc>
        <w:tc>
          <w:tcPr>
            <w:tcW w:w="3288" w:type="dxa"/>
            <w:tcBorders>
              <w:top w:val="single" w:sz="4" w:space="0" w:color="000000"/>
              <w:left w:val="nil"/>
              <w:bottom w:val="single" w:sz="4" w:space="0" w:color="000000"/>
              <w:right w:val="nil"/>
            </w:tcBorders>
            <w:vAlign w:val="center"/>
          </w:tcPr>
          <w:p w14:paraId="6852A9CD" w14:textId="77777777" w:rsidR="00761800" w:rsidRPr="00761800" w:rsidRDefault="00761800" w:rsidP="00761800">
            <w:pPr>
              <w:spacing w:line="259" w:lineRule="auto"/>
              <w:rPr>
                <w:rFonts w:ascii="Times New Roman" w:hAnsi="Times New Roman"/>
                <w:sz w:val="22"/>
                <w:lang w:eastAsia="bg-BG"/>
              </w:rPr>
            </w:pPr>
            <w:r w:rsidRPr="00761800">
              <w:rPr>
                <w:rFonts w:ascii="Times New Roman" w:hAnsi="Times New Roman"/>
                <w:sz w:val="22"/>
                <w:lang w:eastAsia="bg-BG"/>
              </w:rPr>
              <w:t>София Тех парк АД</w:t>
            </w:r>
          </w:p>
        </w:tc>
        <w:tc>
          <w:tcPr>
            <w:tcW w:w="1492" w:type="dxa"/>
            <w:tcBorders>
              <w:top w:val="single" w:sz="4" w:space="0" w:color="000000"/>
              <w:left w:val="nil"/>
              <w:bottom w:val="single" w:sz="4" w:space="0" w:color="000000"/>
              <w:right w:val="nil"/>
            </w:tcBorders>
            <w:shd w:val="clear" w:color="auto" w:fill="F2F2F2"/>
            <w:vAlign w:val="center"/>
          </w:tcPr>
          <w:p w14:paraId="4648F909" w14:textId="77777777" w:rsidR="00761800" w:rsidRPr="00761800" w:rsidDel="00D15C7B" w:rsidRDefault="00761800" w:rsidP="00761800">
            <w:pPr>
              <w:spacing w:line="259" w:lineRule="auto"/>
              <w:ind w:right="54"/>
              <w:jc w:val="center"/>
              <w:rPr>
                <w:rFonts w:ascii="Times New Roman" w:hAnsi="Times New Roman"/>
                <w:sz w:val="22"/>
                <w:lang w:eastAsia="bg-BG"/>
              </w:rPr>
            </w:pPr>
            <w:r w:rsidRPr="00761800">
              <w:rPr>
                <w:rFonts w:ascii="Times New Roman" w:hAnsi="Times New Roman"/>
                <w:sz w:val="22"/>
                <w:lang w:eastAsia="bg-BG"/>
              </w:rPr>
              <w:t>10 935 400</w:t>
            </w:r>
          </w:p>
        </w:tc>
        <w:tc>
          <w:tcPr>
            <w:tcW w:w="4379" w:type="dxa"/>
            <w:tcBorders>
              <w:top w:val="single" w:sz="4" w:space="0" w:color="000000"/>
              <w:left w:val="nil"/>
              <w:bottom w:val="single" w:sz="4" w:space="0" w:color="000000"/>
              <w:right w:val="nil"/>
            </w:tcBorders>
          </w:tcPr>
          <w:p w14:paraId="7886A6C2" w14:textId="77777777" w:rsidR="00761800" w:rsidRPr="00761800" w:rsidDel="00D15C7B" w:rsidRDefault="00761800" w:rsidP="00761800">
            <w:pPr>
              <w:spacing w:line="259" w:lineRule="auto"/>
              <w:jc w:val="both"/>
              <w:rPr>
                <w:rFonts w:ascii="Times New Roman" w:hAnsi="Times New Roman"/>
                <w:sz w:val="22"/>
                <w:lang w:eastAsia="bg-BG"/>
              </w:rPr>
            </w:pPr>
            <w:r w:rsidRPr="00761800">
              <w:rPr>
                <w:rFonts w:ascii="Times New Roman" w:hAnsi="Times New Roman"/>
                <w:sz w:val="22"/>
                <w:lang w:eastAsia="bg-BG"/>
              </w:rPr>
              <w:t>Инвестиции за изграждане на „Фабрика за изкуствен интелект“ (AI Factory – BRAIN++) и развитие на суперкомпютъра Discoverer++ за нуждите на научноизследователската и иновационна дейност</w:t>
            </w:r>
          </w:p>
        </w:tc>
        <w:tc>
          <w:tcPr>
            <w:tcW w:w="106" w:type="dxa"/>
            <w:tcBorders>
              <w:top w:val="single" w:sz="4" w:space="0" w:color="000000"/>
              <w:left w:val="nil"/>
              <w:bottom w:val="single" w:sz="4" w:space="0" w:color="000000"/>
              <w:right w:val="nil"/>
            </w:tcBorders>
          </w:tcPr>
          <w:p w14:paraId="60B84E2B" w14:textId="77777777" w:rsidR="00761800" w:rsidRPr="00761800" w:rsidDel="00D15C7B" w:rsidRDefault="00761800" w:rsidP="00761800">
            <w:pPr>
              <w:spacing w:line="259" w:lineRule="auto"/>
              <w:rPr>
                <w:rFonts w:ascii="Times New Roman" w:hAnsi="Times New Roman"/>
                <w:sz w:val="22"/>
                <w:lang w:eastAsia="bg-BG"/>
              </w:rPr>
            </w:pPr>
          </w:p>
        </w:tc>
      </w:tr>
      <w:tr w:rsidR="00761800" w:rsidRPr="00761800" w14:paraId="77C5F5AB" w14:textId="77777777" w:rsidTr="00406B4D">
        <w:trPr>
          <w:trHeight w:val="2198"/>
        </w:trPr>
        <w:tc>
          <w:tcPr>
            <w:tcW w:w="484" w:type="dxa"/>
            <w:tcBorders>
              <w:top w:val="single" w:sz="4" w:space="0" w:color="000000"/>
              <w:left w:val="nil"/>
              <w:bottom w:val="single" w:sz="4" w:space="0" w:color="000000"/>
              <w:right w:val="nil"/>
            </w:tcBorders>
            <w:shd w:val="clear" w:color="auto" w:fill="F2F2F2"/>
            <w:vAlign w:val="center"/>
          </w:tcPr>
          <w:p w14:paraId="07DAC080" w14:textId="77777777" w:rsidR="00761800" w:rsidRPr="00761800" w:rsidRDefault="00761800" w:rsidP="00761800">
            <w:pPr>
              <w:spacing w:line="259" w:lineRule="auto"/>
              <w:ind w:left="67"/>
              <w:rPr>
                <w:rFonts w:ascii="Times New Roman" w:hAnsi="Times New Roman"/>
                <w:sz w:val="22"/>
                <w:lang w:eastAsia="bg-BG"/>
              </w:rPr>
            </w:pPr>
            <w:r w:rsidRPr="00761800">
              <w:rPr>
                <w:rFonts w:ascii="Times New Roman" w:hAnsi="Times New Roman"/>
                <w:sz w:val="22"/>
                <w:lang w:eastAsia="bg-BG"/>
              </w:rPr>
              <w:t xml:space="preserve">7 </w:t>
            </w:r>
          </w:p>
        </w:tc>
        <w:tc>
          <w:tcPr>
            <w:tcW w:w="3288" w:type="dxa"/>
            <w:tcBorders>
              <w:top w:val="single" w:sz="4" w:space="0" w:color="000000"/>
              <w:left w:val="nil"/>
              <w:bottom w:val="single" w:sz="4" w:space="0" w:color="000000"/>
              <w:right w:val="nil"/>
            </w:tcBorders>
            <w:vAlign w:val="center"/>
          </w:tcPr>
          <w:p w14:paraId="6E17ACEA" w14:textId="77777777" w:rsidR="00761800" w:rsidRPr="00761800" w:rsidRDefault="00761800" w:rsidP="00761800">
            <w:pPr>
              <w:spacing w:line="259" w:lineRule="auto"/>
              <w:rPr>
                <w:rFonts w:ascii="Times New Roman" w:hAnsi="Times New Roman"/>
                <w:sz w:val="22"/>
                <w:lang w:eastAsia="bg-BG"/>
              </w:rPr>
            </w:pPr>
            <w:r w:rsidRPr="00761800">
              <w:rPr>
                <w:rFonts w:ascii="Times New Roman" w:hAnsi="Times New Roman"/>
                <w:sz w:val="22"/>
                <w:lang w:eastAsia="bg-BG"/>
              </w:rPr>
              <w:t xml:space="preserve">Иганово ЕАД </w:t>
            </w:r>
          </w:p>
        </w:tc>
        <w:tc>
          <w:tcPr>
            <w:tcW w:w="1492" w:type="dxa"/>
            <w:tcBorders>
              <w:top w:val="single" w:sz="4" w:space="0" w:color="000000"/>
              <w:left w:val="nil"/>
              <w:bottom w:val="single" w:sz="4" w:space="0" w:color="000000"/>
              <w:right w:val="nil"/>
            </w:tcBorders>
            <w:shd w:val="clear" w:color="auto" w:fill="F2F2F2"/>
            <w:vAlign w:val="center"/>
          </w:tcPr>
          <w:p w14:paraId="1D51729D" w14:textId="77777777" w:rsidR="00761800" w:rsidRPr="00761800" w:rsidRDefault="00761800" w:rsidP="00761800">
            <w:pPr>
              <w:spacing w:line="259" w:lineRule="auto"/>
              <w:ind w:right="54"/>
              <w:jc w:val="center"/>
              <w:rPr>
                <w:rFonts w:ascii="Times New Roman" w:hAnsi="Times New Roman"/>
                <w:sz w:val="22"/>
                <w:lang w:eastAsia="bg-BG"/>
              </w:rPr>
            </w:pPr>
            <w:r w:rsidRPr="00761800">
              <w:rPr>
                <w:rFonts w:ascii="Times New Roman" w:hAnsi="Times New Roman"/>
                <w:sz w:val="22"/>
                <w:lang w:eastAsia="bg-BG"/>
              </w:rPr>
              <w:t>47 714 000</w:t>
            </w:r>
          </w:p>
        </w:tc>
        <w:tc>
          <w:tcPr>
            <w:tcW w:w="4379" w:type="dxa"/>
            <w:tcBorders>
              <w:top w:val="single" w:sz="4" w:space="0" w:color="000000"/>
              <w:left w:val="nil"/>
              <w:bottom w:val="single" w:sz="4" w:space="0" w:color="000000"/>
              <w:right w:val="nil"/>
            </w:tcBorders>
          </w:tcPr>
          <w:p w14:paraId="58A6B033" w14:textId="77777777" w:rsidR="00761800" w:rsidRPr="00761800" w:rsidRDefault="00761800" w:rsidP="00761800">
            <w:pPr>
              <w:spacing w:line="259" w:lineRule="auto"/>
              <w:ind w:right="36"/>
              <w:jc w:val="both"/>
              <w:rPr>
                <w:rFonts w:ascii="Times New Roman" w:hAnsi="Times New Roman"/>
                <w:sz w:val="22"/>
                <w:lang w:eastAsia="bg-BG"/>
              </w:rPr>
            </w:pPr>
            <w:r w:rsidRPr="00761800">
              <w:rPr>
                <w:rFonts w:ascii="Times New Roman" w:hAnsi="Times New Roman"/>
                <w:sz w:val="22"/>
                <w:lang w:eastAsia="bg-BG"/>
              </w:rPr>
              <w:t>Реализация на проект за изграждане на завод за производство на енергетични материали и заряди и завод за производство на 155 мм. боеприпаси, в т.ч. осигуряване на пълна инженерна, техническа и логистична инфраструктура, необходима за функционирането на производствените мощности</w:t>
            </w:r>
          </w:p>
        </w:tc>
        <w:tc>
          <w:tcPr>
            <w:tcW w:w="106" w:type="dxa"/>
            <w:tcBorders>
              <w:top w:val="single" w:sz="4" w:space="0" w:color="000000"/>
              <w:left w:val="nil"/>
              <w:bottom w:val="single" w:sz="4" w:space="0" w:color="000000"/>
              <w:right w:val="nil"/>
            </w:tcBorders>
          </w:tcPr>
          <w:p w14:paraId="0DC27317" w14:textId="77777777" w:rsidR="00761800" w:rsidRPr="00761800" w:rsidDel="00D15C7B" w:rsidRDefault="00761800" w:rsidP="00761800">
            <w:pPr>
              <w:spacing w:line="259" w:lineRule="auto"/>
              <w:ind w:right="36"/>
              <w:rPr>
                <w:rFonts w:ascii="Times New Roman" w:hAnsi="Times New Roman"/>
                <w:sz w:val="22"/>
                <w:lang w:eastAsia="bg-BG"/>
              </w:rPr>
            </w:pPr>
          </w:p>
        </w:tc>
      </w:tr>
      <w:tr w:rsidR="00761800" w:rsidRPr="00761800" w14:paraId="1ECF555E" w14:textId="77777777" w:rsidTr="00406B4D">
        <w:trPr>
          <w:trHeight w:val="496"/>
        </w:trPr>
        <w:tc>
          <w:tcPr>
            <w:tcW w:w="484" w:type="dxa"/>
            <w:tcBorders>
              <w:top w:val="single" w:sz="4" w:space="0" w:color="000000"/>
              <w:left w:val="nil"/>
              <w:bottom w:val="single" w:sz="4" w:space="0" w:color="000000"/>
              <w:right w:val="nil"/>
            </w:tcBorders>
            <w:shd w:val="clear" w:color="auto" w:fill="F2F2F2"/>
            <w:vAlign w:val="center"/>
          </w:tcPr>
          <w:p w14:paraId="006EA9CB" w14:textId="77777777" w:rsidR="00761800" w:rsidRPr="00761800" w:rsidRDefault="00761800" w:rsidP="00761800">
            <w:pPr>
              <w:spacing w:line="259" w:lineRule="auto"/>
              <w:ind w:left="12"/>
              <w:jc w:val="both"/>
              <w:rPr>
                <w:rFonts w:ascii="Times New Roman" w:hAnsi="Times New Roman"/>
                <w:sz w:val="22"/>
                <w:lang w:eastAsia="bg-BG"/>
              </w:rPr>
            </w:pPr>
            <w:r w:rsidRPr="00761800">
              <w:rPr>
                <w:rFonts w:ascii="Times New Roman" w:hAnsi="Times New Roman"/>
                <w:sz w:val="22"/>
                <w:lang w:eastAsia="bg-BG"/>
              </w:rPr>
              <w:t>8</w:t>
            </w:r>
          </w:p>
        </w:tc>
        <w:tc>
          <w:tcPr>
            <w:tcW w:w="3288" w:type="dxa"/>
            <w:tcBorders>
              <w:top w:val="single" w:sz="4" w:space="0" w:color="000000"/>
              <w:left w:val="nil"/>
              <w:bottom w:val="single" w:sz="4" w:space="0" w:color="000000"/>
              <w:right w:val="nil"/>
            </w:tcBorders>
            <w:vAlign w:val="center"/>
          </w:tcPr>
          <w:p w14:paraId="30749036" w14:textId="77777777" w:rsidR="00761800" w:rsidRPr="00761800" w:rsidRDefault="00761800" w:rsidP="00761800">
            <w:pPr>
              <w:spacing w:line="259" w:lineRule="auto"/>
              <w:rPr>
                <w:rFonts w:ascii="Times New Roman" w:hAnsi="Times New Roman"/>
                <w:sz w:val="22"/>
                <w:lang w:eastAsia="bg-BG"/>
              </w:rPr>
            </w:pPr>
            <w:r w:rsidRPr="00761800">
              <w:rPr>
                <w:rFonts w:ascii="Times New Roman" w:hAnsi="Times New Roman"/>
                <w:sz w:val="22"/>
                <w:lang w:eastAsia="bg-BG"/>
              </w:rPr>
              <w:t>„Икономическа зона Доброславци“ ЕАД</w:t>
            </w:r>
          </w:p>
        </w:tc>
        <w:tc>
          <w:tcPr>
            <w:tcW w:w="1492" w:type="dxa"/>
            <w:tcBorders>
              <w:top w:val="single" w:sz="4" w:space="0" w:color="000000"/>
              <w:left w:val="nil"/>
              <w:bottom w:val="single" w:sz="4" w:space="0" w:color="000000"/>
              <w:right w:val="nil"/>
            </w:tcBorders>
            <w:shd w:val="clear" w:color="auto" w:fill="F2F2F2"/>
            <w:vAlign w:val="center"/>
          </w:tcPr>
          <w:p w14:paraId="02CD3BB1" w14:textId="77777777" w:rsidR="00761800" w:rsidRPr="00761800" w:rsidRDefault="00761800" w:rsidP="00761800">
            <w:pPr>
              <w:spacing w:line="259" w:lineRule="auto"/>
              <w:ind w:right="54"/>
              <w:jc w:val="center"/>
              <w:rPr>
                <w:rFonts w:ascii="Times New Roman" w:hAnsi="Times New Roman"/>
                <w:sz w:val="22"/>
                <w:lang w:eastAsia="bg-BG"/>
              </w:rPr>
            </w:pPr>
            <w:r w:rsidRPr="00761800">
              <w:rPr>
                <w:rFonts w:ascii="Times New Roman" w:hAnsi="Times New Roman"/>
                <w:sz w:val="22"/>
                <w:lang w:eastAsia="bg-BG"/>
              </w:rPr>
              <w:t>12 179 000</w:t>
            </w:r>
          </w:p>
        </w:tc>
        <w:tc>
          <w:tcPr>
            <w:tcW w:w="4379" w:type="dxa"/>
            <w:tcBorders>
              <w:top w:val="single" w:sz="4" w:space="0" w:color="000000"/>
              <w:left w:val="nil"/>
              <w:bottom w:val="single" w:sz="4" w:space="0" w:color="000000"/>
              <w:right w:val="nil"/>
            </w:tcBorders>
            <w:vAlign w:val="center"/>
          </w:tcPr>
          <w:p w14:paraId="1677ACA3" w14:textId="77777777" w:rsidR="00761800" w:rsidRPr="00761800" w:rsidRDefault="00761800" w:rsidP="00761800">
            <w:pPr>
              <w:ind w:right="40"/>
              <w:jc w:val="both"/>
              <w:rPr>
                <w:rFonts w:ascii="Times New Roman" w:hAnsi="Times New Roman"/>
                <w:sz w:val="22"/>
                <w:lang w:eastAsia="bg-BG"/>
              </w:rPr>
            </w:pPr>
            <w:r w:rsidRPr="00761800">
              <w:rPr>
                <w:rFonts w:ascii="Times New Roman" w:hAnsi="Times New Roman"/>
                <w:sz w:val="22"/>
                <w:lang w:eastAsia="bg-BG"/>
              </w:rPr>
              <w:t>Изграждане на съоръжения и вътрешна</w:t>
            </w:r>
          </w:p>
          <w:p w14:paraId="0826B550" w14:textId="77777777" w:rsidR="00761800" w:rsidRPr="00761800" w:rsidRDefault="00761800" w:rsidP="00761800">
            <w:pPr>
              <w:ind w:right="40"/>
              <w:jc w:val="both"/>
              <w:rPr>
                <w:rFonts w:ascii="Times New Roman" w:hAnsi="Times New Roman"/>
                <w:sz w:val="22"/>
                <w:lang w:eastAsia="bg-BG"/>
              </w:rPr>
            </w:pPr>
            <w:r w:rsidRPr="00761800">
              <w:rPr>
                <w:rFonts w:ascii="Times New Roman" w:hAnsi="Times New Roman"/>
                <w:sz w:val="22"/>
                <w:lang w:eastAsia="bg-BG"/>
              </w:rPr>
              <w:t>инфраструктура с цел привличане на</w:t>
            </w:r>
          </w:p>
          <w:p w14:paraId="5006607E" w14:textId="77777777" w:rsidR="00761800" w:rsidRPr="00761800" w:rsidRDefault="00761800" w:rsidP="00761800">
            <w:pPr>
              <w:ind w:right="40"/>
              <w:jc w:val="both"/>
              <w:rPr>
                <w:rFonts w:ascii="Times New Roman" w:hAnsi="Times New Roman"/>
                <w:sz w:val="22"/>
                <w:lang w:eastAsia="bg-BG"/>
              </w:rPr>
            </w:pPr>
            <w:r w:rsidRPr="00761800">
              <w:rPr>
                <w:rFonts w:ascii="Times New Roman" w:hAnsi="Times New Roman"/>
                <w:sz w:val="22"/>
                <w:lang w:eastAsia="bg-BG"/>
              </w:rPr>
              <w:t>инвеститори в сектора на</w:t>
            </w:r>
          </w:p>
          <w:p w14:paraId="1FB09A3B" w14:textId="77777777" w:rsidR="00761800" w:rsidRPr="00761800" w:rsidRDefault="00761800" w:rsidP="00761800">
            <w:pPr>
              <w:ind w:right="40"/>
              <w:jc w:val="both"/>
              <w:rPr>
                <w:rFonts w:ascii="Times New Roman" w:hAnsi="Times New Roman"/>
                <w:sz w:val="22"/>
                <w:lang w:eastAsia="bg-BG"/>
              </w:rPr>
            </w:pPr>
            <w:r w:rsidRPr="00761800">
              <w:rPr>
                <w:rFonts w:ascii="Times New Roman" w:hAnsi="Times New Roman"/>
                <w:sz w:val="22"/>
                <w:lang w:eastAsia="bg-BG"/>
              </w:rPr>
              <w:t>автомобилостроенето и такива с висока</w:t>
            </w:r>
          </w:p>
          <w:p w14:paraId="55197A23" w14:textId="77777777" w:rsidR="00761800" w:rsidRPr="00761800" w:rsidRDefault="00761800" w:rsidP="00761800">
            <w:pPr>
              <w:ind w:right="40"/>
              <w:jc w:val="both"/>
              <w:rPr>
                <w:rFonts w:ascii="Times New Roman" w:hAnsi="Times New Roman"/>
                <w:sz w:val="22"/>
                <w:lang w:eastAsia="bg-BG"/>
              </w:rPr>
            </w:pPr>
            <w:r w:rsidRPr="00761800">
              <w:rPr>
                <w:rFonts w:ascii="Times New Roman" w:hAnsi="Times New Roman"/>
                <w:sz w:val="22"/>
                <w:lang w:eastAsia="bg-BG"/>
              </w:rPr>
              <w:t>добавена стойност, положителен търговски</w:t>
            </w:r>
          </w:p>
          <w:p w14:paraId="4D6F6D1A" w14:textId="77777777" w:rsidR="00761800" w:rsidRPr="00761800" w:rsidRDefault="00761800" w:rsidP="00761800">
            <w:pPr>
              <w:ind w:right="40"/>
              <w:jc w:val="both"/>
              <w:rPr>
                <w:rFonts w:ascii="Times New Roman" w:hAnsi="Times New Roman"/>
                <w:sz w:val="22"/>
                <w:lang w:eastAsia="bg-BG"/>
              </w:rPr>
            </w:pPr>
            <w:r w:rsidRPr="00761800">
              <w:rPr>
                <w:rFonts w:ascii="Times New Roman" w:hAnsi="Times New Roman"/>
                <w:sz w:val="22"/>
                <w:lang w:eastAsia="bg-BG"/>
              </w:rPr>
              <w:t>баланс и устойчиво икономическо развитие,</w:t>
            </w:r>
          </w:p>
          <w:p w14:paraId="46B956DC" w14:textId="77777777" w:rsidR="00761800" w:rsidRPr="00761800" w:rsidRDefault="00761800" w:rsidP="00761800">
            <w:pPr>
              <w:ind w:right="40"/>
              <w:jc w:val="both"/>
              <w:rPr>
                <w:rFonts w:ascii="Times New Roman" w:hAnsi="Times New Roman"/>
                <w:sz w:val="22"/>
                <w:lang w:eastAsia="bg-BG"/>
              </w:rPr>
            </w:pPr>
            <w:r w:rsidRPr="00761800">
              <w:rPr>
                <w:rFonts w:ascii="Times New Roman" w:hAnsi="Times New Roman"/>
                <w:sz w:val="22"/>
                <w:lang w:eastAsia="bg-BG"/>
              </w:rPr>
              <w:t>както и превръщане на Република България в</w:t>
            </w:r>
          </w:p>
          <w:p w14:paraId="4F461CA6" w14:textId="77777777" w:rsidR="00761800" w:rsidRPr="00761800" w:rsidRDefault="00761800" w:rsidP="00761800">
            <w:pPr>
              <w:ind w:right="40"/>
              <w:jc w:val="both"/>
              <w:rPr>
                <w:rFonts w:ascii="Times New Roman" w:hAnsi="Times New Roman"/>
                <w:sz w:val="22"/>
                <w:lang w:eastAsia="bg-BG"/>
              </w:rPr>
            </w:pPr>
            <w:r w:rsidRPr="00761800">
              <w:rPr>
                <w:rFonts w:ascii="Times New Roman" w:hAnsi="Times New Roman"/>
                <w:sz w:val="22"/>
                <w:lang w:eastAsia="bg-BG"/>
              </w:rPr>
              <w:t>притегателен център за чужди инвестиции</w:t>
            </w:r>
          </w:p>
          <w:p w14:paraId="4FC5E744" w14:textId="77777777" w:rsidR="00761800" w:rsidRPr="00761800" w:rsidRDefault="00761800" w:rsidP="00761800">
            <w:pPr>
              <w:ind w:right="40"/>
              <w:jc w:val="both"/>
              <w:rPr>
                <w:rFonts w:ascii="Times New Roman" w:hAnsi="Times New Roman"/>
                <w:sz w:val="22"/>
                <w:lang w:eastAsia="bg-BG"/>
              </w:rPr>
            </w:pPr>
            <w:r w:rsidRPr="00761800">
              <w:rPr>
                <w:rFonts w:ascii="Times New Roman" w:hAnsi="Times New Roman"/>
                <w:sz w:val="22"/>
                <w:lang w:eastAsia="bg-BG"/>
              </w:rPr>
              <w:t>/изграждане на модерна икономическа зона</w:t>
            </w:r>
          </w:p>
          <w:p w14:paraId="7646092C" w14:textId="77777777" w:rsidR="00761800" w:rsidRPr="00761800" w:rsidRDefault="00761800" w:rsidP="00761800">
            <w:pPr>
              <w:ind w:right="40"/>
              <w:jc w:val="both"/>
              <w:rPr>
                <w:rFonts w:ascii="Times New Roman" w:hAnsi="Times New Roman"/>
                <w:sz w:val="22"/>
                <w:lang w:eastAsia="bg-BG"/>
              </w:rPr>
            </w:pPr>
            <w:r w:rsidRPr="00761800">
              <w:rPr>
                <w:rFonts w:ascii="Times New Roman" w:hAnsi="Times New Roman"/>
                <w:sz w:val="22"/>
                <w:lang w:eastAsia="bg-BG"/>
              </w:rPr>
              <w:lastRenderedPageBreak/>
              <w:t>от нов тип/</w:t>
            </w:r>
          </w:p>
        </w:tc>
        <w:tc>
          <w:tcPr>
            <w:tcW w:w="106" w:type="dxa"/>
            <w:tcBorders>
              <w:top w:val="single" w:sz="4" w:space="0" w:color="000000"/>
              <w:left w:val="nil"/>
              <w:bottom w:val="single" w:sz="4" w:space="0" w:color="000000"/>
              <w:right w:val="nil"/>
            </w:tcBorders>
          </w:tcPr>
          <w:p w14:paraId="77DAC548" w14:textId="77777777" w:rsidR="00761800" w:rsidRPr="00761800" w:rsidDel="00D15C7B" w:rsidRDefault="00761800" w:rsidP="00761800">
            <w:pPr>
              <w:spacing w:line="259" w:lineRule="auto"/>
              <w:ind w:right="42"/>
              <w:rPr>
                <w:rFonts w:ascii="Times New Roman" w:hAnsi="Times New Roman"/>
                <w:sz w:val="22"/>
                <w:lang w:eastAsia="bg-BG"/>
              </w:rPr>
            </w:pPr>
          </w:p>
        </w:tc>
      </w:tr>
      <w:tr w:rsidR="00761800" w:rsidRPr="00761800" w14:paraId="4103EAC8" w14:textId="77777777" w:rsidTr="00406B4D">
        <w:trPr>
          <w:trHeight w:val="714"/>
        </w:trPr>
        <w:tc>
          <w:tcPr>
            <w:tcW w:w="484" w:type="dxa"/>
            <w:tcBorders>
              <w:top w:val="single" w:sz="4" w:space="0" w:color="000000"/>
              <w:left w:val="nil"/>
              <w:bottom w:val="single" w:sz="4" w:space="0" w:color="000000"/>
              <w:right w:val="nil"/>
            </w:tcBorders>
            <w:shd w:val="clear" w:color="auto" w:fill="F2F2F2"/>
            <w:vAlign w:val="center"/>
          </w:tcPr>
          <w:p w14:paraId="130AB485" w14:textId="77777777" w:rsidR="00761800" w:rsidRPr="00761800" w:rsidRDefault="00761800" w:rsidP="00761800">
            <w:pPr>
              <w:spacing w:line="259" w:lineRule="auto"/>
              <w:ind w:left="12"/>
              <w:jc w:val="both"/>
              <w:rPr>
                <w:rFonts w:ascii="Times New Roman" w:hAnsi="Times New Roman"/>
                <w:sz w:val="22"/>
                <w:lang w:eastAsia="bg-BG"/>
              </w:rPr>
            </w:pPr>
            <w:r w:rsidRPr="00761800">
              <w:rPr>
                <w:rFonts w:ascii="Times New Roman" w:hAnsi="Times New Roman"/>
                <w:sz w:val="22"/>
                <w:lang w:eastAsia="bg-BG"/>
              </w:rPr>
              <w:t>9</w:t>
            </w:r>
          </w:p>
        </w:tc>
        <w:tc>
          <w:tcPr>
            <w:tcW w:w="3288" w:type="dxa"/>
            <w:tcBorders>
              <w:top w:val="single" w:sz="4" w:space="0" w:color="000000"/>
              <w:left w:val="nil"/>
              <w:bottom w:val="single" w:sz="4" w:space="0" w:color="000000"/>
              <w:right w:val="nil"/>
            </w:tcBorders>
            <w:vAlign w:val="center"/>
          </w:tcPr>
          <w:p w14:paraId="1CBBFCBA" w14:textId="77777777" w:rsidR="00761800" w:rsidRPr="00761800" w:rsidRDefault="00761800" w:rsidP="00761800">
            <w:pPr>
              <w:spacing w:line="259" w:lineRule="auto"/>
              <w:rPr>
                <w:rFonts w:ascii="Times New Roman" w:hAnsi="Times New Roman"/>
                <w:sz w:val="22"/>
                <w:lang w:eastAsia="bg-BG"/>
              </w:rPr>
            </w:pPr>
            <w:r w:rsidRPr="00761800">
              <w:rPr>
                <w:rFonts w:ascii="Times New Roman" w:hAnsi="Times New Roman"/>
                <w:sz w:val="22"/>
                <w:lang w:eastAsia="bg-BG"/>
              </w:rPr>
              <w:t>„СБАЛТОСМ проф. д-р Димитър Шойлев“ ЕАД</w:t>
            </w:r>
          </w:p>
        </w:tc>
        <w:tc>
          <w:tcPr>
            <w:tcW w:w="1492" w:type="dxa"/>
            <w:tcBorders>
              <w:top w:val="single" w:sz="4" w:space="0" w:color="000000"/>
              <w:left w:val="nil"/>
              <w:bottom w:val="single" w:sz="4" w:space="0" w:color="000000"/>
              <w:right w:val="nil"/>
            </w:tcBorders>
            <w:shd w:val="clear" w:color="auto" w:fill="F2F2F2"/>
            <w:vAlign w:val="center"/>
          </w:tcPr>
          <w:p w14:paraId="72DB3E10" w14:textId="77777777" w:rsidR="00761800" w:rsidRPr="00761800" w:rsidRDefault="00761800" w:rsidP="00761800">
            <w:pPr>
              <w:spacing w:line="259" w:lineRule="auto"/>
              <w:ind w:right="54"/>
              <w:jc w:val="center"/>
              <w:rPr>
                <w:rFonts w:ascii="Times New Roman" w:hAnsi="Times New Roman"/>
                <w:sz w:val="22"/>
                <w:lang w:eastAsia="bg-BG"/>
              </w:rPr>
            </w:pPr>
            <w:r w:rsidRPr="00761800">
              <w:rPr>
                <w:rFonts w:ascii="Times New Roman" w:hAnsi="Times New Roman"/>
                <w:sz w:val="22"/>
                <w:lang w:eastAsia="bg-BG"/>
              </w:rPr>
              <w:t>1 100 000</w:t>
            </w:r>
          </w:p>
        </w:tc>
        <w:tc>
          <w:tcPr>
            <w:tcW w:w="4379" w:type="dxa"/>
            <w:tcBorders>
              <w:top w:val="single" w:sz="4" w:space="0" w:color="000000"/>
              <w:left w:val="nil"/>
              <w:bottom w:val="single" w:sz="4" w:space="0" w:color="000000"/>
              <w:right w:val="nil"/>
            </w:tcBorders>
            <w:vAlign w:val="center"/>
          </w:tcPr>
          <w:p w14:paraId="5FE8EB7D" w14:textId="77777777" w:rsidR="00761800" w:rsidRPr="00761800" w:rsidRDefault="00761800" w:rsidP="00761800">
            <w:pPr>
              <w:ind w:right="40"/>
              <w:jc w:val="both"/>
              <w:rPr>
                <w:rFonts w:ascii="Times New Roman" w:hAnsi="Times New Roman"/>
                <w:sz w:val="22"/>
                <w:lang w:eastAsia="bg-BG"/>
              </w:rPr>
            </w:pPr>
            <w:r w:rsidRPr="00761800">
              <w:rPr>
                <w:rFonts w:ascii="Times New Roman" w:hAnsi="Times New Roman"/>
                <w:sz w:val="22"/>
                <w:lang w:eastAsia="bg-BG"/>
              </w:rPr>
              <w:t>Завършване изцяло преустройството и пребазирането на лечебното заведение и за закупуване и инсталиране на медицинска апаратура и оборудване на обекта</w:t>
            </w:r>
          </w:p>
        </w:tc>
        <w:tc>
          <w:tcPr>
            <w:tcW w:w="106" w:type="dxa"/>
            <w:tcBorders>
              <w:top w:val="single" w:sz="4" w:space="0" w:color="000000"/>
              <w:left w:val="nil"/>
              <w:bottom w:val="single" w:sz="4" w:space="0" w:color="000000"/>
              <w:right w:val="nil"/>
            </w:tcBorders>
          </w:tcPr>
          <w:p w14:paraId="059F0809" w14:textId="77777777" w:rsidR="00761800" w:rsidRPr="00761800" w:rsidDel="00D15C7B" w:rsidRDefault="00761800" w:rsidP="00761800">
            <w:pPr>
              <w:spacing w:line="259" w:lineRule="auto"/>
              <w:ind w:right="42"/>
              <w:rPr>
                <w:rFonts w:ascii="Times New Roman" w:hAnsi="Times New Roman"/>
                <w:sz w:val="22"/>
                <w:lang w:eastAsia="bg-BG"/>
              </w:rPr>
            </w:pPr>
          </w:p>
        </w:tc>
      </w:tr>
    </w:tbl>
    <w:p w14:paraId="4E52C642" w14:textId="77777777" w:rsidR="00761800" w:rsidRPr="00761800" w:rsidRDefault="00761800" w:rsidP="00761800">
      <w:pPr>
        <w:spacing w:after="200"/>
        <w:jc w:val="both"/>
        <w:rPr>
          <w:rFonts w:ascii="Times New Roman" w:hAnsi="Times New Roman"/>
          <w:bCs/>
          <w:szCs w:val="22"/>
          <w:lang w:eastAsia="bg-BG"/>
        </w:rPr>
      </w:pPr>
    </w:p>
    <w:p w14:paraId="588CB661" w14:textId="77777777" w:rsidR="00761800" w:rsidRPr="00761800" w:rsidRDefault="00761800" w:rsidP="00761800">
      <w:pPr>
        <w:tabs>
          <w:tab w:val="left" w:pos="741"/>
          <w:tab w:val="left" w:pos="2736"/>
          <w:tab w:val="center" w:pos="4153"/>
          <w:tab w:val="right" w:pos="8306"/>
        </w:tabs>
        <w:spacing w:after="200"/>
        <w:contextualSpacing/>
        <w:jc w:val="both"/>
        <w:rPr>
          <w:rFonts w:ascii="Times New Roman" w:hAnsi="Times New Roman"/>
          <w:bCs/>
          <w:szCs w:val="24"/>
          <w:lang w:eastAsia="bg-BG"/>
        </w:rPr>
      </w:pPr>
      <w:r w:rsidRPr="00761800">
        <w:rPr>
          <w:rFonts w:ascii="Times New Roman" w:hAnsi="Times New Roman"/>
          <w:bCs/>
          <w:szCs w:val="24"/>
          <w:lang w:eastAsia="bg-BG"/>
        </w:rPr>
        <w:t>Увеличаванията на капитала на дружествата ще се извърши при спазване на законодателството в областта на държавните помощи.</w:t>
      </w:r>
    </w:p>
    <w:p w14:paraId="293D905D" w14:textId="77777777" w:rsidR="00761800" w:rsidRPr="00761800" w:rsidRDefault="00761800" w:rsidP="00761800">
      <w:pPr>
        <w:tabs>
          <w:tab w:val="left" w:pos="741"/>
          <w:tab w:val="left" w:pos="2736"/>
          <w:tab w:val="center" w:pos="4153"/>
          <w:tab w:val="right" w:pos="8306"/>
        </w:tabs>
        <w:spacing w:after="200"/>
        <w:contextualSpacing/>
        <w:jc w:val="both"/>
        <w:rPr>
          <w:rFonts w:ascii="Times New Roman" w:hAnsi="Times New Roman"/>
          <w:bCs/>
          <w:szCs w:val="24"/>
          <w:lang w:eastAsia="bg-BG"/>
        </w:rPr>
      </w:pPr>
    </w:p>
    <w:p w14:paraId="39D8138E" w14:textId="77777777" w:rsidR="00761800" w:rsidRPr="00761800" w:rsidRDefault="00761800" w:rsidP="00761800">
      <w:pPr>
        <w:keepNext/>
        <w:keepLines/>
        <w:numPr>
          <w:ilvl w:val="2"/>
          <w:numId w:val="0"/>
        </w:numPr>
        <w:spacing w:after="200"/>
        <w:ind w:left="567" w:hanging="567"/>
        <w:outlineLvl w:val="2"/>
        <w:rPr>
          <w:rFonts w:ascii="Times New Roman" w:hAnsi="Times New Roman"/>
          <w:b/>
          <w:bCs/>
          <w:caps/>
          <w:color w:val="852010"/>
          <w:szCs w:val="22"/>
          <w:lang w:eastAsia="bg-BG"/>
        </w:rPr>
      </w:pPr>
      <w:r w:rsidRPr="00761800">
        <w:rPr>
          <w:rFonts w:ascii="Times New Roman" w:hAnsi="Times New Roman"/>
          <w:b/>
          <w:bCs/>
          <w:caps/>
          <w:color w:val="852010"/>
          <w:szCs w:val="22"/>
          <w:lang w:eastAsia="bg-BG"/>
        </w:rPr>
        <w:t>Средства за капиталовата вноска на Република България в Европейския механизъм за стабилност</w:t>
      </w:r>
    </w:p>
    <w:p w14:paraId="31730B46" w14:textId="77777777" w:rsidR="00761800" w:rsidRPr="00761800" w:rsidRDefault="00761800" w:rsidP="00761800">
      <w:pPr>
        <w:tabs>
          <w:tab w:val="left" w:pos="741"/>
          <w:tab w:val="left" w:pos="2736"/>
          <w:tab w:val="center" w:pos="4153"/>
          <w:tab w:val="right" w:pos="8306"/>
        </w:tabs>
        <w:spacing w:after="200"/>
        <w:jc w:val="both"/>
        <w:rPr>
          <w:rFonts w:ascii="Times New Roman" w:hAnsi="Times New Roman"/>
          <w:bCs/>
          <w:szCs w:val="24"/>
          <w:lang w:eastAsia="bg-BG"/>
        </w:rPr>
      </w:pPr>
      <w:r w:rsidRPr="00761800">
        <w:rPr>
          <w:rFonts w:ascii="Times New Roman" w:hAnsi="Times New Roman"/>
          <w:bCs/>
          <w:szCs w:val="24"/>
          <w:lang w:eastAsia="bg-BG"/>
        </w:rPr>
        <w:t xml:space="preserve">С присъединяването си към еврозоната България следва да се присъедини и към Европейския механизъм за стабилност (ЕМС). Това е международна финансова институция, създадена от страните от еврозоната с цел осигуряване на финансова стабилност в рамките на валутния съюз. Неговата мисия е в случай на нужда да подпомага държавите от еврозоната да поддържат дългосрочна финансова стабилност и просперитет. Механизмът изпълнява тази мисия, като предоставя заеми, техническа помощ и експертиза на държави членки от еврозоната. Разпределението между държавите от еврозоната на вноските в капитала на ЕМС се базира на ключа за внесения от тези държави капитал в Европейската централна банка. Плащанията по първоначално определения за внасяне капитал са разпределени на равни части, по 20% за пет години, като за страните с БВП на глава от населението под 75% от средния за ЕС (сред които и България) се използва адаптиран временен ключ за период от 12 години от датата на приемане на еврото. През този период първоначалното капиталово участие на държавата, възползваща се от корекцията, е по-ниско, което води и до по-ниски вноски във внесения капитал на ЕМС. След приключване на 12-годишния период държавата членка следва да депозира оставащата сума. </w:t>
      </w:r>
    </w:p>
    <w:p w14:paraId="25844A5B" w14:textId="77777777" w:rsidR="00761800" w:rsidRPr="00761800" w:rsidRDefault="00761800" w:rsidP="00761800">
      <w:pPr>
        <w:tabs>
          <w:tab w:val="left" w:pos="741"/>
          <w:tab w:val="left" w:pos="2736"/>
          <w:tab w:val="center" w:pos="4153"/>
          <w:tab w:val="right" w:pos="8306"/>
        </w:tabs>
        <w:spacing w:after="200"/>
        <w:jc w:val="both"/>
        <w:rPr>
          <w:rFonts w:ascii="Times New Roman" w:hAnsi="Times New Roman"/>
          <w:bCs/>
          <w:szCs w:val="24"/>
          <w:lang w:eastAsia="bg-BG"/>
        </w:rPr>
      </w:pPr>
      <w:r w:rsidRPr="00761800">
        <w:rPr>
          <w:rFonts w:ascii="Times New Roman" w:hAnsi="Times New Roman"/>
          <w:bCs/>
          <w:szCs w:val="24"/>
          <w:lang w:eastAsia="bg-BG"/>
        </w:rPr>
        <w:t>На базата на описаната по-горе методология и последните налични данни беше изчислена вноската на България в Европейския механизъм за стабилност, дължима на равни годишни вноски през първите пет години от присъединяването на България към еврозоната: по 121,0 млн. евро на година за периода 2026-2028 г.</w:t>
      </w:r>
    </w:p>
    <w:p w14:paraId="5F255B4D" w14:textId="77777777" w:rsidR="00761800" w:rsidRPr="00761800" w:rsidRDefault="00761800" w:rsidP="00761800">
      <w:pPr>
        <w:keepNext/>
        <w:keepLines/>
        <w:numPr>
          <w:ilvl w:val="2"/>
          <w:numId w:val="0"/>
        </w:numPr>
        <w:spacing w:before="480" w:after="240"/>
        <w:outlineLvl w:val="2"/>
        <w:rPr>
          <w:rFonts w:ascii="Times New Roman" w:hAnsi="Times New Roman"/>
          <w:b/>
          <w:bCs/>
          <w:caps/>
          <w:color w:val="852010"/>
          <w:szCs w:val="22"/>
          <w:lang w:eastAsia="bg-BG"/>
        </w:rPr>
      </w:pPr>
      <w:bookmarkStart w:id="478" w:name="_Toc464465637"/>
      <w:bookmarkStart w:id="479" w:name="_Toc464466462"/>
      <w:bookmarkStart w:id="480" w:name="_Toc464466706"/>
      <w:bookmarkStart w:id="481" w:name="_Toc464466738"/>
      <w:bookmarkStart w:id="482" w:name="_Toc464470248"/>
      <w:bookmarkStart w:id="483" w:name="_Toc464645026"/>
      <w:bookmarkStart w:id="484" w:name="_Toc464646382"/>
      <w:r w:rsidRPr="00761800">
        <w:rPr>
          <w:rFonts w:ascii="Times New Roman" w:hAnsi="Times New Roman"/>
          <w:b/>
          <w:bCs/>
          <w:caps/>
          <w:color w:val="852010"/>
          <w:szCs w:val="22"/>
          <w:lang w:eastAsia="bg-BG"/>
        </w:rPr>
        <w:t xml:space="preserve">Фискален резерв </w:t>
      </w:r>
    </w:p>
    <w:p w14:paraId="372C756F"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Съгласно дефиницията за показателя „Фискален резерв“ в т. 41 на § 1 от допълнителните разпоредби на Закона за публичните финанси в неговия обхват се включват салдата по всички банкови сметки на бюджетните организации без тези на общините и техните разпоредители с бюджет, активите на Държавния фонд за гарантиране устойчивост на държавната пенсионна система (ДФГУДПС), вземания от фондове на Европейския съюз за сертифицирани разходи, аванси и други, и други финансови активи по чл. 154, ал. 22 и 23 от същия закон.</w:t>
      </w:r>
    </w:p>
    <w:p w14:paraId="3FA202B5"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 xml:space="preserve">Минималният размер на показателя „Фискален резерв“ е определен на база необходимите средства на разположение към 31 декември 2026 г. за обезпечаване на наличностите на ДФГУДПС и текущите ликвидни нужди на бюджета. Следва обаче да се подчертае, че минималният размер на фискалния резерв не представлява целева </w:t>
      </w:r>
      <w:r w:rsidRPr="00761800">
        <w:rPr>
          <w:rFonts w:ascii="Times New Roman" w:hAnsi="Times New Roman"/>
          <w:szCs w:val="22"/>
          <w:lang w:eastAsia="bg-BG"/>
        </w:rPr>
        <w:lastRenderedPageBreak/>
        <w:t xml:space="preserve">стойност за показателя към даден период. Той представлява минимален праг за показателя, който има за цел да минимизира рисковете от ликвидни проблеми в краткосрочен хоризонт. </w:t>
      </w:r>
    </w:p>
    <w:p w14:paraId="454EBC5C"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В тази връзка се предлага минималният размер на фискалния резерв към 31 декември 2026 г. да бъде в размер на 2,6 млрд. евро.</w:t>
      </w:r>
    </w:p>
    <w:p w14:paraId="789CF0C2" w14:textId="77777777" w:rsidR="00761800" w:rsidRPr="00761800" w:rsidRDefault="00761800" w:rsidP="00761800">
      <w:pPr>
        <w:spacing w:after="200"/>
        <w:jc w:val="both"/>
        <w:rPr>
          <w:rFonts w:ascii="Times New Roman" w:hAnsi="Times New Roman"/>
          <w:szCs w:val="22"/>
          <w:lang w:eastAsia="bg-BG"/>
        </w:rPr>
      </w:pPr>
    </w:p>
    <w:p w14:paraId="37CD2C6D" w14:textId="77777777" w:rsidR="00761800" w:rsidRPr="00761800" w:rsidRDefault="00761800" w:rsidP="00761800">
      <w:pPr>
        <w:keepNext/>
        <w:keepLines/>
        <w:spacing w:before="120" w:after="1080"/>
        <w:outlineLvl w:val="0"/>
        <w:rPr>
          <w:rFonts w:ascii="Times New Roman" w:hAnsi="Times New Roman"/>
          <w:bCs/>
          <w:spacing w:val="10"/>
          <w:sz w:val="52"/>
          <w:szCs w:val="28"/>
          <w:lang w:eastAsia="bg-BG"/>
        </w:rPr>
        <w:sectPr w:rsidR="00761800" w:rsidRPr="00761800" w:rsidSect="00406B4D">
          <w:type w:val="oddPage"/>
          <w:pgSz w:w="11906" w:h="16838" w:code="9"/>
          <w:pgMar w:top="1418" w:right="1418" w:bottom="851" w:left="1418" w:header="708" w:footer="708" w:gutter="0"/>
          <w:cols w:space="708"/>
          <w:titlePg/>
          <w:docGrid w:linePitch="360"/>
        </w:sectPr>
      </w:pPr>
    </w:p>
    <w:bookmarkStart w:id="485" w:name="_Toc233717494"/>
    <w:p w14:paraId="552E2571" w14:textId="77777777" w:rsidR="00761800" w:rsidRPr="00761800" w:rsidRDefault="00761800" w:rsidP="00761800">
      <w:pPr>
        <w:keepNext/>
        <w:keepLines/>
        <w:spacing w:before="120" w:after="1080"/>
        <w:outlineLvl w:val="0"/>
        <w:rPr>
          <w:rFonts w:ascii="Times New Roman" w:hAnsi="Times New Roman"/>
          <w:bCs/>
          <w:spacing w:val="10"/>
          <w:sz w:val="52"/>
          <w:szCs w:val="28"/>
          <w:lang w:eastAsia="bg-BG"/>
        </w:rPr>
      </w:pPr>
      <w:r w:rsidRPr="00761800">
        <w:rPr>
          <w:rFonts w:ascii="Times New Roman" w:hAnsi="Times New Roman"/>
          <w:bCs/>
          <w:noProof/>
          <w:color w:val="852010"/>
          <w:spacing w:val="10"/>
          <w:sz w:val="52"/>
          <w:szCs w:val="28"/>
          <w:lang w:eastAsia="bg-BG"/>
        </w:rPr>
        <w:lastRenderedPageBreak/>
        <mc:AlternateContent>
          <mc:Choice Requires="wps">
            <w:drawing>
              <wp:anchor distT="0" distB="0" distL="114300" distR="114300" simplePos="0" relativeHeight="251849216" behindDoc="0" locked="0" layoutInCell="1" allowOverlap="1" wp14:anchorId="6479DC1F" wp14:editId="31FE827B">
                <wp:simplePos x="0" y="0"/>
                <wp:positionH relativeFrom="column">
                  <wp:posOffset>-898525</wp:posOffset>
                </wp:positionH>
                <wp:positionV relativeFrom="paragraph">
                  <wp:posOffset>1405255</wp:posOffset>
                </wp:positionV>
                <wp:extent cx="7560310" cy="0"/>
                <wp:effectExtent l="0" t="0" r="21590" b="19050"/>
                <wp:wrapNone/>
                <wp:docPr id="697" name="Straight Connector 697"/>
                <wp:cNvGraphicFramePr/>
                <a:graphic xmlns:a="http://schemas.openxmlformats.org/drawingml/2006/main">
                  <a:graphicData uri="http://schemas.microsoft.com/office/word/2010/wordprocessingShape">
                    <wps:wsp>
                      <wps:cNvCnPr/>
                      <wps:spPr>
                        <a:xfrm>
                          <a:off x="0" y="0"/>
                          <a:ext cx="7560310" cy="0"/>
                        </a:xfrm>
                        <a:prstGeom prst="line">
                          <a:avLst/>
                        </a:prstGeom>
                        <a:noFill/>
                        <a:ln w="9525" cap="flat" cmpd="sng" algn="ctr">
                          <a:solidFill>
                            <a:srgbClr val="B32C16"/>
                          </a:solidFill>
                          <a:prstDash val="solid"/>
                        </a:ln>
                        <a:effectLst/>
                      </wps:spPr>
                      <wps:bodyPr/>
                    </wps:wsp>
                  </a:graphicData>
                </a:graphic>
              </wp:anchor>
            </w:drawing>
          </mc:Choice>
          <mc:Fallback>
            <w:pict>
              <v:line w14:anchorId="466746C8" id="Straight Connector 697" o:spid="_x0000_s1026" style="position:absolute;z-index:251849216;visibility:visible;mso-wrap-style:square;mso-wrap-distance-left:9pt;mso-wrap-distance-top:0;mso-wrap-distance-right:9pt;mso-wrap-distance-bottom:0;mso-position-horizontal:absolute;mso-position-horizontal-relative:text;mso-position-vertical:absolute;mso-position-vertical-relative:text" from="-70.75pt,110.65pt" to="524.55pt,1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" strokecolor="#b32c16"/>
            </w:pict>
          </mc:Fallback>
        </mc:AlternateContent>
      </w:r>
      <w:r w:rsidRPr="00761800">
        <w:rPr>
          <w:rFonts w:ascii="Times New Roman" w:hAnsi="Times New Roman"/>
          <w:bCs/>
          <w:noProof/>
          <w:color w:val="852010"/>
          <w:spacing w:val="10"/>
          <w:sz w:val="52"/>
          <w:szCs w:val="28"/>
          <w:lang w:eastAsia="bg-BG"/>
        </w:rPr>
        <mc:AlternateContent>
          <mc:Choice Requires="wps">
            <w:drawing>
              <wp:anchor distT="0" distB="0" distL="114300" distR="114300" simplePos="0" relativeHeight="251848192" behindDoc="1" locked="0" layoutInCell="1" allowOverlap="1" wp14:anchorId="0BE06DC5" wp14:editId="3BDFE42D">
                <wp:simplePos x="0" y="0"/>
                <wp:positionH relativeFrom="column">
                  <wp:posOffset>-898156</wp:posOffset>
                </wp:positionH>
                <wp:positionV relativeFrom="paragraph">
                  <wp:posOffset>-898155</wp:posOffset>
                </wp:positionV>
                <wp:extent cx="7560860" cy="2304000"/>
                <wp:effectExtent l="0" t="0" r="2540" b="1270"/>
                <wp:wrapNone/>
                <wp:docPr id="696" name="Rectangle 696"/>
                <wp:cNvGraphicFramePr/>
                <a:graphic xmlns:a="http://schemas.openxmlformats.org/drawingml/2006/main">
                  <a:graphicData uri="http://schemas.microsoft.com/office/word/2010/wordprocessingShape">
                    <wps:wsp>
                      <wps:cNvSpPr/>
                      <wps:spPr>
                        <a:xfrm>
                          <a:off x="0" y="0"/>
                          <a:ext cx="7560860" cy="2304000"/>
                        </a:xfrm>
                        <a:prstGeom prst="rect">
                          <a:avLst/>
                        </a:prstGeom>
                        <a:solidFill>
                          <a:srgbClr val="B32C16">
                            <a:lumMod val="20000"/>
                            <a:lumOff val="80000"/>
                          </a:srgbClr>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DE5A82" id="Rectangle 696" o:spid="_x0000_s1026" style="position:absolute;margin-left:-70.7pt;margin-top:-70.7pt;width:595.35pt;height:181.4pt;z-index:-25146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" fillcolor="#f8cfc8" stroked="f" strokeweight="1pt"/>
            </w:pict>
          </mc:Fallback>
        </mc:AlternateContent>
      </w:r>
      <w:r w:rsidRPr="00761800">
        <w:rPr>
          <w:rFonts w:ascii="Times New Roman" w:hAnsi="Times New Roman"/>
          <w:bCs/>
          <w:color w:val="852010"/>
          <w:spacing w:val="10"/>
          <w:sz w:val="52"/>
          <w:szCs w:val="28"/>
          <w:lang w:eastAsia="bg-BG"/>
        </w:rPr>
        <w:br/>
      </w:r>
      <w:bookmarkStart w:id="486" w:name="_Toc465205575"/>
      <w:r w:rsidRPr="00761800">
        <w:rPr>
          <w:rFonts w:ascii="Times New Roman" w:hAnsi="Times New Roman"/>
          <w:bCs/>
          <w:spacing w:val="10"/>
          <w:sz w:val="52"/>
          <w:szCs w:val="28"/>
          <w:lang w:eastAsia="bg-BG"/>
        </w:rPr>
        <w:t>Перспективи за развитието на публичните финанси</w:t>
      </w:r>
      <w:bookmarkEnd w:id="478"/>
      <w:bookmarkEnd w:id="479"/>
      <w:bookmarkEnd w:id="480"/>
      <w:bookmarkEnd w:id="481"/>
      <w:bookmarkEnd w:id="482"/>
      <w:bookmarkEnd w:id="483"/>
      <w:bookmarkEnd w:id="484"/>
      <w:bookmarkEnd w:id="485"/>
      <w:bookmarkEnd w:id="486"/>
    </w:p>
    <w:p w14:paraId="665F43B4" w14:textId="77777777" w:rsidR="00761800" w:rsidRPr="00761800" w:rsidRDefault="00761800" w:rsidP="00F64909">
      <w:pPr>
        <w:keepNext/>
        <w:keepLines/>
        <w:numPr>
          <w:ilvl w:val="1"/>
          <w:numId w:val="6"/>
        </w:numPr>
        <w:tabs>
          <w:tab w:val="left" w:pos="426"/>
        </w:tabs>
        <w:spacing w:after="200"/>
        <w:ind w:hanging="270"/>
        <w:jc w:val="both"/>
        <w:outlineLvl w:val="1"/>
        <w:rPr>
          <w:rFonts w:ascii="Times New Roman" w:hAnsi="Times New Roman"/>
          <w:b/>
          <w:bCs/>
          <w:caps/>
          <w:color w:val="852010"/>
          <w:spacing w:val="10"/>
          <w:w w:val="90"/>
          <w:sz w:val="28"/>
          <w:szCs w:val="26"/>
          <w:lang w:eastAsia="bg-BG"/>
        </w:rPr>
      </w:pPr>
      <w:bookmarkStart w:id="487" w:name="_Toc233717495"/>
      <w:bookmarkStart w:id="488" w:name="_Toc464224819"/>
      <w:bookmarkStart w:id="489" w:name="_Toc464225469"/>
      <w:bookmarkStart w:id="490" w:name="_Toc464459016"/>
      <w:bookmarkStart w:id="491" w:name="_Toc464459764"/>
      <w:bookmarkStart w:id="492" w:name="_Toc464460717"/>
      <w:bookmarkStart w:id="493" w:name="_Toc464463116"/>
      <w:bookmarkStart w:id="494" w:name="_Toc464464945"/>
      <w:bookmarkStart w:id="495" w:name="_Toc464465452"/>
      <w:bookmarkStart w:id="496" w:name="_Toc464465640"/>
      <w:bookmarkStart w:id="497" w:name="_Toc464466463"/>
      <w:bookmarkStart w:id="498" w:name="_Toc464466707"/>
      <w:bookmarkStart w:id="499" w:name="_Toc464645027"/>
      <w:bookmarkStart w:id="500" w:name="_Toc465205576"/>
      <w:r w:rsidRPr="00761800">
        <w:rPr>
          <w:rFonts w:ascii="Times New Roman" w:hAnsi="Times New Roman"/>
          <w:b/>
          <w:bCs/>
          <w:caps/>
          <w:color w:val="852010"/>
          <w:spacing w:val="10"/>
          <w:w w:val="90"/>
          <w:sz w:val="28"/>
          <w:szCs w:val="26"/>
          <w:lang w:eastAsia="bg-BG"/>
        </w:rPr>
        <w:t>Устойчивост на публичните финанси</w:t>
      </w:r>
      <w:bookmarkEnd w:id="487"/>
    </w:p>
    <w:bookmarkEnd w:id="488"/>
    <w:bookmarkEnd w:id="489"/>
    <w:bookmarkEnd w:id="490"/>
    <w:bookmarkEnd w:id="491"/>
    <w:bookmarkEnd w:id="492"/>
    <w:bookmarkEnd w:id="493"/>
    <w:bookmarkEnd w:id="494"/>
    <w:bookmarkEnd w:id="495"/>
    <w:bookmarkEnd w:id="496"/>
    <w:bookmarkEnd w:id="497"/>
    <w:bookmarkEnd w:id="498"/>
    <w:bookmarkEnd w:id="499"/>
    <w:bookmarkEnd w:id="500"/>
    <w:p w14:paraId="6FB5408E" w14:textId="77777777" w:rsidR="00761800" w:rsidRPr="00761800" w:rsidRDefault="00761800" w:rsidP="00761800">
      <w:pPr>
        <w:tabs>
          <w:tab w:val="left" w:pos="0"/>
        </w:tabs>
        <w:spacing w:after="200"/>
        <w:jc w:val="both"/>
        <w:rPr>
          <w:rFonts w:ascii="Times New Roman" w:eastAsia="MS Mincho" w:hAnsi="Times New Roman"/>
          <w:szCs w:val="24"/>
          <w:lang w:eastAsia="bg-BG"/>
        </w:rPr>
      </w:pPr>
      <w:r w:rsidRPr="00761800">
        <w:rPr>
          <w:rFonts w:ascii="Times New Roman" w:eastAsia="MS Mincho" w:hAnsi="Times New Roman"/>
          <w:szCs w:val="24"/>
          <w:lang w:eastAsia="bg-BG"/>
        </w:rPr>
        <w:t>В този раздел се разглежда дългосрочната устойчивост на фискалната позиция, като се оценява текущото състояние на публичните финанси от гледна точка на бъдещото нарастване на публичните разходи, свързани със застаряването на населението. За тази цел се използват индикаторите за устойчивост S1 и S2, изчислени по методология разработена от ЕК</w:t>
      </w:r>
      <w:r w:rsidRPr="00761800">
        <w:rPr>
          <w:rFonts w:ascii="Times New Roman" w:eastAsia="MS Mincho" w:hAnsi="Times New Roman"/>
          <w:position w:val="2"/>
          <w:sz w:val="18"/>
          <w:szCs w:val="24"/>
          <w:vertAlign w:val="superscript"/>
        </w:rPr>
        <w:footnoteReference w:id="84"/>
      </w:r>
      <w:r w:rsidRPr="00761800">
        <w:rPr>
          <w:rFonts w:ascii="Times New Roman" w:eastAsia="MS Mincho" w:hAnsi="Times New Roman"/>
          <w:szCs w:val="24"/>
          <w:lang w:eastAsia="bg-BG"/>
        </w:rPr>
        <w:t>.</w:t>
      </w:r>
    </w:p>
    <w:p w14:paraId="177A8492" w14:textId="77777777" w:rsidR="00761800" w:rsidRPr="00761800" w:rsidRDefault="00761800" w:rsidP="00761800">
      <w:pPr>
        <w:tabs>
          <w:tab w:val="left" w:pos="0"/>
        </w:tabs>
        <w:spacing w:after="200"/>
        <w:jc w:val="both"/>
        <w:rPr>
          <w:rFonts w:ascii="Times New Roman" w:eastAsia="MS Mincho" w:hAnsi="Times New Roman"/>
          <w:szCs w:val="24"/>
          <w:lang w:eastAsia="bg-BG"/>
        </w:rPr>
      </w:pPr>
      <w:r w:rsidRPr="00761800">
        <w:rPr>
          <w:rFonts w:ascii="Times New Roman" w:eastAsia="MS Mincho" w:hAnsi="Times New Roman"/>
          <w:szCs w:val="24"/>
          <w:lang w:eastAsia="bg-BG"/>
        </w:rPr>
        <w:t>Индикаторът S1 показва необходимата корекция в структурното първично бюджетно салдо през първата прогнозна година (2026 г.) за да се задържи съотношението на държавен дълг към БВП под 60% към 2070 г. Индикаторът S2 показва корекцията в структурния първичния баланс през първата прогнозна година, която се изисква за да се стабилизира държавният дълг в дългосрочен план. Положителна стойност на индикаторите означава необходимост от фискална консолидация или структурни реформи, които да намалят тежестта от застаряването на населението върху публичните финанси, докато отрицателната показва наличие на фискално пространство.</w:t>
      </w:r>
    </w:p>
    <w:p w14:paraId="523C879D" w14:textId="7FDEE4E3" w:rsidR="00761800" w:rsidRPr="00761800" w:rsidRDefault="00761800" w:rsidP="00761800">
      <w:pPr>
        <w:spacing w:after="120"/>
        <w:rPr>
          <w:rFonts w:ascii="Times New Roman" w:eastAsia="MS Mincho" w:hAnsi="Times New Roman"/>
          <w:b/>
          <w:szCs w:val="24"/>
          <w:lang w:eastAsia="ar-SA"/>
        </w:rPr>
      </w:pPr>
      <w:bookmarkStart w:id="501" w:name="_Toc464645028"/>
      <w:bookmarkStart w:id="502" w:name="_Toc464646383"/>
      <w:bookmarkStart w:id="503" w:name="_Toc464737651"/>
      <w:bookmarkStart w:id="504" w:name="_Toc233185140"/>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22</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r>
      <w:r w:rsidRPr="00761800">
        <w:rPr>
          <w:rFonts w:ascii="Times New Roman" w:eastAsia="MS Mincho" w:hAnsi="Times New Roman"/>
          <w:b/>
          <w:szCs w:val="24"/>
          <w:lang w:eastAsia="ar-SA"/>
        </w:rPr>
        <w:t>Индикатори за устойчивост</w:t>
      </w:r>
      <w:bookmarkEnd w:id="501"/>
      <w:bookmarkEnd w:id="502"/>
      <w:bookmarkEnd w:id="503"/>
      <w:bookmarkEnd w:id="504"/>
    </w:p>
    <w:p w14:paraId="772B832D" w14:textId="77777777" w:rsidR="00761800" w:rsidRPr="00761800" w:rsidRDefault="00761800" w:rsidP="00761800">
      <w:pPr>
        <w:contextualSpacing/>
        <w:jc w:val="right"/>
        <w:rPr>
          <w:rFonts w:ascii="Times New Roman" w:hAnsi="Times New Roman"/>
          <w:sz w:val="18"/>
          <w:szCs w:val="18"/>
          <w:lang w:eastAsia="bg-BG"/>
        </w:rPr>
      </w:pPr>
    </w:p>
    <w:tbl>
      <w:tblPr>
        <w:tblStyle w:val="Style18"/>
        <w:tblW w:w="5000" w:type="pct"/>
        <w:jc w:val="center"/>
        <w:tblBorders>
          <w:top w:val="none" w:sz="0" w:space="0" w:color="auto"/>
          <w:bottom w:val="none" w:sz="0" w:space="0" w:color="auto"/>
          <w:insideH w:val="none" w:sz="0" w:space="0" w:color="auto"/>
          <w:insideV w:val="none" w:sz="0" w:space="0" w:color="auto"/>
        </w:tblBorders>
        <w:tblCellMar>
          <w:left w:w="57" w:type="dxa"/>
          <w:right w:w="57" w:type="dxa"/>
        </w:tblCellMar>
        <w:tblLook w:val="0620" w:firstRow="1" w:lastRow="0" w:firstColumn="0" w:lastColumn="0" w:noHBand="1" w:noVBand="1"/>
      </w:tblPr>
      <w:tblGrid>
        <w:gridCol w:w="3821"/>
        <w:gridCol w:w="1312"/>
        <w:gridCol w:w="1315"/>
        <w:gridCol w:w="1312"/>
        <w:gridCol w:w="1310"/>
      </w:tblGrid>
      <w:tr w:rsidR="00761800" w:rsidRPr="00761800" w14:paraId="4ADA8E39" w14:textId="77777777" w:rsidTr="00761800">
        <w:trPr>
          <w:trHeight w:val="397"/>
          <w:jc w:val="center"/>
        </w:trPr>
        <w:tc>
          <w:tcPr>
            <w:tcW w:w="2107" w:type="pct"/>
            <w:tcBorders>
              <w:top w:val="single" w:sz="4" w:space="0" w:color="auto"/>
            </w:tcBorders>
            <w:shd w:val="clear" w:color="auto" w:fill="auto"/>
            <w:hideMark/>
          </w:tcPr>
          <w:p w14:paraId="5B5439D3" w14:textId="77777777" w:rsidR="00761800" w:rsidRPr="00761800" w:rsidRDefault="00761800" w:rsidP="00761800">
            <w:pPr>
              <w:spacing w:after="0"/>
              <w:rPr>
                <w:rFonts w:ascii="Times New Roman" w:hAnsi="Times New Roman"/>
                <w:b/>
                <w:sz w:val="20"/>
                <w:szCs w:val="18"/>
                <w:lang w:eastAsia="bg-BG"/>
              </w:rPr>
            </w:pPr>
            <w:r w:rsidRPr="00761800">
              <w:rPr>
                <w:rFonts w:ascii="Times New Roman" w:hAnsi="Times New Roman"/>
                <w:b/>
                <w:sz w:val="20"/>
                <w:szCs w:val="18"/>
                <w:lang w:eastAsia="bg-BG"/>
              </w:rPr>
              <w:t> </w:t>
            </w:r>
          </w:p>
        </w:tc>
        <w:tc>
          <w:tcPr>
            <w:tcW w:w="1448" w:type="pct"/>
            <w:gridSpan w:val="2"/>
            <w:tcBorders>
              <w:top w:val="single" w:sz="4" w:space="0" w:color="auto"/>
            </w:tcBorders>
            <w:shd w:val="clear" w:color="auto" w:fill="F2F2F2"/>
            <w:vAlign w:val="center"/>
            <w:hideMark/>
          </w:tcPr>
          <w:p w14:paraId="493B43D2" w14:textId="77777777" w:rsidR="00761800" w:rsidRPr="00761800" w:rsidRDefault="00761800" w:rsidP="00761800">
            <w:pPr>
              <w:spacing w:after="0"/>
              <w:jc w:val="center"/>
              <w:rPr>
                <w:rFonts w:ascii="Times New Roman" w:hAnsi="Times New Roman"/>
                <w:b/>
                <w:sz w:val="20"/>
                <w:szCs w:val="18"/>
                <w:lang w:eastAsia="bg-BG"/>
              </w:rPr>
            </w:pPr>
            <w:r w:rsidRPr="00761800">
              <w:rPr>
                <w:rFonts w:ascii="Times New Roman" w:hAnsi="Times New Roman"/>
                <w:b/>
                <w:sz w:val="20"/>
                <w:szCs w:val="18"/>
                <w:lang w:eastAsia="bg-BG"/>
              </w:rPr>
              <w:t>МФ</w:t>
            </w:r>
          </w:p>
        </w:tc>
        <w:tc>
          <w:tcPr>
            <w:tcW w:w="1445" w:type="pct"/>
            <w:gridSpan w:val="2"/>
            <w:tcBorders>
              <w:top w:val="single" w:sz="4" w:space="0" w:color="auto"/>
            </w:tcBorders>
            <w:shd w:val="clear" w:color="auto" w:fill="auto"/>
            <w:vAlign w:val="center"/>
            <w:hideMark/>
          </w:tcPr>
          <w:p w14:paraId="01A5A5E9" w14:textId="77777777" w:rsidR="00761800" w:rsidRPr="00761800" w:rsidRDefault="00761800" w:rsidP="00761800">
            <w:pPr>
              <w:spacing w:after="0"/>
              <w:jc w:val="center"/>
              <w:rPr>
                <w:rFonts w:ascii="Times New Roman" w:hAnsi="Times New Roman"/>
                <w:b/>
                <w:sz w:val="20"/>
                <w:szCs w:val="18"/>
                <w:lang w:eastAsia="bg-BG"/>
              </w:rPr>
            </w:pPr>
            <w:r w:rsidRPr="00761800">
              <w:rPr>
                <w:rFonts w:ascii="Times New Roman" w:hAnsi="Times New Roman"/>
                <w:b/>
                <w:sz w:val="20"/>
                <w:szCs w:val="18"/>
                <w:lang w:eastAsia="bg-BG"/>
              </w:rPr>
              <w:t>ЕК</w:t>
            </w:r>
          </w:p>
        </w:tc>
      </w:tr>
      <w:tr w:rsidR="00761800" w:rsidRPr="00761800" w14:paraId="4FB6E7E0" w14:textId="77777777" w:rsidTr="00761800">
        <w:trPr>
          <w:trHeight w:val="80"/>
          <w:jc w:val="center"/>
        </w:trPr>
        <w:tc>
          <w:tcPr>
            <w:tcW w:w="2107" w:type="pct"/>
            <w:tcBorders>
              <w:bottom w:val="single" w:sz="4" w:space="0" w:color="auto"/>
            </w:tcBorders>
            <w:vAlign w:val="center"/>
          </w:tcPr>
          <w:p w14:paraId="3D8EEB7D" w14:textId="77777777" w:rsidR="00761800" w:rsidRPr="00761800" w:rsidRDefault="00761800" w:rsidP="00761800">
            <w:pPr>
              <w:spacing w:after="0"/>
              <w:rPr>
                <w:rFonts w:ascii="Times New Roman" w:hAnsi="Times New Roman"/>
                <w:b/>
                <w:sz w:val="20"/>
                <w:szCs w:val="18"/>
                <w:lang w:eastAsia="bg-BG"/>
              </w:rPr>
            </w:pPr>
          </w:p>
        </w:tc>
        <w:tc>
          <w:tcPr>
            <w:tcW w:w="723" w:type="pct"/>
            <w:tcBorders>
              <w:bottom w:val="single" w:sz="4" w:space="0" w:color="auto"/>
            </w:tcBorders>
            <w:shd w:val="clear" w:color="auto" w:fill="F2F2F2"/>
            <w:vAlign w:val="center"/>
            <w:hideMark/>
          </w:tcPr>
          <w:p w14:paraId="2EECE3FE" w14:textId="77777777" w:rsidR="00761800" w:rsidRPr="00761800" w:rsidRDefault="00761800" w:rsidP="00761800">
            <w:pPr>
              <w:spacing w:after="0"/>
              <w:jc w:val="center"/>
              <w:rPr>
                <w:rFonts w:ascii="Times New Roman" w:hAnsi="Times New Roman"/>
                <w:b/>
                <w:sz w:val="20"/>
                <w:szCs w:val="18"/>
                <w:lang w:eastAsia="bg-BG"/>
              </w:rPr>
            </w:pPr>
            <w:r w:rsidRPr="00761800">
              <w:rPr>
                <w:rFonts w:ascii="Times New Roman" w:hAnsi="Times New Roman"/>
                <w:b/>
                <w:sz w:val="20"/>
                <w:szCs w:val="18"/>
                <w:lang w:eastAsia="bg-BG"/>
              </w:rPr>
              <w:t>S1</w:t>
            </w:r>
          </w:p>
        </w:tc>
        <w:tc>
          <w:tcPr>
            <w:tcW w:w="724" w:type="pct"/>
            <w:tcBorders>
              <w:bottom w:val="single" w:sz="4" w:space="0" w:color="auto"/>
            </w:tcBorders>
            <w:shd w:val="clear" w:color="auto" w:fill="F2F2F2"/>
            <w:vAlign w:val="center"/>
            <w:hideMark/>
          </w:tcPr>
          <w:p w14:paraId="50F348FC" w14:textId="77777777" w:rsidR="00761800" w:rsidRPr="00761800" w:rsidRDefault="00761800" w:rsidP="00761800">
            <w:pPr>
              <w:spacing w:after="0"/>
              <w:jc w:val="center"/>
              <w:rPr>
                <w:rFonts w:ascii="Times New Roman" w:hAnsi="Times New Roman"/>
                <w:b/>
                <w:sz w:val="20"/>
                <w:szCs w:val="18"/>
                <w:lang w:eastAsia="bg-BG"/>
              </w:rPr>
            </w:pPr>
            <w:r w:rsidRPr="00761800">
              <w:rPr>
                <w:rFonts w:ascii="Times New Roman" w:hAnsi="Times New Roman"/>
                <w:b/>
                <w:sz w:val="20"/>
                <w:szCs w:val="18"/>
                <w:lang w:eastAsia="bg-BG"/>
              </w:rPr>
              <w:t>S2</w:t>
            </w:r>
          </w:p>
        </w:tc>
        <w:tc>
          <w:tcPr>
            <w:tcW w:w="723" w:type="pct"/>
            <w:tcBorders>
              <w:bottom w:val="single" w:sz="4" w:space="0" w:color="auto"/>
            </w:tcBorders>
            <w:vAlign w:val="center"/>
            <w:hideMark/>
          </w:tcPr>
          <w:p w14:paraId="2043D0DA" w14:textId="77777777" w:rsidR="00761800" w:rsidRPr="00761800" w:rsidRDefault="00761800" w:rsidP="00761800">
            <w:pPr>
              <w:spacing w:after="0"/>
              <w:jc w:val="center"/>
              <w:rPr>
                <w:rFonts w:ascii="Times New Roman" w:hAnsi="Times New Roman"/>
                <w:b/>
                <w:sz w:val="20"/>
                <w:szCs w:val="18"/>
                <w:lang w:eastAsia="bg-BG"/>
              </w:rPr>
            </w:pPr>
            <w:r w:rsidRPr="00761800">
              <w:rPr>
                <w:rFonts w:ascii="Times New Roman" w:hAnsi="Times New Roman"/>
                <w:b/>
                <w:sz w:val="20"/>
                <w:szCs w:val="18"/>
                <w:lang w:eastAsia="bg-BG"/>
              </w:rPr>
              <w:t>S1</w:t>
            </w:r>
          </w:p>
        </w:tc>
        <w:tc>
          <w:tcPr>
            <w:tcW w:w="722" w:type="pct"/>
            <w:tcBorders>
              <w:bottom w:val="single" w:sz="4" w:space="0" w:color="auto"/>
            </w:tcBorders>
            <w:vAlign w:val="center"/>
            <w:hideMark/>
          </w:tcPr>
          <w:p w14:paraId="64B004D9" w14:textId="77777777" w:rsidR="00761800" w:rsidRPr="00761800" w:rsidRDefault="00761800" w:rsidP="00761800">
            <w:pPr>
              <w:spacing w:after="0"/>
              <w:jc w:val="center"/>
              <w:rPr>
                <w:rFonts w:ascii="Times New Roman" w:hAnsi="Times New Roman"/>
                <w:b/>
                <w:sz w:val="20"/>
                <w:szCs w:val="18"/>
                <w:lang w:eastAsia="bg-BG"/>
              </w:rPr>
            </w:pPr>
            <w:r w:rsidRPr="00761800">
              <w:rPr>
                <w:rFonts w:ascii="Times New Roman" w:hAnsi="Times New Roman"/>
                <w:b/>
                <w:sz w:val="20"/>
                <w:szCs w:val="18"/>
                <w:lang w:eastAsia="bg-BG"/>
              </w:rPr>
              <w:t>S2</w:t>
            </w:r>
          </w:p>
        </w:tc>
      </w:tr>
      <w:tr w:rsidR="00761800" w:rsidRPr="00761800" w14:paraId="1325C6C2" w14:textId="77777777" w:rsidTr="00761800">
        <w:trPr>
          <w:trHeight w:val="345"/>
          <w:jc w:val="center"/>
        </w:trPr>
        <w:tc>
          <w:tcPr>
            <w:tcW w:w="2107" w:type="pct"/>
            <w:tcBorders>
              <w:top w:val="single" w:sz="4" w:space="0" w:color="auto"/>
            </w:tcBorders>
            <w:vAlign w:val="center"/>
            <w:hideMark/>
          </w:tcPr>
          <w:p w14:paraId="36EA5D8F" w14:textId="77777777" w:rsidR="00761800" w:rsidRPr="00761800" w:rsidRDefault="00761800" w:rsidP="00761800">
            <w:pPr>
              <w:spacing w:after="0"/>
              <w:rPr>
                <w:rFonts w:ascii="Times New Roman" w:hAnsi="Times New Roman"/>
                <w:sz w:val="20"/>
                <w:szCs w:val="18"/>
                <w:lang w:eastAsia="bg-BG"/>
              </w:rPr>
            </w:pPr>
            <w:r w:rsidRPr="00761800">
              <w:rPr>
                <w:rFonts w:ascii="Times New Roman" w:hAnsi="Times New Roman"/>
                <w:sz w:val="20"/>
                <w:szCs w:val="18"/>
                <w:lang w:eastAsia="bg-BG"/>
              </w:rPr>
              <w:t>Стойност, от която:</w:t>
            </w:r>
          </w:p>
        </w:tc>
        <w:tc>
          <w:tcPr>
            <w:tcW w:w="723" w:type="pct"/>
            <w:tcBorders>
              <w:top w:val="single" w:sz="4" w:space="0" w:color="auto"/>
            </w:tcBorders>
            <w:shd w:val="clear" w:color="auto" w:fill="F2F2F2"/>
            <w:vAlign w:val="center"/>
            <w:hideMark/>
          </w:tcPr>
          <w:p w14:paraId="581400FA"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eastAsia="bg-BG"/>
              </w:rPr>
              <w:t>2,</w:t>
            </w:r>
            <w:r w:rsidRPr="00761800">
              <w:rPr>
                <w:rFonts w:ascii="Times New Roman" w:hAnsi="Times New Roman"/>
                <w:sz w:val="20"/>
                <w:szCs w:val="18"/>
                <w:lang w:val="en-US" w:eastAsia="bg-BG"/>
              </w:rPr>
              <w:t>8</w:t>
            </w:r>
          </w:p>
        </w:tc>
        <w:tc>
          <w:tcPr>
            <w:tcW w:w="724" w:type="pct"/>
            <w:tcBorders>
              <w:top w:val="single" w:sz="4" w:space="0" w:color="auto"/>
            </w:tcBorders>
            <w:shd w:val="clear" w:color="auto" w:fill="F2F2F2"/>
            <w:vAlign w:val="center"/>
            <w:hideMark/>
          </w:tcPr>
          <w:p w14:paraId="12766258"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eastAsia="bg-BG"/>
              </w:rPr>
              <w:t>3,</w:t>
            </w:r>
            <w:r w:rsidRPr="00761800">
              <w:rPr>
                <w:rFonts w:ascii="Times New Roman" w:hAnsi="Times New Roman"/>
                <w:sz w:val="20"/>
                <w:szCs w:val="18"/>
                <w:lang w:val="en-US" w:eastAsia="bg-BG"/>
              </w:rPr>
              <w:t>7</w:t>
            </w:r>
          </w:p>
        </w:tc>
        <w:tc>
          <w:tcPr>
            <w:tcW w:w="723" w:type="pct"/>
            <w:tcBorders>
              <w:top w:val="single" w:sz="4" w:space="0" w:color="auto"/>
            </w:tcBorders>
            <w:vAlign w:val="center"/>
            <w:hideMark/>
          </w:tcPr>
          <w:p w14:paraId="62A7968B" w14:textId="77777777" w:rsidR="00761800" w:rsidRPr="00761800" w:rsidRDefault="00761800" w:rsidP="00761800">
            <w:pPr>
              <w:spacing w:after="0"/>
              <w:jc w:val="center"/>
              <w:rPr>
                <w:rFonts w:ascii="Times New Roman" w:hAnsi="Times New Roman"/>
                <w:sz w:val="20"/>
                <w:szCs w:val="18"/>
                <w:lang w:eastAsia="bg-BG"/>
              </w:rPr>
            </w:pPr>
            <w:r w:rsidRPr="00761800">
              <w:rPr>
                <w:rFonts w:ascii="Times New Roman" w:hAnsi="Times New Roman"/>
                <w:sz w:val="20"/>
                <w:szCs w:val="18"/>
                <w:lang w:eastAsia="bg-BG"/>
              </w:rPr>
              <w:t>0,7</w:t>
            </w:r>
          </w:p>
        </w:tc>
        <w:tc>
          <w:tcPr>
            <w:tcW w:w="722" w:type="pct"/>
            <w:tcBorders>
              <w:top w:val="single" w:sz="4" w:space="0" w:color="auto"/>
            </w:tcBorders>
            <w:vAlign w:val="center"/>
            <w:hideMark/>
          </w:tcPr>
          <w:p w14:paraId="524744C3" w14:textId="77777777" w:rsidR="00761800" w:rsidRPr="00761800" w:rsidRDefault="00761800" w:rsidP="00761800">
            <w:pPr>
              <w:spacing w:after="0"/>
              <w:jc w:val="center"/>
              <w:rPr>
                <w:rFonts w:ascii="Times New Roman" w:hAnsi="Times New Roman"/>
                <w:sz w:val="20"/>
                <w:szCs w:val="18"/>
                <w:lang w:eastAsia="bg-BG"/>
              </w:rPr>
            </w:pPr>
            <w:r w:rsidRPr="00761800">
              <w:rPr>
                <w:rFonts w:ascii="Times New Roman" w:hAnsi="Times New Roman"/>
                <w:sz w:val="20"/>
                <w:szCs w:val="18"/>
                <w:lang w:eastAsia="bg-BG"/>
              </w:rPr>
              <w:t>1,4</w:t>
            </w:r>
          </w:p>
        </w:tc>
      </w:tr>
      <w:tr w:rsidR="00761800" w:rsidRPr="00761800" w14:paraId="176B8F78" w14:textId="77777777" w:rsidTr="00761800">
        <w:trPr>
          <w:trHeight w:val="265"/>
          <w:jc w:val="center"/>
        </w:trPr>
        <w:tc>
          <w:tcPr>
            <w:tcW w:w="2107" w:type="pct"/>
            <w:vAlign w:val="center"/>
            <w:hideMark/>
          </w:tcPr>
          <w:p w14:paraId="2B46B2C1" w14:textId="77777777" w:rsidR="00761800" w:rsidRPr="00761800" w:rsidRDefault="00761800" w:rsidP="00761800">
            <w:pPr>
              <w:spacing w:after="0"/>
              <w:ind w:left="170"/>
              <w:rPr>
                <w:rFonts w:ascii="Times New Roman" w:hAnsi="Times New Roman"/>
                <w:sz w:val="20"/>
                <w:szCs w:val="18"/>
                <w:lang w:eastAsia="bg-BG"/>
              </w:rPr>
            </w:pPr>
            <w:r w:rsidRPr="00761800">
              <w:rPr>
                <w:rFonts w:ascii="Times New Roman" w:hAnsi="Times New Roman"/>
                <w:sz w:val="20"/>
                <w:szCs w:val="18"/>
                <w:lang w:eastAsia="bg-BG"/>
              </w:rPr>
              <w:t>Начална бюджетна позиция</w:t>
            </w:r>
          </w:p>
        </w:tc>
        <w:tc>
          <w:tcPr>
            <w:tcW w:w="723" w:type="pct"/>
            <w:shd w:val="clear" w:color="auto" w:fill="F2F2F2"/>
            <w:vAlign w:val="center"/>
            <w:hideMark/>
          </w:tcPr>
          <w:p w14:paraId="52446B62" w14:textId="77777777" w:rsidR="00761800" w:rsidRPr="00761800" w:rsidRDefault="00761800" w:rsidP="00761800">
            <w:pPr>
              <w:spacing w:after="0"/>
              <w:jc w:val="center"/>
              <w:rPr>
                <w:rFonts w:ascii="Times New Roman" w:hAnsi="Times New Roman"/>
                <w:sz w:val="20"/>
                <w:szCs w:val="18"/>
                <w:lang w:eastAsia="bg-BG"/>
              </w:rPr>
            </w:pPr>
            <w:r w:rsidRPr="00761800">
              <w:rPr>
                <w:rFonts w:ascii="Times New Roman" w:hAnsi="Times New Roman"/>
                <w:sz w:val="20"/>
                <w:szCs w:val="18"/>
                <w:lang w:val="en-US" w:eastAsia="bg-BG"/>
              </w:rPr>
              <w:t>4</w:t>
            </w:r>
          </w:p>
        </w:tc>
        <w:tc>
          <w:tcPr>
            <w:tcW w:w="724" w:type="pct"/>
            <w:shd w:val="clear" w:color="auto" w:fill="F2F2F2"/>
            <w:vAlign w:val="center"/>
            <w:hideMark/>
          </w:tcPr>
          <w:p w14:paraId="25D85D34" w14:textId="77777777" w:rsidR="00761800" w:rsidRPr="00761800" w:rsidRDefault="00761800" w:rsidP="00761800">
            <w:pPr>
              <w:spacing w:after="0"/>
              <w:jc w:val="center"/>
              <w:rPr>
                <w:rFonts w:ascii="Times New Roman" w:hAnsi="Times New Roman"/>
                <w:sz w:val="20"/>
                <w:szCs w:val="18"/>
                <w:lang w:eastAsia="bg-BG"/>
              </w:rPr>
            </w:pPr>
            <w:r w:rsidRPr="00761800">
              <w:rPr>
                <w:rFonts w:ascii="Times New Roman" w:hAnsi="Times New Roman"/>
                <w:sz w:val="20"/>
                <w:szCs w:val="18"/>
                <w:lang w:val="en-US" w:eastAsia="bg-BG"/>
              </w:rPr>
              <w:t>4,2</w:t>
            </w:r>
          </w:p>
        </w:tc>
        <w:tc>
          <w:tcPr>
            <w:tcW w:w="723" w:type="pct"/>
            <w:vAlign w:val="center"/>
            <w:hideMark/>
          </w:tcPr>
          <w:p w14:paraId="787C5C1E"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val="en-US" w:eastAsia="bg-BG"/>
              </w:rPr>
              <w:t>2,0</w:t>
            </w:r>
          </w:p>
        </w:tc>
        <w:tc>
          <w:tcPr>
            <w:tcW w:w="722" w:type="pct"/>
            <w:vAlign w:val="center"/>
            <w:hideMark/>
          </w:tcPr>
          <w:p w14:paraId="55E6EEFF"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val="en-US" w:eastAsia="bg-BG"/>
              </w:rPr>
              <w:t>2,2</w:t>
            </w:r>
          </w:p>
        </w:tc>
      </w:tr>
      <w:tr w:rsidR="00761800" w:rsidRPr="00761800" w14:paraId="19B25CB2" w14:textId="77777777" w:rsidTr="00761800">
        <w:trPr>
          <w:trHeight w:val="274"/>
          <w:jc w:val="center"/>
        </w:trPr>
        <w:tc>
          <w:tcPr>
            <w:tcW w:w="2107" w:type="pct"/>
            <w:vAlign w:val="center"/>
            <w:hideMark/>
          </w:tcPr>
          <w:p w14:paraId="146BB87A" w14:textId="77777777" w:rsidR="00761800" w:rsidRPr="00761800" w:rsidRDefault="00761800" w:rsidP="00761800">
            <w:pPr>
              <w:spacing w:after="0"/>
              <w:ind w:left="170"/>
              <w:rPr>
                <w:rFonts w:ascii="Times New Roman" w:hAnsi="Times New Roman"/>
                <w:sz w:val="20"/>
                <w:szCs w:val="18"/>
                <w:lang w:eastAsia="bg-BG"/>
              </w:rPr>
            </w:pPr>
            <w:r w:rsidRPr="00761800">
              <w:rPr>
                <w:rFonts w:ascii="Times New Roman" w:hAnsi="Times New Roman"/>
                <w:sz w:val="20"/>
                <w:szCs w:val="18"/>
                <w:lang w:eastAsia="bg-BG"/>
              </w:rPr>
              <w:t xml:space="preserve">Дългово ограничение </w:t>
            </w:r>
          </w:p>
        </w:tc>
        <w:tc>
          <w:tcPr>
            <w:tcW w:w="723" w:type="pct"/>
            <w:shd w:val="clear" w:color="auto" w:fill="F2F2F2"/>
            <w:vAlign w:val="center"/>
            <w:hideMark/>
          </w:tcPr>
          <w:p w14:paraId="0390D78C" w14:textId="77777777" w:rsidR="00761800" w:rsidRPr="00761800" w:rsidRDefault="00761800" w:rsidP="00761800">
            <w:pPr>
              <w:spacing w:after="0"/>
              <w:jc w:val="center"/>
              <w:rPr>
                <w:rFonts w:ascii="Times New Roman" w:hAnsi="Times New Roman"/>
                <w:sz w:val="20"/>
                <w:szCs w:val="18"/>
                <w:lang w:eastAsia="bg-BG"/>
              </w:rPr>
            </w:pPr>
            <w:r w:rsidRPr="00761800">
              <w:rPr>
                <w:rFonts w:ascii="Times New Roman" w:hAnsi="Times New Roman"/>
                <w:sz w:val="20"/>
                <w:szCs w:val="18"/>
                <w:lang w:val="en-US" w:eastAsia="bg-BG"/>
              </w:rPr>
              <w:t>-0,</w:t>
            </w:r>
            <w:r w:rsidRPr="00761800">
              <w:rPr>
                <w:rFonts w:ascii="Times New Roman" w:hAnsi="Times New Roman"/>
                <w:sz w:val="20"/>
                <w:szCs w:val="18"/>
                <w:lang w:eastAsia="bg-BG"/>
              </w:rPr>
              <w:t>6</w:t>
            </w:r>
          </w:p>
        </w:tc>
        <w:tc>
          <w:tcPr>
            <w:tcW w:w="724" w:type="pct"/>
            <w:shd w:val="clear" w:color="auto" w:fill="F2F2F2"/>
            <w:vAlign w:val="center"/>
          </w:tcPr>
          <w:p w14:paraId="66A9C450" w14:textId="77777777" w:rsidR="00761800" w:rsidRPr="00761800" w:rsidRDefault="00761800" w:rsidP="00761800">
            <w:pPr>
              <w:spacing w:after="0"/>
              <w:jc w:val="center"/>
              <w:rPr>
                <w:rFonts w:ascii="Times New Roman" w:hAnsi="Times New Roman"/>
                <w:sz w:val="20"/>
                <w:szCs w:val="18"/>
                <w:lang w:eastAsia="bg-BG"/>
              </w:rPr>
            </w:pPr>
          </w:p>
        </w:tc>
        <w:tc>
          <w:tcPr>
            <w:tcW w:w="723" w:type="pct"/>
            <w:vAlign w:val="center"/>
            <w:hideMark/>
          </w:tcPr>
          <w:p w14:paraId="19DD2295"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val="en-US" w:eastAsia="bg-BG"/>
              </w:rPr>
              <w:t>-0,6</w:t>
            </w:r>
          </w:p>
        </w:tc>
        <w:tc>
          <w:tcPr>
            <w:tcW w:w="722" w:type="pct"/>
            <w:vAlign w:val="center"/>
          </w:tcPr>
          <w:p w14:paraId="538468B9" w14:textId="77777777" w:rsidR="00761800" w:rsidRPr="00761800" w:rsidRDefault="00761800" w:rsidP="00761800">
            <w:pPr>
              <w:spacing w:after="0"/>
              <w:jc w:val="center"/>
              <w:rPr>
                <w:rFonts w:ascii="Times New Roman" w:hAnsi="Times New Roman"/>
                <w:sz w:val="20"/>
                <w:szCs w:val="18"/>
                <w:lang w:val="en-US" w:eastAsia="bg-BG"/>
              </w:rPr>
            </w:pPr>
          </w:p>
        </w:tc>
      </w:tr>
      <w:tr w:rsidR="00761800" w:rsidRPr="00761800" w14:paraId="093C2FD2" w14:textId="77777777" w:rsidTr="00761800">
        <w:trPr>
          <w:trHeight w:val="310"/>
          <w:jc w:val="center"/>
        </w:trPr>
        <w:tc>
          <w:tcPr>
            <w:tcW w:w="2107" w:type="pct"/>
            <w:vAlign w:val="center"/>
            <w:hideMark/>
          </w:tcPr>
          <w:p w14:paraId="6A9AEA2F" w14:textId="77777777" w:rsidR="00761800" w:rsidRPr="00761800" w:rsidRDefault="00761800" w:rsidP="00761800">
            <w:pPr>
              <w:spacing w:after="0"/>
              <w:ind w:left="170"/>
              <w:rPr>
                <w:rFonts w:ascii="Times New Roman" w:hAnsi="Times New Roman"/>
                <w:sz w:val="20"/>
                <w:szCs w:val="18"/>
                <w:lang w:eastAsia="bg-BG"/>
              </w:rPr>
            </w:pPr>
            <w:r w:rsidRPr="00761800">
              <w:rPr>
                <w:rFonts w:ascii="Times New Roman" w:hAnsi="Times New Roman"/>
                <w:sz w:val="20"/>
                <w:szCs w:val="18"/>
                <w:lang w:eastAsia="bg-BG"/>
              </w:rPr>
              <w:t>Бъдещи промени в бюджетната позиция</w:t>
            </w:r>
          </w:p>
        </w:tc>
        <w:tc>
          <w:tcPr>
            <w:tcW w:w="723" w:type="pct"/>
            <w:shd w:val="clear" w:color="auto" w:fill="F2F2F2"/>
            <w:vAlign w:val="center"/>
            <w:hideMark/>
          </w:tcPr>
          <w:p w14:paraId="5416FEE4"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val="en-US" w:eastAsia="bg-BG"/>
              </w:rPr>
              <w:t>-</w:t>
            </w:r>
            <w:r w:rsidRPr="00761800">
              <w:rPr>
                <w:rFonts w:ascii="Times New Roman" w:hAnsi="Times New Roman"/>
                <w:sz w:val="20"/>
                <w:szCs w:val="18"/>
                <w:lang w:eastAsia="bg-BG"/>
              </w:rPr>
              <w:t>0,</w:t>
            </w:r>
            <w:r w:rsidRPr="00761800">
              <w:rPr>
                <w:rFonts w:ascii="Times New Roman" w:hAnsi="Times New Roman"/>
                <w:sz w:val="20"/>
                <w:szCs w:val="18"/>
                <w:lang w:val="en-US" w:eastAsia="bg-BG"/>
              </w:rPr>
              <w:t>7</w:t>
            </w:r>
          </w:p>
        </w:tc>
        <w:tc>
          <w:tcPr>
            <w:tcW w:w="724" w:type="pct"/>
            <w:shd w:val="clear" w:color="auto" w:fill="F2F2F2"/>
            <w:vAlign w:val="center"/>
            <w:hideMark/>
          </w:tcPr>
          <w:p w14:paraId="113D474C"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val="en-US" w:eastAsia="bg-BG"/>
              </w:rPr>
              <w:t>-0,6</w:t>
            </w:r>
          </w:p>
        </w:tc>
        <w:tc>
          <w:tcPr>
            <w:tcW w:w="723" w:type="pct"/>
            <w:vAlign w:val="center"/>
            <w:hideMark/>
          </w:tcPr>
          <w:p w14:paraId="76E4F99C"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val="en-US" w:eastAsia="bg-BG"/>
              </w:rPr>
              <w:t>-0,7</w:t>
            </w:r>
          </w:p>
        </w:tc>
        <w:tc>
          <w:tcPr>
            <w:tcW w:w="722" w:type="pct"/>
            <w:vAlign w:val="center"/>
            <w:hideMark/>
          </w:tcPr>
          <w:p w14:paraId="4948CF0E"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val="en-US" w:eastAsia="bg-BG"/>
              </w:rPr>
              <w:t>-0,8</w:t>
            </w:r>
          </w:p>
        </w:tc>
      </w:tr>
      <w:tr w:rsidR="00761800" w:rsidRPr="00761800" w14:paraId="785760C6" w14:textId="77777777" w:rsidTr="00761800">
        <w:trPr>
          <w:trHeight w:val="301"/>
          <w:jc w:val="center"/>
        </w:trPr>
        <w:tc>
          <w:tcPr>
            <w:tcW w:w="2107" w:type="pct"/>
            <w:tcBorders>
              <w:bottom w:val="single" w:sz="4" w:space="0" w:color="auto"/>
            </w:tcBorders>
            <w:vAlign w:val="center"/>
          </w:tcPr>
          <w:p w14:paraId="650335B2" w14:textId="77777777" w:rsidR="00761800" w:rsidRPr="00761800" w:rsidRDefault="00761800" w:rsidP="00761800">
            <w:pPr>
              <w:spacing w:after="0"/>
              <w:ind w:left="170"/>
              <w:rPr>
                <w:rFonts w:ascii="Times New Roman" w:hAnsi="Times New Roman"/>
                <w:sz w:val="20"/>
                <w:szCs w:val="18"/>
                <w:lang w:eastAsia="bg-BG"/>
              </w:rPr>
            </w:pPr>
            <w:r w:rsidRPr="00761800">
              <w:rPr>
                <w:rFonts w:ascii="Times New Roman" w:hAnsi="Times New Roman"/>
                <w:bCs/>
                <w:sz w:val="20"/>
                <w:szCs w:val="20"/>
                <w:lang w:eastAsia="bg-BG"/>
              </w:rPr>
              <w:t>Необходим структурен първичен баланс през първата прогнозна година</w:t>
            </w:r>
          </w:p>
        </w:tc>
        <w:tc>
          <w:tcPr>
            <w:tcW w:w="723" w:type="pct"/>
            <w:tcBorders>
              <w:bottom w:val="single" w:sz="4" w:space="0" w:color="auto"/>
            </w:tcBorders>
            <w:shd w:val="clear" w:color="auto" w:fill="F2F2F2"/>
            <w:vAlign w:val="center"/>
          </w:tcPr>
          <w:p w14:paraId="472FE686" w14:textId="77777777" w:rsidR="00761800" w:rsidRPr="00761800" w:rsidRDefault="00761800" w:rsidP="00761800">
            <w:pPr>
              <w:spacing w:after="0"/>
              <w:jc w:val="center"/>
              <w:rPr>
                <w:rFonts w:ascii="Times New Roman" w:hAnsi="Times New Roman"/>
                <w:sz w:val="20"/>
                <w:szCs w:val="18"/>
                <w:lang w:eastAsia="bg-BG"/>
              </w:rPr>
            </w:pPr>
            <w:r w:rsidRPr="00761800">
              <w:rPr>
                <w:rFonts w:ascii="Times New Roman" w:hAnsi="Times New Roman"/>
                <w:sz w:val="20"/>
                <w:szCs w:val="18"/>
                <w:lang w:val="en-US" w:eastAsia="bg-BG"/>
              </w:rPr>
              <w:t>-1,</w:t>
            </w:r>
            <w:r w:rsidRPr="00761800">
              <w:rPr>
                <w:rFonts w:ascii="Times New Roman" w:hAnsi="Times New Roman"/>
                <w:sz w:val="20"/>
                <w:szCs w:val="18"/>
                <w:lang w:eastAsia="bg-BG"/>
              </w:rPr>
              <w:t>2</w:t>
            </w:r>
          </w:p>
        </w:tc>
        <w:tc>
          <w:tcPr>
            <w:tcW w:w="724" w:type="pct"/>
            <w:tcBorders>
              <w:bottom w:val="single" w:sz="4" w:space="0" w:color="auto"/>
            </w:tcBorders>
            <w:shd w:val="clear" w:color="auto" w:fill="F2F2F2"/>
            <w:vAlign w:val="center"/>
          </w:tcPr>
          <w:p w14:paraId="13AB7BFF"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val="en-US" w:eastAsia="bg-BG"/>
              </w:rPr>
              <w:t>-0,4</w:t>
            </w:r>
          </w:p>
        </w:tc>
        <w:tc>
          <w:tcPr>
            <w:tcW w:w="723" w:type="pct"/>
            <w:tcBorders>
              <w:bottom w:val="single" w:sz="4" w:space="0" w:color="auto"/>
            </w:tcBorders>
            <w:vAlign w:val="center"/>
          </w:tcPr>
          <w:p w14:paraId="34C0ACE5"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val="en-US" w:eastAsia="bg-BG"/>
              </w:rPr>
              <w:t>-1,0</w:t>
            </w:r>
          </w:p>
        </w:tc>
        <w:tc>
          <w:tcPr>
            <w:tcW w:w="722" w:type="pct"/>
            <w:tcBorders>
              <w:bottom w:val="single" w:sz="4" w:space="0" w:color="auto"/>
            </w:tcBorders>
            <w:vAlign w:val="center"/>
          </w:tcPr>
          <w:p w14:paraId="5EB59D10" w14:textId="77777777" w:rsidR="00761800" w:rsidRPr="00761800" w:rsidRDefault="00761800" w:rsidP="00761800">
            <w:pPr>
              <w:spacing w:after="0"/>
              <w:jc w:val="center"/>
              <w:rPr>
                <w:rFonts w:ascii="Times New Roman" w:hAnsi="Times New Roman"/>
                <w:sz w:val="20"/>
                <w:szCs w:val="18"/>
                <w:lang w:val="en-US" w:eastAsia="bg-BG"/>
              </w:rPr>
            </w:pPr>
            <w:r w:rsidRPr="00761800">
              <w:rPr>
                <w:rFonts w:ascii="Times New Roman" w:hAnsi="Times New Roman"/>
                <w:sz w:val="20"/>
                <w:szCs w:val="18"/>
                <w:lang w:val="en-US" w:eastAsia="bg-BG"/>
              </w:rPr>
              <w:t>-0,3</w:t>
            </w:r>
          </w:p>
        </w:tc>
      </w:tr>
    </w:tbl>
    <w:p w14:paraId="4B2896B2" w14:textId="77777777" w:rsidR="00761800" w:rsidRPr="00761800" w:rsidRDefault="00761800" w:rsidP="00761800">
      <w:pPr>
        <w:contextualSpacing/>
        <w:jc w:val="right"/>
        <w:rPr>
          <w:rFonts w:ascii="Times New Roman" w:hAnsi="Times New Roman"/>
          <w:sz w:val="18"/>
          <w:szCs w:val="18"/>
          <w:lang w:eastAsia="bg-BG"/>
        </w:rPr>
      </w:pPr>
      <w:r w:rsidRPr="00761800">
        <w:rPr>
          <w:rFonts w:ascii="Times New Roman" w:hAnsi="Times New Roman"/>
          <w:sz w:val="18"/>
          <w:szCs w:val="18"/>
          <w:lang w:eastAsia="bg-BG"/>
        </w:rPr>
        <w:t>Източник:</w:t>
      </w:r>
      <w:r w:rsidRPr="00761800">
        <w:rPr>
          <w:rFonts w:ascii="Times New Roman" w:eastAsia="Calibri" w:hAnsi="Times New Roman"/>
          <w:sz w:val="18"/>
          <w:szCs w:val="24"/>
          <w:lang w:eastAsia="bg-BG"/>
        </w:rPr>
        <w:t xml:space="preserve"> </w:t>
      </w:r>
      <w:r w:rsidRPr="00761800">
        <w:rPr>
          <w:rFonts w:ascii="Times New Roman" w:hAnsi="Times New Roman"/>
          <w:sz w:val="18"/>
          <w:szCs w:val="18"/>
          <w:lang w:eastAsia="bg-BG"/>
        </w:rPr>
        <w:t xml:space="preserve">МФ, </w:t>
      </w:r>
      <w:r w:rsidRPr="00761800">
        <w:rPr>
          <w:rFonts w:ascii="Times New Roman" w:hAnsi="Times New Roman"/>
          <w:sz w:val="18"/>
          <w:szCs w:val="18"/>
          <w:lang w:val="en-US" w:eastAsia="bg-BG"/>
        </w:rPr>
        <w:t>Debt Sustainability Monitor 202</w:t>
      </w:r>
      <w:r w:rsidRPr="00761800">
        <w:rPr>
          <w:rFonts w:ascii="Times New Roman" w:hAnsi="Times New Roman"/>
          <w:sz w:val="18"/>
          <w:szCs w:val="18"/>
          <w:lang w:eastAsia="bg-BG"/>
        </w:rPr>
        <w:t>5</w:t>
      </w:r>
    </w:p>
    <w:p w14:paraId="6F2A13C9" w14:textId="77777777" w:rsidR="00761800" w:rsidRPr="00761800" w:rsidRDefault="00761800" w:rsidP="00761800">
      <w:pPr>
        <w:spacing w:after="200"/>
        <w:contextualSpacing/>
        <w:jc w:val="both"/>
        <w:rPr>
          <w:rFonts w:ascii="Times New Roman" w:eastAsia="MS Mincho" w:hAnsi="Times New Roman"/>
          <w:szCs w:val="22"/>
          <w:lang w:eastAsia="bg-BG"/>
        </w:rPr>
      </w:pPr>
    </w:p>
    <w:p w14:paraId="3C460027" w14:textId="77777777" w:rsidR="00761800" w:rsidRPr="00761800" w:rsidRDefault="00761800" w:rsidP="00761800">
      <w:pPr>
        <w:spacing w:before="120"/>
        <w:jc w:val="both"/>
        <w:rPr>
          <w:rFonts w:ascii="Times New Roman" w:eastAsia="MS Mincho" w:hAnsi="Times New Roman"/>
          <w:szCs w:val="22"/>
          <w:lang w:eastAsia="bg-BG"/>
        </w:rPr>
      </w:pPr>
      <w:r w:rsidRPr="00761800">
        <w:rPr>
          <w:rFonts w:ascii="Times New Roman" w:eastAsia="MS Mincho" w:hAnsi="Times New Roman"/>
          <w:szCs w:val="22"/>
          <w:lang w:eastAsia="bg-BG"/>
        </w:rPr>
        <w:t xml:space="preserve">Според оценките на МФ, индикаторите </w:t>
      </w:r>
      <w:r w:rsidRPr="00761800">
        <w:rPr>
          <w:rFonts w:ascii="Times New Roman" w:eastAsia="MS Mincho" w:hAnsi="Times New Roman"/>
          <w:szCs w:val="22"/>
          <w:lang w:val="en-US" w:eastAsia="bg-BG"/>
        </w:rPr>
        <w:t>S</w:t>
      </w:r>
      <w:r w:rsidRPr="00761800">
        <w:rPr>
          <w:rFonts w:ascii="Times New Roman" w:eastAsia="MS Mincho" w:hAnsi="Times New Roman"/>
          <w:szCs w:val="22"/>
          <w:lang w:eastAsia="bg-BG"/>
        </w:rPr>
        <w:t xml:space="preserve">1 и </w:t>
      </w:r>
      <w:r w:rsidRPr="00761800">
        <w:rPr>
          <w:rFonts w:ascii="Times New Roman" w:eastAsia="MS Mincho" w:hAnsi="Times New Roman"/>
          <w:szCs w:val="22"/>
          <w:lang w:val="en-US" w:eastAsia="bg-BG"/>
        </w:rPr>
        <w:t>S</w:t>
      </w:r>
      <w:r w:rsidRPr="00761800">
        <w:rPr>
          <w:rFonts w:ascii="Times New Roman" w:eastAsia="MS Mincho" w:hAnsi="Times New Roman"/>
          <w:szCs w:val="22"/>
          <w:lang w:eastAsia="bg-BG"/>
        </w:rPr>
        <w:t>2 са над 2%, което според референтните стойности на ЕК</w:t>
      </w:r>
      <w:r w:rsidRPr="00761800">
        <w:rPr>
          <w:rFonts w:ascii="Times New Roman" w:eastAsia="MS Mincho" w:hAnsi="Times New Roman"/>
          <w:position w:val="2"/>
          <w:sz w:val="18"/>
          <w:szCs w:val="22"/>
          <w:vertAlign w:val="superscript"/>
        </w:rPr>
        <w:footnoteReference w:id="85"/>
      </w:r>
      <w:r w:rsidRPr="00761800">
        <w:rPr>
          <w:rFonts w:ascii="Times New Roman" w:eastAsia="MS Mincho" w:hAnsi="Times New Roman"/>
          <w:szCs w:val="22"/>
          <w:lang w:eastAsia="bg-BG"/>
        </w:rPr>
        <w:t xml:space="preserve"> показват умерен риск за фискалната устойчивост в дългосрочен план. За да се поддържа нивото на дълга под 60% от БВП до 2070 г. е необходима корекция в структурно коригирания първичен дефицит. </w:t>
      </w:r>
      <w:r w:rsidRPr="00761800">
        <w:rPr>
          <w:rFonts w:ascii="Times New Roman" w:eastAsia="MS Mincho" w:hAnsi="Times New Roman"/>
          <w:bCs/>
          <w:szCs w:val="22"/>
          <w:lang w:eastAsia="bg-BG"/>
        </w:rPr>
        <w:t xml:space="preserve">Мониторинговият доклад за устойчивостта на дълга на ЕК от 2025 г. оценява риска пред публичните финанси на България в </w:t>
      </w:r>
      <w:r w:rsidRPr="00761800">
        <w:rPr>
          <w:rFonts w:ascii="Times New Roman" w:eastAsia="MS Mincho" w:hAnsi="Times New Roman"/>
          <w:bCs/>
          <w:szCs w:val="22"/>
          <w:lang w:eastAsia="bg-BG"/>
        </w:rPr>
        <w:lastRenderedPageBreak/>
        <w:t>дългосрочен план като нисък. Това се дължи на по-благоприятните очаквания на ЕК за бюджетния баланс при изготвянето на тяхната есенна прогноза от 2025 г.</w:t>
      </w:r>
    </w:p>
    <w:p w14:paraId="6480B501" w14:textId="77777777" w:rsidR="00761800" w:rsidRPr="00761800" w:rsidRDefault="00761800" w:rsidP="00761800">
      <w:pPr>
        <w:spacing w:before="120"/>
        <w:jc w:val="both"/>
        <w:rPr>
          <w:rFonts w:ascii="Times New Roman" w:eastAsia="MS Mincho" w:hAnsi="Times New Roman"/>
          <w:szCs w:val="22"/>
          <w:lang w:eastAsia="bg-BG"/>
        </w:rPr>
      </w:pPr>
    </w:p>
    <w:p w14:paraId="38ACC33A"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4"/>
          <w:lang w:eastAsia="bg-BG"/>
        </w:rPr>
      </w:pPr>
      <w:r w:rsidRPr="00761800">
        <w:rPr>
          <w:rFonts w:ascii="Times New Roman" w:hAnsi="Times New Roman"/>
          <w:b/>
          <w:bCs/>
          <w:caps/>
          <w:color w:val="852010"/>
          <w:szCs w:val="24"/>
          <w:lang w:eastAsia="bg-BG"/>
        </w:rPr>
        <w:t>Оценка на структурния бюджетен баланс и годишния ръст на разходите спрямо референтния растеж на потенциалния БВП</w:t>
      </w:r>
    </w:p>
    <w:p w14:paraId="56CA5612" w14:textId="77777777" w:rsidR="00761800" w:rsidRPr="00761800" w:rsidRDefault="00761800" w:rsidP="00761800">
      <w:pPr>
        <w:keepNext/>
        <w:keepLines/>
        <w:numPr>
          <w:ilvl w:val="3"/>
          <w:numId w:val="0"/>
        </w:numPr>
        <w:spacing w:after="200"/>
        <w:ind w:left="864" w:hanging="864"/>
        <w:jc w:val="both"/>
        <w:outlineLvl w:val="3"/>
        <w:rPr>
          <w:rFonts w:ascii="Times New Roman" w:hAnsi="Times New Roman"/>
          <w:b/>
          <w:bCs/>
          <w:iCs/>
          <w:color w:val="852010"/>
          <w:szCs w:val="22"/>
          <w:lang w:eastAsia="bg-BG"/>
        </w:rPr>
      </w:pPr>
      <w:bookmarkStart w:id="505" w:name="_Toc448227285"/>
      <w:bookmarkStart w:id="506" w:name="_Toc479332433"/>
      <w:bookmarkStart w:id="507" w:name="_Toc163642487"/>
      <w:r w:rsidRPr="00761800">
        <w:rPr>
          <w:rFonts w:ascii="Times New Roman" w:hAnsi="Times New Roman"/>
          <w:b/>
          <w:bCs/>
          <w:iCs/>
          <w:color w:val="852010"/>
          <w:szCs w:val="22"/>
          <w:lang w:eastAsia="bg-BG"/>
        </w:rPr>
        <w:t xml:space="preserve">Структурен баланс (циклични компоненти на баланса, </w:t>
      </w:r>
      <w:r w:rsidRPr="00761800">
        <w:rPr>
          <w:rFonts w:ascii="Times New Roman" w:hAnsi="Times New Roman"/>
          <w:b/>
          <w:bCs/>
          <w:iCs/>
          <w:color w:val="852010"/>
          <w:szCs w:val="22"/>
          <w:lang w:eastAsia="bg-BG"/>
        </w:rPr>
        <w:br/>
        <w:t>еднократни и временни мерки) и фискална позиция, вкл. бенчмарк за правителствените разходи</w:t>
      </w:r>
      <w:bookmarkEnd w:id="505"/>
      <w:bookmarkEnd w:id="506"/>
      <w:bookmarkEnd w:id="507"/>
    </w:p>
    <w:p w14:paraId="2B54CDC0" w14:textId="77777777" w:rsidR="00761800" w:rsidRPr="00761800" w:rsidRDefault="00761800" w:rsidP="00761800">
      <w:pPr>
        <w:spacing w:after="200"/>
        <w:jc w:val="both"/>
        <w:rPr>
          <w:rFonts w:ascii="Times New Roman" w:eastAsia="MS Mincho" w:hAnsi="Times New Roman"/>
          <w:szCs w:val="22"/>
          <w:lang w:eastAsia="bg-BG"/>
        </w:rPr>
      </w:pPr>
      <w:r w:rsidRPr="00761800">
        <w:rPr>
          <w:rFonts w:ascii="Times New Roman" w:eastAsia="MS Mincho" w:hAnsi="Times New Roman"/>
          <w:szCs w:val="22"/>
          <w:lang w:eastAsia="bg-BG"/>
        </w:rPr>
        <w:t>Оценката за структурния бюджетен баланс през 2025</w:t>
      </w:r>
      <w:r w:rsidRPr="00761800">
        <w:rPr>
          <w:rFonts w:ascii="Times New Roman" w:eastAsia="MS Mincho" w:hAnsi="Times New Roman"/>
          <w:szCs w:val="22"/>
          <w:lang w:val="en-US" w:eastAsia="bg-BG"/>
        </w:rPr>
        <w:t> </w:t>
      </w:r>
      <w:r w:rsidRPr="00761800">
        <w:rPr>
          <w:rFonts w:ascii="Times New Roman" w:eastAsia="MS Mincho" w:hAnsi="Times New Roman"/>
          <w:szCs w:val="22"/>
          <w:lang w:eastAsia="bg-BG"/>
        </w:rPr>
        <w:t>г. е за дефицит от 4,2% от БВП. Тази стойност съответства на реализирания бюджетен дефицит на сектор „Държавно управление“ (3,5% от БВП), с отчитане на влиянието върху бюджетното салдо от функционирането на икономиката над потенциала (0,14 пр.п.) и въведените еднократни приходни мерки (0,5 пр.п.).</w:t>
      </w:r>
    </w:p>
    <w:p w14:paraId="6F661716" w14:textId="77777777" w:rsidR="00761800" w:rsidRPr="00761800" w:rsidRDefault="00761800" w:rsidP="00761800">
      <w:pPr>
        <w:spacing w:after="200"/>
        <w:jc w:val="both"/>
        <w:rPr>
          <w:rFonts w:ascii="Times New Roman" w:eastAsia="MS Mincho" w:hAnsi="Times New Roman"/>
          <w:szCs w:val="22"/>
          <w:lang w:eastAsia="bg-BG"/>
        </w:rPr>
      </w:pPr>
      <w:r w:rsidRPr="00761800">
        <w:rPr>
          <w:rFonts w:ascii="Times New Roman" w:eastAsia="MS Mincho" w:hAnsi="Times New Roman"/>
          <w:szCs w:val="22"/>
          <w:lang w:eastAsia="bg-BG"/>
        </w:rPr>
        <w:t>През 2026 г. се планира увеличение на дефицита на сектор „Държавно управление“ до 5,4% от БВП. Размерът на планираните фискални мерки с еднократно действие е минимален и не води до отклонение на структурния спрямо фактическия дефицит. Прогнозата е, че икономиката ще функционира близко до потенциалния си темп, което предполага малка отрицателна корекцията спрямо фазата от икономическия цикъл,</w:t>
      </w:r>
      <w:r w:rsidRPr="00761800">
        <w:rPr>
          <w:rFonts w:ascii="Times New Roman" w:hAnsi="Times New Roman"/>
          <w:szCs w:val="22"/>
          <w:lang w:eastAsia="bg-BG"/>
        </w:rPr>
        <w:t xml:space="preserve"> </w:t>
      </w:r>
      <w:r w:rsidRPr="00761800">
        <w:rPr>
          <w:rFonts w:ascii="Times New Roman" w:eastAsia="MS Mincho" w:hAnsi="Times New Roman"/>
          <w:szCs w:val="22"/>
          <w:lang w:eastAsia="bg-BG"/>
        </w:rPr>
        <w:t xml:space="preserve">която също не се отразява на баланса. В резултат, структурният бюджетен дефицит е оценен на 5,4% от БВП през 2026 г. </w:t>
      </w:r>
    </w:p>
    <w:p w14:paraId="3A90AD1D" w14:textId="77777777" w:rsidR="00761800" w:rsidRPr="00761800" w:rsidRDefault="00761800" w:rsidP="00761800">
      <w:pPr>
        <w:spacing w:after="200"/>
        <w:jc w:val="both"/>
        <w:rPr>
          <w:rFonts w:ascii="Times New Roman" w:eastAsia="MS Mincho" w:hAnsi="Times New Roman"/>
          <w:szCs w:val="22"/>
          <w:lang w:eastAsia="bg-BG"/>
        </w:rPr>
      </w:pPr>
      <w:r w:rsidRPr="00761800">
        <w:rPr>
          <w:rFonts w:ascii="Times New Roman" w:eastAsia="MS Mincho" w:hAnsi="Times New Roman"/>
          <w:szCs w:val="22"/>
          <w:lang w:eastAsia="bg-BG"/>
        </w:rPr>
        <w:t>През 2027-2028 г. се планира дефицитът на сектор „Държавно управление“ да се свие съответно до 3,9% и 3,3% от БВП. Очаква се отклонението на икономиката от потенциала да премине в леко отрицателно, като корекцията отново ще е минимална, но положителна, в размер на 0,01 пр.п. през 2028 г. Това ще се отрази в по-малък структурно-коригиран дефицит спрямо планирания фактически такъв. Не се очакват ефекти по линия на приходни и разходни еднократни мерки. Оценките за структурния бюджетен дефицит са за 3,9% и 3,2% от БВП, съответно през 2027 и 2028 г.</w:t>
      </w:r>
    </w:p>
    <w:p w14:paraId="5B4E10C5" w14:textId="77777777" w:rsidR="00761800" w:rsidRPr="00761800" w:rsidRDefault="00761800" w:rsidP="00761800">
      <w:pPr>
        <w:spacing w:after="200"/>
        <w:jc w:val="both"/>
        <w:rPr>
          <w:rFonts w:ascii="Times New Roman" w:eastAsia="MS Mincho" w:hAnsi="Times New Roman"/>
          <w:szCs w:val="22"/>
          <w:lang w:eastAsia="bg-BG"/>
        </w:rPr>
      </w:pPr>
    </w:p>
    <w:p w14:paraId="5CE62A3C" w14:textId="3E6E5689" w:rsidR="00761800" w:rsidRPr="00761800" w:rsidRDefault="00761800" w:rsidP="00761800">
      <w:pPr>
        <w:spacing w:after="120"/>
        <w:rPr>
          <w:rFonts w:ascii="Times New Roman" w:hAnsi="Times New Roman"/>
          <w:b/>
          <w:bCs/>
          <w:szCs w:val="18"/>
          <w:lang w:eastAsia="bg-BG"/>
        </w:rPr>
      </w:pPr>
      <w:r w:rsidRPr="00761800">
        <w:rPr>
          <w:rFonts w:ascii="Times New Roman" w:hAnsi="Times New Roman"/>
          <w:b/>
          <w:bCs/>
          <w:szCs w:val="18"/>
          <w:lang w:eastAsia="bg-BG"/>
        </w:rPr>
        <w:t xml:space="preserve">Граф.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Граф.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8</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 Структурен бюджетен баланс (% от БВП)</w:t>
      </w:r>
    </w:p>
    <w:p w14:paraId="04EF2361" w14:textId="77777777" w:rsidR="00761800" w:rsidRPr="00761800" w:rsidRDefault="00761800" w:rsidP="00761800">
      <w:pPr>
        <w:spacing w:after="200"/>
        <w:jc w:val="center"/>
        <w:rPr>
          <w:rFonts w:ascii="Times New Roman" w:hAnsi="Times New Roman"/>
          <w:noProof/>
          <w:szCs w:val="22"/>
          <w:lang w:eastAsia="bg-BG"/>
        </w:rPr>
      </w:pPr>
      <w:r w:rsidRPr="00761800">
        <w:rPr>
          <w:rFonts w:ascii="Times New Roman" w:hAnsi="Times New Roman"/>
          <w:noProof/>
          <w:szCs w:val="22"/>
          <w:lang w:eastAsia="bg-BG"/>
        </w:rPr>
        <w:drawing>
          <wp:inline distT="0" distB="0" distL="0" distR="0" wp14:anchorId="17416260" wp14:editId="4267B00D">
            <wp:extent cx="4535805" cy="159702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35805" cy="1597025"/>
                    </a:xfrm>
                    <a:prstGeom prst="rect">
                      <a:avLst/>
                    </a:prstGeom>
                    <a:noFill/>
                  </pic:spPr>
                </pic:pic>
              </a:graphicData>
            </a:graphic>
          </wp:inline>
        </w:drawing>
      </w:r>
    </w:p>
    <w:p w14:paraId="652D0313" w14:textId="77777777" w:rsidR="00761800" w:rsidRPr="00761800" w:rsidRDefault="00761800" w:rsidP="00761800">
      <w:pPr>
        <w:spacing w:after="200" w:line="276" w:lineRule="auto"/>
        <w:jc w:val="right"/>
        <w:rPr>
          <w:rFonts w:ascii="Times New Roman" w:eastAsia="Calibri" w:hAnsi="Times New Roman"/>
          <w:sz w:val="18"/>
          <w:szCs w:val="18"/>
        </w:rPr>
      </w:pPr>
      <w:r w:rsidRPr="00761800">
        <w:rPr>
          <w:rFonts w:ascii="Times New Roman" w:eastAsia="Calibri" w:hAnsi="Times New Roman"/>
          <w:sz w:val="18"/>
          <w:szCs w:val="18"/>
        </w:rPr>
        <w:t>Източник: МФ</w:t>
      </w:r>
    </w:p>
    <w:p w14:paraId="0ADBCAA5" w14:textId="77777777" w:rsidR="00761800" w:rsidRPr="00761800" w:rsidRDefault="00761800" w:rsidP="00761800">
      <w:pPr>
        <w:spacing w:after="200"/>
        <w:jc w:val="both"/>
        <w:rPr>
          <w:rFonts w:ascii="Times New Roman" w:hAnsi="Times New Roman"/>
          <w:szCs w:val="22"/>
          <w:lang w:eastAsia="bg-BG"/>
        </w:rPr>
      </w:pPr>
    </w:p>
    <w:p w14:paraId="2CF9CE25" w14:textId="77777777" w:rsidR="00761800" w:rsidRPr="00761800" w:rsidRDefault="00761800" w:rsidP="00761800">
      <w:pPr>
        <w:spacing w:after="200"/>
        <w:jc w:val="both"/>
        <w:rPr>
          <w:rFonts w:ascii="Times New Roman" w:hAnsi="Times New Roman"/>
          <w:szCs w:val="22"/>
          <w:lang w:eastAsia="bg-BG"/>
        </w:rPr>
      </w:pPr>
    </w:p>
    <w:p w14:paraId="06662FBF" w14:textId="77777777" w:rsidR="00761800" w:rsidRPr="00761800" w:rsidRDefault="00761800" w:rsidP="00761800">
      <w:pPr>
        <w:spacing w:after="200"/>
        <w:jc w:val="both"/>
        <w:rPr>
          <w:rFonts w:ascii="Times New Roman" w:hAnsi="Times New Roman"/>
          <w:szCs w:val="22"/>
          <w:lang w:eastAsia="bg-BG"/>
        </w:rPr>
      </w:pPr>
    </w:p>
    <w:p w14:paraId="19425EBF" w14:textId="47850AB0" w:rsidR="00761800" w:rsidRPr="00761800" w:rsidRDefault="00761800" w:rsidP="00761800">
      <w:pPr>
        <w:keepNext/>
        <w:spacing w:after="120"/>
        <w:rPr>
          <w:rFonts w:ascii="Times New Roman" w:hAnsi="Times New Roman"/>
          <w:b/>
          <w:bCs/>
          <w:szCs w:val="18"/>
          <w:lang w:eastAsia="bg-BG"/>
        </w:rPr>
      </w:pPr>
      <w:r w:rsidRPr="00761800">
        <w:rPr>
          <w:rFonts w:ascii="Times New Roman" w:hAnsi="Times New Roman"/>
          <w:b/>
          <w:bCs/>
          <w:szCs w:val="18"/>
          <w:lang w:eastAsia="bg-BG"/>
        </w:rPr>
        <w:lastRenderedPageBreak/>
        <w:t xml:space="preserve">Граф.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Граф.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9</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 Фискална позиция</w:t>
      </w:r>
    </w:p>
    <w:p w14:paraId="22398D3F" w14:textId="77777777" w:rsidR="00761800" w:rsidRPr="00761800" w:rsidRDefault="00761800" w:rsidP="00761800">
      <w:pPr>
        <w:spacing w:after="200"/>
        <w:jc w:val="center"/>
        <w:rPr>
          <w:rFonts w:ascii="Times New Roman" w:hAnsi="Times New Roman"/>
          <w:szCs w:val="22"/>
          <w:lang w:eastAsia="bg-BG"/>
        </w:rPr>
      </w:pPr>
      <w:r w:rsidRPr="00761800">
        <w:rPr>
          <w:rFonts w:ascii="Times New Roman" w:hAnsi="Times New Roman"/>
          <w:noProof/>
          <w:szCs w:val="22"/>
          <w:lang w:eastAsia="bg-BG"/>
        </w:rPr>
        <w:drawing>
          <wp:inline distT="0" distB="0" distL="0" distR="0" wp14:anchorId="1ED9BEE3" wp14:editId="227CCDFA">
            <wp:extent cx="5304155" cy="139001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04155" cy="1390015"/>
                    </a:xfrm>
                    <a:prstGeom prst="rect">
                      <a:avLst/>
                    </a:prstGeom>
                    <a:noFill/>
                  </pic:spPr>
                </pic:pic>
              </a:graphicData>
            </a:graphic>
          </wp:inline>
        </w:drawing>
      </w:r>
    </w:p>
    <w:p w14:paraId="14EC64C9" w14:textId="77777777" w:rsidR="00761800" w:rsidRPr="00761800" w:rsidRDefault="00761800" w:rsidP="00761800">
      <w:pPr>
        <w:spacing w:after="200" w:line="276" w:lineRule="auto"/>
        <w:jc w:val="right"/>
        <w:rPr>
          <w:rFonts w:ascii="Times New Roman" w:eastAsia="Calibri" w:hAnsi="Times New Roman"/>
          <w:sz w:val="18"/>
          <w:szCs w:val="18"/>
        </w:rPr>
      </w:pPr>
      <w:r w:rsidRPr="00761800">
        <w:rPr>
          <w:rFonts w:ascii="Times New Roman" w:eastAsia="Calibri" w:hAnsi="Times New Roman"/>
          <w:sz w:val="18"/>
          <w:szCs w:val="18"/>
        </w:rPr>
        <w:t>Източник: МФ</w:t>
      </w:r>
    </w:p>
    <w:p w14:paraId="4BE31DA7" w14:textId="77777777" w:rsidR="00761800" w:rsidRPr="00761800" w:rsidRDefault="00761800" w:rsidP="00761800">
      <w:pPr>
        <w:keepNext/>
        <w:keepLines/>
        <w:numPr>
          <w:ilvl w:val="3"/>
          <w:numId w:val="0"/>
        </w:numPr>
        <w:spacing w:after="200"/>
        <w:ind w:left="864" w:hanging="864"/>
        <w:jc w:val="both"/>
        <w:outlineLvl w:val="3"/>
        <w:rPr>
          <w:rFonts w:ascii="Times New Roman" w:hAnsi="Times New Roman"/>
          <w:b/>
          <w:bCs/>
          <w:iCs/>
          <w:color w:val="852010"/>
          <w:szCs w:val="22"/>
          <w:lang w:eastAsia="bg-BG"/>
        </w:rPr>
      </w:pPr>
      <w:r w:rsidRPr="00761800">
        <w:rPr>
          <w:rFonts w:ascii="Times New Roman" w:hAnsi="Times New Roman"/>
          <w:b/>
          <w:bCs/>
          <w:iCs/>
          <w:color w:val="852010"/>
          <w:szCs w:val="22"/>
          <w:lang w:eastAsia="bg-BG"/>
        </w:rPr>
        <w:t>Разходно правило</w:t>
      </w:r>
    </w:p>
    <w:p w14:paraId="62F57711"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Оценката на съответствието с изискванията на Пакта за стабилност и растеж и ЗПФ по отношение на растежа на бюджетните разходи се базира на общата методология на Европейската комисия за т. нар. бенчмарк на разходите, при отчитането на разделението между финансираните с национални средства и със средства от ЕС публични инвестиции. Бенчмаркът на разходите се сравнява с нивото на потенциалния средносрочен растеж на БВП, изчислен от ЕК. След реформата на Пакта за стабилност и растеж през 2024 г. изпълнението на бенчмарка на разходите вече не е показател, който се следи от ЕК при оценката за спазване на фискалните правила в ЕС.</w:t>
      </w:r>
    </w:p>
    <w:p w14:paraId="7DE5BA7D"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На база направени изчисления от Министерството на финансите изменението в реално изражение на разходния индикатор се оценява съответно на 1,8% за 2025 г., 9,7% за 2026</w:t>
      </w:r>
      <w:r w:rsidRPr="00761800">
        <w:rPr>
          <w:rFonts w:ascii="Times New Roman" w:hAnsi="Times New Roman"/>
          <w:szCs w:val="22"/>
          <w:lang w:val="en-US" w:eastAsia="bg-BG"/>
        </w:rPr>
        <w:t> </w:t>
      </w:r>
      <w:r w:rsidRPr="00761800">
        <w:rPr>
          <w:rFonts w:ascii="Times New Roman" w:hAnsi="Times New Roman"/>
          <w:szCs w:val="22"/>
          <w:lang w:eastAsia="bg-BG"/>
        </w:rPr>
        <w:t>г., -3,3% за 2027 г. и 2,5% за 2028 г. Според изчисленията на ЕК нивото на референтния растеж се оценява средно на 2,2% за периода 2024-2028 г.</w:t>
      </w:r>
    </w:p>
    <w:p w14:paraId="71303C27" w14:textId="77777777" w:rsidR="00761800" w:rsidRPr="00761800" w:rsidRDefault="00761800" w:rsidP="00761800">
      <w:pPr>
        <w:spacing w:after="200"/>
        <w:jc w:val="both"/>
        <w:rPr>
          <w:rFonts w:ascii="Times New Roman" w:hAnsi="Times New Roman"/>
          <w:color w:val="FF0000"/>
          <w:szCs w:val="22"/>
          <w:lang w:eastAsia="bg-BG"/>
        </w:rPr>
      </w:pPr>
    </w:p>
    <w:p w14:paraId="62808FFD" w14:textId="77777777" w:rsidR="00761800" w:rsidRPr="00761800" w:rsidRDefault="00761800" w:rsidP="00F64909">
      <w:pPr>
        <w:keepNext/>
        <w:keepLines/>
        <w:numPr>
          <w:ilvl w:val="1"/>
          <w:numId w:val="6"/>
        </w:numPr>
        <w:tabs>
          <w:tab w:val="left" w:pos="426"/>
        </w:tabs>
        <w:spacing w:after="200"/>
        <w:ind w:hanging="270"/>
        <w:jc w:val="both"/>
        <w:outlineLvl w:val="1"/>
        <w:rPr>
          <w:rFonts w:ascii="Times New Roman" w:hAnsi="Times New Roman"/>
          <w:b/>
          <w:bCs/>
          <w:caps/>
          <w:color w:val="852010"/>
          <w:spacing w:val="10"/>
          <w:w w:val="90"/>
          <w:sz w:val="28"/>
          <w:szCs w:val="26"/>
          <w:lang w:eastAsia="bg-BG"/>
        </w:rPr>
      </w:pPr>
      <w:bookmarkStart w:id="508" w:name="_Toc233717496"/>
      <w:r w:rsidRPr="00761800">
        <w:rPr>
          <w:rFonts w:ascii="Times New Roman" w:hAnsi="Times New Roman"/>
          <w:b/>
          <w:bCs/>
          <w:caps/>
          <w:color w:val="852010"/>
          <w:spacing w:val="10"/>
          <w:w w:val="90"/>
          <w:sz w:val="28"/>
          <w:szCs w:val="26"/>
          <w:lang w:eastAsia="bg-BG"/>
        </w:rPr>
        <w:t>Анализ на чувствителността</w:t>
      </w:r>
      <w:bookmarkEnd w:id="508"/>
    </w:p>
    <w:p w14:paraId="7920C56F" w14:textId="77777777" w:rsidR="00761800" w:rsidRPr="00761800" w:rsidRDefault="00761800" w:rsidP="00761800">
      <w:pPr>
        <w:spacing w:after="200"/>
        <w:jc w:val="both"/>
        <w:rPr>
          <w:rFonts w:ascii="Times New Roman" w:hAnsi="Times New Roman" w:cs="Calibri"/>
          <w:b/>
          <w:szCs w:val="22"/>
          <w:lang w:eastAsia="bg-BG"/>
        </w:rPr>
      </w:pPr>
      <w:r w:rsidRPr="00761800">
        <w:rPr>
          <w:rFonts w:ascii="Times New Roman" w:hAnsi="Times New Roman" w:cs="Calibri"/>
          <w:b/>
          <w:szCs w:val="22"/>
          <w:lang w:eastAsia="bg-BG"/>
        </w:rPr>
        <w:t>Макроикономически симулационен модел</w:t>
      </w:r>
    </w:p>
    <w:p w14:paraId="79431C12" w14:textId="77777777" w:rsidR="00761800" w:rsidRPr="00761800" w:rsidRDefault="00761800" w:rsidP="00761800">
      <w:pPr>
        <w:spacing w:after="200"/>
        <w:jc w:val="both"/>
        <w:rPr>
          <w:rFonts w:ascii="Times New Roman" w:hAnsi="Times New Roman" w:cs="Calibri"/>
          <w:bCs/>
          <w:szCs w:val="22"/>
          <w:lang w:eastAsia="bg-BG"/>
        </w:rPr>
      </w:pPr>
      <w:r w:rsidRPr="00761800">
        <w:rPr>
          <w:rFonts w:ascii="Times New Roman" w:hAnsi="Times New Roman" w:cs="Calibri"/>
          <w:bCs/>
          <w:szCs w:val="22"/>
          <w:lang w:eastAsia="bg-BG"/>
        </w:rPr>
        <w:t>Според чл. 75, ал. 3 от Закона за публичните финанси разработването на средносрочната бюджетна прогноза и на проекта на държавния бюджет се съпровожда с изготвянето на алтернативни сценарии, свързани със съответни рискове, при различни допускания. Макроикономическият симулационен модел на МФ оценява ефекти върху основни макроикономически и бюджетни показатели от промени в глобалната и/или вътрешната икономическа среда.</w:t>
      </w:r>
    </w:p>
    <w:p w14:paraId="1E98DC59"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4"/>
          <w:lang w:eastAsia="bg-BG"/>
        </w:rPr>
      </w:pPr>
      <w:r w:rsidRPr="00761800">
        <w:rPr>
          <w:rFonts w:ascii="Times New Roman" w:hAnsi="Times New Roman"/>
          <w:b/>
          <w:bCs/>
          <w:caps/>
          <w:color w:val="852010"/>
          <w:szCs w:val="24"/>
          <w:lang w:eastAsia="bg-BG"/>
        </w:rPr>
        <w:t>Алтернативен сценарий на избрани макроикономически показатели за периода 2026-2028 г.</w:t>
      </w:r>
    </w:p>
    <w:p w14:paraId="6949F4E8" w14:textId="77777777" w:rsidR="00761800" w:rsidRPr="00761800" w:rsidRDefault="00761800" w:rsidP="00761800">
      <w:pPr>
        <w:spacing w:after="200"/>
        <w:jc w:val="both"/>
        <w:rPr>
          <w:rFonts w:ascii="Times New Roman" w:eastAsia="MS Mincho" w:hAnsi="Times New Roman"/>
          <w:szCs w:val="24"/>
          <w:lang w:eastAsia="bg-BG"/>
        </w:rPr>
      </w:pPr>
      <w:r w:rsidRPr="00761800">
        <w:rPr>
          <w:rFonts w:ascii="Times New Roman" w:eastAsia="MS Mincho" w:hAnsi="Times New Roman"/>
          <w:szCs w:val="24"/>
          <w:lang w:eastAsia="bg-BG"/>
        </w:rPr>
        <w:t>В допълнение към основния сценарий е разгледан и алтернативен вариант на развитие на външната среда. Геополитическите конфликти в различни части на света създават висока степен на несигурност от началото на 2026 г., което увеличава вероятността от внезапно покачване на цените на енергийните суровини и храните. Рисковете са свързани основно с по-продължителен период на ограничено преминаване през Ормузкия проток и затруднение в доставките на горива. Повишава се опасността от фрагментиране на пазарите, което ще намали ефективността на веригите за доставки и ще доведе до ограничаване на движението на международно търгуваните стоки. В тази международна среда икономиката на ЕС се очаква да бъде най-сериозно засегната, в сравнение с другите големи икономики, предвид силната ѝ зависимост от вноса на енергийни суровини. По-</w:t>
      </w:r>
      <w:r w:rsidRPr="00761800">
        <w:rPr>
          <w:rFonts w:ascii="Times New Roman" w:eastAsia="MS Mincho" w:hAnsi="Times New Roman"/>
          <w:szCs w:val="24"/>
          <w:lang w:eastAsia="bg-BG"/>
        </w:rPr>
        <w:lastRenderedPageBreak/>
        <w:t>високите цени ще ограничат реалния разполагаем доход на домакинствата в основните търговски партньори на България, което ще предизвика забавяне на реалното потребление.</w:t>
      </w:r>
    </w:p>
    <w:p w14:paraId="5545596C" w14:textId="77777777" w:rsidR="00761800" w:rsidRPr="00761800" w:rsidRDefault="00761800" w:rsidP="00761800">
      <w:pPr>
        <w:spacing w:after="200"/>
        <w:jc w:val="both"/>
        <w:rPr>
          <w:rFonts w:ascii="Times New Roman" w:eastAsia="MS Mincho" w:hAnsi="Times New Roman"/>
          <w:szCs w:val="24"/>
          <w:lang w:eastAsia="bg-BG"/>
        </w:rPr>
      </w:pPr>
      <w:r w:rsidRPr="00761800">
        <w:rPr>
          <w:rFonts w:ascii="Times New Roman" w:eastAsia="MS Mincho" w:hAnsi="Times New Roman"/>
          <w:szCs w:val="24"/>
          <w:lang w:eastAsia="bg-BG"/>
        </w:rPr>
        <w:t>За оценка на макроикономическите ефекти е направена симулация с по-високи цени на суровия петрол сорт „Брент“ и природен газ за Европа (Dutch TTF). Прието е, че затрудненията в международната търговия произтичащи от военния конфликт ще продължат и след второто тримесечие на годината. В резултат средната цена на суровия петрол ще е малко над 100 щ.д./барел през 2026 г., което е поскъпване с 22,1% спрямо базовия сценарий. В този сценарий се очаква цената на природния газ да достигне около 67 евро/МВтч или с 40,7% по-висока спрямо основния сценарий през 2026 г.</w:t>
      </w:r>
    </w:p>
    <w:p w14:paraId="608468B6" w14:textId="012903DC" w:rsidR="00761800" w:rsidRPr="00761800" w:rsidRDefault="00761800" w:rsidP="00761800">
      <w:pPr>
        <w:spacing w:after="240"/>
        <w:ind w:left="1418" w:hanging="1418"/>
        <w:rPr>
          <w:rFonts w:ascii="Times New Roman" w:hAnsi="Times New Roman"/>
          <w:b/>
          <w:bCs/>
          <w:szCs w:val="18"/>
          <w:lang w:eastAsia="bg-BG"/>
        </w:rPr>
      </w:pPr>
      <w:bookmarkStart w:id="509" w:name="_Toc233185141"/>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23</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Обобщение на допусканията, използвани в алтернативния сценарий (отклонение спрямо базовия)</w:t>
      </w:r>
      <w:bookmarkEnd w:id="509"/>
    </w:p>
    <w:tbl>
      <w:tblPr>
        <w:tblStyle w:val="TableGrid7"/>
        <w:tblW w:w="9006"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5364"/>
        <w:gridCol w:w="1214"/>
        <w:gridCol w:w="1214"/>
        <w:gridCol w:w="1214"/>
      </w:tblGrid>
      <w:tr w:rsidR="00761800" w:rsidRPr="00761800" w14:paraId="59A01D4F" w14:textId="77777777" w:rsidTr="00406B4D">
        <w:trPr>
          <w:trHeight w:val="301"/>
          <w:tblHeader/>
          <w:jc w:val="center"/>
        </w:trPr>
        <w:tc>
          <w:tcPr>
            <w:tcW w:w="5364" w:type="dxa"/>
            <w:tcBorders>
              <w:top w:val="single" w:sz="8" w:space="0" w:color="auto"/>
              <w:bottom w:val="single" w:sz="8" w:space="0" w:color="auto"/>
            </w:tcBorders>
            <w:vAlign w:val="center"/>
          </w:tcPr>
          <w:p w14:paraId="52B1FE36" w14:textId="77777777" w:rsidR="00761800" w:rsidRPr="00761800" w:rsidRDefault="00761800" w:rsidP="00761800">
            <w:pPr>
              <w:rPr>
                <w:rFonts w:ascii="Times New Roman" w:hAnsi="Times New Roman"/>
                <w:b/>
                <w:lang w:eastAsia="bg-BG"/>
              </w:rPr>
            </w:pPr>
            <w:r w:rsidRPr="00761800">
              <w:rPr>
                <w:rFonts w:ascii="Times New Roman" w:hAnsi="Times New Roman"/>
                <w:b/>
                <w:sz w:val="20"/>
                <w:szCs w:val="20"/>
                <w:lang w:eastAsia="en-GB"/>
              </w:rPr>
              <w:t>Международна среда</w:t>
            </w:r>
          </w:p>
        </w:tc>
        <w:tc>
          <w:tcPr>
            <w:tcW w:w="1214" w:type="dxa"/>
            <w:tcBorders>
              <w:top w:val="single" w:sz="8" w:space="0" w:color="auto"/>
              <w:bottom w:val="single" w:sz="8" w:space="0" w:color="auto"/>
            </w:tcBorders>
            <w:vAlign w:val="center"/>
          </w:tcPr>
          <w:p w14:paraId="11722D45" w14:textId="77777777" w:rsidR="00761800" w:rsidRPr="00761800" w:rsidRDefault="00761800" w:rsidP="00761800">
            <w:pPr>
              <w:jc w:val="center"/>
              <w:rPr>
                <w:rFonts w:ascii="Times New Roman" w:hAnsi="Times New Roman"/>
                <w:b/>
                <w:sz w:val="20"/>
                <w:szCs w:val="20"/>
                <w:lang w:eastAsia="en-GB"/>
              </w:rPr>
            </w:pPr>
            <w:r w:rsidRPr="00761800">
              <w:rPr>
                <w:rFonts w:ascii="Times New Roman" w:hAnsi="Times New Roman"/>
                <w:b/>
                <w:sz w:val="20"/>
                <w:szCs w:val="20"/>
                <w:lang w:eastAsia="en-GB"/>
              </w:rPr>
              <w:t>2026</w:t>
            </w:r>
          </w:p>
        </w:tc>
        <w:tc>
          <w:tcPr>
            <w:tcW w:w="1214" w:type="dxa"/>
            <w:tcBorders>
              <w:top w:val="single" w:sz="8" w:space="0" w:color="auto"/>
              <w:bottom w:val="single" w:sz="8" w:space="0" w:color="auto"/>
            </w:tcBorders>
            <w:vAlign w:val="center"/>
          </w:tcPr>
          <w:p w14:paraId="643F66C3" w14:textId="77777777" w:rsidR="00761800" w:rsidRPr="00761800" w:rsidRDefault="00761800" w:rsidP="00761800">
            <w:pPr>
              <w:jc w:val="center"/>
              <w:rPr>
                <w:rFonts w:ascii="Times New Roman" w:hAnsi="Times New Roman"/>
                <w:b/>
                <w:sz w:val="20"/>
                <w:szCs w:val="20"/>
                <w:lang w:eastAsia="en-GB"/>
              </w:rPr>
            </w:pPr>
            <w:r w:rsidRPr="00761800">
              <w:rPr>
                <w:rFonts w:ascii="Times New Roman" w:hAnsi="Times New Roman"/>
                <w:b/>
                <w:sz w:val="20"/>
                <w:szCs w:val="20"/>
                <w:lang w:eastAsia="en-GB"/>
              </w:rPr>
              <w:t>2027</w:t>
            </w:r>
          </w:p>
        </w:tc>
        <w:tc>
          <w:tcPr>
            <w:tcW w:w="1214" w:type="dxa"/>
            <w:tcBorders>
              <w:top w:val="single" w:sz="8" w:space="0" w:color="auto"/>
              <w:bottom w:val="single" w:sz="8" w:space="0" w:color="auto"/>
            </w:tcBorders>
            <w:vAlign w:val="center"/>
          </w:tcPr>
          <w:p w14:paraId="6F56379B" w14:textId="77777777" w:rsidR="00761800" w:rsidRPr="00761800" w:rsidRDefault="00761800" w:rsidP="00761800">
            <w:pPr>
              <w:jc w:val="center"/>
              <w:rPr>
                <w:rFonts w:ascii="Times New Roman" w:hAnsi="Times New Roman"/>
                <w:b/>
                <w:sz w:val="20"/>
                <w:szCs w:val="20"/>
                <w:lang w:eastAsia="en-GB"/>
              </w:rPr>
            </w:pPr>
            <w:r w:rsidRPr="00761800">
              <w:rPr>
                <w:rFonts w:ascii="Times New Roman" w:hAnsi="Times New Roman"/>
                <w:b/>
                <w:sz w:val="20"/>
                <w:szCs w:val="20"/>
                <w:lang w:eastAsia="en-GB"/>
              </w:rPr>
              <w:t>2028</w:t>
            </w:r>
          </w:p>
        </w:tc>
      </w:tr>
      <w:tr w:rsidR="00761800" w:rsidRPr="00761800" w14:paraId="238A1C49" w14:textId="77777777" w:rsidTr="00761800">
        <w:trPr>
          <w:trHeight w:hRule="exact" w:val="314"/>
          <w:jc w:val="center"/>
        </w:trPr>
        <w:tc>
          <w:tcPr>
            <w:tcW w:w="5364" w:type="dxa"/>
            <w:shd w:val="clear" w:color="auto" w:fill="F2F2F2"/>
            <w:vAlign w:val="center"/>
          </w:tcPr>
          <w:p w14:paraId="6E913E08" w14:textId="77777777" w:rsidR="00761800" w:rsidRPr="00761800" w:rsidRDefault="00761800" w:rsidP="00761800">
            <w:pPr>
              <w:jc w:val="both"/>
              <w:rPr>
                <w:rFonts w:ascii="Times New Roman" w:hAnsi="Times New Roman"/>
                <w:color w:val="262626"/>
                <w:sz w:val="20"/>
                <w:szCs w:val="20"/>
                <w:lang w:eastAsia="ja-JP"/>
              </w:rPr>
            </w:pPr>
            <w:r w:rsidRPr="00761800">
              <w:rPr>
                <w:rFonts w:ascii="Times New Roman" w:hAnsi="Times New Roman"/>
                <w:sz w:val="20"/>
                <w:szCs w:val="20"/>
                <w:lang w:eastAsia="bg-BG"/>
              </w:rPr>
              <w:t>Световна икономика [реален растеж, пр.п.]</w:t>
            </w:r>
          </w:p>
        </w:tc>
        <w:tc>
          <w:tcPr>
            <w:tcW w:w="1214" w:type="dxa"/>
            <w:shd w:val="clear" w:color="auto" w:fill="F2F2F2"/>
            <w:vAlign w:val="center"/>
          </w:tcPr>
          <w:p w14:paraId="5505AD0B"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-0,2</w:t>
            </w:r>
          </w:p>
        </w:tc>
        <w:tc>
          <w:tcPr>
            <w:tcW w:w="1214" w:type="dxa"/>
            <w:shd w:val="clear" w:color="auto" w:fill="F2F2F2"/>
            <w:vAlign w:val="center"/>
          </w:tcPr>
          <w:p w14:paraId="55CC6DD0"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0,2</w:t>
            </w:r>
          </w:p>
        </w:tc>
        <w:tc>
          <w:tcPr>
            <w:tcW w:w="1214" w:type="dxa"/>
            <w:shd w:val="clear" w:color="auto" w:fill="F2F2F2"/>
            <w:vAlign w:val="center"/>
          </w:tcPr>
          <w:p w14:paraId="1E9DB735"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0,0</w:t>
            </w:r>
          </w:p>
        </w:tc>
      </w:tr>
      <w:tr w:rsidR="00761800" w:rsidRPr="00761800" w14:paraId="3D42A36E" w14:textId="77777777" w:rsidTr="00406B4D">
        <w:trPr>
          <w:trHeight w:hRule="exact" w:val="314"/>
          <w:jc w:val="center"/>
        </w:trPr>
        <w:tc>
          <w:tcPr>
            <w:tcW w:w="5364" w:type="dxa"/>
            <w:vAlign w:val="center"/>
          </w:tcPr>
          <w:p w14:paraId="046BE08F" w14:textId="77777777" w:rsidR="00761800" w:rsidRPr="00761800" w:rsidRDefault="00761800" w:rsidP="00761800">
            <w:pPr>
              <w:jc w:val="both"/>
              <w:rPr>
                <w:rFonts w:ascii="Times New Roman" w:hAnsi="Times New Roman"/>
                <w:color w:val="262626"/>
                <w:sz w:val="20"/>
                <w:szCs w:val="20"/>
                <w:lang w:eastAsia="ja-JP"/>
              </w:rPr>
            </w:pPr>
            <w:r w:rsidRPr="00761800">
              <w:rPr>
                <w:rFonts w:ascii="Times New Roman" w:hAnsi="Times New Roman"/>
                <w:sz w:val="20"/>
                <w:szCs w:val="20"/>
                <w:lang w:eastAsia="bg-BG"/>
              </w:rPr>
              <w:t>Европейска икономика – ЕС</w:t>
            </w:r>
            <w:r w:rsidRPr="00761800">
              <w:rPr>
                <w:rFonts w:ascii="Times New Roman" w:hAnsi="Times New Roman"/>
                <w:sz w:val="20"/>
                <w:szCs w:val="20"/>
                <w:lang w:val="en-US" w:eastAsia="bg-BG"/>
              </w:rPr>
              <w:t> </w:t>
            </w:r>
            <w:r w:rsidRPr="00761800">
              <w:rPr>
                <w:rFonts w:ascii="Times New Roman" w:hAnsi="Times New Roman"/>
                <w:sz w:val="20"/>
                <w:szCs w:val="20"/>
                <w:lang w:eastAsia="bg-BG"/>
              </w:rPr>
              <w:t>27 [реален растеж, пр.п.]</w:t>
            </w:r>
          </w:p>
        </w:tc>
        <w:tc>
          <w:tcPr>
            <w:tcW w:w="1214" w:type="dxa"/>
            <w:vAlign w:val="center"/>
          </w:tcPr>
          <w:p w14:paraId="39927EBA"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-0,5</w:t>
            </w:r>
          </w:p>
        </w:tc>
        <w:tc>
          <w:tcPr>
            <w:tcW w:w="1214" w:type="dxa"/>
            <w:vAlign w:val="center"/>
          </w:tcPr>
          <w:p w14:paraId="441488ED"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0,5</w:t>
            </w:r>
          </w:p>
        </w:tc>
        <w:tc>
          <w:tcPr>
            <w:tcW w:w="1214" w:type="dxa"/>
            <w:vAlign w:val="center"/>
          </w:tcPr>
          <w:p w14:paraId="62D5C064"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0,0</w:t>
            </w:r>
          </w:p>
        </w:tc>
      </w:tr>
      <w:tr w:rsidR="00761800" w:rsidRPr="00761800" w14:paraId="0536D142" w14:textId="77777777" w:rsidTr="00761800">
        <w:trPr>
          <w:trHeight w:hRule="exact" w:val="314"/>
          <w:jc w:val="center"/>
        </w:trPr>
        <w:tc>
          <w:tcPr>
            <w:tcW w:w="5364" w:type="dxa"/>
            <w:shd w:val="clear" w:color="auto" w:fill="F2F2F2"/>
            <w:vAlign w:val="center"/>
          </w:tcPr>
          <w:p w14:paraId="40848A67" w14:textId="77777777" w:rsidR="00761800" w:rsidRPr="00761800" w:rsidRDefault="00761800" w:rsidP="00761800">
            <w:pPr>
              <w:jc w:val="both"/>
              <w:rPr>
                <w:rFonts w:ascii="Times New Roman" w:hAnsi="Times New Roman"/>
                <w:color w:val="262626"/>
                <w:sz w:val="20"/>
                <w:szCs w:val="20"/>
                <w:lang w:eastAsia="ja-JP"/>
              </w:rPr>
            </w:pPr>
            <w:r w:rsidRPr="00761800">
              <w:rPr>
                <w:rFonts w:ascii="Times New Roman" w:hAnsi="Times New Roman"/>
                <w:sz w:val="20"/>
                <w:szCs w:val="20"/>
                <w:lang w:eastAsia="bg-BG"/>
              </w:rPr>
              <w:t>Цена на петрол „Брент“ [щ.д./барел, %]</w:t>
            </w:r>
          </w:p>
        </w:tc>
        <w:tc>
          <w:tcPr>
            <w:tcW w:w="1214" w:type="dxa"/>
            <w:shd w:val="clear" w:color="auto" w:fill="F2F2F2"/>
            <w:vAlign w:val="center"/>
          </w:tcPr>
          <w:p w14:paraId="37BE6A49"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22,1%</w:t>
            </w:r>
          </w:p>
        </w:tc>
        <w:tc>
          <w:tcPr>
            <w:tcW w:w="1214" w:type="dxa"/>
            <w:shd w:val="clear" w:color="auto" w:fill="F2F2F2"/>
            <w:vAlign w:val="center"/>
          </w:tcPr>
          <w:p w14:paraId="1F003655"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0,0%</w:t>
            </w:r>
          </w:p>
        </w:tc>
        <w:tc>
          <w:tcPr>
            <w:tcW w:w="1214" w:type="dxa"/>
            <w:shd w:val="clear" w:color="auto" w:fill="F2F2F2"/>
            <w:vAlign w:val="center"/>
          </w:tcPr>
          <w:p w14:paraId="66311D1D"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0,0%</w:t>
            </w:r>
          </w:p>
        </w:tc>
      </w:tr>
      <w:tr w:rsidR="00761800" w:rsidRPr="00761800" w14:paraId="32863D90" w14:textId="77777777" w:rsidTr="00406B4D">
        <w:trPr>
          <w:trHeight w:hRule="exact" w:val="314"/>
          <w:jc w:val="center"/>
        </w:trPr>
        <w:tc>
          <w:tcPr>
            <w:tcW w:w="5364" w:type="dxa"/>
            <w:vAlign w:val="center"/>
          </w:tcPr>
          <w:p w14:paraId="23067DC9" w14:textId="77777777" w:rsidR="00761800" w:rsidRPr="00761800" w:rsidRDefault="00761800" w:rsidP="00761800">
            <w:pPr>
              <w:jc w:val="both"/>
              <w:rPr>
                <w:rFonts w:ascii="Times New Roman" w:hAnsi="Times New Roman"/>
                <w:color w:val="262626"/>
                <w:sz w:val="20"/>
                <w:szCs w:val="20"/>
                <w:lang w:eastAsia="ja-JP"/>
              </w:rPr>
            </w:pPr>
            <w:r w:rsidRPr="00761800">
              <w:rPr>
                <w:rFonts w:ascii="Times New Roman" w:hAnsi="Times New Roman"/>
                <w:sz w:val="20"/>
                <w:szCs w:val="20"/>
                <w:lang w:eastAsia="bg-BG"/>
              </w:rPr>
              <w:t>Цена на природен газ, [евро/МВтч, %]</w:t>
            </w:r>
          </w:p>
        </w:tc>
        <w:tc>
          <w:tcPr>
            <w:tcW w:w="1214" w:type="dxa"/>
            <w:vAlign w:val="center"/>
          </w:tcPr>
          <w:p w14:paraId="4B145352"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40,7%</w:t>
            </w:r>
          </w:p>
        </w:tc>
        <w:tc>
          <w:tcPr>
            <w:tcW w:w="1214" w:type="dxa"/>
            <w:vAlign w:val="center"/>
          </w:tcPr>
          <w:p w14:paraId="65CD5FAE"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0,0%</w:t>
            </w:r>
          </w:p>
        </w:tc>
        <w:tc>
          <w:tcPr>
            <w:tcW w:w="1214" w:type="dxa"/>
            <w:vAlign w:val="center"/>
          </w:tcPr>
          <w:p w14:paraId="12DC8FD3" w14:textId="77777777" w:rsidR="00761800" w:rsidRPr="00761800" w:rsidRDefault="00761800" w:rsidP="00761800">
            <w:pPr>
              <w:rPr>
                <w:rFonts w:ascii="Times New Roman" w:hAnsi="Times New Roman"/>
                <w:sz w:val="20"/>
                <w:szCs w:val="20"/>
                <w:lang w:eastAsia="bg-BG"/>
              </w:rPr>
            </w:pPr>
            <w:r w:rsidRPr="00761800">
              <w:rPr>
                <w:rFonts w:ascii="Times New Roman" w:hAnsi="Times New Roman"/>
                <w:sz w:val="20"/>
                <w:szCs w:val="20"/>
                <w:lang w:eastAsia="bg-BG"/>
              </w:rPr>
              <w:t>0,0%</w:t>
            </w:r>
          </w:p>
        </w:tc>
      </w:tr>
    </w:tbl>
    <w:p w14:paraId="62F481B8" w14:textId="77777777" w:rsidR="00761800" w:rsidRPr="00761800" w:rsidRDefault="00761800" w:rsidP="00761800">
      <w:pPr>
        <w:spacing w:before="120" w:after="200"/>
        <w:jc w:val="right"/>
        <w:rPr>
          <w:rFonts w:ascii="Times New Roman" w:hAnsi="Times New Roman"/>
          <w:sz w:val="18"/>
          <w:szCs w:val="18"/>
          <w:lang w:eastAsia="bg-BG"/>
        </w:rPr>
      </w:pPr>
      <w:r w:rsidRPr="00761800">
        <w:rPr>
          <w:rFonts w:ascii="Times New Roman" w:hAnsi="Times New Roman"/>
          <w:sz w:val="18"/>
          <w:szCs w:val="18"/>
          <w:lang w:eastAsia="bg-BG"/>
        </w:rPr>
        <w:t>Източник: МФ</w:t>
      </w:r>
    </w:p>
    <w:p w14:paraId="592169D3" w14:textId="77777777" w:rsidR="00761800" w:rsidRPr="00761800" w:rsidRDefault="00761800" w:rsidP="00761800">
      <w:pPr>
        <w:spacing w:after="200"/>
        <w:jc w:val="both"/>
        <w:rPr>
          <w:rFonts w:ascii="Times New Roman" w:eastAsia="MS Mincho" w:hAnsi="Times New Roman"/>
          <w:szCs w:val="24"/>
          <w:lang w:eastAsia="bg-BG"/>
        </w:rPr>
      </w:pPr>
      <w:r w:rsidRPr="00761800">
        <w:rPr>
          <w:rFonts w:ascii="Times New Roman" w:eastAsia="MS Mincho" w:hAnsi="Times New Roman"/>
          <w:szCs w:val="24"/>
          <w:lang w:eastAsia="bg-BG"/>
        </w:rPr>
        <w:t xml:space="preserve">Резултатите от извършената симулация показват, че инфлацията в България ще е по-висока с 1 пр.п. през 2026 г. спрямо базовия сценарий. Шоковете по линия на международните цени на енергийните суровини ще се отразят и в повишение на дефлатора на БВП през текущата и следващата години. Несигурната външна среда и по-скъпите суровини ще ограничат инвестиционната активност в страната, като ефектът ще е с известно забавяне спрямо останалите компоненти на БВП и се очаква да се отрази негативно през 2027 г. </w:t>
      </w:r>
    </w:p>
    <w:p w14:paraId="71E5B8C3" w14:textId="77777777" w:rsidR="00761800" w:rsidRPr="00761800" w:rsidRDefault="00761800" w:rsidP="00761800">
      <w:pPr>
        <w:spacing w:after="200"/>
        <w:jc w:val="both"/>
        <w:rPr>
          <w:rFonts w:ascii="Times New Roman" w:eastAsia="MS Mincho" w:hAnsi="Times New Roman"/>
          <w:szCs w:val="24"/>
          <w:lang w:eastAsia="bg-BG"/>
        </w:rPr>
      </w:pPr>
      <w:r w:rsidRPr="00761800">
        <w:rPr>
          <w:rFonts w:ascii="Times New Roman" w:eastAsia="MS Mincho" w:hAnsi="Times New Roman"/>
          <w:szCs w:val="24"/>
          <w:lang w:eastAsia="bg-BG"/>
        </w:rPr>
        <w:t xml:space="preserve">Очаква се външното търсене да е по-слабо спрямо базовия сценарий, което ще се отрази неблагоприятно върху растежа на износа на стоки и услуги. Вносът на стоки и услуги също ще бъде по-нисък в резултат на влошеното вътрешно търсене и износ. Отрицателният принос на нетния износ към растежа на БВП ще се увеличи през 2026 г. Балансът на текущата сметка ще следва тенденциите във външната търговия и динамиката на цените на внос и износ, което ще доведе до влошаване, т.е. увеличаване на дефицита. Предвид ограниченото предлагане на работна сила в страната не се очаква това да се отрази на коефициента на безработица. </w:t>
      </w:r>
    </w:p>
    <w:p w14:paraId="14EE0D60" w14:textId="77777777" w:rsidR="00761800" w:rsidRPr="00761800" w:rsidRDefault="00761800" w:rsidP="00761800">
      <w:pPr>
        <w:spacing w:after="200"/>
        <w:jc w:val="both"/>
        <w:rPr>
          <w:rFonts w:ascii="Times New Roman" w:eastAsia="MS Mincho" w:hAnsi="Times New Roman"/>
          <w:szCs w:val="24"/>
          <w:lang w:eastAsia="bg-BG"/>
        </w:rPr>
      </w:pPr>
      <w:r w:rsidRPr="00761800">
        <w:rPr>
          <w:rFonts w:ascii="Times New Roman" w:eastAsia="MS Mincho" w:hAnsi="Times New Roman"/>
          <w:szCs w:val="24"/>
          <w:lang w:eastAsia="bg-BG"/>
        </w:rPr>
        <w:t>Реалният растеж на БВП за 2026 г. ще бъде по-нисък с 0,2 пр.п. спрямо базовия сценарий. През 2027 г. нивото на БВП по текущи цени леко ще надвиши този в базовия (с 0,2%), поради по-високият дефлатор на БВП.</w:t>
      </w:r>
    </w:p>
    <w:p w14:paraId="0B83CB29" w14:textId="56E944F9" w:rsidR="00761800" w:rsidRPr="00761800" w:rsidRDefault="00761800" w:rsidP="00761800">
      <w:pPr>
        <w:spacing w:after="240"/>
        <w:ind w:left="1418" w:hanging="1418"/>
        <w:rPr>
          <w:rFonts w:ascii="Times New Roman" w:hAnsi="Times New Roman"/>
          <w:b/>
          <w:bCs/>
          <w:szCs w:val="18"/>
          <w:lang w:eastAsia="bg-BG"/>
        </w:rPr>
      </w:pPr>
      <w:bookmarkStart w:id="510" w:name="_Toc233185142"/>
      <w:r w:rsidRPr="00761800">
        <w:rPr>
          <w:rFonts w:ascii="Times New Roman" w:hAnsi="Times New Roman"/>
          <w:b/>
          <w:bCs/>
          <w:szCs w:val="18"/>
          <w:lang w:eastAsia="bg-BG"/>
        </w:rPr>
        <w:t xml:space="preserve">Табл. </w:t>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STYLEREF 1 \s </w:instrText>
      </w:r>
      <w:r w:rsidRPr="00761800">
        <w:rPr>
          <w:rFonts w:ascii="Times New Roman" w:hAnsi="Times New Roman"/>
          <w:b/>
          <w:bCs/>
          <w:szCs w:val="18"/>
          <w:lang w:eastAsia="bg-BG"/>
        </w:rPr>
        <w:fldChar w:fldCharType="separate"/>
      </w:r>
      <w:r w:rsidR="00406B4D">
        <w:rPr>
          <w:rFonts w:ascii="Times New Roman" w:hAnsi="Times New Roman"/>
          <w:noProof/>
          <w:szCs w:val="18"/>
          <w:lang w:val="en-US" w:eastAsia="bg-BG"/>
        </w:rPr>
        <w:t>Error! No text of specified style in document.</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noBreakHyphen/>
      </w:r>
      <w:r w:rsidRPr="00761800">
        <w:rPr>
          <w:rFonts w:ascii="Times New Roman" w:hAnsi="Times New Roman"/>
          <w:b/>
          <w:bCs/>
          <w:szCs w:val="18"/>
          <w:lang w:eastAsia="bg-BG"/>
        </w:rPr>
        <w:fldChar w:fldCharType="begin"/>
      </w:r>
      <w:r w:rsidRPr="00761800">
        <w:rPr>
          <w:rFonts w:ascii="Times New Roman" w:hAnsi="Times New Roman"/>
          <w:b/>
          <w:bCs/>
          <w:szCs w:val="18"/>
          <w:lang w:eastAsia="bg-BG"/>
        </w:rPr>
        <w:instrText xml:space="preserve"> SEQ Табл. \* ARABIC \s 1 </w:instrText>
      </w:r>
      <w:r w:rsidRPr="00761800">
        <w:rPr>
          <w:rFonts w:ascii="Times New Roman" w:hAnsi="Times New Roman"/>
          <w:b/>
          <w:bCs/>
          <w:szCs w:val="18"/>
          <w:lang w:eastAsia="bg-BG"/>
        </w:rPr>
        <w:fldChar w:fldCharType="separate"/>
      </w:r>
      <w:r w:rsidR="00406B4D">
        <w:rPr>
          <w:rFonts w:ascii="Times New Roman" w:hAnsi="Times New Roman"/>
          <w:b/>
          <w:bCs/>
          <w:noProof/>
          <w:szCs w:val="18"/>
          <w:lang w:eastAsia="bg-BG"/>
        </w:rPr>
        <w:t>24</w:t>
      </w:r>
      <w:r w:rsidRPr="00761800">
        <w:rPr>
          <w:rFonts w:ascii="Times New Roman" w:hAnsi="Times New Roman"/>
          <w:b/>
          <w:bCs/>
          <w:noProof/>
          <w:szCs w:val="18"/>
          <w:lang w:eastAsia="bg-BG"/>
        </w:rPr>
        <w:fldChar w:fldCharType="end"/>
      </w:r>
      <w:r w:rsidRPr="00761800">
        <w:rPr>
          <w:rFonts w:ascii="Times New Roman" w:hAnsi="Times New Roman"/>
          <w:b/>
          <w:bCs/>
          <w:szCs w:val="18"/>
          <w:lang w:eastAsia="bg-BG"/>
        </w:rPr>
        <w:t>:</w:t>
      </w:r>
      <w:r w:rsidRPr="00761800">
        <w:rPr>
          <w:rFonts w:ascii="Times New Roman" w:hAnsi="Times New Roman"/>
          <w:b/>
          <w:bCs/>
          <w:szCs w:val="18"/>
          <w:lang w:eastAsia="bg-BG"/>
        </w:rPr>
        <w:tab/>
        <w:t>Основни макроикономически показатели</w:t>
      </w:r>
      <w:r w:rsidRPr="00761800">
        <w:rPr>
          <w:rFonts w:ascii="Times New Roman" w:hAnsi="Times New Roman"/>
          <w:sz w:val="22"/>
          <w:szCs w:val="22"/>
        </w:rPr>
        <w:t xml:space="preserve"> </w:t>
      </w:r>
      <w:r w:rsidRPr="00761800">
        <w:rPr>
          <w:rFonts w:ascii="Times New Roman" w:hAnsi="Times New Roman"/>
          <w:b/>
          <w:bCs/>
          <w:szCs w:val="18"/>
          <w:lang w:eastAsia="bg-BG"/>
        </w:rPr>
        <w:t>при алтернативния сценарий (отклонение спрямо базовия)</w:t>
      </w:r>
      <w:bookmarkEnd w:id="510"/>
    </w:p>
    <w:tbl>
      <w:tblPr>
        <w:tblStyle w:val="TableGrid1"/>
        <w:tblW w:w="9125" w:type="dxa"/>
        <w:jc w:val="center"/>
        <w:tblLook w:val="04A0" w:firstRow="1" w:lastRow="0" w:firstColumn="1" w:lastColumn="0" w:noHBand="0" w:noVBand="1"/>
      </w:tblPr>
      <w:tblGrid>
        <w:gridCol w:w="5277"/>
        <w:gridCol w:w="1288"/>
        <w:gridCol w:w="1280"/>
        <w:gridCol w:w="1280"/>
      </w:tblGrid>
      <w:tr w:rsidR="00761800" w:rsidRPr="00761800" w14:paraId="457660A4" w14:textId="77777777" w:rsidTr="00406B4D">
        <w:trPr>
          <w:trHeight w:val="19"/>
          <w:tblHeader/>
          <w:jc w:val="center"/>
        </w:trPr>
        <w:tc>
          <w:tcPr>
            <w:tcW w:w="5277" w:type="dxa"/>
            <w:tcBorders>
              <w:left w:val="nil"/>
              <w:bottom w:val="single" w:sz="4" w:space="0" w:color="auto"/>
              <w:right w:val="nil"/>
            </w:tcBorders>
            <w:shd w:val="clear" w:color="auto" w:fill="auto"/>
            <w:vAlign w:val="center"/>
          </w:tcPr>
          <w:p w14:paraId="5A15889C" w14:textId="77777777" w:rsidR="00761800" w:rsidRPr="00761800" w:rsidRDefault="00761800" w:rsidP="00761800">
            <w:pPr>
              <w:rPr>
                <w:rFonts w:ascii="Times New Roman" w:hAnsi="Times New Roman"/>
                <w:b/>
                <w:sz w:val="20"/>
                <w:lang w:eastAsia="bg-BG"/>
              </w:rPr>
            </w:pPr>
            <w:r w:rsidRPr="00761800">
              <w:rPr>
                <w:rFonts w:ascii="Times New Roman" w:hAnsi="Times New Roman"/>
                <w:b/>
                <w:sz w:val="20"/>
                <w:lang w:eastAsia="en-GB"/>
              </w:rPr>
              <w:t>Основни макроикономически показатели</w:t>
            </w:r>
          </w:p>
        </w:tc>
        <w:tc>
          <w:tcPr>
            <w:tcW w:w="1288" w:type="dxa"/>
            <w:tcBorders>
              <w:left w:val="nil"/>
              <w:bottom w:val="single" w:sz="4" w:space="0" w:color="auto"/>
              <w:right w:val="nil"/>
            </w:tcBorders>
            <w:shd w:val="clear" w:color="auto" w:fill="auto"/>
            <w:vAlign w:val="center"/>
          </w:tcPr>
          <w:p w14:paraId="0726A2AA" w14:textId="77777777" w:rsidR="00761800" w:rsidRPr="00761800" w:rsidRDefault="00761800" w:rsidP="00761800">
            <w:pPr>
              <w:jc w:val="right"/>
              <w:rPr>
                <w:rFonts w:ascii="Times New Roman" w:hAnsi="Times New Roman"/>
                <w:b/>
                <w:bCs/>
                <w:color w:val="262626"/>
                <w:sz w:val="20"/>
                <w:lang w:val="en-US" w:eastAsia="ja-JP"/>
              </w:rPr>
            </w:pPr>
            <w:r w:rsidRPr="00761800">
              <w:rPr>
                <w:rFonts w:ascii="Times New Roman" w:hAnsi="Times New Roman"/>
                <w:b/>
                <w:bCs/>
                <w:color w:val="262626"/>
                <w:sz w:val="20"/>
                <w:lang w:val="en-US" w:eastAsia="ja-JP"/>
              </w:rPr>
              <w:t>2026</w:t>
            </w:r>
          </w:p>
        </w:tc>
        <w:tc>
          <w:tcPr>
            <w:tcW w:w="1280" w:type="dxa"/>
            <w:tcBorders>
              <w:left w:val="nil"/>
              <w:bottom w:val="single" w:sz="4" w:space="0" w:color="auto"/>
              <w:right w:val="nil"/>
            </w:tcBorders>
            <w:shd w:val="clear" w:color="auto" w:fill="auto"/>
            <w:vAlign w:val="center"/>
          </w:tcPr>
          <w:p w14:paraId="703B0D00" w14:textId="77777777" w:rsidR="00761800" w:rsidRPr="00761800" w:rsidRDefault="00761800" w:rsidP="00761800">
            <w:pPr>
              <w:jc w:val="right"/>
              <w:rPr>
                <w:rFonts w:ascii="Times New Roman" w:hAnsi="Times New Roman"/>
                <w:b/>
                <w:bCs/>
                <w:color w:val="262626"/>
                <w:sz w:val="20"/>
                <w:lang w:val="en-US" w:eastAsia="ja-JP"/>
              </w:rPr>
            </w:pPr>
            <w:r w:rsidRPr="00761800">
              <w:rPr>
                <w:rFonts w:ascii="Times New Roman" w:hAnsi="Times New Roman"/>
                <w:b/>
                <w:bCs/>
                <w:color w:val="262626"/>
                <w:sz w:val="20"/>
                <w:lang w:val="en-US" w:eastAsia="ja-JP"/>
              </w:rPr>
              <w:t>2027</w:t>
            </w:r>
          </w:p>
        </w:tc>
        <w:tc>
          <w:tcPr>
            <w:tcW w:w="1280" w:type="dxa"/>
            <w:tcBorders>
              <w:left w:val="nil"/>
              <w:bottom w:val="single" w:sz="4" w:space="0" w:color="auto"/>
              <w:right w:val="nil"/>
            </w:tcBorders>
            <w:shd w:val="clear" w:color="auto" w:fill="auto"/>
            <w:vAlign w:val="center"/>
          </w:tcPr>
          <w:p w14:paraId="246EB083" w14:textId="77777777" w:rsidR="00761800" w:rsidRPr="00761800" w:rsidRDefault="00761800" w:rsidP="00761800">
            <w:pPr>
              <w:jc w:val="right"/>
              <w:rPr>
                <w:rFonts w:ascii="Times New Roman" w:hAnsi="Times New Roman"/>
                <w:b/>
                <w:bCs/>
                <w:color w:val="262626"/>
                <w:sz w:val="20"/>
                <w:lang w:val="en-US" w:eastAsia="ja-JP"/>
              </w:rPr>
            </w:pPr>
            <w:r w:rsidRPr="00761800">
              <w:rPr>
                <w:rFonts w:ascii="Times New Roman" w:hAnsi="Times New Roman"/>
                <w:b/>
                <w:bCs/>
                <w:color w:val="262626"/>
                <w:sz w:val="20"/>
                <w:lang w:val="en-US" w:eastAsia="ja-JP"/>
              </w:rPr>
              <w:t>2028</w:t>
            </w:r>
          </w:p>
        </w:tc>
      </w:tr>
      <w:tr w:rsidR="00761800" w:rsidRPr="00761800" w14:paraId="5C208F50" w14:textId="77777777" w:rsidTr="00406B4D">
        <w:trPr>
          <w:trHeight w:hRule="exact" w:val="341"/>
          <w:jc w:val="center"/>
        </w:trPr>
        <w:tc>
          <w:tcPr>
            <w:tcW w:w="5277" w:type="dxa"/>
            <w:tcBorders>
              <w:top w:val="single" w:sz="4" w:space="0" w:color="auto"/>
              <w:left w:val="nil"/>
              <w:bottom w:val="nil"/>
              <w:right w:val="nil"/>
            </w:tcBorders>
            <w:shd w:val="clear" w:color="auto" w:fill="auto"/>
          </w:tcPr>
          <w:p w14:paraId="69663F41" w14:textId="77777777" w:rsidR="00761800" w:rsidRPr="00761800" w:rsidRDefault="00761800" w:rsidP="00761800">
            <w:pPr>
              <w:jc w:val="both"/>
              <w:rPr>
                <w:rFonts w:ascii="Times New Roman" w:hAnsi="Times New Roman"/>
                <w:b/>
                <w:color w:val="262626"/>
                <w:sz w:val="20"/>
                <w:lang w:eastAsia="ja-JP"/>
              </w:rPr>
            </w:pPr>
            <w:r w:rsidRPr="00761800">
              <w:rPr>
                <w:rFonts w:ascii="Times New Roman" w:hAnsi="Times New Roman"/>
                <w:b/>
                <w:bCs/>
                <w:color w:val="262626"/>
                <w:sz w:val="20"/>
                <w:lang w:eastAsia="ja-JP"/>
              </w:rPr>
              <w:t>БРУТЕН ВЪТРЕШЕН ПРОДУКТ</w:t>
            </w:r>
          </w:p>
        </w:tc>
        <w:tc>
          <w:tcPr>
            <w:tcW w:w="1288" w:type="dxa"/>
            <w:tcBorders>
              <w:top w:val="single" w:sz="4" w:space="0" w:color="auto"/>
              <w:left w:val="nil"/>
              <w:bottom w:val="nil"/>
              <w:right w:val="nil"/>
            </w:tcBorders>
            <w:shd w:val="clear" w:color="auto" w:fill="auto"/>
          </w:tcPr>
          <w:p w14:paraId="12958BFD" w14:textId="77777777" w:rsidR="00761800" w:rsidRPr="00761800" w:rsidRDefault="00761800" w:rsidP="00761800">
            <w:pPr>
              <w:jc w:val="right"/>
              <w:rPr>
                <w:rFonts w:ascii="Times New Roman" w:hAnsi="Times New Roman"/>
                <w:color w:val="262626"/>
                <w:sz w:val="20"/>
                <w:lang w:eastAsia="ja-JP"/>
              </w:rPr>
            </w:pPr>
          </w:p>
        </w:tc>
        <w:tc>
          <w:tcPr>
            <w:tcW w:w="1280" w:type="dxa"/>
            <w:tcBorders>
              <w:top w:val="single" w:sz="4" w:space="0" w:color="auto"/>
              <w:left w:val="nil"/>
              <w:bottom w:val="nil"/>
              <w:right w:val="nil"/>
            </w:tcBorders>
            <w:shd w:val="clear" w:color="auto" w:fill="auto"/>
          </w:tcPr>
          <w:p w14:paraId="0E28278E" w14:textId="77777777" w:rsidR="00761800" w:rsidRPr="00761800" w:rsidRDefault="00761800" w:rsidP="00761800">
            <w:pPr>
              <w:jc w:val="right"/>
              <w:rPr>
                <w:rFonts w:ascii="Times New Roman" w:hAnsi="Times New Roman"/>
                <w:color w:val="262626"/>
                <w:sz w:val="20"/>
                <w:lang w:eastAsia="ja-JP"/>
              </w:rPr>
            </w:pPr>
          </w:p>
        </w:tc>
        <w:tc>
          <w:tcPr>
            <w:tcW w:w="1280" w:type="dxa"/>
            <w:tcBorders>
              <w:top w:val="single" w:sz="4" w:space="0" w:color="auto"/>
              <w:left w:val="nil"/>
              <w:bottom w:val="nil"/>
              <w:right w:val="nil"/>
            </w:tcBorders>
            <w:shd w:val="clear" w:color="auto" w:fill="auto"/>
          </w:tcPr>
          <w:p w14:paraId="3582205E" w14:textId="77777777" w:rsidR="00761800" w:rsidRPr="00761800" w:rsidRDefault="00761800" w:rsidP="00761800">
            <w:pPr>
              <w:jc w:val="right"/>
              <w:rPr>
                <w:rFonts w:ascii="Times New Roman" w:hAnsi="Times New Roman"/>
                <w:color w:val="262626"/>
                <w:sz w:val="20"/>
                <w:lang w:eastAsia="ja-JP"/>
              </w:rPr>
            </w:pPr>
          </w:p>
        </w:tc>
      </w:tr>
      <w:tr w:rsidR="00761800" w:rsidRPr="00761800" w14:paraId="209CB439" w14:textId="77777777" w:rsidTr="00761800">
        <w:trPr>
          <w:trHeight w:hRule="exact" w:val="341"/>
          <w:jc w:val="center"/>
        </w:trPr>
        <w:tc>
          <w:tcPr>
            <w:tcW w:w="5277" w:type="dxa"/>
            <w:tcBorders>
              <w:top w:val="nil"/>
              <w:left w:val="nil"/>
              <w:bottom w:val="nil"/>
              <w:right w:val="nil"/>
            </w:tcBorders>
            <w:shd w:val="clear" w:color="auto" w:fill="F2F2F2"/>
          </w:tcPr>
          <w:p w14:paraId="6826CFBE"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 xml:space="preserve">  БВП ниво по текущи цени (%)</w:t>
            </w:r>
          </w:p>
        </w:tc>
        <w:tc>
          <w:tcPr>
            <w:tcW w:w="1288" w:type="dxa"/>
            <w:tcBorders>
              <w:top w:val="nil"/>
              <w:left w:val="nil"/>
              <w:bottom w:val="nil"/>
              <w:right w:val="nil"/>
            </w:tcBorders>
            <w:shd w:val="clear" w:color="auto" w:fill="F2F2F2"/>
          </w:tcPr>
          <w:p w14:paraId="33FCAA81"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nil"/>
              <w:right w:val="nil"/>
            </w:tcBorders>
            <w:shd w:val="clear" w:color="auto" w:fill="F2F2F2"/>
          </w:tcPr>
          <w:p w14:paraId="7F25E1B7"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2%</w:t>
            </w:r>
          </w:p>
        </w:tc>
        <w:tc>
          <w:tcPr>
            <w:tcW w:w="1280" w:type="dxa"/>
            <w:tcBorders>
              <w:top w:val="nil"/>
              <w:left w:val="nil"/>
              <w:bottom w:val="nil"/>
              <w:right w:val="nil"/>
            </w:tcBorders>
            <w:shd w:val="clear" w:color="auto" w:fill="F2F2F2"/>
          </w:tcPr>
          <w:p w14:paraId="6B5114ED"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r>
      <w:tr w:rsidR="00761800" w:rsidRPr="00761800" w14:paraId="1E82BCBC" w14:textId="77777777" w:rsidTr="00406B4D">
        <w:trPr>
          <w:trHeight w:hRule="exact" w:val="341"/>
          <w:jc w:val="center"/>
        </w:trPr>
        <w:tc>
          <w:tcPr>
            <w:tcW w:w="5277" w:type="dxa"/>
            <w:tcBorders>
              <w:top w:val="nil"/>
              <w:left w:val="nil"/>
              <w:bottom w:val="nil"/>
              <w:right w:val="nil"/>
            </w:tcBorders>
            <w:shd w:val="clear" w:color="auto" w:fill="auto"/>
          </w:tcPr>
          <w:p w14:paraId="36BAA661"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 xml:space="preserve">  БВП (реален растеж, пр.п.)</w:t>
            </w:r>
          </w:p>
        </w:tc>
        <w:tc>
          <w:tcPr>
            <w:tcW w:w="1288" w:type="dxa"/>
            <w:tcBorders>
              <w:top w:val="nil"/>
              <w:left w:val="nil"/>
              <w:bottom w:val="nil"/>
              <w:right w:val="nil"/>
            </w:tcBorders>
            <w:shd w:val="clear" w:color="auto" w:fill="auto"/>
          </w:tcPr>
          <w:p w14:paraId="318DAF81"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2</w:t>
            </w:r>
          </w:p>
        </w:tc>
        <w:tc>
          <w:tcPr>
            <w:tcW w:w="1280" w:type="dxa"/>
            <w:tcBorders>
              <w:top w:val="nil"/>
              <w:left w:val="nil"/>
              <w:bottom w:val="nil"/>
              <w:right w:val="nil"/>
            </w:tcBorders>
            <w:shd w:val="clear" w:color="auto" w:fill="auto"/>
          </w:tcPr>
          <w:p w14:paraId="2392C0A8"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c>
          <w:tcPr>
            <w:tcW w:w="1280" w:type="dxa"/>
            <w:tcBorders>
              <w:top w:val="nil"/>
              <w:left w:val="nil"/>
              <w:bottom w:val="nil"/>
              <w:right w:val="nil"/>
            </w:tcBorders>
            <w:shd w:val="clear" w:color="auto" w:fill="auto"/>
          </w:tcPr>
          <w:p w14:paraId="4FF5A9DF"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r>
      <w:tr w:rsidR="00761800" w:rsidRPr="00761800" w14:paraId="21E52853" w14:textId="77777777" w:rsidTr="00761800">
        <w:trPr>
          <w:trHeight w:hRule="exact" w:val="341"/>
          <w:jc w:val="center"/>
        </w:trPr>
        <w:tc>
          <w:tcPr>
            <w:tcW w:w="5277" w:type="dxa"/>
            <w:tcBorders>
              <w:top w:val="nil"/>
              <w:left w:val="nil"/>
              <w:bottom w:val="nil"/>
              <w:right w:val="nil"/>
            </w:tcBorders>
            <w:shd w:val="clear" w:color="auto" w:fill="F2F2F2"/>
          </w:tcPr>
          <w:p w14:paraId="188F4148"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lastRenderedPageBreak/>
              <w:t xml:space="preserve">    Потребление</w:t>
            </w:r>
          </w:p>
        </w:tc>
        <w:tc>
          <w:tcPr>
            <w:tcW w:w="1288" w:type="dxa"/>
            <w:tcBorders>
              <w:top w:val="nil"/>
              <w:left w:val="nil"/>
              <w:bottom w:val="nil"/>
              <w:right w:val="nil"/>
            </w:tcBorders>
            <w:shd w:val="clear" w:color="auto" w:fill="F2F2F2"/>
          </w:tcPr>
          <w:p w14:paraId="4AC8177C"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nil"/>
              <w:right w:val="nil"/>
            </w:tcBorders>
            <w:shd w:val="clear" w:color="auto" w:fill="F2F2F2"/>
          </w:tcPr>
          <w:p w14:paraId="7939CFF4"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nil"/>
              <w:right w:val="nil"/>
            </w:tcBorders>
            <w:shd w:val="clear" w:color="auto" w:fill="F2F2F2"/>
          </w:tcPr>
          <w:p w14:paraId="39EBB0A9"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r>
      <w:tr w:rsidR="00761800" w:rsidRPr="00761800" w14:paraId="641D2D98" w14:textId="77777777" w:rsidTr="00406B4D">
        <w:trPr>
          <w:trHeight w:hRule="exact" w:val="341"/>
          <w:jc w:val="center"/>
        </w:trPr>
        <w:tc>
          <w:tcPr>
            <w:tcW w:w="5277" w:type="dxa"/>
            <w:tcBorders>
              <w:top w:val="nil"/>
              <w:left w:val="nil"/>
              <w:bottom w:val="nil"/>
              <w:right w:val="nil"/>
            </w:tcBorders>
            <w:shd w:val="clear" w:color="auto" w:fill="auto"/>
          </w:tcPr>
          <w:p w14:paraId="6F48C553"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 xml:space="preserve">    Брутообразуване на основен капитал</w:t>
            </w:r>
          </w:p>
        </w:tc>
        <w:tc>
          <w:tcPr>
            <w:tcW w:w="1288" w:type="dxa"/>
            <w:tcBorders>
              <w:top w:val="nil"/>
              <w:left w:val="nil"/>
              <w:bottom w:val="nil"/>
              <w:right w:val="nil"/>
            </w:tcBorders>
            <w:shd w:val="clear" w:color="auto" w:fill="auto"/>
          </w:tcPr>
          <w:p w14:paraId="55C704CD"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c>
          <w:tcPr>
            <w:tcW w:w="1280" w:type="dxa"/>
            <w:tcBorders>
              <w:top w:val="nil"/>
              <w:left w:val="nil"/>
              <w:bottom w:val="nil"/>
              <w:right w:val="nil"/>
            </w:tcBorders>
            <w:shd w:val="clear" w:color="auto" w:fill="auto"/>
          </w:tcPr>
          <w:p w14:paraId="4F100BDB"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7</w:t>
            </w:r>
          </w:p>
        </w:tc>
        <w:tc>
          <w:tcPr>
            <w:tcW w:w="1280" w:type="dxa"/>
            <w:tcBorders>
              <w:top w:val="nil"/>
              <w:left w:val="nil"/>
              <w:bottom w:val="nil"/>
              <w:right w:val="nil"/>
            </w:tcBorders>
            <w:shd w:val="clear" w:color="auto" w:fill="auto"/>
          </w:tcPr>
          <w:p w14:paraId="35A3B32A"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3</w:t>
            </w:r>
          </w:p>
        </w:tc>
      </w:tr>
      <w:tr w:rsidR="00761800" w:rsidRPr="00761800" w14:paraId="72BB5E46" w14:textId="77777777" w:rsidTr="00761800">
        <w:trPr>
          <w:trHeight w:hRule="exact" w:val="341"/>
          <w:jc w:val="center"/>
        </w:trPr>
        <w:tc>
          <w:tcPr>
            <w:tcW w:w="5277" w:type="dxa"/>
            <w:tcBorders>
              <w:top w:val="nil"/>
              <w:left w:val="nil"/>
              <w:bottom w:val="nil"/>
              <w:right w:val="nil"/>
            </w:tcBorders>
            <w:shd w:val="clear" w:color="auto" w:fill="F2F2F2"/>
          </w:tcPr>
          <w:p w14:paraId="4E6B0A2B"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 xml:space="preserve">    Износ на стоки и услуги</w:t>
            </w:r>
          </w:p>
        </w:tc>
        <w:tc>
          <w:tcPr>
            <w:tcW w:w="1288" w:type="dxa"/>
            <w:tcBorders>
              <w:top w:val="nil"/>
              <w:left w:val="nil"/>
              <w:bottom w:val="nil"/>
              <w:right w:val="nil"/>
            </w:tcBorders>
            <w:shd w:val="clear" w:color="auto" w:fill="F2F2F2"/>
          </w:tcPr>
          <w:p w14:paraId="7B71E750"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6</w:t>
            </w:r>
          </w:p>
        </w:tc>
        <w:tc>
          <w:tcPr>
            <w:tcW w:w="1280" w:type="dxa"/>
            <w:tcBorders>
              <w:top w:val="nil"/>
              <w:left w:val="nil"/>
              <w:bottom w:val="nil"/>
              <w:right w:val="nil"/>
            </w:tcBorders>
            <w:shd w:val="clear" w:color="auto" w:fill="F2F2F2"/>
          </w:tcPr>
          <w:p w14:paraId="5BC3E424"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7</w:t>
            </w:r>
          </w:p>
        </w:tc>
        <w:tc>
          <w:tcPr>
            <w:tcW w:w="1280" w:type="dxa"/>
            <w:tcBorders>
              <w:top w:val="nil"/>
              <w:left w:val="nil"/>
              <w:bottom w:val="nil"/>
              <w:right w:val="nil"/>
            </w:tcBorders>
            <w:shd w:val="clear" w:color="auto" w:fill="F2F2F2"/>
          </w:tcPr>
          <w:p w14:paraId="0514317E"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r>
      <w:tr w:rsidR="00761800" w:rsidRPr="00761800" w14:paraId="3E9D606B" w14:textId="77777777" w:rsidTr="00406B4D">
        <w:trPr>
          <w:trHeight w:hRule="exact" w:val="341"/>
          <w:jc w:val="center"/>
        </w:trPr>
        <w:tc>
          <w:tcPr>
            <w:tcW w:w="5277" w:type="dxa"/>
            <w:tcBorders>
              <w:top w:val="nil"/>
              <w:left w:val="nil"/>
              <w:bottom w:val="nil"/>
              <w:right w:val="nil"/>
            </w:tcBorders>
            <w:shd w:val="clear" w:color="auto" w:fill="auto"/>
          </w:tcPr>
          <w:p w14:paraId="191CA9C7"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 xml:space="preserve">    Внос на стоки и услуги</w:t>
            </w:r>
          </w:p>
        </w:tc>
        <w:tc>
          <w:tcPr>
            <w:tcW w:w="1288" w:type="dxa"/>
            <w:tcBorders>
              <w:top w:val="nil"/>
              <w:left w:val="nil"/>
              <w:bottom w:val="nil"/>
              <w:right w:val="nil"/>
            </w:tcBorders>
            <w:shd w:val="clear" w:color="auto" w:fill="auto"/>
          </w:tcPr>
          <w:p w14:paraId="7BAA04FE"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3</w:t>
            </w:r>
          </w:p>
        </w:tc>
        <w:tc>
          <w:tcPr>
            <w:tcW w:w="1280" w:type="dxa"/>
            <w:tcBorders>
              <w:top w:val="nil"/>
              <w:left w:val="nil"/>
              <w:bottom w:val="nil"/>
              <w:right w:val="nil"/>
            </w:tcBorders>
            <w:shd w:val="clear" w:color="auto" w:fill="auto"/>
          </w:tcPr>
          <w:p w14:paraId="448E6BF9"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3</w:t>
            </w:r>
          </w:p>
        </w:tc>
        <w:tc>
          <w:tcPr>
            <w:tcW w:w="1280" w:type="dxa"/>
            <w:tcBorders>
              <w:top w:val="nil"/>
              <w:left w:val="nil"/>
              <w:bottom w:val="nil"/>
              <w:right w:val="nil"/>
            </w:tcBorders>
            <w:shd w:val="clear" w:color="auto" w:fill="auto"/>
          </w:tcPr>
          <w:p w14:paraId="26D11849"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r>
      <w:tr w:rsidR="00761800" w:rsidRPr="00761800" w14:paraId="5A7CCF8F" w14:textId="77777777" w:rsidTr="00406B4D">
        <w:trPr>
          <w:trHeight w:hRule="exact" w:val="341"/>
          <w:jc w:val="center"/>
        </w:trPr>
        <w:tc>
          <w:tcPr>
            <w:tcW w:w="5277" w:type="dxa"/>
            <w:tcBorders>
              <w:top w:val="nil"/>
              <w:left w:val="nil"/>
              <w:bottom w:val="nil"/>
              <w:right w:val="nil"/>
            </w:tcBorders>
            <w:shd w:val="clear" w:color="auto" w:fill="auto"/>
          </w:tcPr>
          <w:p w14:paraId="3688AFAE" w14:textId="77777777" w:rsidR="00761800" w:rsidRPr="00761800" w:rsidRDefault="00761800" w:rsidP="00761800">
            <w:pPr>
              <w:jc w:val="both"/>
              <w:rPr>
                <w:rFonts w:ascii="Times New Roman" w:hAnsi="Times New Roman"/>
                <w:b/>
                <w:bCs/>
                <w:color w:val="262626"/>
                <w:sz w:val="20"/>
                <w:lang w:eastAsia="ja-JP"/>
              </w:rPr>
            </w:pPr>
            <w:r w:rsidRPr="00761800">
              <w:rPr>
                <w:rFonts w:ascii="Times New Roman" w:hAnsi="Times New Roman"/>
                <w:b/>
                <w:bCs/>
                <w:color w:val="262626"/>
                <w:sz w:val="20"/>
                <w:lang w:eastAsia="ja-JP"/>
              </w:rPr>
              <w:t>ПАЗАР НА ТРУДА И ЦЕНИ</w:t>
            </w:r>
          </w:p>
        </w:tc>
        <w:tc>
          <w:tcPr>
            <w:tcW w:w="1288" w:type="dxa"/>
            <w:tcBorders>
              <w:top w:val="nil"/>
              <w:left w:val="nil"/>
              <w:bottom w:val="nil"/>
              <w:right w:val="nil"/>
            </w:tcBorders>
            <w:shd w:val="clear" w:color="auto" w:fill="auto"/>
          </w:tcPr>
          <w:p w14:paraId="34C872A4" w14:textId="77777777" w:rsidR="00761800" w:rsidRPr="00761800" w:rsidRDefault="00761800" w:rsidP="00761800">
            <w:pPr>
              <w:jc w:val="right"/>
              <w:rPr>
                <w:rFonts w:ascii="Times New Roman" w:hAnsi="Times New Roman"/>
                <w:color w:val="262626"/>
                <w:sz w:val="20"/>
                <w:lang w:eastAsia="ja-JP"/>
              </w:rPr>
            </w:pPr>
          </w:p>
        </w:tc>
        <w:tc>
          <w:tcPr>
            <w:tcW w:w="1280" w:type="dxa"/>
            <w:tcBorders>
              <w:top w:val="nil"/>
              <w:left w:val="nil"/>
              <w:bottom w:val="nil"/>
              <w:right w:val="nil"/>
            </w:tcBorders>
            <w:shd w:val="clear" w:color="auto" w:fill="auto"/>
          </w:tcPr>
          <w:p w14:paraId="08E2BB8C" w14:textId="77777777" w:rsidR="00761800" w:rsidRPr="00761800" w:rsidRDefault="00761800" w:rsidP="00761800">
            <w:pPr>
              <w:jc w:val="right"/>
              <w:rPr>
                <w:rFonts w:ascii="Times New Roman" w:hAnsi="Times New Roman"/>
                <w:color w:val="262626"/>
                <w:sz w:val="20"/>
                <w:lang w:eastAsia="ja-JP"/>
              </w:rPr>
            </w:pPr>
          </w:p>
        </w:tc>
        <w:tc>
          <w:tcPr>
            <w:tcW w:w="1280" w:type="dxa"/>
            <w:tcBorders>
              <w:top w:val="nil"/>
              <w:left w:val="nil"/>
              <w:bottom w:val="nil"/>
              <w:right w:val="nil"/>
            </w:tcBorders>
            <w:shd w:val="clear" w:color="auto" w:fill="auto"/>
          </w:tcPr>
          <w:p w14:paraId="7D41A5A6" w14:textId="77777777" w:rsidR="00761800" w:rsidRPr="00761800" w:rsidRDefault="00761800" w:rsidP="00761800">
            <w:pPr>
              <w:jc w:val="right"/>
              <w:rPr>
                <w:rFonts w:ascii="Times New Roman" w:hAnsi="Times New Roman"/>
                <w:color w:val="262626"/>
                <w:sz w:val="20"/>
                <w:lang w:eastAsia="ja-JP"/>
              </w:rPr>
            </w:pPr>
          </w:p>
        </w:tc>
      </w:tr>
      <w:tr w:rsidR="00761800" w:rsidRPr="00761800" w14:paraId="6318AA58" w14:textId="77777777" w:rsidTr="00761800">
        <w:trPr>
          <w:trHeight w:hRule="exact" w:val="341"/>
          <w:jc w:val="center"/>
        </w:trPr>
        <w:tc>
          <w:tcPr>
            <w:tcW w:w="5277" w:type="dxa"/>
            <w:tcBorders>
              <w:top w:val="nil"/>
              <w:left w:val="nil"/>
              <w:bottom w:val="nil"/>
              <w:right w:val="nil"/>
            </w:tcBorders>
            <w:shd w:val="clear" w:color="auto" w:fill="F2F2F2"/>
          </w:tcPr>
          <w:p w14:paraId="01337D57"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 xml:space="preserve">   Заетост (СНС, </w:t>
            </w:r>
            <w:r w:rsidRPr="00761800">
              <w:rPr>
                <w:rFonts w:ascii="Times New Roman" w:hAnsi="Times New Roman"/>
                <w:color w:val="262626"/>
                <w:sz w:val="20"/>
                <w:lang w:val="en-US" w:eastAsia="ja-JP"/>
              </w:rPr>
              <w:t>%</w:t>
            </w:r>
            <w:r w:rsidRPr="00761800">
              <w:rPr>
                <w:rFonts w:ascii="Times New Roman" w:hAnsi="Times New Roman"/>
                <w:color w:val="262626"/>
                <w:sz w:val="20"/>
                <w:lang w:eastAsia="ja-JP"/>
              </w:rPr>
              <w:t>)</w:t>
            </w:r>
          </w:p>
        </w:tc>
        <w:tc>
          <w:tcPr>
            <w:tcW w:w="1288" w:type="dxa"/>
            <w:tcBorders>
              <w:top w:val="nil"/>
              <w:left w:val="nil"/>
              <w:bottom w:val="nil"/>
              <w:right w:val="nil"/>
            </w:tcBorders>
            <w:shd w:val="clear" w:color="auto" w:fill="F2F2F2"/>
          </w:tcPr>
          <w:p w14:paraId="2F5C24A9"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c>
          <w:tcPr>
            <w:tcW w:w="1280" w:type="dxa"/>
            <w:tcBorders>
              <w:top w:val="nil"/>
              <w:left w:val="nil"/>
              <w:bottom w:val="nil"/>
              <w:right w:val="nil"/>
            </w:tcBorders>
            <w:shd w:val="clear" w:color="auto" w:fill="F2F2F2"/>
          </w:tcPr>
          <w:p w14:paraId="7CF727C1"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nil"/>
              <w:right w:val="nil"/>
            </w:tcBorders>
            <w:shd w:val="clear" w:color="auto" w:fill="F2F2F2"/>
          </w:tcPr>
          <w:p w14:paraId="30BD23F1"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r>
      <w:tr w:rsidR="00761800" w:rsidRPr="00761800" w14:paraId="61ACBAA2" w14:textId="77777777" w:rsidTr="00406B4D">
        <w:trPr>
          <w:trHeight w:hRule="exact" w:val="341"/>
          <w:jc w:val="center"/>
        </w:trPr>
        <w:tc>
          <w:tcPr>
            <w:tcW w:w="5277" w:type="dxa"/>
            <w:tcBorders>
              <w:top w:val="nil"/>
              <w:left w:val="nil"/>
              <w:bottom w:val="nil"/>
              <w:right w:val="nil"/>
            </w:tcBorders>
            <w:shd w:val="clear" w:color="auto" w:fill="auto"/>
          </w:tcPr>
          <w:p w14:paraId="444BCAFC"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 xml:space="preserve">   Коефициент на безработица (НРС, пр.п.)</w:t>
            </w:r>
          </w:p>
        </w:tc>
        <w:tc>
          <w:tcPr>
            <w:tcW w:w="1288" w:type="dxa"/>
            <w:tcBorders>
              <w:top w:val="nil"/>
              <w:left w:val="nil"/>
              <w:bottom w:val="nil"/>
              <w:right w:val="nil"/>
            </w:tcBorders>
            <w:shd w:val="clear" w:color="auto" w:fill="auto"/>
          </w:tcPr>
          <w:p w14:paraId="2AB6F74C"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nil"/>
              <w:right w:val="nil"/>
            </w:tcBorders>
            <w:shd w:val="clear" w:color="auto" w:fill="auto"/>
          </w:tcPr>
          <w:p w14:paraId="4839D89B"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nil"/>
              <w:right w:val="nil"/>
            </w:tcBorders>
            <w:shd w:val="clear" w:color="auto" w:fill="auto"/>
          </w:tcPr>
          <w:p w14:paraId="6E377C69"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r>
      <w:tr w:rsidR="00761800" w:rsidRPr="00761800" w14:paraId="31D9D764" w14:textId="77777777" w:rsidTr="00761800">
        <w:trPr>
          <w:trHeight w:hRule="exact" w:val="341"/>
          <w:jc w:val="center"/>
        </w:trPr>
        <w:tc>
          <w:tcPr>
            <w:tcW w:w="5277" w:type="dxa"/>
            <w:tcBorders>
              <w:top w:val="nil"/>
              <w:left w:val="nil"/>
              <w:bottom w:val="nil"/>
              <w:right w:val="nil"/>
            </w:tcBorders>
            <w:shd w:val="clear" w:color="auto" w:fill="F2F2F2"/>
          </w:tcPr>
          <w:p w14:paraId="3A80C7AC"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 xml:space="preserve">   Компенсация на наетите (</w:t>
            </w:r>
            <w:r w:rsidRPr="00761800">
              <w:rPr>
                <w:rFonts w:ascii="Times New Roman" w:hAnsi="Times New Roman"/>
                <w:color w:val="262626"/>
                <w:sz w:val="20"/>
                <w:lang w:val="en-US" w:eastAsia="ja-JP"/>
              </w:rPr>
              <w:t>%</w:t>
            </w:r>
            <w:r w:rsidRPr="00761800">
              <w:rPr>
                <w:rFonts w:ascii="Times New Roman" w:hAnsi="Times New Roman"/>
                <w:color w:val="262626"/>
                <w:sz w:val="20"/>
                <w:lang w:eastAsia="ja-JP"/>
              </w:rPr>
              <w:t>)</w:t>
            </w:r>
          </w:p>
        </w:tc>
        <w:tc>
          <w:tcPr>
            <w:tcW w:w="1288" w:type="dxa"/>
            <w:tcBorders>
              <w:top w:val="nil"/>
              <w:left w:val="nil"/>
              <w:bottom w:val="nil"/>
              <w:right w:val="nil"/>
            </w:tcBorders>
            <w:shd w:val="clear" w:color="auto" w:fill="F2F2F2"/>
          </w:tcPr>
          <w:p w14:paraId="7978DDC2"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nil"/>
              <w:right w:val="nil"/>
            </w:tcBorders>
            <w:shd w:val="clear" w:color="auto" w:fill="F2F2F2"/>
          </w:tcPr>
          <w:p w14:paraId="2CE0583C"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2%</w:t>
            </w:r>
          </w:p>
        </w:tc>
        <w:tc>
          <w:tcPr>
            <w:tcW w:w="1280" w:type="dxa"/>
            <w:tcBorders>
              <w:top w:val="nil"/>
              <w:left w:val="nil"/>
              <w:bottom w:val="nil"/>
              <w:right w:val="nil"/>
            </w:tcBorders>
            <w:shd w:val="clear" w:color="auto" w:fill="F2F2F2"/>
          </w:tcPr>
          <w:p w14:paraId="35A5B9E8"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r>
      <w:tr w:rsidR="00761800" w:rsidRPr="00761800" w14:paraId="77E8F23D" w14:textId="77777777" w:rsidTr="00406B4D">
        <w:trPr>
          <w:trHeight w:hRule="exact" w:val="341"/>
          <w:jc w:val="center"/>
        </w:trPr>
        <w:tc>
          <w:tcPr>
            <w:tcW w:w="5277" w:type="dxa"/>
            <w:tcBorders>
              <w:top w:val="nil"/>
              <w:left w:val="nil"/>
              <w:bottom w:val="nil"/>
              <w:right w:val="nil"/>
            </w:tcBorders>
            <w:shd w:val="clear" w:color="auto" w:fill="auto"/>
          </w:tcPr>
          <w:p w14:paraId="0D28F691"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 xml:space="preserve">   Дефлатор на БВП (пр.п.)</w:t>
            </w:r>
          </w:p>
        </w:tc>
        <w:tc>
          <w:tcPr>
            <w:tcW w:w="1288" w:type="dxa"/>
            <w:tcBorders>
              <w:top w:val="nil"/>
              <w:left w:val="nil"/>
              <w:bottom w:val="nil"/>
              <w:right w:val="nil"/>
            </w:tcBorders>
            <w:shd w:val="clear" w:color="auto" w:fill="auto"/>
          </w:tcPr>
          <w:p w14:paraId="7787C6FA"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2</w:t>
            </w:r>
          </w:p>
        </w:tc>
        <w:tc>
          <w:tcPr>
            <w:tcW w:w="1280" w:type="dxa"/>
            <w:tcBorders>
              <w:top w:val="nil"/>
              <w:left w:val="nil"/>
              <w:bottom w:val="nil"/>
              <w:right w:val="nil"/>
            </w:tcBorders>
            <w:shd w:val="clear" w:color="auto" w:fill="auto"/>
          </w:tcPr>
          <w:p w14:paraId="2EE96EC4"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c>
          <w:tcPr>
            <w:tcW w:w="1280" w:type="dxa"/>
            <w:tcBorders>
              <w:top w:val="nil"/>
              <w:left w:val="nil"/>
              <w:bottom w:val="nil"/>
              <w:right w:val="nil"/>
            </w:tcBorders>
            <w:shd w:val="clear" w:color="auto" w:fill="auto"/>
          </w:tcPr>
          <w:p w14:paraId="4C4B181D"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2</w:t>
            </w:r>
          </w:p>
        </w:tc>
      </w:tr>
      <w:tr w:rsidR="00761800" w:rsidRPr="00761800" w14:paraId="4E993142" w14:textId="77777777" w:rsidTr="00761800">
        <w:trPr>
          <w:trHeight w:hRule="exact" w:val="341"/>
          <w:jc w:val="center"/>
        </w:trPr>
        <w:tc>
          <w:tcPr>
            <w:tcW w:w="5277" w:type="dxa"/>
            <w:tcBorders>
              <w:top w:val="nil"/>
              <w:left w:val="nil"/>
              <w:bottom w:val="nil"/>
              <w:right w:val="nil"/>
            </w:tcBorders>
            <w:shd w:val="clear" w:color="auto" w:fill="F2F2F2"/>
          </w:tcPr>
          <w:p w14:paraId="3EA208F8"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 xml:space="preserve">   Средногодишна инфлация (ХИПЦ, пр.п.)</w:t>
            </w:r>
          </w:p>
        </w:tc>
        <w:tc>
          <w:tcPr>
            <w:tcW w:w="1288" w:type="dxa"/>
            <w:tcBorders>
              <w:top w:val="nil"/>
              <w:left w:val="nil"/>
              <w:bottom w:val="nil"/>
              <w:right w:val="nil"/>
            </w:tcBorders>
            <w:shd w:val="clear" w:color="auto" w:fill="F2F2F2"/>
          </w:tcPr>
          <w:p w14:paraId="693EE0D7"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1</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nil"/>
              <w:right w:val="nil"/>
            </w:tcBorders>
            <w:shd w:val="clear" w:color="auto" w:fill="F2F2F2"/>
          </w:tcPr>
          <w:p w14:paraId="2C4494A3"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c>
          <w:tcPr>
            <w:tcW w:w="1280" w:type="dxa"/>
            <w:tcBorders>
              <w:top w:val="nil"/>
              <w:left w:val="nil"/>
              <w:bottom w:val="nil"/>
              <w:right w:val="nil"/>
            </w:tcBorders>
            <w:shd w:val="clear" w:color="auto" w:fill="F2F2F2"/>
          </w:tcPr>
          <w:p w14:paraId="5E0706B5"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4</w:t>
            </w:r>
          </w:p>
        </w:tc>
      </w:tr>
      <w:tr w:rsidR="00761800" w:rsidRPr="00761800" w14:paraId="1710F3A8" w14:textId="77777777" w:rsidTr="00406B4D">
        <w:trPr>
          <w:trHeight w:hRule="exact" w:val="341"/>
          <w:jc w:val="center"/>
        </w:trPr>
        <w:tc>
          <w:tcPr>
            <w:tcW w:w="5277" w:type="dxa"/>
            <w:tcBorders>
              <w:top w:val="nil"/>
              <w:left w:val="nil"/>
              <w:bottom w:val="nil"/>
              <w:right w:val="nil"/>
            </w:tcBorders>
            <w:shd w:val="clear" w:color="auto" w:fill="auto"/>
          </w:tcPr>
          <w:p w14:paraId="66039335" w14:textId="77777777" w:rsidR="00761800" w:rsidRPr="00761800" w:rsidRDefault="00761800" w:rsidP="00761800">
            <w:pPr>
              <w:jc w:val="both"/>
              <w:rPr>
                <w:rFonts w:ascii="Times New Roman" w:hAnsi="Times New Roman"/>
                <w:b/>
                <w:color w:val="262626"/>
                <w:sz w:val="20"/>
                <w:lang w:eastAsia="ja-JP"/>
              </w:rPr>
            </w:pPr>
            <w:r w:rsidRPr="00761800">
              <w:rPr>
                <w:rFonts w:ascii="Times New Roman" w:hAnsi="Times New Roman"/>
                <w:b/>
                <w:bCs/>
                <w:color w:val="262626"/>
                <w:sz w:val="20"/>
                <w:lang w:eastAsia="ja-JP"/>
              </w:rPr>
              <w:t>ПЛАТЕЖЕН БАЛАНС</w:t>
            </w:r>
          </w:p>
        </w:tc>
        <w:tc>
          <w:tcPr>
            <w:tcW w:w="1288" w:type="dxa"/>
            <w:tcBorders>
              <w:top w:val="nil"/>
              <w:left w:val="nil"/>
              <w:bottom w:val="nil"/>
              <w:right w:val="nil"/>
            </w:tcBorders>
            <w:shd w:val="clear" w:color="auto" w:fill="auto"/>
          </w:tcPr>
          <w:p w14:paraId="3233371D" w14:textId="77777777" w:rsidR="00761800" w:rsidRPr="00761800" w:rsidRDefault="00761800" w:rsidP="00761800">
            <w:pPr>
              <w:jc w:val="right"/>
              <w:rPr>
                <w:rFonts w:ascii="Times New Roman" w:hAnsi="Times New Roman"/>
                <w:color w:val="262626"/>
                <w:sz w:val="20"/>
                <w:lang w:eastAsia="ja-JP"/>
              </w:rPr>
            </w:pPr>
          </w:p>
        </w:tc>
        <w:tc>
          <w:tcPr>
            <w:tcW w:w="1280" w:type="dxa"/>
            <w:tcBorders>
              <w:top w:val="nil"/>
              <w:left w:val="nil"/>
              <w:bottom w:val="nil"/>
              <w:right w:val="nil"/>
            </w:tcBorders>
            <w:shd w:val="clear" w:color="auto" w:fill="auto"/>
          </w:tcPr>
          <w:p w14:paraId="71D62BB9" w14:textId="77777777" w:rsidR="00761800" w:rsidRPr="00761800" w:rsidRDefault="00761800" w:rsidP="00761800">
            <w:pPr>
              <w:jc w:val="right"/>
              <w:rPr>
                <w:rFonts w:ascii="Times New Roman" w:hAnsi="Times New Roman"/>
                <w:color w:val="262626"/>
                <w:sz w:val="20"/>
                <w:lang w:eastAsia="ja-JP"/>
              </w:rPr>
            </w:pPr>
          </w:p>
        </w:tc>
        <w:tc>
          <w:tcPr>
            <w:tcW w:w="1280" w:type="dxa"/>
            <w:tcBorders>
              <w:top w:val="nil"/>
              <w:left w:val="nil"/>
              <w:bottom w:val="nil"/>
              <w:right w:val="nil"/>
            </w:tcBorders>
            <w:shd w:val="clear" w:color="auto" w:fill="auto"/>
          </w:tcPr>
          <w:p w14:paraId="40585064" w14:textId="77777777" w:rsidR="00761800" w:rsidRPr="00761800" w:rsidRDefault="00761800" w:rsidP="00761800">
            <w:pPr>
              <w:jc w:val="right"/>
              <w:rPr>
                <w:rFonts w:ascii="Times New Roman" w:hAnsi="Times New Roman"/>
                <w:color w:val="262626"/>
                <w:sz w:val="20"/>
                <w:lang w:eastAsia="ja-JP"/>
              </w:rPr>
            </w:pPr>
          </w:p>
        </w:tc>
      </w:tr>
      <w:tr w:rsidR="00761800" w:rsidRPr="00761800" w14:paraId="67510729" w14:textId="77777777" w:rsidTr="00761800">
        <w:trPr>
          <w:trHeight w:hRule="exact" w:val="341"/>
          <w:jc w:val="center"/>
        </w:trPr>
        <w:tc>
          <w:tcPr>
            <w:tcW w:w="5277" w:type="dxa"/>
            <w:tcBorders>
              <w:top w:val="nil"/>
              <w:left w:val="nil"/>
              <w:bottom w:val="nil"/>
              <w:right w:val="nil"/>
            </w:tcBorders>
            <w:shd w:val="clear" w:color="auto" w:fill="F2F2F2"/>
          </w:tcPr>
          <w:p w14:paraId="00603A05"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 xml:space="preserve">   Текуща сметка (% от БВП, пр.п.)</w:t>
            </w:r>
          </w:p>
        </w:tc>
        <w:tc>
          <w:tcPr>
            <w:tcW w:w="1288" w:type="dxa"/>
            <w:tcBorders>
              <w:top w:val="nil"/>
              <w:left w:val="nil"/>
              <w:bottom w:val="nil"/>
              <w:right w:val="nil"/>
            </w:tcBorders>
            <w:shd w:val="clear" w:color="auto" w:fill="F2F2F2"/>
          </w:tcPr>
          <w:p w14:paraId="069E77F5"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3</w:t>
            </w:r>
          </w:p>
        </w:tc>
        <w:tc>
          <w:tcPr>
            <w:tcW w:w="1280" w:type="dxa"/>
            <w:tcBorders>
              <w:top w:val="nil"/>
              <w:left w:val="nil"/>
              <w:bottom w:val="nil"/>
              <w:right w:val="nil"/>
            </w:tcBorders>
            <w:shd w:val="clear" w:color="auto" w:fill="F2F2F2"/>
          </w:tcPr>
          <w:p w14:paraId="086CB6F1"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c>
          <w:tcPr>
            <w:tcW w:w="1280" w:type="dxa"/>
            <w:tcBorders>
              <w:top w:val="nil"/>
              <w:left w:val="nil"/>
              <w:bottom w:val="nil"/>
              <w:right w:val="nil"/>
            </w:tcBorders>
            <w:shd w:val="clear" w:color="auto" w:fill="F2F2F2"/>
          </w:tcPr>
          <w:p w14:paraId="4DB30198"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r>
      <w:tr w:rsidR="00761800" w:rsidRPr="00761800" w14:paraId="5AF559B5" w14:textId="77777777" w:rsidTr="00406B4D">
        <w:trPr>
          <w:trHeight w:hRule="exact" w:val="341"/>
          <w:jc w:val="center"/>
        </w:trPr>
        <w:tc>
          <w:tcPr>
            <w:tcW w:w="5277" w:type="dxa"/>
            <w:tcBorders>
              <w:top w:val="nil"/>
              <w:left w:val="nil"/>
              <w:bottom w:val="nil"/>
              <w:right w:val="nil"/>
            </w:tcBorders>
            <w:shd w:val="clear" w:color="auto" w:fill="auto"/>
          </w:tcPr>
          <w:p w14:paraId="2A8C9772"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b/>
                <w:bCs/>
                <w:color w:val="262626"/>
                <w:sz w:val="20"/>
                <w:lang w:eastAsia="ja-JP"/>
              </w:rPr>
              <w:t>БЮДЖЕТЕН СЕКТОР</w:t>
            </w:r>
          </w:p>
        </w:tc>
        <w:tc>
          <w:tcPr>
            <w:tcW w:w="1288" w:type="dxa"/>
            <w:tcBorders>
              <w:top w:val="nil"/>
              <w:left w:val="nil"/>
              <w:bottom w:val="nil"/>
              <w:right w:val="nil"/>
            </w:tcBorders>
            <w:shd w:val="clear" w:color="auto" w:fill="auto"/>
          </w:tcPr>
          <w:p w14:paraId="6E9ACB4D" w14:textId="77777777" w:rsidR="00761800" w:rsidRPr="00761800" w:rsidRDefault="00761800" w:rsidP="00761800">
            <w:pPr>
              <w:jc w:val="right"/>
              <w:rPr>
                <w:rFonts w:ascii="Times New Roman" w:hAnsi="Times New Roman"/>
                <w:sz w:val="20"/>
                <w:lang w:eastAsia="bg-BG"/>
              </w:rPr>
            </w:pPr>
          </w:p>
        </w:tc>
        <w:tc>
          <w:tcPr>
            <w:tcW w:w="1280" w:type="dxa"/>
            <w:tcBorders>
              <w:top w:val="nil"/>
              <w:left w:val="nil"/>
              <w:bottom w:val="nil"/>
              <w:right w:val="nil"/>
            </w:tcBorders>
            <w:shd w:val="clear" w:color="auto" w:fill="auto"/>
          </w:tcPr>
          <w:p w14:paraId="43762F7A" w14:textId="77777777" w:rsidR="00761800" w:rsidRPr="00761800" w:rsidRDefault="00761800" w:rsidP="00761800">
            <w:pPr>
              <w:jc w:val="right"/>
              <w:rPr>
                <w:rFonts w:ascii="Times New Roman" w:hAnsi="Times New Roman"/>
                <w:sz w:val="20"/>
                <w:lang w:eastAsia="bg-BG"/>
              </w:rPr>
            </w:pPr>
          </w:p>
        </w:tc>
        <w:tc>
          <w:tcPr>
            <w:tcW w:w="1280" w:type="dxa"/>
            <w:tcBorders>
              <w:top w:val="nil"/>
              <w:left w:val="nil"/>
              <w:bottom w:val="nil"/>
              <w:right w:val="nil"/>
            </w:tcBorders>
            <w:shd w:val="clear" w:color="auto" w:fill="auto"/>
          </w:tcPr>
          <w:p w14:paraId="28082161" w14:textId="77777777" w:rsidR="00761800" w:rsidRPr="00761800" w:rsidRDefault="00761800" w:rsidP="00761800">
            <w:pPr>
              <w:jc w:val="right"/>
              <w:rPr>
                <w:rFonts w:ascii="Times New Roman" w:hAnsi="Times New Roman"/>
                <w:sz w:val="20"/>
                <w:lang w:eastAsia="bg-BG"/>
              </w:rPr>
            </w:pPr>
          </w:p>
        </w:tc>
      </w:tr>
      <w:tr w:rsidR="00761800" w:rsidRPr="00761800" w14:paraId="1CB8607A" w14:textId="77777777" w:rsidTr="00761800">
        <w:trPr>
          <w:trHeight w:hRule="exact" w:val="341"/>
          <w:jc w:val="center"/>
        </w:trPr>
        <w:tc>
          <w:tcPr>
            <w:tcW w:w="5277" w:type="dxa"/>
            <w:tcBorders>
              <w:top w:val="nil"/>
              <w:left w:val="nil"/>
              <w:bottom w:val="nil"/>
              <w:right w:val="nil"/>
            </w:tcBorders>
            <w:shd w:val="clear" w:color="auto" w:fill="F2F2F2"/>
          </w:tcPr>
          <w:p w14:paraId="117F5BEF"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Бюджетни приходи (%)</w:t>
            </w:r>
          </w:p>
        </w:tc>
        <w:tc>
          <w:tcPr>
            <w:tcW w:w="1288" w:type="dxa"/>
            <w:tcBorders>
              <w:top w:val="nil"/>
              <w:left w:val="nil"/>
              <w:bottom w:val="nil"/>
              <w:right w:val="nil"/>
            </w:tcBorders>
            <w:shd w:val="clear" w:color="auto" w:fill="F2F2F2"/>
          </w:tcPr>
          <w:p w14:paraId="5DF697DE"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nil"/>
              <w:right w:val="nil"/>
            </w:tcBorders>
            <w:shd w:val="clear" w:color="auto" w:fill="F2F2F2"/>
          </w:tcPr>
          <w:p w14:paraId="582D1AC1"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c>
          <w:tcPr>
            <w:tcW w:w="1280" w:type="dxa"/>
            <w:tcBorders>
              <w:top w:val="nil"/>
              <w:left w:val="nil"/>
              <w:bottom w:val="nil"/>
              <w:right w:val="nil"/>
            </w:tcBorders>
            <w:shd w:val="clear" w:color="auto" w:fill="F2F2F2"/>
          </w:tcPr>
          <w:p w14:paraId="556848A9"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r>
      <w:tr w:rsidR="00761800" w:rsidRPr="00761800" w14:paraId="694E2184" w14:textId="77777777" w:rsidTr="00406B4D">
        <w:trPr>
          <w:trHeight w:hRule="exact" w:val="341"/>
          <w:jc w:val="center"/>
        </w:trPr>
        <w:tc>
          <w:tcPr>
            <w:tcW w:w="5277" w:type="dxa"/>
            <w:tcBorders>
              <w:top w:val="nil"/>
              <w:left w:val="nil"/>
              <w:bottom w:val="nil"/>
              <w:right w:val="nil"/>
            </w:tcBorders>
            <w:shd w:val="clear" w:color="auto" w:fill="auto"/>
          </w:tcPr>
          <w:p w14:paraId="6859DD11"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Бюджетен баланс (% от БВП)</w:t>
            </w:r>
          </w:p>
        </w:tc>
        <w:tc>
          <w:tcPr>
            <w:tcW w:w="1288" w:type="dxa"/>
            <w:tcBorders>
              <w:top w:val="nil"/>
              <w:left w:val="nil"/>
              <w:bottom w:val="nil"/>
              <w:right w:val="nil"/>
            </w:tcBorders>
            <w:shd w:val="clear" w:color="auto" w:fill="auto"/>
          </w:tcPr>
          <w:p w14:paraId="5A82D095"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nil"/>
              <w:right w:val="nil"/>
            </w:tcBorders>
            <w:shd w:val="clear" w:color="auto" w:fill="auto"/>
          </w:tcPr>
          <w:p w14:paraId="6788C42F"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nil"/>
              <w:right w:val="nil"/>
            </w:tcBorders>
            <w:shd w:val="clear" w:color="auto" w:fill="auto"/>
          </w:tcPr>
          <w:p w14:paraId="04DB3A09"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r>
      <w:tr w:rsidR="00761800" w:rsidRPr="00761800" w14:paraId="71692F25" w14:textId="77777777" w:rsidTr="00761800">
        <w:trPr>
          <w:trHeight w:hRule="exact" w:val="341"/>
          <w:jc w:val="center"/>
        </w:trPr>
        <w:tc>
          <w:tcPr>
            <w:tcW w:w="5277" w:type="dxa"/>
            <w:tcBorders>
              <w:top w:val="nil"/>
              <w:left w:val="nil"/>
              <w:bottom w:val="single" w:sz="4" w:space="0" w:color="auto"/>
              <w:right w:val="nil"/>
            </w:tcBorders>
            <w:shd w:val="clear" w:color="auto" w:fill="F2F2F2"/>
          </w:tcPr>
          <w:p w14:paraId="7568B245" w14:textId="77777777" w:rsidR="00761800" w:rsidRPr="00761800" w:rsidRDefault="00761800" w:rsidP="00761800">
            <w:pPr>
              <w:jc w:val="both"/>
              <w:rPr>
                <w:rFonts w:ascii="Times New Roman" w:hAnsi="Times New Roman"/>
                <w:color w:val="262626"/>
                <w:sz w:val="20"/>
                <w:lang w:eastAsia="ja-JP"/>
              </w:rPr>
            </w:pPr>
            <w:r w:rsidRPr="00761800">
              <w:rPr>
                <w:rFonts w:ascii="Times New Roman" w:hAnsi="Times New Roman"/>
                <w:color w:val="262626"/>
                <w:sz w:val="20"/>
                <w:lang w:eastAsia="ja-JP"/>
              </w:rPr>
              <w:t>Държавен дълг (% от БВП)</w:t>
            </w:r>
          </w:p>
        </w:tc>
        <w:tc>
          <w:tcPr>
            <w:tcW w:w="1288" w:type="dxa"/>
            <w:tcBorders>
              <w:top w:val="nil"/>
              <w:left w:val="nil"/>
              <w:bottom w:val="single" w:sz="4" w:space="0" w:color="auto"/>
              <w:right w:val="nil"/>
            </w:tcBorders>
            <w:shd w:val="clear" w:color="auto" w:fill="F2F2F2"/>
          </w:tcPr>
          <w:p w14:paraId="4C8C01CB"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0</w:t>
            </w:r>
          </w:p>
        </w:tc>
        <w:tc>
          <w:tcPr>
            <w:tcW w:w="1280" w:type="dxa"/>
            <w:tcBorders>
              <w:top w:val="nil"/>
              <w:left w:val="nil"/>
              <w:bottom w:val="single" w:sz="4" w:space="0" w:color="auto"/>
              <w:right w:val="nil"/>
            </w:tcBorders>
            <w:shd w:val="clear" w:color="auto" w:fill="F2F2F2"/>
          </w:tcPr>
          <w:p w14:paraId="322DA4FC"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c>
          <w:tcPr>
            <w:tcW w:w="1280" w:type="dxa"/>
            <w:tcBorders>
              <w:top w:val="nil"/>
              <w:left w:val="nil"/>
              <w:bottom w:val="single" w:sz="4" w:space="0" w:color="auto"/>
              <w:right w:val="nil"/>
            </w:tcBorders>
            <w:shd w:val="clear" w:color="auto" w:fill="F2F2F2"/>
          </w:tcPr>
          <w:p w14:paraId="1C1F2207" w14:textId="77777777" w:rsidR="00761800" w:rsidRPr="00761800" w:rsidRDefault="00761800" w:rsidP="00761800">
            <w:pPr>
              <w:jc w:val="right"/>
              <w:rPr>
                <w:rFonts w:ascii="Times New Roman" w:hAnsi="Times New Roman"/>
                <w:sz w:val="20"/>
                <w:lang w:val="en-US" w:eastAsia="bg-BG"/>
              </w:rPr>
            </w:pPr>
            <w:r w:rsidRPr="00761800">
              <w:rPr>
                <w:rFonts w:ascii="Times New Roman" w:hAnsi="Times New Roman"/>
                <w:sz w:val="20"/>
                <w:lang w:val="en-US" w:eastAsia="bg-BG"/>
              </w:rPr>
              <w:t>-0</w:t>
            </w:r>
            <w:r w:rsidRPr="00761800">
              <w:rPr>
                <w:rFonts w:ascii="Times New Roman" w:hAnsi="Times New Roman"/>
                <w:sz w:val="20"/>
                <w:lang w:eastAsia="bg-BG"/>
              </w:rPr>
              <w:t>,</w:t>
            </w:r>
            <w:r w:rsidRPr="00761800">
              <w:rPr>
                <w:rFonts w:ascii="Times New Roman" w:hAnsi="Times New Roman"/>
                <w:sz w:val="20"/>
                <w:lang w:val="en-US" w:eastAsia="bg-BG"/>
              </w:rPr>
              <w:t>1</w:t>
            </w:r>
          </w:p>
        </w:tc>
      </w:tr>
    </w:tbl>
    <w:p w14:paraId="6B429F04" w14:textId="77777777" w:rsidR="00761800" w:rsidRPr="00761800" w:rsidRDefault="00761800" w:rsidP="00761800">
      <w:pPr>
        <w:spacing w:before="120" w:after="200"/>
        <w:jc w:val="right"/>
        <w:rPr>
          <w:rFonts w:ascii="Times New Roman" w:hAnsi="Times New Roman"/>
          <w:sz w:val="18"/>
          <w:szCs w:val="18"/>
          <w:lang w:eastAsia="bg-BG"/>
        </w:rPr>
      </w:pPr>
      <w:r w:rsidRPr="00761800">
        <w:rPr>
          <w:rFonts w:ascii="Times New Roman" w:hAnsi="Times New Roman"/>
          <w:sz w:val="18"/>
          <w:szCs w:val="18"/>
          <w:lang w:eastAsia="bg-BG"/>
        </w:rPr>
        <w:t>Източник: МФ</w:t>
      </w:r>
    </w:p>
    <w:p w14:paraId="75DB50F7" w14:textId="77777777" w:rsidR="00761800" w:rsidRPr="00761800" w:rsidRDefault="00761800" w:rsidP="00761800">
      <w:pPr>
        <w:spacing w:before="120" w:after="200"/>
        <w:jc w:val="right"/>
        <w:rPr>
          <w:rFonts w:ascii="Times New Roman" w:hAnsi="Times New Roman"/>
          <w:sz w:val="18"/>
          <w:szCs w:val="18"/>
          <w:lang w:eastAsia="bg-BG"/>
        </w:rPr>
      </w:pPr>
    </w:p>
    <w:p w14:paraId="79BDFEF3" w14:textId="77777777" w:rsidR="00761800" w:rsidRPr="00761800" w:rsidRDefault="00761800" w:rsidP="00761800">
      <w:pPr>
        <w:keepNext/>
        <w:keepLines/>
        <w:numPr>
          <w:ilvl w:val="2"/>
          <w:numId w:val="0"/>
        </w:numPr>
        <w:spacing w:after="200"/>
        <w:outlineLvl w:val="2"/>
        <w:rPr>
          <w:rFonts w:ascii="Times New Roman" w:hAnsi="Times New Roman"/>
          <w:b/>
          <w:bCs/>
          <w:caps/>
          <w:color w:val="852010"/>
          <w:szCs w:val="24"/>
          <w:lang w:eastAsia="bg-BG"/>
        </w:rPr>
      </w:pPr>
      <w:r w:rsidRPr="00761800">
        <w:rPr>
          <w:rFonts w:ascii="Times New Roman" w:hAnsi="Times New Roman"/>
          <w:b/>
          <w:bCs/>
          <w:caps/>
          <w:color w:val="852010"/>
          <w:szCs w:val="24"/>
          <w:lang w:eastAsia="bg-BG"/>
        </w:rPr>
        <w:t>Чувствителност на прогнозите към алтернативния сценарий</w:t>
      </w:r>
    </w:p>
    <w:p w14:paraId="08EAADC9"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Анализът на чувствителността представя промяната върху основни бюджетни параметри, която би настъпила при реализиране на алтернативния макроикономически сценарий.</w:t>
      </w:r>
    </w:p>
    <w:p w14:paraId="2E19B51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При алтернативния сценарий БВП по текущи цени е по-нисък през целия прогнозен период, което има отрицателен ефект върху растежа на данъчните постъпления и съответно общите бюджетни приходи. През 2027 г. положителен ефект се наблюдава  по линия на приходите от данъка върху доходите на физическите лица и социалноосигурителни вноски. През следващата 2028 г. повишение имат приходите от ДДС, както и тези от акцизи и мита. Общият ефект върху бюджетния баланс през 2027 и 2028 г. е леко положителен. Повишението на общите приходи спрямо базисния сценарий e оценено на 0,1% през 2027 и 2028 г., докато бюджетният баланс ще се задържи практически без промяна в отношение спрямо БВП.</w:t>
      </w:r>
    </w:p>
    <w:p w14:paraId="2B44E842"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Промяната в допусканията се отразява в минимално понижение на държавния дълг, като процент от БВП.</w:t>
      </w:r>
    </w:p>
    <w:p w14:paraId="0D8EE899" w14:textId="77777777" w:rsidR="00761800" w:rsidRPr="00761800" w:rsidRDefault="00761800" w:rsidP="00F64909">
      <w:pPr>
        <w:keepNext/>
        <w:keepLines/>
        <w:numPr>
          <w:ilvl w:val="1"/>
          <w:numId w:val="6"/>
        </w:numPr>
        <w:tabs>
          <w:tab w:val="left" w:pos="426"/>
        </w:tabs>
        <w:spacing w:after="200"/>
        <w:ind w:hanging="270"/>
        <w:jc w:val="both"/>
        <w:outlineLvl w:val="1"/>
        <w:rPr>
          <w:rFonts w:ascii="Times New Roman" w:hAnsi="Times New Roman"/>
          <w:b/>
          <w:bCs/>
          <w:caps/>
          <w:color w:val="852010"/>
          <w:spacing w:val="10"/>
          <w:w w:val="90"/>
          <w:sz w:val="28"/>
          <w:szCs w:val="26"/>
          <w:lang w:eastAsia="bg-BG"/>
        </w:rPr>
      </w:pPr>
      <w:bookmarkStart w:id="511" w:name="_Toc464224821"/>
      <w:bookmarkStart w:id="512" w:name="_Toc464225471"/>
      <w:bookmarkStart w:id="513" w:name="_Toc464459018"/>
      <w:bookmarkStart w:id="514" w:name="_Toc464459766"/>
      <w:bookmarkStart w:id="515" w:name="_Toc464460719"/>
      <w:bookmarkStart w:id="516" w:name="_Toc464463118"/>
      <w:bookmarkStart w:id="517" w:name="_Toc464464947"/>
      <w:bookmarkStart w:id="518" w:name="_Toc464465454"/>
      <w:bookmarkStart w:id="519" w:name="_Toc464465642"/>
      <w:bookmarkStart w:id="520" w:name="_Toc464466465"/>
      <w:bookmarkStart w:id="521" w:name="_Toc464466709"/>
      <w:bookmarkStart w:id="522" w:name="_Toc464645030"/>
      <w:bookmarkStart w:id="523" w:name="_Toc465205578"/>
      <w:bookmarkStart w:id="524" w:name="_Toc233717497"/>
      <w:r w:rsidRPr="00761800">
        <w:rPr>
          <w:rFonts w:ascii="Times New Roman" w:hAnsi="Times New Roman"/>
          <w:b/>
          <w:bCs/>
          <w:caps/>
          <w:color w:val="852010"/>
          <w:spacing w:val="10"/>
          <w:w w:val="90"/>
          <w:sz w:val="28"/>
          <w:szCs w:val="26"/>
          <w:lang w:eastAsia="bg-BG"/>
        </w:rPr>
        <w:t>Процедури и качество на публичните финанси</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3E7DE70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Приемането на бюджетната процедура е от ключово значение за изготвянето на основните бюджетни документи, тъй като тя включва сроковете, разпределението на отговорностите и изискванията за съставянето на средносрочната бюджетна прогноза и на проекта на държавния бюджет и обхваща всички бюджетни организации, както и юридически лица, контролирани от държавата и/или от общините, които не са част от консолидираната фискална програма, но попадат в обхвата на сектор „Държавно управление“.</w:t>
      </w:r>
    </w:p>
    <w:p w14:paraId="7F15199C"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lastRenderedPageBreak/>
        <w:t xml:space="preserve">Съставянето на бюджетната процедура за 2026 г. предполагаше при разработването на националните бюджетни документи да се стъпи на приетите бюджетни закони за 2025 г., както и на други документи, чието изготвяне е регламентирано в бюджетната процедура за 2025 г., а също и на Националния средносрочен фискално-структурен план на Република България за периода 2025-2028 година, одобрен с Решение № 111 на Министерския съвет от 2025 г., който съдържа политики, приоритети, реформи и планове за инвестиции в средносрочен хоризонт. </w:t>
      </w:r>
    </w:p>
    <w:p w14:paraId="6784719A"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Рамката на Бюджет 2025 не бе приета навреме, а съставянето и представянето пред Европейската комисия на първия национален средносрочен фискално-структурен план (с хоризонт поне четири години) беше отложено за края на м. февруари 2025 г., доколкото същият съдържа политики, приоритети, реформи и планове за инвестиции в средносрочен хоризонт, което е функция на редовно правителство с ясни ангажименти, заложени в управленска програма. </w:t>
      </w:r>
    </w:p>
    <w:p w14:paraId="5F070B91"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В кратки срокове през м. февруари 2025 г. се изготвиха проектите на трите бюджетни закона за 2025 г. и актуализирана бюджетна рамка за периода 2025-2028 г., като </w:t>
      </w:r>
      <w:r w:rsidRPr="00761800">
        <w:rPr>
          <w:rFonts w:ascii="Times New Roman" w:hAnsi="Times New Roman"/>
          <w:i/>
          <w:szCs w:val="24"/>
          <w:lang w:eastAsia="bg-BG"/>
        </w:rPr>
        <w:t>Законът за държавния бюджет на Република България за 2025 г.</w:t>
      </w:r>
      <w:r w:rsidRPr="00761800">
        <w:rPr>
          <w:rFonts w:ascii="Times New Roman" w:hAnsi="Times New Roman"/>
          <w:szCs w:val="24"/>
          <w:lang w:eastAsia="bg-BG"/>
        </w:rPr>
        <w:t xml:space="preserve"> беше приет от Народното събрание на 21 март 2025 г. и обнародван в „Държавен вестник“, бр. 26 (извънреден) от 27 март 2025 г.</w:t>
      </w:r>
    </w:p>
    <w:p w14:paraId="2C53A5B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bCs/>
          <w:szCs w:val="24"/>
          <w:lang w:eastAsia="bg-BG"/>
        </w:rPr>
        <w:t xml:space="preserve">Предвид изложените обстоятелства, </w:t>
      </w:r>
      <w:r w:rsidRPr="00761800">
        <w:rPr>
          <w:rFonts w:ascii="Times New Roman" w:hAnsi="Times New Roman"/>
          <w:szCs w:val="24"/>
          <w:lang w:eastAsia="bg-BG"/>
        </w:rPr>
        <w:t>бюджетната процедура за 2026 г</w:t>
      </w:r>
      <w:r w:rsidRPr="00761800">
        <w:rPr>
          <w:rFonts w:ascii="Times New Roman" w:hAnsi="Times New Roman"/>
          <w:b/>
          <w:szCs w:val="24"/>
          <w:lang w:eastAsia="bg-BG"/>
        </w:rPr>
        <w:t>.</w:t>
      </w:r>
      <w:r w:rsidRPr="00761800">
        <w:rPr>
          <w:rFonts w:ascii="Times New Roman" w:hAnsi="Times New Roman"/>
          <w:szCs w:val="24"/>
          <w:lang w:eastAsia="bg-BG"/>
        </w:rPr>
        <w:t xml:space="preserve"> беше приета с Решение № 474 от 17 юли 2025 г. на Министерския съвет на основание чл. 67, ал. 1 от Закона за публичните финанси. Във връзка с горепосоченото забавяне при изготвянето и приемането на бюджетните закони за 2025 г., с чл. 115 от Закона за държавния бюджет на Република България за 2025 г. еднократно беше уреден първият етап от бюджетната процедурата за 2026 г., като с одобряването с т. 4 от Решение № 88 на Министерския съвет от 2025 г. на Актуализираната средносрочна бюджетна прогноза за периода 2025-2028 г. се счита за одобрена и Средносрочната бюджетна прогноза за периода 2026-2028 г.</w:t>
      </w:r>
    </w:p>
    <w:p w14:paraId="20098133" w14:textId="77777777" w:rsidR="00761800" w:rsidRPr="00761800" w:rsidRDefault="00761800" w:rsidP="00761800">
      <w:pPr>
        <w:spacing w:after="200"/>
        <w:jc w:val="both"/>
        <w:rPr>
          <w:rFonts w:ascii="Times New Roman" w:hAnsi="Times New Roman"/>
          <w:szCs w:val="24"/>
          <w:lang w:val="ru-RU" w:eastAsia="bg-BG"/>
        </w:rPr>
      </w:pPr>
      <w:r w:rsidRPr="00761800">
        <w:rPr>
          <w:rFonts w:ascii="Times New Roman" w:hAnsi="Times New Roman"/>
          <w:szCs w:val="24"/>
          <w:lang w:eastAsia="bg-BG"/>
        </w:rPr>
        <w:t>В съответствие с правомощията по чл. 67, ал. 4 от Закона за публичните финанси Министреският съвет определи програмен формат на бюджет за 2026 г. да прилагат всички първостепенни разпоредители с бюджет, чиито бюджети са част от държавния бюджет, с изключение на Народното събрание и на съдебната власт, за които това е уредено в закон. Това е инструмент на правителството за повишаване на качеството на управление на публичните финанси, подобряване процесите на планиране и изготвяне на проектобюджетите на бюджетните организации, повишаване на прозрачността и отчетността на бюджетните системи.</w:t>
      </w:r>
    </w:p>
    <w:p w14:paraId="27AE56F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Първоначално разработеният проект на РМС за одобряване на законопроект за държавния бюджет на Република България за 2026 г. и Актуализирана средносрочна бюджетна прогноза за периода 2026-2028 г., който беше одобрен от Министерския съвет с РМС № 781 от 13 ноември 2025 г. и внесен за разглеждане в Народното събрание, беше оттеглен с РМС № 839 от 2 декември 2025 г. Последващо след проведени разговори с работодателските и синдикални организации беше изготвена нова рамка на бюджета с актуализирани параметри, съответно с РМС № 860 от 8 декември 2025 г. беше одобрен нов законпроект и отново внесен в Народното събрание, но процедурата по разглеждането му беше прекратена, като междувременно правителството подаде оставка.</w:t>
      </w:r>
    </w:p>
    <w:p w14:paraId="664A5E7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Правителството в оставка, отчитайки сложната политическа обстановка в страната, както и практическата невъзможност Народното събрание да приеме бюджетните закони за 2026 г. до края на 2025 г. изработи проект на Закон за събирането на приходи и </w:t>
      </w:r>
      <w:r w:rsidRPr="00761800">
        <w:rPr>
          <w:rFonts w:ascii="Times New Roman" w:hAnsi="Times New Roman"/>
          <w:szCs w:val="24"/>
          <w:lang w:eastAsia="bg-BG"/>
        </w:rPr>
        <w:lastRenderedPageBreak/>
        <w:t>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с който да се осигури яснота и предвидимост относно събирането на приходите, извършването на разходите и трансферите. Законопроектът беше одобрен с РМС № 886 от 15 декември 2025 г. и внесен за разглеждане в Народното събрание. Законът беше приет от Народното събрание на 17 декември 2025 г. и обнародван в Държавен вестник, бр. 113 от 23.12.2025 г.</w:t>
      </w:r>
    </w:p>
    <w:p w14:paraId="4E164821"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С приетия удължителен закон за бюджета се осигури правна рамка за безпроблемното функциониране на държавата и общините, а от друга страна се гарантираха правата и законните интереси на гражданите, предоставяйки им правна сигурност във връзка с изплащането на възнаграждения, пенсии, социални помощи и други социални плащания, ползване на данъчни преференции и облекчения, както и извършването на други плащания. Едновременно с това беше осигурено прилагането на специалните закони уреждащи специфични обществени отношения до приемането на бюджетните закони за 2026 г., в т.ч. и редът за извършване на плащанията по бюджетите на общините, бюджета на ДОО и бюджета на НЗОК.</w:t>
      </w:r>
    </w:p>
    <w:p w14:paraId="47D9F87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Законът за изменение и допълнение на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беше приет на 18 март 2026 г. (обн., ДВ, бр. 30 от 27 март 2026 г.). С него беше удължен срокът на действие на удължителния закон да приемането редовен бюджет за 2026 г. </w:t>
      </w:r>
    </w:p>
    <w:p w14:paraId="101E15AC"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Освен това беше предложена възможност предвиденото увеличение на възнагражденията с еднократна индексация и от ръста на минималната работна заплата, както и увеличението на социалните плащания, произтичащи от влезли в сила нормативни актове, включително и трансферите за общини, да може да се финансират и за сметка на наличности от предходната година с изключение на средствата на Държавния фонд за гарантиране на устойчивост на държавната пенсионна система.</w:t>
      </w:r>
    </w:p>
    <w:p w14:paraId="6D32278C"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Осигурена беше възможност общините да извършват разходи за делегираните от държавата дейности  при отчитане на влезли в сила нормативни актове. Беше уредено  след решение на общинския съвет кметът на общината да може да финансира разходи за местни дейности в размери, по-големи от разходите за същия период на предходната година, до размера на собствените приходи на общината за съответния период, бюджетните взаимоотношения с централния бюджет и с други бюджети и сметки за средства от Европейския съюз и заемните средства на общината. Също така беше удължен срокът за оценка на общините с финансови затруднения, по реда на ЗПФ, в условията на неприет бюджет за 2026 г.</w:t>
      </w:r>
    </w:p>
    <w:p w14:paraId="38240B50"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Беше дадена възможност до приемането на Закона за държавния бюджет на Република България за 2026 г., освен дълга по чл. 87, ал. 2 от Закона за публичните финанси, Министерският съвет да може да проведе преговори и да сключи с Европейската комисия споразумение за заем в размер до 3 261,7 млн. евро за получаване на финансова подкрепа под формата на заем по линия на инструмента „Мерки за сигурността на Европа (SAFE) чрез укрепване на европейската отбранителна промишленост“, при условие за последваща ратификация.</w:t>
      </w:r>
    </w:p>
    <w:p w14:paraId="59D2D3CD"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След проведените парламентарни избори на 19 април 2026 г. и сформирането на ново редовно правителство една от първите задачи беше да бъдат разработени законопроект </w:t>
      </w:r>
      <w:r w:rsidRPr="00761800">
        <w:rPr>
          <w:rFonts w:ascii="Times New Roman" w:hAnsi="Times New Roman"/>
          <w:szCs w:val="24"/>
          <w:lang w:eastAsia="bg-BG"/>
        </w:rPr>
        <w:lastRenderedPageBreak/>
        <w:t>за държавния бюджет за 2026 г. и Актуализирана средносрочна бюджетна прогноза за периода 2026-2028 г. като мотиви към него.</w:t>
      </w:r>
    </w:p>
    <w:p w14:paraId="0814543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Целите на фискалната политика и параметрите на бюджетната рамка за периода 2026-2028 г. са съобразени с приоритетите за запазване на фискалната устойчивост в средносрочен план и с необходимостта от реализиране на приходни мерки и осигуряване на разходни политики, като в резултат на отразените промени се наблюдава фискална консолидация. </w:t>
      </w:r>
    </w:p>
    <w:p w14:paraId="0EEF754F"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Параметрите на бюджетната рамка за периода 2026-2028 г. са съобразени с фискалните правила, ограниченията, допустимите отклонения и активираните клаузи за дерогации, предвидени в реформираната и ревизирана европейска рамка за икономическо управление и други актове на ЕС, които предстои да бъдат транспонирани и в националното бюджетно законодателство. Те са съобразени и с предложението на Европейската комисия за активиране на процедура по свръхдефицит и необходимостта от стабилизирането на публичните финанси в средносрочен и дългосрочен план.</w:t>
      </w:r>
    </w:p>
    <w:p w14:paraId="13741B70"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Промените на Директива 2011/85/ЕС относно изискванията за бюджетните рамки на държавите членки следва да бъдат транспонирани в националното бюджетно законодателство и понастоящаем е в ход изготвянето на предложения за промени в Закона за публичните финанси, Закона за Фискален съвет и автоматични корективни механизми и др., свързани с необходимостта от привеждане на националното законодателство в съответствие с реформираната рамка за икономическо управление на Европейския съюз.</w:t>
      </w:r>
    </w:p>
    <w:p w14:paraId="684D52F4"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Освен това, във връзка с членството на България в еврозоната от 1 януари 2026 г. се предвиждат и промени в националното законодателство, свързани с прилагането на Регламент (ЕС) № 473/2013 на Европейския парламент и на Съвета от 21 май 2013 г. относно общите разпоредби за мониторинг и оценка на проектите за бюджетни планове за гарантиране на коригирането на прекомерния дефицит на държавите членки в еврозоната.</w:t>
      </w:r>
    </w:p>
    <w:p w14:paraId="79744E7A"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Качеството на публичните финанси се гради на основата на разработваните макроикономически и бюджетни прогнози в подкрепа на провежданата от правителството фискална политика.</w:t>
      </w:r>
    </w:p>
    <w:p w14:paraId="7DF3977A"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На база на проведеното през 2023 г. девето проучване през м. май 2024 г. беше присъдена и публикувана на интернет страницата на Международното бюджетно партньорство регулярната оценка за бюджетната прозрачност на страната, която се повиши на 79 пункта (с 8 пункта повече от присъдената оценка през 2022 г.), с което България запази позицията си сред втората група държави с оценка между 60 и 80 пункта (от максимални 100), което предполага, че се предоставя „значителна информация“ за бюджета.</w:t>
      </w:r>
    </w:p>
    <w:p w14:paraId="0507189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През 2025 г. Министерството на финансите получи уведомление от Международното бюджетно партньорство, че временно органичава обхвата на държавите, в т.ч. и България, които ще бъдат обект на проучването за открит бюджет. Въпреки това, Министерството на финансите си е поставило амбициозната задача да продължава последователните си стъпки за надграждане на бюджетната прозрачност. </w:t>
      </w:r>
    </w:p>
    <w:p w14:paraId="7C46F04E" w14:textId="77777777" w:rsidR="00761800" w:rsidRPr="00761800" w:rsidRDefault="00761800" w:rsidP="00761800">
      <w:pPr>
        <w:spacing w:after="200"/>
        <w:jc w:val="both"/>
        <w:rPr>
          <w:rFonts w:ascii="Times New Roman" w:hAnsi="Times New Roman"/>
          <w:szCs w:val="24"/>
          <w:lang w:val="bg" w:eastAsia="bg-BG"/>
        </w:rPr>
      </w:pPr>
      <w:r w:rsidRPr="00761800">
        <w:rPr>
          <w:rFonts w:ascii="Times New Roman" w:hAnsi="Times New Roman"/>
          <w:szCs w:val="24"/>
          <w:lang w:eastAsia="bg-BG"/>
        </w:rPr>
        <w:t xml:space="preserve">Във връзка с прегледа на присъединяването на Република България по правните инструменти от обхвата на Комитета за висши длъжностни лица по бюджета на Организацията за икономическо сътрудничество и развитие през м. декември 2024 г. беше проведено заседание на Комитета за вземане на решение за присъединяване. </w:t>
      </w:r>
      <w:r w:rsidRPr="00761800">
        <w:rPr>
          <w:rFonts w:ascii="Times New Roman" w:hAnsi="Times New Roman"/>
          <w:szCs w:val="24"/>
          <w:lang w:val="bg" w:eastAsia="bg-BG"/>
        </w:rPr>
        <w:t xml:space="preserve">Въз основа на извършения преглед се констатира, че политиките и практиките на България </w:t>
      </w:r>
      <w:r w:rsidRPr="00761800">
        <w:rPr>
          <w:rFonts w:ascii="Times New Roman" w:hAnsi="Times New Roman"/>
          <w:szCs w:val="24"/>
          <w:lang w:val="bg" w:eastAsia="bg-BG"/>
        </w:rPr>
        <w:lastRenderedPageBreak/>
        <w:t>като цяло са в съответствие с политиките и практиките на ОИСР по отношение на съответните основни принципи в областта на бюджетното управление, с което беше взето и окончателно решение на Комитета за финализиране на присъединителната процедура. В тази връзка Министерството на финансите работи по активизирането на участието в различни групи и формати към Комитета за висши длъжностни лица по бюджета, потвърждение на което е и фактът, че Министерството на финансите прие домакинството на двадесетата Годишна среща на регионалната мрежа на Комитета за висши длъжностни лица по бюджета на Организацията за икономическо сътрудничество и развитие за Централна, Източна и Югоизточна Европа. Срещата се проведе на 2 и 3 октомври 2025 г. в София съвместно с Бюджетната общност за практика към инициативата PEMPAL под егидата на Световната банка и в нея участваха представители на ОИСР, на Световната банка на други международни организации, институти и делегати от двадесет държави от региона.</w:t>
      </w:r>
    </w:p>
    <w:p w14:paraId="487DDAEB" w14:textId="77777777" w:rsidR="00761800" w:rsidRPr="00761800" w:rsidRDefault="00761800" w:rsidP="00761800">
      <w:pPr>
        <w:spacing w:after="200"/>
        <w:jc w:val="both"/>
        <w:rPr>
          <w:rFonts w:ascii="Times New Roman" w:eastAsia="Batang" w:hAnsi="Times New Roman"/>
          <w:szCs w:val="22"/>
          <w:highlight w:val="yellow"/>
          <w:lang w:eastAsia="bg-BG"/>
        </w:rPr>
      </w:pPr>
      <w:r w:rsidRPr="00761800">
        <w:rPr>
          <w:rFonts w:ascii="Times New Roman" w:hAnsi="Times New Roman"/>
          <w:szCs w:val="24"/>
          <w:lang w:val="bg" w:eastAsia="bg-BG"/>
        </w:rPr>
        <w:t>Във връзка с изпълнение на препоръките от присъединителния преглед за определяне на документите, процедурите и приложимата методология за капиталово бюджетиране в рамките на бюджетния процес се реализира проект 25BG11 „Improving the efficiency and quality of public investments in Bulgaria“ („Подобряване на ефективността и качеството на публичните инвестиции в България“) с консултантската подкрепа на ОИСР.</w:t>
      </w:r>
    </w:p>
    <w:p w14:paraId="1F444982" w14:textId="77777777" w:rsidR="00761800" w:rsidRPr="00761800" w:rsidRDefault="00761800" w:rsidP="00761800">
      <w:pPr>
        <w:keepNext/>
        <w:keepLines/>
        <w:spacing w:before="120" w:after="1080"/>
        <w:outlineLvl w:val="0"/>
        <w:rPr>
          <w:rFonts w:ascii="Times New Roman" w:hAnsi="Times New Roman"/>
          <w:bCs/>
          <w:spacing w:val="10"/>
          <w:sz w:val="52"/>
          <w:szCs w:val="28"/>
          <w:lang w:eastAsia="bg-BG"/>
        </w:rPr>
        <w:sectPr w:rsidR="00761800" w:rsidRPr="00761800" w:rsidSect="00406B4D">
          <w:pgSz w:w="11906" w:h="16838" w:code="9"/>
          <w:pgMar w:top="1418" w:right="1418" w:bottom="851" w:left="1418" w:header="708" w:footer="708" w:gutter="0"/>
          <w:cols w:space="708"/>
          <w:titlePg/>
          <w:docGrid w:linePitch="360"/>
        </w:sectPr>
      </w:pPr>
      <w:bookmarkStart w:id="525" w:name="_Toc511810188"/>
    </w:p>
    <w:bookmarkStart w:id="526" w:name="_Toc233717498"/>
    <w:p w14:paraId="19C4B56E" w14:textId="77777777" w:rsidR="00761800" w:rsidRPr="00761800" w:rsidRDefault="00761800" w:rsidP="00761800">
      <w:pPr>
        <w:keepNext/>
        <w:keepLines/>
        <w:spacing w:before="120" w:after="1080"/>
        <w:outlineLvl w:val="0"/>
        <w:rPr>
          <w:rFonts w:ascii="Times New Roman" w:hAnsi="Times New Roman"/>
          <w:bCs/>
          <w:spacing w:val="10"/>
          <w:sz w:val="52"/>
          <w:szCs w:val="28"/>
          <w:lang w:eastAsia="bg-BG"/>
        </w:rPr>
      </w:pPr>
      <w:r w:rsidRPr="00761800">
        <w:rPr>
          <w:rFonts w:ascii="Times New Roman" w:hAnsi="Times New Roman"/>
          <w:bCs/>
          <w:noProof/>
          <w:color w:val="852010"/>
          <w:spacing w:val="10"/>
          <w:sz w:val="52"/>
          <w:szCs w:val="28"/>
          <w:lang w:eastAsia="bg-BG"/>
        </w:rPr>
        <w:lastRenderedPageBreak/>
        <mc:AlternateContent>
          <mc:Choice Requires="wps">
            <w:drawing>
              <wp:anchor distT="0" distB="0" distL="114300" distR="114300" simplePos="0" relativeHeight="251845120" behindDoc="1" locked="0" layoutInCell="1" allowOverlap="1" wp14:anchorId="28F6BC8C" wp14:editId="1CAC20B3">
                <wp:simplePos x="0" y="0"/>
                <wp:positionH relativeFrom="page">
                  <wp:align>right</wp:align>
                </wp:positionH>
                <wp:positionV relativeFrom="paragraph">
                  <wp:posOffset>-901700</wp:posOffset>
                </wp:positionV>
                <wp:extent cx="7560860" cy="2520000"/>
                <wp:effectExtent l="0" t="0" r="2540" b="0"/>
                <wp:wrapNone/>
                <wp:docPr id="40" name="Rectangle 40"/>
                <wp:cNvGraphicFramePr/>
                <a:graphic xmlns:a="http://schemas.openxmlformats.org/drawingml/2006/main">
                  <a:graphicData uri="http://schemas.microsoft.com/office/word/2010/wordprocessingShape">
                    <wps:wsp>
                      <wps:cNvSpPr/>
                      <wps:spPr>
                        <a:xfrm>
                          <a:off x="0" y="0"/>
                          <a:ext cx="7560860" cy="2520000"/>
                        </a:xfrm>
                        <a:prstGeom prst="rect">
                          <a:avLst/>
                        </a:prstGeom>
                        <a:solidFill>
                          <a:srgbClr val="B32C16">
                            <a:lumMod val="20000"/>
                            <a:lumOff val="80000"/>
                          </a:srgbClr>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6C3197" id="Rectangle 40" o:spid="_x0000_s1026" style="position:absolute;margin-left:544.15pt;margin-top:-71pt;width:595.35pt;height:198.45pt;z-index:-25147136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" fillcolor="#f8cfc8" stroked="f" strokeweight="1pt">
                <w10:wrap anchorx="page"/>
              </v:rect>
            </w:pict>
          </mc:Fallback>
        </mc:AlternateContent>
      </w:r>
      <w:r w:rsidRPr="00761800">
        <w:rPr>
          <w:rFonts w:ascii="Times New Roman" w:hAnsi="Times New Roman"/>
          <w:bCs/>
          <w:noProof/>
          <w:color w:val="852010"/>
          <w:spacing w:val="10"/>
          <w:sz w:val="52"/>
          <w:szCs w:val="28"/>
          <w:lang w:eastAsia="bg-BG"/>
        </w:rPr>
        <mc:AlternateContent>
          <mc:Choice Requires="wps">
            <w:drawing>
              <wp:anchor distT="0" distB="0" distL="114300" distR="114300" simplePos="0" relativeHeight="251850240" behindDoc="0" locked="0" layoutInCell="1" allowOverlap="1" wp14:anchorId="126F44B4" wp14:editId="51AB606B">
                <wp:simplePos x="0" y="0"/>
                <wp:positionH relativeFrom="column">
                  <wp:posOffset>-898525</wp:posOffset>
                </wp:positionH>
                <wp:positionV relativeFrom="paragraph">
                  <wp:posOffset>1605128</wp:posOffset>
                </wp:positionV>
                <wp:extent cx="7560310" cy="0"/>
                <wp:effectExtent l="0" t="0" r="21590" b="19050"/>
                <wp:wrapNone/>
                <wp:docPr id="41" name="Straight Connector 41"/>
                <wp:cNvGraphicFramePr/>
                <a:graphic xmlns:a="http://schemas.openxmlformats.org/drawingml/2006/main">
                  <a:graphicData uri="http://schemas.microsoft.com/office/word/2010/wordprocessingShape">
                    <wps:wsp>
                      <wps:cNvCnPr/>
                      <wps:spPr>
                        <a:xfrm>
                          <a:off x="0" y="0"/>
                          <a:ext cx="7560310" cy="0"/>
                        </a:xfrm>
                        <a:prstGeom prst="line">
                          <a:avLst/>
                        </a:prstGeom>
                        <a:noFill/>
                        <a:ln w="9525" cap="flat" cmpd="sng" algn="ctr">
                          <a:solidFill>
                            <a:srgbClr val="B32C16"/>
                          </a:solidFill>
                          <a:prstDash val="solid"/>
                        </a:ln>
                        <a:effectLst/>
                      </wps:spPr>
                      <wps:bodyPr/>
                    </wps:wsp>
                  </a:graphicData>
                </a:graphic>
              </wp:anchor>
            </w:drawing>
          </mc:Choice>
          <mc:Fallback>
            <w:pict>
              <v:line w14:anchorId="36ED27BB" id="Straight Connector 41" o:spid="_x0000_s1026" style="position:absolute;z-index:251850240;visibility:visible;mso-wrap-style:square;mso-wrap-distance-left:9pt;mso-wrap-distance-top:0;mso-wrap-distance-right:9pt;mso-wrap-distance-bottom:0;mso-position-horizontal:absolute;mso-position-horizontal-relative:text;mso-position-vertical:absolute;mso-position-vertical-relative:text" from="-70.75pt,126.4pt" to="524.55pt,1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" strokecolor="#b32c16"/>
            </w:pict>
          </mc:Fallback>
        </mc:AlternateContent>
      </w:r>
      <w:r w:rsidRPr="00761800">
        <w:rPr>
          <w:rFonts w:ascii="Times New Roman" w:hAnsi="Times New Roman"/>
          <w:bCs/>
          <w:color w:val="852010"/>
          <w:spacing w:val="10"/>
          <w:sz w:val="52"/>
          <w:szCs w:val="28"/>
          <w:lang w:eastAsia="bg-BG"/>
        </w:rPr>
        <w:br/>
      </w:r>
      <w:bookmarkEnd w:id="525"/>
      <w:r w:rsidRPr="00761800">
        <w:rPr>
          <w:rFonts w:ascii="Times New Roman" w:hAnsi="Times New Roman"/>
          <w:bCs/>
          <w:spacing w:val="10"/>
          <w:sz w:val="52"/>
          <w:szCs w:val="28"/>
          <w:lang w:eastAsia="bg-BG"/>
        </w:rPr>
        <w:t>Мотиви към предложенията за промяна на други закони в проекта на ЗДБРБ за 2026 г.</w:t>
      </w:r>
      <w:bookmarkEnd w:id="526"/>
    </w:p>
    <w:p w14:paraId="2A70EF17" w14:textId="77777777" w:rsidR="00761800" w:rsidRPr="00761800" w:rsidRDefault="00761800" w:rsidP="00761800">
      <w:pPr>
        <w:spacing w:after="200"/>
        <w:jc w:val="both"/>
        <w:rPr>
          <w:rFonts w:ascii="Times New Roman" w:hAnsi="Times New Roman"/>
          <w:b/>
          <w:szCs w:val="24"/>
          <w:lang w:eastAsia="bg-BG"/>
        </w:rPr>
      </w:pPr>
      <w:bookmarkStart w:id="527" w:name="_Toc464466466"/>
      <w:bookmarkStart w:id="528" w:name="_Toc464466710"/>
      <w:bookmarkStart w:id="529" w:name="_Toc464466739"/>
      <w:bookmarkStart w:id="530" w:name="_Toc464470250"/>
      <w:bookmarkStart w:id="531" w:name="_Toc464645031"/>
      <w:bookmarkStart w:id="532" w:name="_Toc464646384"/>
      <w:bookmarkStart w:id="533" w:name="_Toc464224822"/>
      <w:bookmarkStart w:id="534" w:name="_Toc464225472"/>
      <w:bookmarkStart w:id="535" w:name="_Toc464459019"/>
      <w:bookmarkStart w:id="536" w:name="_Toc464459767"/>
      <w:bookmarkStart w:id="537" w:name="_Toc464460720"/>
      <w:bookmarkStart w:id="538" w:name="_Toc464463119"/>
      <w:bookmarkStart w:id="539" w:name="_Toc464464948"/>
      <w:bookmarkStart w:id="540" w:name="_Toc464465455"/>
      <w:bookmarkStart w:id="541" w:name="_Toc464465643"/>
      <w:r w:rsidRPr="00761800">
        <w:rPr>
          <w:rFonts w:ascii="Times New Roman" w:hAnsi="Times New Roman"/>
          <w:b/>
          <w:szCs w:val="24"/>
          <w:lang w:eastAsia="bg-BG"/>
        </w:rPr>
        <w:t>Със законопроекта за държавния бюджета на Република България за 2026 г. се предлагат промени в други закони. Мотивите за тези предложения са, както следва:</w:t>
      </w:r>
    </w:p>
    <w:p w14:paraId="49910CB0" w14:textId="77777777" w:rsidR="00761800" w:rsidRPr="00761800" w:rsidRDefault="00761800" w:rsidP="00F64909">
      <w:pPr>
        <w:numPr>
          <w:ilvl w:val="0"/>
          <w:numId w:val="2"/>
        </w:numPr>
        <w:spacing w:after="200"/>
        <w:contextualSpacing/>
        <w:jc w:val="both"/>
        <w:rPr>
          <w:rFonts w:ascii="Times New Roman" w:hAnsi="Times New Roman"/>
          <w:b/>
          <w:color w:val="852010"/>
          <w:szCs w:val="22"/>
          <w:lang w:eastAsia="bg-BG"/>
        </w:rPr>
      </w:pPr>
      <w:r w:rsidRPr="00761800">
        <w:rPr>
          <w:rFonts w:ascii="Times New Roman" w:hAnsi="Times New Roman"/>
          <w:b/>
          <w:color w:val="852010"/>
          <w:szCs w:val="22"/>
          <w:lang w:eastAsia="bg-BG"/>
        </w:rPr>
        <w:t>В Закона за данък върху добавената стойност</w:t>
      </w:r>
    </w:p>
    <w:p w14:paraId="5CA092C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Предлаганото изменение в Закона за данък върху добавената стойност цели да въведе яснота в нормативната уредба, като изрично регламентира, че предоставянето от ВиК оператор на услуги по изграждане, доизграждане и реконструкция на водоснабдителни и канализационни мрежи – публични активи, финансирани по ОПОС 2014-2020 г. и ПОС 2021-2027 г., не представлява доставка по смисъла на чл. 10б, ал. 1 ЗДДС. Това е обосновано от факта, че ВиК операторът действа като изпълнител на възложени му публични функции и полученото възнаграждение покрива единствено разходите по реализиране на проектите, без да се реализира печалба или друго насрещно възнаграждение със стопански характер. Предлаганото изменение цели да въведе яснота в нормативната уредба, като изрично регламентира, че предоставянето от ВиК оператор на услуги по изграждане, доизграждане и реконструкция на водоснабдителни и канализационни мрежи – публични активи, финансирани по ОПОС 2014-2020 г. и ПОС 2021-2027 г., не представлява доставка по смисъла на чл. 10б, ал. 1 от ЗДДС. Същевременно, предвид спецификата на финансирането, предлаганата норма ограничава освобождаването от ДДС само до частта от стойността на услугите, която е финансирана по европейските програми и от националното съфинансиране.</w:t>
      </w:r>
    </w:p>
    <w:p w14:paraId="172BCA24" w14:textId="77777777" w:rsidR="00761800" w:rsidRPr="00761800" w:rsidRDefault="00761800" w:rsidP="00F64909">
      <w:pPr>
        <w:numPr>
          <w:ilvl w:val="0"/>
          <w:numId w:val="2"/>
        </w:numPr>
        <w:spacing w:after="200"/>
        <w:contextualSpacing/>
        <w:jc w:val="both"/>
        <w:rPr>
          <w:rFonts w:ascii="Times New Roman" w:hAnsi="Times New Roman"/>
          <w:b/>
          <w:color w:val="852010"/>
          <w:szCs w:val="22"/>
          <w:lang w:eastAsia="bg-BG"/>
        </w:rPr>
      </w:pPr>
      <w:r w:rsidRPr="00761800">
        <w:rPr>
          <w:rFonts w:ascii="Times New Roman" w:hAnsi="Times New Roman"/>
          <w:b/>
          <w:color w:val="852010"/>
          <w:szCs w:val="22"/>
          <w:lang w:eastAsia="bg-BG"/>
        </w:rPr>
        <w:t>В Закона за хазарта</w:t>
      </w:r>
    </w:p>
    <w:p w14:paraId="05F6857F" w14:textId="77777777" w:rsidR="00761800" w:rsidRPr="00761800" w:rsidRDefault="00761800" w:rsidP="00761800">
      <w:pPr>
        <w:autoSpaceDE w:val="0"/>
        <w:autoSpaceDN w:val="0"/>
        <w:adjustRightInd w:val="0"/>
        <w:spacing w:after="200"/>
        <w:jc w:val="both"/>
        <w:rPr>
          <w:rFonts w:ascii="Times New Roman" w:hAnsi="Times New Roman"/>
          <w:szCs w:val="24"/>
          <w:lang w:eastAsia="bg-BG"/>
        </w:rPr>
      </w:pPr>
      <w:r w:rsidRPr="00761800">
        <w:rPr>
          <w:rFonts w:ascii="Times New Roman" w:hAnsi="Times New Roman"/>
          <w:szCs w:val="24"/>
          <w:lang w:eastAsia="bg-BG"/>
        </w:rPr>
        <w:t>С оглед на необходимостта от укрепване на публичните финанси чрез повишаване на бюджетните приходи, се предлагат промени в Закона за хазарта, чрез които ефективно да се ограничи нелегалния хазарт и да се засили държавния контрол върху сектора. По експертни оценки делът на нелегалния хазарт в България достига около 40% от пазара, което води до съществени загуби за държавния бюджет, изкривяване на конкурентната среда и отслабване на ефективността на регулаторната рамка. Този значителен нерегламентиран сегмент създава условия за заобикаляне на закона и поставя в неравнопоставено положение лицензираните оператори, които изпълняват всички данъчни и регулаторни изисквания.</w:t>
      </w:r>
    </w:p>
    <w:p w14:paraId="5D6C1860" w14:textId="77777777" w:rsidR="00761800" w:rsidRPr="00761800" w:rsidRDefault="00761800" w:rsidP="00761800">
      <w:pPr>
        <w:autoSpaceDE w:val="0"/>
        <w:autoSpaceDN w:val="0"/>
        <w:adjustRightInd w:val="0"/>
        <w:spacing w:after="200"/>
        <w:jc w:val="both"/>
        <w:rPr>
          <w:rFonts w:ascii="Times New Roman" w:hAnsi="Times New Roman"/>
          <w:szCs w:val="24"/>
          <w:lang w:eastAsia="bg-BG"/>
        </w:rPr>
      </w:pPr>
      <w:r w:rsidRPr="00761800">
        <w:rPr>
          <w:rFonts w:ascii="Times New Roman" w:hAnsi="Times New Roman"/>
          <w:szCs w:val="24"/>
          <w:lang w:eastAsia="bg-BG"/>
        </w:rPr>
        <w:t>С предлаганите промени се цели ясно регламентиране на дейността на афилиейт операторите, които срещу възнаграждение популяризират хазартни игри, начина на облагане на възнагражденията, които афилиейт операторите получават от организаторите на хазартни игри за постигнати резултати, забраните за популяризиране на хазартни игри организирани от нелегални хазартни оператори и др.</w:t>
      </w:r>
    </w:p>
    <w:p w14:paraId="16F00068" w14:textId="77777777" w:rsidR="00761800" w:rsidRPr="00761800" w:rsidRDefault="00761800" w:rsidP="00761800">
      <w:pPr>
        <w:autoSpaceDE w:val="0"/>
        <w:autoSpaceDN w:val="0"/>
        <w:adjustRightInd w:val="0"/>
        <w:spacing w:after="200"/>
        <w:jc w:val="both"/>
        <w:rPr>
          <w:rFonts w:ascii="Times New Roman" w:hAnsi="Times New Roman"/>
          <w:szCs w:val="24"/>
          <w:lang w:eastAsia="bg-BG"/>
        </w:rPr>
      </w:pPr>
      <w:r w:rsidRPr="00761800">
        <w:rPr>
          <w:rFonts w:ascii="Times New Roman" w:hAnsi="Times New Roman"/>
          <w:szCs w:val="24"/>
          <w:lang w:eastAsia="bg-BG"/>
        </w:rPr>
        <w:lastRenderedPageBreak/>
        <w:t>Едновременно с това се въвеждат по-ефективни и практически приложими инструменти за противодействие на нелегалния хазарт, като сред ключовите мерки е блокирането на платежни трансакции към нерегламентирани оператори. Чрез прекъсване на платежните канали се намалява икономическата привлекателност и оперативната жизнеспособност на незаконната дейност, като същевременно се повишава ефективността на контрола без необходимост от непропорционално разширяване на административния ресурс. Мярката има и ясен защитен ефект спрямо лицензираните оператори, като възстановява равнопоставеността на пазара и предотвратява нелоялна конкуренция, основана на заобикаляне на регулаторните и данъчните задължения.</w:t>
      </w:r>
    </w:p>
    <w:p w14:paraId="104C4DFB" w14:textId="77777777" w:rsidR="00761800" w:rsidRPr="00761800" w:rsidRDefault="00761800" w:rsidP="00761800">
      <w:pPr>
        <w:autoSpaceDE w:val="0"/>
        <w:autoSpaceDN w:val="0"/>
        <w:adjustRightInd w:val="0"/>
        <w:spacing w:after="200"/>
        <w:jc w:val="both"/>
        <w:rPr>
          <w:rFonts w:ascii="Times New Roman" w:hAnsi="Times New Roman"/>
          <w:szCs w:val="24"/>
          <w:lang w:eastAsia="bg-BG"/>
        </w:rPr>
      </w:pPr>
      <w:r w:rsidRPr="00761800">
        <w:rPr>
          <w:rFonts w:ascii="Times New Roman" w:hAnsi="Times New Roman"/>
          <w:szCs w:val="24"/>
          <w:lang w:eastAsia="bg-BG"/>
        </w:rPr>
        <w:t>Въз основа на предложените промени в Закона за хазарта ще се изгради интегрирана динамична система за мониторинг и актуализация в реално време - централизирана платформа, поддържана от Националната агенция за приходите (НАП), която ще събира, обработва и актуализира информация свързана с нелицензираните хазартни оператори.</w:t>
      </w:r>
    </w:p>
    <w:p w14:paraId="5A585280" w14:textId="77777777" w:rsidR="00761800" w:rsidRPr="00761800" w:rsidRDefault="00761800" w:rsidP="00761800">
      <w:pPr>
        <w:autoSpaceDE w:val="0"/>
        <w:autoSpaceDN w:val="0"/>
        <w:adjustRightInd w:val="0"/>
        <w:spacing w:after="200"/>
        <w:jc w:val="both"/>
        <w:rPr>
          <w:rFonts w:ascii="Times New Roman" w:hAnsi="Times New Roman"/>
          <w:szCs w:val="24"/>
          <w:lang w:eastAsia="bg-BG"/>
        </w:rPr>
      </w:pPr>
      <w:r w:rsidRPr="00761800">
        <w:rPr>
          <w:rFonts w:ascii="Times New Roman" w:hAnsi="Times New Roman"/>
          <w:szCs w:val="24"/>
          <w:lang w:eastAsia="bg-BG"/>
        </w:rPr>
        <w:t>Предложените промени имат за цел не само повишаване на правната сигурност за участниците на пазара, но и създаване на по-устойчива регулаторна среда, която гарантира по-висока събираемост на бюджетните приходи, по-добра защита на потребителите и ограничаване на дела на сивия сектор в хазарта.</w:t>
      </w:r>
    </w:p>
    <w:p w14:paraId="0961DACF" w14:textId="77777777" w:rsidR="00761800" w:rsidRPr="00761800" w:rsidRDefault="00761800" w:rsidP="00F64909">
      <w:pPr>
        <w:numPr>
          <w:ilvl w:val="0"/>
          <w:numId w:val="2"/>
        </w:numPr>
        <w:spacing w:after="200"/>
        <w:jc w:val="both"/>
        <w:rPr>
          <w:rFonts w:ascii="Times New Roman" w:hAnsi="Times New Roman"/>
          <w:b/>
          <w:color w:val="852010"/>
          <w:szCs w:val="24"/>
          <w:lang w:eastAsia="bg-BG"/>
        </w:rPr>
      </w:pPr>
      <w:r w:rsidRPr="00761800">
        <w:rPr>
          <w:rFonts w:ascii="Times New Roman" w:hAnsi="Times New Roman"/>
          <w:b/>
          <w:color w:val="852010"/>
          <w:szCs w:val="24"/>
          <w:lang w:eastAsia="bg-BG"/>
        </w:rPr>
        <w:t>В Закона за акцизите и данъчните складове</w:t>
      </w:r>
    </w:p>
    <w:p w14:paraId="0A13F6AB"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Предложението за изменение на въведения със Закона за акцизите и данъчните складове  акцизен календар, е част от мерките за повишаване на данъчните приходи, както и от необходимите действия във връзка с напредналите преговори на европейско ниво по изменението на Директива 2011/64/ЕС на Съвета от 21 юни 2011 г. относно структурата и ставките на акциза върху обработен тютюн, включително във връзка с предложеното увеличаване на минималните нива на данъчно облагане на тютюневите изделия и свързаните с тях продукти.</w:t>
      </w:r>
    </w:p>
    <w:p w14:paraId="3AEAABD4"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Към настоящия момент в България се прилагат нива на акцизно облагане на тютюневите изделия, близки до минималните за Европейския съюз. Очакваното въвеждане на по-високи минимални нива на облагане с приемането на новата европейска регулаторна рамка ще има съществено отражение върху страната, което налага предприемането на своевременни мерки за осигуряване на плавен и балансиран преход.</w:t>
      </w:r>
    </w:p>
    <w:p w14:paraId="57CEB636"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В тази връзка се предлага изменение на действащия акцизен календар чрез съкращаване на периодите за достигане на предвидените акцизни ставки. Целта е да се осигури по-голяма степен на съответствие и пропорционалност при бъдещото прилагане на новата акцизна рамка, като същевременно се ограничи рискът от значително изоставане на страната спрямо останалите държави членки на ЕС по отношение на нивата на акцизно облагане.</w:t>
      </w:r>
    </w:p>
    <w:p w14:paraId="3031196C"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Акцизният календар представлява продължение на установената практика за осигуряване на прозрачност на процесите, предвидимост за икономическите оператори и стабилност за потребителите.</w:t>
      </w:r>
    </w:p>
    <w:p w14:paraId="66A91BF9"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Предложената промяна е в съответствие със стратегическите цели на Европейския съюз, насочени към защита на общественото здраве и изграждане на по-ефективна, координирана и устойчива политика в областта на акцизното облагане на тютюневите изделия и свързаните с тях продукти.</w:t>
      </w:r>
    </w:p>
    <w:p w14:paraId="00A3143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lastRenderedPageBreak/>
        <w:t>Предвиденото поетапно увеличаване на акцизните ставки ще предотврати риска от значително нарастване на незаконната търговия с тютюневи изделия, потенциални сътресения на пазара и неблагоприятно въздействие върху бюджетните приходи.</w:t>
      </w:r>
    </w:p>
    <w:p w14:paraId="0B4A9BDB" w14:textId="77777777" w:rsidR="00761800" w:rsidRPr="00761800" w:rsidRDefault="00761800" w:rsidP="00F64909">
      <w:pPr>
        <w:numPr>
          <w:ilvl w:val="0"/>
          <w:numId w:val="2"/>
        </w:numPr>
        <w:spacing w:after="200"/>
        <w:contextualSpacing/>
        <w:jc w:val="both"/>
        <w:rPr>
          <w:rFonts w:ascii="Times New Roman" w:hAnsi="Times New Roman"/>
          <w:b/>
          <w:color w:val="852010"/>
          <w:szCs w:val="22"/>
          <w:lang w:eastAsia="bg-BG"/>
        </w:rPr>
      </w:pPr>
      <w:r w:rsidRPr="00761800">
        <w:rPr>
          <w:rFonts w:ascii="Times New Roman" w:hAnsi="Times New Roman"/>
          <w:b/>
          <w:color w:val="852010"/>
          <w:szCs w:val="22"/>
          <w:lang w:eastAsia="bg-BG"/>
        </w:rPr>
        <w:t xml:space="preserve">В Данъчно-осигурителния процесуален кодекс </w:t>
      </w:r>
    </w:p>
    <w:p w14:paraId="4849E44B" w14:textId="77777777" w:rsidR="00761800" w:rsidRPr="00761800" w:rsidRDefault="00761800" w:rsidP="00761800">
      <w:pPr>
        <w:autoSpaceDE w:val="0"/>
        <w:autoSpaceDN w:val="0"/>
        <w:adjustRightInd w:val="0"/>
        <w:spacing w:after="200"/>
        <w:jc w:val="both"/>
        <w:rPr>
          <w:rFonts w:ascii="Times New Roman" w:eastAsia="Batang" w:hAnsi="Times New Roman" w:cs="Calibri"/>
          <w:color w:val="000000"/>
          <w:szCs w:val="24"/>
        </w:rPr>
      </w:pPr>
      <w:r w:rsidRPr="00761800">
        <w:rPr>
          <w:rFonts w:ascii="Times New Roman" w:eastAsia="Calibri" w:hAnsi="Times New Roman" w:cs="Calibri"/>
          <w:color w:val="000000"/>
          <w:szCs w:val="24"/>
        </w:rPr>
        <w:t xml:space="preserve">Законопроектът за изменение и допълнение на Данъчно-осигурителния процесуален кодекс е разработен във връзка с необходимостта от приемане на спешни законодателни мерки за повишаване на събираемостта на данъци и осигуровки, намаляване на просрочените публични вземания и повишаване на бюджетните приходи. </w:t>
      </w:r>
      <w:r w:rsidRPr="00761800">
        <w:rPr>
          <w:rFonts w:ascii="Times New Roman" w:eastAsia="Batang" w:hAnsi="Times New Roman" w:cs="Calibri"/>
          <w:color w:val="000000"/>
          <w:szCs w:val="24"/>
        </w:rPr>
        <w:t xml:space="preserve">В тази връзка и с оглед постигане на равнопоставеност между лицата, разходващи публични средства, и в контекста на повишаване на приходите от просрочени публични задължения с настоящия законопроект се предлага разширяване на обхвата на лицата, които ще прилагат режима по глава 21а като се добавят и лицата, представляващи публичните предприятия по смисъла на чл. 2 от Закона за публичните предприятия. </w:t>
      </w:r>
      <w:r w:rsidRPr="00761800">
        <w:rPr>
          <w:rFonts w:ascii="Times New Roman" w:hAnsi="Times New Roman" w:cs="Calibri"/>
          <w:color w:val="000000"/>
          <w:szCs w:val="24"/>
          <w:lang w:eastAsia="bg-BG"/>
        </w:rPr>
        <w:t xml:space="preserve">Целта на тази промяна е да се </w:t>
      </w:r>
      <w:r w:rsidRPr="00761800">
        <w:rPr>
          <w:rFonts w:ascii="Times New Roman" w:eastAsia="Batang" w:hAnsi="Times New Roman" w:cs="Calibri"/>
          <w:color w:val="000000"/>
          <w:szCs w:val="24"/>
        </w:rPr>
        <w:t>постигане равнопоставеност между лицата, разходващи публични средства, както и повишаване на приходите от просрочени публични задължения в държавния бюджет.</w:t>
      </w:r>
    </w:p>
    <w:p w14:paraId="55C7FE61" w14:textId="77777777" w:rsidR="00761800" w:rsidRPr="00761800" w:rsidRDefault="00761800" w:rsidP="00761800">
      <w:pPr>
        <w:autoSpaceDE w:val="0"/>
        <w:autoSpaceDN w:val="0"/>
        <w:adjustRightInd w:val="0"/>
        <w:spacing w:after="200"/>
        <w:jc w:val="both"/>
        <w:rPr>
          <w:rFonts w:ascii="Times New Roman" w:eastAsia="Batang" w:hAnsi="Times New Roman" w:cs="Calibri"/>
          <w:color w:val="000000"/>
          <w:szCs w:val="24"/>
        </w:rPr>
      </w:pPr>
      <w:r w:rsidRPr="00761800">
        <w:rPr>
          <w:rFonts w:ascii="Times New Roman" w:eastAsia="Batang" w:hAnsi="Times New Roman" w:cs="Calibri"/>
          <w:color w:val="000000"/>
          <w:szCs w:val="24"/>
        </w:rPr>
        <w:t>С цел повишаване на събираемостта на публичните вземания и ограничаване нарастването на просрочените задължения се предлага своевременно насочване на принудителното изпълнение към наличните парични средства в търговските обекти</w:t>
      </w:r>
      <w:r w:rsidRPr="00761800">
        <w:rPr>
          <w:rFonts w:ascii="Times New Roman" w:hAnsi="Times New Roman" w:cs="Calibri"/>
          <w:color w:val="000000"/>
          <w:szCs w:val="24"/>
        </w:rPr>
        <w:t>.</w:t>
      </w:r>
      <w:r w:rsidRPr="00761800">
        <w:rPr>
          <w:rFonts w:ascii="Times New Roman" w:eastAsia="Batang" w:hAnsi="Times New Roman" w:cs="Calibri"/>
          <w:color w:val="000000"/>
          <w:szCs w:val="24"/>
        </w:rPr>
        <w:t xml:space="preserve"> В тази връзка предложението за нова разпоредба на чл. 204а от ДОПК има за цел да уреди запора върху парични средства от бъдещи продажби на стоки или услуги в търговски обект на длъжника. С въвеждане на новата мярка се вменява задължение на длъжника да внася по сметката за принудително изпълнение постъпилите и постъпващите в обекта за съответния ден парични средства в брой (оборота). </w:t>
      </w:r>
    </w:p>
    <w:p w14:paraId="7476AB66" w14:textId="77777777" w:rsidR="00761800" w:rsidRPr="00761800" w:rsidRDefault="00761800" w:rsidP="00761800">
      <w:pPr>
        <w:autoSpaceDE w:val="0"/>
        <w:autoSpaceDN w:val="0"/>
        <w:adjustRightInd w:val="0"/>
        <w:spacing w:after="200"/>
        <w:jc w:val="both"/>
        <w:rPr>
          <w:rFonts w:ascii="Times New Roman" w:hAnsi="Times New Roman" w:cs="Calibri"/>
          <w:color w:val="000000"/>
          <w:szCs w:val="24"/>
          <w:lang w:eastAsia="bg-BG"/>
        </w:rPr>
      </w:pPr>
      <w:r w:rsidRPr="00761800">
        <w:rPr>
          <w:rFonts w:ascii="Times New Roman" w:eastAsia="Batang" w:hAnsi="Times New Roman" w:cs="Calibri"/>
          <w:color w:val="000000"/>
          <w:szCs w:val="24"/>
        </w:rPr>
        <w:t>С</w:t>
      </w:r>
      <w:r w:rsidRPr="00761800">
        <w:rPr>
          <w:rFonts w:ascii="Times New Roman" w:hAnsi="Times New Roman" w:cs="Calibri"/>
          <w:color w:val="000000"/>
          <w:szCs w:val="24"/>
          <w:lang w:eastAsia="bg-BG"/>
        </w:rPr>
        <w:t xml:space="preserve"> предложените промени в законопроекта се предвижда усъвършенстване на правната уредба на обезпечителното и изпълнително производство по събиране на публични вземания чрез създаване на възможност за налагане на обезпечителни мерки и предприемане на изпълнителни действия върху парични средства, които са на длъжника, но се намират по платежни или други сметки на трети лица. Целта на предложените промени е да се предотвратят практики по укриване на активи и затрудняване събирането на публични вземания чрез прехвърляне или държане на парични средства по сметки на трети лица или подставени лица, когато публичният изпълнител разполага с доказателства, че средствата принадлежат на длъжника.</w:t>
      </w:r>
    </w:p>
    <w:p w14:paraId="079A51EF" w14:textId="77777777" w:rsidR="00761800" w:rsidRPr="00761800" w:rsidRDefault="00761800" w:rsidP="00F64909">
      <w:pPr>
        <w:numPr>
          <w:ilvl w:val="0"/>
          <w:numId w:val="2"/>
        </w:numPr>
        <w:spacing w:after="200"/>
        <w:contextualSpacing/>
        <w:jc w:val="both"/>
        <w:rPr>
          <w:rFonts w:ascii="Times New Roman" w:hAnsi="Times New Roman"/>
          <w:b/>
          <w:color w:val="852010"/>
          <w:szCs w:val="22"/>
          <w:lang w:eastAsia="bg-BG"/>
        </w:rPr>
      </w:pPr>
      <w:r w:rsidRPr="00761800">
        <w:rPr>
          <w:rFonts w:ascii="Times New Roman" w:hAnsi="Times New Roman"/>
          <w:b/>
          <w:color w:val="852010"/>
          <w:szCs w:val="22"/>
          <w:lang w:eastAsia="bg-BG"/>
        </w:rPr>
        <w:t>В Търговския закон</w:t>
      </w:r>
    </w:p>
    <w:p w14:paraId="4645E443" w14:textId="77777777" w:rsidR="00761800" w:rsidRPr="00761800" w:rsidRDefault="00761800" w:rsidP="00761800">
      <w:pPr>
        <w:autoSpaceDE w:val="0"/>
        <w:autoSpaceDN w:val="0"/>
        <w:adjustRightInd w:val="0"/>
        <w:spacing w:after="200"/>
        <w:jc w:val="both"/>
        <w:rPr>
          <w:rFonts w:ascii="Times New Roman" w:hAnsi="Times New Roman" w:cs="Calibri"/>
          <w:color w:val="000000"/>
          <w:szCs w:val="24"/>
          <w:lang w:eastAsia="bg-BG"/>
        </w:rPr>
      </w:pPr>
      <w:r w:rsidRPr="00761800">
        <w:rPr>
          <w:rFonts w:ascii="Times New Roman" w:eastAsia="Batang" w:hAnsi="Times New Roman" w:cs="Calibri"/>
          <w:color w:val="000000"/>
          <w:szCs w:val="24"/>
        </w:rPr>
        <w:t xml:space="preserve">С измененията в чл. 16 и чл. 129  се предлага да </w:t>
      </w:r>
      <w:r w:rsidRPr="00761800">
        <w:rPr>
          <w:rFonts w:ascii="Times New Roman" w:hAnsi="Times New Roman" w:cs="Calibri"/>
          <w:color w:val="000000"/>
          <w:szCs w:val="24"/>
          <w:lang w:eastAsia="bg-BG"/>
        </w:rPr>
        <w:t>отпадне изискването за представяне на декларации от прехвърлители и приобретатели относно наличието или липсата на непогасени задължения за задължителни осигурителни вноски при вписване на прехвърляне на предприятие или на дружествен дял. Декларативният подход не гарантира в достатъчна степен актуалността на информацията към момента на вписването и създава предпоставки за технически грешки, непълноти или деклариране на неверни данни. Вместо това необходимата информация ще се удостоверява служебно чрез автоматизирана електронна проверка между информационните системи на компетентните институции. Проверката ще се извършва в реално време или чрез автоматизиран обмен на данни с информационните системи на приходната администрация, като по този начин ще се осигури актуална и надеждна информация за наличието или липсата на непогасени осигурителни задължения към момента на заявяване на вписването.</w:t>
      </w:r>
    </w:p>
    <w:p w14:paraId="0252BF27" w14:textId="77777777" w:rsidR="00761800" w:rsidRPr="00761800" w:rsidRDefault="00761800" w:rsidP="00F64909">
      <w:pPr>
        <w:numPr>
          <w:ilvl w:val="0"/>
          <w:numId w:val="2"/>
        </w:numPr>
        <w:spacing w:after="200"/>
        <w:contextualSpacing/>
        <w:jc w:val="both"/>
        <w:rPr>
          <w:rFonts w:ascii="Times New Roman" w:hAnsi="Times New Roman"/>
          <w:b/>
          <w:color w:val="852010"/>
          <w:szCs w:val="22"/>
          <w:lang w:eastAsia="bg-BG"/>
        </w:rPr>
      </w:pPr>
      <w:r w:rsidRPr="00761800">
        <w:rPr>
          <w:rFonts w:ascii="Times New Roman" w:hAnsi="Times New Roman"/>
          <w:b/>
          <w:color w:val="852010"/>
          <w:szCs w:val="22"/>
          <w:lang w:eastAsia="bg-BG"/>
        </w:rPr>
        <w:lastRenderedPageBreak/>
        <w:t>В Закона за енергетиката, Закона за безопасно използване на ядрената енергия,  Закона за Комисията за финансов надзор, Закона за съдебната власт, Закона за отбраната и въоръжените сили на Република България, Закона за Министерство на вътрешните работи, Закона за Националната служба за охрана, Закона за правната помощ, Закона за защита на личните данни, Закона за висшето образование, Закона за радиото и телевизията, Закона за фискалния съвет и автоматични корективни механизми, Закона за държавния служител</w:t>
      </w:r>
    </w:p>
    <w:p w14:paraId="3B7BE25B"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2"/>
          <w:lang w:eastAsia="bg-BG"/>
        </w:rPr>
        <w:t>В тези закони се предлагат</w:t>
      </w:r>
      <w:r w:rsidRPr="00761800">
        <w:rPr>
          <w:rFonts w:ascii="Times New Roman" w:hAnsi="Times New Roman"/>
          <w:szCs w:val="24"/>
          <w:lang w:eastAsia="bg-BG"/>
        </w:rPr>
        <w:t xml:space="preserve"> промени, с които се предвижда предприемането на нов подход за определяне на възнагражденията в съответните първостепенни разпоредители с бюджет, което ще позволи избягването на автоматични, инертни и трудно контролируеми разходни ефекти в бюджетната система. За целта механизмите за автоматична индексация на възнагражденията са замразени, като отпада обвързването със средната брутна работна заплата и е приложена обща политика от 5% индексиране на заплатите на работниците и служителите в бюджетните организации.  </w:t>
      </w:r>
    </w:p>
    <w:p w14:paraId="1AA796D4"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С цел постигане на единен подход при определяне на възнагражденията на еднолични и колективни държавни органи, както и на най-ниската съдийска, прокурорска и следователска длъжност по Закона за съдебната власт, се предвижда размерите на  възнагражденията да се обвържат с основното месечно възнаграждение на народните представители и/или  ръководни  длъжности на Народното събрание.</w:t>
      </w:r>
    </w:p>
    <w:p w14:paraId="2A51FE5C" w14:textId="77777777" w:rsidR="00761800" w:rsidRPr="00761800" w:rsidRDefault="00761800" w:rsidP="00761800">
      <w:pPr>
        <w:spacing w:after="200"/>
        <w:jc w:val="both"/>
        <w:rPr>
          <w:rFonts w:ascii="Times New Roman" w:hAnsi="Times New Roman"/>
          <w:bCs/>
          <w:szCs w:val="22"/>
          <w:lang w:eastAsia="bg-BG" w:bidi="bg-BG"/>
        </w:rPr>
      </w:pPr>
      <w:r w:rsidRPr="00761800">
        <w:rPr>
          <w:rFonts w:ascii="Times New Roman" w:hAnsi="Times New Roman"/>
          <w:bCs/>
          <w:szCs w:val="22"/>
          <w:lang w:eastAsia="bg-BG" w:bidi="bg-BG"/>
        </w:rPr>
        <w:t>От 01.08.2026 г. се предвижда поетапно държавните служители по Закона за държавния служител и заетите по Закона за съдебната власт да започнат да плащат лични осигурителни вноски, като за 2026 г. съотношението между осигурителя и осигуреното лице е 80:20 разпределено по фондове. За 2027 г. съотношението между осигурителя и осигуреното лице се цели да достигне размерите и съотношенията както за категорията лица, които и към момента заплащат личните си осигурителни вноски съобразно установеното в чл. 6, ал. 3, т. 7  от КСО за фонд „Общо заболяване и майчинство“ и фонд „Безработица“ и в чл. 6, ал. 1, т. 4, б. „а“ и б. „б“ и ал. 3, т. 8, б. „а“ и т. 9, б. „б“ от КСО за фонд „Пенсии“.</w:t>
      </w:r>
    </w:p>
    <w:p w14:paraId="2697E3DE" w14:textId="77777777" w:rsidR="00761800" w:rsidRPr="00761800" w:rsidRDefault="00761800" w:rsidP="00F64909">
      <w:pPr>
        <w:numPr>
          <w:ilvl w:val="0"/>
          <w:numId w:val="2"/>
        </w:numPr>
        <w:spacing w:after="200"/>
        <w:contextualSpacing/>
        <w:jc w:val="both"/>
        <w:rPr>
          <w:rFonts w:ascii="Times New Roman" w:hAnsi="Times New Roman"/>
          <w:b/>
          <w:color w:val="852010"/>
          <w:szCs w:val="22"/>
          <w:lang w:eastAsia="bg-BG"/>
        </w:rPr>
      </w:pPr>
      <w:r w:rsidRPr="00761800">
        <w:rPr>
          <w:rFonts w:ascii="Times New Roman" w:hAnsi="Times New Roman"/>
          <w:b/>
          <w:color w:val="852010"/>
          <w:szCs w:val="22"/>
          <w:lang w:eastAsia="bg-BG"/>
        </w:rPr>
        <w:t xml:space="preserve">В Кодекса на труда  </w:t>
      </w:r>
    </w:p>
    <w:p w14:paraId="2C0D8A53"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В чл. 355 от КТ се правят изменения и допълнения  във връзка с отмяна на правилото, според което за 1 ден трудов стаж се признава времето, през което работникът или служителят е работил най-малко половината от законоустановеното работно време за деня. С промените се предлага при изчисляване на трудовия стаж да се прилага общият принцип за ползване на права според изработеното – трудовият стаж се изчислява пропорционално на продължителността на работното време според реално изработените часове за всички лица, работещи на непълно работно време. Изрично е  установено, че за един месец трудов стаж се признава периодът от време, когато са отработени всички работни дни в съответния календарен месец. За да не се стига до загуба на трудови права се предвижда, че за времето до влизането в сила на промените, трудовият стаж ще се изчислява по действащите дотогава разпоредби. Причините, които налагат промените са:</w:t>
      </w:r>
    </w:p>
    <w:p w14:paraId="1E80615B" w14:textId="77777777" w:rsidR="00761800" w:rsidRPr="00761800" w:rsidRDefault="00761800" w:rsidP="00761800">
      <w:pPr>
        <w:spacing w:after="200"/>
        <w:ind w:firstLine="426"/>
        <w:jc w:val="both"/>
        <w:rPr>
          <w:rFonts w:ascii="Times New Roman" w:hAnsi="Times New Roman"/>
          <w:szCs w:val="24"/>
          <w:lang w:eastAsia="bg-BG"/>
        </w:rPr>
      </w:pPr>
      <w:r w:rsidRPr="00761800">
        <w:rPr>
          <w:rFonts w:ascii="Times New Roman" w:hAnsi="Times New Roman"/>
          <w:szCs w:val="24"/>
          <w:lang w:eastAsia="bg-BG"/>
        </w:rPr>
        <w:t xml:space="preserve">- Изсветляване на икономиката и справяне с недекларирания труд, което да доведе до повишаване на събираемостта от осигурителни вноски и данъци. Действащата уредба относно изчисляването на трудовия стаж създава стимул за сключване на фиктивни трудови договори на непълно работно време, обикновено на 4-часов работен ден, без това да води до намаляване на трудовите права. </w:t>
      </w:r>
    </w:p>
    <w:p w14:paraId="3E23934F" w14:textId="77777777" w:rsidR="00761800" w:rsidRPr="00761800" w:rsidRDefault="00761800" w:rsidP="00761800">
      <w:pPr>
        <w:spacing w:after="200"/>
        <w:ind w:firstLine="426"/>
        <w:jc w:val="both"/>
        <w:rPr>
          <w:rFonts w:ascii="Times New Roman" w:hAnsi="Times New Roman"/>
          <w:szCs w:val="24"/>
          <w:lang w:eastAsia="bg-BG"/>
        </w:rPr>
      </w:pPr>
      <w:r w:rsidRPr="00761800">
        <w:rPr>
          <w:rFonts w:ascii="Times New Roman" w:hAnsi="Times New Roman"/>
          <w:szCs w:val="24"/>
          <w:lang w:eastAsia="bg-BG"/>
        </w:rPr>
        <w:t xml:space="preserve">- Равнопоставеност между лицата, които работят на непълно работно време. Действащата разпоредба на чл. 355 от КТ е предпоставка за неравнопоставеност между </w:t>
      </w:r>
      <w:r w:rsidRPr="00761800">
        <w:rPr>
          <w:rFonts w:ascii="Times New Roman" w:hAnsi="Times New Roman"/>
          <w:szCs w:val="24"/>
          <w:lang w:eastAsia="bg-BG"/>
        </w:rPr>
        <w:lastRenderedPageBreak/>
        <w:t xml:space="preserve">работещите на непълно работно време, защото тези, които работят по-малко от половината работно време натрупват трудов стаж пропорционално на отработеното време, а тези които работят на 4 часа им се признава пълен размер на трудовия стаж. </w:t>
      </w:r>
    </w:p>
    <w:p w14:paraId="75D720D4" w14:textId="77777777" w:rsidR="00761800" w:rsidRPr="00761800" w:rsidRDefault="00761800" w:rsidP="00761800">
      <w:pPr>
        <w:spacing w:after="200"/>
        <w:ind w:firstLine="426"/>
        <w:jc w:val="both"/>
        <w:rPr>
          <w:rFonts w:ascii="Times New Roman" w:hAnsi="Times New Roman"/>
          <w:szCs w:val="24"/>
          <w:lang w:eastAsia="bg-BG"/>
        </w:rPr>
      </w:pPr>
      <w:r w:rsidRPr="00761800">
        <w:rPr>
          <w:rFonts w:ascii="Times New Roman" w:hAnsi="Times New Roman"/>
          <w:szCs w:val="24"/>
          <w:lang w:eastAsia="bg-BG"/>
        </w:rPr>
        <w:t>- Синхронизиране на начина на изчисляване на трудовия и осигурителния стаж, който се изчислява в часове, дни, месеци и години.</w:t>
      </w:r>
    </w:p>
    <w:p w14:paraId="59134AC4" w14:textId="77777777" w:rsidR="00761800" w:rsidRPr="00761800" w:rsidRDefault="00761800" w:rsidP="00761800">
      <w:pPr>
        <w:spacing w:after="200"/>
        <w:ind w:firstLine="426"/>
        <w:jc w:val="both"/>
        <w:rPr>
          <w:rFonts w:ascii="Times New Roman" w:hAnsi="Times New Roman"/>
          <w:szCs w:val="24"/>
          <w:lang w:eastAsia="bg-BG"/>
        </w:rPr>
      </w:pPr>
      <w:r w:rsidRPr="00761800">
        <w:rPr>
          <w:rFonts w:ascii="Times New Roman" w:hAnsi="Times New Roman"/>
          <w:szCs w:val="24"/>
          <w:lang w:eastAsia="bg-BG"/>
        </w:rPr>
        <w:t xml:space="preserve">- Създаване на предвидим и лесен за прилагане механизъм за изчисляване на трудовия стаж, което да намалява административната тежест за работодателите. </w:t>
      </w:r>
    </w:p>
    <w:p w14:paraId="542834D1"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С измененията в чл. 244 на Кодекса на труда (КТ) от началото на 2023 г. беше въведен механизъм, обвързващ размера на минималната работна заплата за страната за следващата календарна година с 50 на сто от средната брутна работна заплата за период от 12 месеца. Независимо, че тази мярка имаше за цел да гарантира повишаване на доходите, установеният автоматичен механизъм за определяне на минималната работна заплата се доказа като неефективен и водещ до съществени рискове както за икономиката, така и за бюджета на държавата.</w:t>
      </w:r>
    </w:p>
    <w:p w14:paraId="257F1A2F"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 xml:space="preserve">Автоматичното нарастване на минималната работна заплата чрез обвързване единствено със средната брутна заплата не отчита ключови социално-икономически фактори, включително инфлацията и промените в производителността на труда. Прилагането на автоматичната формула за определянето на минималната работна заплата, обвързана единствено с размера на средната работна заплата, е предпоставка за повишаване на инфлацията и за предприемане на мерки от работодателите за съкращаване на работници и служители, особено в секторите с ниска добавена стойност и в по-слабо развитите региони на страната. </w:t>
      </w:r>
    </w:p>
    <w:p w14:paraId="181C31E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С предлаганите разпоредби в параграф 3к от преходните и заключителните разпоредби на Кодекса на труда се предвижда да се разработи нов механизъм за определяне на минималната работна заплата за страната, който да е в съответствие с европейските регулации в тази област. Запазването на действащия към момента размер на минималната работна заплата до приемането на новия механизъм ще ограничи рисковете за държавния бюджет и ще позволи овладяване на инфлационния натиск.</w:t>
      </w:r>
    </w:p>
    <w:p w14:paraId="0CB32092" w14:textId="77777777" w:rsidR="00761800" w:rsidRPr="00761800" w:rsidRDefault="00761800" w:rsidP="00F64909">
      <w:pPr>
        <w:numPr>
          <w:ilvl w:val="0"/>
          <w:numId w:val="2"/>
        </w:numPr>
        <w:spacing w:after="200"/>
        <w:jc w:val="both"/>
        <w:rPr>
          <w:rFonts w:ascii="Times New Roman" w:hAnsi="Times New Roman"/>
          <w:b/>
          <w:color w:val="852010"/>
          <w:szCs w:val="24"/>
          <w:lang w:eastAsia="bg-BG"/>
        </w:rPr>
      </w:pPr>
      <w:r w:rsidRPr="00761800">
        <w:rPr>
          <w:rFonts w:ascii="Times New Roman" w:hAnsi="Times New Roman"/>
          <w:b/>
          <w:color w:val="852010"/>
          <w:szCs w:val="24"/>
          <w:lang w:eastAsia="bg-BG"/>
        </w:rPr>
        <w:t xml:space="preserve">В Закона за вероизповеданията </w:t>
      </w:r>
    </w:p>
    <w:p w14:paraId="4EF5369D"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Предложението се прави с цел оптимизиране размера на субсидията за регистрираните вероизповедания в Република България, в частта на вероизповеданията с повече от 1 на сто от самоопределилите се към съответното вероизповедание спрямо общия брой на преброените лица по чл. 28, ал. 1 на Закона за вероизповеданията.</w:t>
      </w:r>
    </w:p>
    <w:p w14:paraId="303CFA01" w14:textId="77777777" w:rsidR="00761800" w:rsidRPr="00761800" w:rsidRDefault="00761800" w:rsidP="00F64909">
      <w:pPr>
        <w:numPr>
          <w:ilvl w:val="0"/>
          <w:numId w:val="2"/>
        </w:numPr>
        <w:spacing w:after="200"/>
        <w:jc w:val="both"/>
        <w:rPr>
          <w:rFonts w:ascii="Times New Roman" w:hAnsi="Times New Roman"/>
          <w:b/>
          <w:color w:val="852010"/>
          <w:szCs w:val="24"/>
          <w:lang w:eastAsia="bg-BG"/>
        </w:rPr>
      </w:pPr>
      <w:r w:rsidRPr="00761800">
        <w:rPr>
          <w:rFonts w:ascii="Times New Roman" w:hAnsi="Times New Roman"/>
          <w:b/>
          <w:color w:val="852010"/>
          <w:szCs w:val="24"/>
          <w:lang w:eastAsia="bg-BG"/>
        </w:rPr>
        <w:t>В Закона за висшето образование</w:t>
      </w:r>
    </w:p>
    <w:p w14:paraId="2E4FD174" w14:textId="77777777" w:rsidR="00761800" w:rsidRPr="00761800" w:rsidRDefault="00761800" w:rsidP="00761800">
      <w:pPr>
        <w:spacing w:after="200"/>
        <w:jc w:val="both"/>
        <w:rPr>
          <w:rFonts w:ascii="Times New Roman" w:hAnsi="Times New Roman"/>
          <w:sz w:val="22"/>
          <w:szCs w:val="22"/>
          <w:lang w:eastAsia="bg-BG"/>
        </w:rPr>
      </w:pPr>
      <w:r w:rsidRPr="00761800">
        <w:rPr>
          <w:rFonts w:ascii="Times New Roman" w:hAnsi="Times New Roman"/>
          <w:szCs w:val="22"/>
          <w:lang w:eastAsia="bg-BG"/>
        </w:rPr>
        <w:t xml:space="preserve">С изменението на чл. 90а от Закона за висшето образование се предлага да отпадне изискването за ежегодно предвиждане със Закона за държавния бюджет на Република България на средства в задължителен минимален размер, което ще позволи избягването на автоматични, инертни и трудно контролируеми разходни ефекти в бюджетната система, което противоречи и се отклонява от принципите и правилата, определени със ЗПФ. Финансирането от държавата на съответните дейности не е въпрос на нормативно регламентиране за ежегодно осигуряване на конкретен размер средства от държания бюджет, а е свързано с усъвършенстване на системата и критериите за определяне приоритетите на провежданата от правителството национална политика при извършване на разходите и разработването на конкретни разчети, в рамките на общите бюджетни </w:t>
      </w:r>
      <w:r w:rsidRPr="00761800">
        <w:rPr>
          <w:rFonts w:ascii="Times New Roman" w:hAnsi="Times New Roman"/>
          <w:szCs w:val="22"/>
          <w:lang w:eastAsia="bg-BG"/>
        </w:rPr>
        <w:lastRenderedPageBreak/>
        <w:t>параметри за съответната година, което е част от фискалната стратегия за поддържане на макроикономическа стабилност и фискална устойчивост.</w:t>
      </w:r>
    </w:p>
    <w:p w14:paraId="472327DB" w14:textId="77777777" w:rsidR="00761800" w:rsidRPr="00761800" w:rsidRDefault="00761800" w:rsidP="00F64909">
      <w:pPr>
        <w:numPr>
          <w:ilvl w:val="0"/>
          <w:numId w:val="2"/>
        </w:numPr>
        <w:spacing w:after="200"/>
        <w:jc w:val="both"/>
        <w:rPr>
          <w:rFonts w:ascii="Times New Roman" w:hAnsi="Times New Roman"/>
          <w:b/>
          <w:color w:val="852010"/>
          <w:szCs w:val="24"/>
          <w:lang w:eastAsia="bg-BG"/>
        </w:rPr>
      </w:pPr>
      <w:r w:rsidRPr="00761800">
        <w:rPr>
          <w:rFonts w:ascii="Times New Roman" w:hAnsi="Times New Roman"/>
          <w:b/>
          <w:color w:val="852010"/>
          <w:szCs w:val="24"/>
          <w:lang w:eastAsia="bg-BG"/>
        </w:rPr>
        <w:t xml:space="preserve">В Закона за предучилищното и училищното образование </w:t>
      </w:r>
    </w:p>
    <w:p w14:paraId="2ABCD8CC" w14:textId="77777777" w:rsidR="00761800" w:rsidRPr="00761800" w:rsidRDefault="00761800" w:rsidP="00761800">
      <w:pPr>
        <w:spacing w:after="200"/>
        <w:jc w:val="both"/>
        <w:rPr>
          <w:rFonts w:ascii="Times New Roman" w:eastAsia="Calibri" w:hAnsi="Times New Roman"/>
          <w:szCs w:val="24"/>
        </w:rPr>
      </w:pPr>
      <w:r w:rsidRPr="00761800">
        <w:rPr>
          <w:rFonts w:ascii="Times New Roman" w:eastAsia="Calibri" w:hAnsi="Times New Roman"/>
          <w:szCs w:val="24"/>
        </w:rPr>
        <w:t>Отмяната на чл. 281 от Закона за предучилищното и училищното образование се налага поради необходимостта от провеждане на ефективна политика по фискална консолидация. Разпоредбата е за нормативно гарантиран минимум на средствата за финансиране на дейности в системата на предучилищното и училищното образование, обвързан както с абсолютния им размер, така и с дела им от брутния вътрешен продукт спрямо предходната година. Това създава автоматичен механизъм за нарастване на разходите, който не отчита текущата макроикономическа среда, динамиката на приходите, демографските тенденции и приоритетите на бюджетната политика. Наличието на подобно разходно правило ограничава възможността на държавата да предприема временни или структурни мерки за ограничаване на разходите при необходимост от фискална консолидация. Разпоредбата противоречи и на принципите за адекватност и устойчивост при управление на публичните финанси, заложени в Закона за публичните финанси.</w:t>
      </w:r>
    </w:p>
    <w:p w14:paraId="29D5D497" w14:textId="77777777" w:rsidR="00761800" w:rsidRPr="00761800" w:rsidRDefault="00761800" w:rsidP="00F64909">
      <w:pPr>
        <w:numPr>
          <w:ilvl w:val="0"/>
          <w:numId w:val="2"/>
        </w:numPr>
        <w:spacing w:after="200"/>
        <w:jc w:val="both"/>
        <w:rPr>
          <w:rFonts w:ascii="Times New Roman" w:hAnsi="Times New Roman"/>
          <w:b/>
          <w:color w:val="852010"/>
          <w:szCs w:val="24"/>
          <w:lang w:eastAsia="bg-BG"/>
        </w:rPr>
      </w:pPr>
      <w:r w:rsidRPr="00761800">
        <w:rPr>
          <w:rFonts w:ascii="Times New Roman" w:hAnsi="Times New Roman"/>
          <w:b/>
          <w:color w:val="852010"/>
          <w:szCs w:val="24"/>
          <w:lang w:eastAsia="bg-BG"/>
        </w:rPr>
        <w:t>В Закона за изменение и допълнение на Закона за администрацията</w:t>
      </w:r>
    </w:p>
    <w:p w14:paraId="0B496D77" w14:textId="77777777" w:rsidR="00761800" w:rsidRPr="00761800" w:rsidRDefault="00761800" w:rsidP="00761800">
      <w:pPr>
        <w:spacing w:after="200"/>
        <w:jc w:val="both"/>
        <w:rPr>
          <w:rFonts w:ascii="Times New Roman" w:hAnsi="Times New Roman"/>
          <w:szCs w:val="24"/>
          <w:lang w:eastAsia="bg-BG"/>
        </w:rPr>
      </w:pPr>
      <w:r w:rsidRPr="00761800">
        <w:rPr>
          <w:rFonts w:ascii="Times New Roman" w:hAnsi="Times New Roman"/>
          <w:szCs w:val="24"/>
          <w:lang w:eastAsia="bg-BG"/>
        </w:rPr>
        <w:t>По този начин се ограничава безконтролното увеличаване на числеността на персонала в системата на МВР и в Министерството на правосъдието, по отношение на Главна дирекция „Изпълнение на наказанията“, което съответно не е финансово обезпечено от бюджетите на съответните структури. С отпадането на тези разпоредби, при необходимост от актуализиране на числеността на персонала ще се прилагат общите разпоредби по закона, а именно всяко увеличение следва да е съпроводено с предложение на намаление/оптимизация в други структури в системите или за сметка на други първостепенни разпоредите с бюджет от администрацията на изпълнителната власт.</w:t>
      </w:r>
    </w:p>
    <w:p w14:paraId="1AF92215" w14:textId="77777777" w:rsidR="00761800" w:rsidRPr="00761800" w:rsidRDefault="00761800" w:rsidP="00F64909">
      <w:pPr>
        <w:numPr>
          <w:ilvl w:val="0"/>
          <w:numId w:val="2"/>
        </w:numPr>
        <w:spacing w:after="200"/>
        <w:jc w:val="both"/>
        <w:rPr>
          <w:rFonts w:ascii="Times New Roman" w:hAnsi="Times New Roman"/>
          <w:b/>
          <w:color w:val="852010"/>
          <w:szCs w:val="24"/>
          <w:lang w:eastAsia="bg-BG"/>
        </w:rPr>
      </w:pPr>
      <w:r w:rsidRPr="00761800">
        <w:rPr>
          <w:rFonts w:ascii="Times New Roman" w:hAnsi="Times New Roman"/>
          <w:b/>
          <w:color w:val="852010"/>
          <w:szCs w:val="24"/>
          <w:lang w:eastAsia="bg-BG"/>
        </w:rPr>
        <w:t>В Закона за ограничаване на административното регулиране и административния контрол върху стопанската дейност</w:t>
      </w:r>
    </w:p>
    <w:p w14:paraId="629D4DC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t>Предложените промени са във връзка с промените в Закона за хазарта.</w:t>
      </w:r>
    </w:p>
    <w:p w14:paraId="47BDB671" w14:textId="77777777" w:rsidR="00761800" w:rsidRPr="00761800" w:rsidRDefault="00761800" w:rsidP="00761800">
      <w:pPr>
        <w:spacing w:after="200"/>
        <w:jc w:val="both"/>
        <w:rPr>
          <w:rFonts w:ascii="Times New Roman" w:hAnsi="Times New Roman"/>
          <w:szCs w:val="22"/>
          <w:lang w:eastAsia="bg-BG"/>
        </w:rPr>
      </w:pPr>
    </w:p>
    <w:p w14:paraId="540CDD26" w14:textId="77777777" w:rsidR="00761800" w:rsidRPr="00761800" w:rsidRDefault="00761800" w:rsidP="00761800">
      <w:pPr>
        <w:tabs>
          <w:tab w:val="center" w:pos="4535"/>
        </w:tabs>
        <w:spacing w:after="200"/>
        <w:jc w:val="both"/>
        <w:rPr>
          <w:rFonts w:ascii="Times New Roman" w:hAnsi="Times New Roman"/>
          <w:szCs w:val="22"/>
          <w:lang w:eastAsia="bg-BG"/>
        </w:rPr>
        <w:sectPr w:rsidR="00761800" w:rsidRPr="00761800" w:rsidSect="00406B4D">
          <w:pgSz w:w="11906" w:h="16838" w:code="9"/>
          <w:pgMar w:top="1418" w:right="1418" w:bottom="851" w:left="1418" w:header="708" w:footer="708" w:gutter="0"/>
          <w:cols w:space="708"/>
          <w:titlePg/>
          <w:docGrid w:linePitch="360"/>
        </w:sectPr>
      </w:pPr>
      <w:r w:rsidRPr="00761800">
        <w:rPr>
          <w:rFonts w:ascii="Times New Roman" w:hAnsi="Times New Roman"/>
          <w:szCs w:val="22"/>
          <w:lang w:eastAsia="bg-BG"/>
        </w:rPr>
        <w:tab/>
      </w:r>
    </w:p>
    <w:bookmarkStart w:id="542" w:name="_Toc233717499"/>
    <w:p w14:paraId="0C8CDB51" w14:textId="77777777" w:rsidR="00761800" w:rsidRPr="00761800" w:rsidRDefault="00761800" w:rsidP="00761800">
      <w:pPr>
        <w:keepNext/>
        <w:keepLines/>
        <w:spacing w:before="120" w:after="1080"/>
        <w:outlineLvl w:val="0"/>
        <w:rPr>
          <w:rFonts w:ascii="Times New Roman" w:hAnsi="Times New Roman"/>
          <w:bCs/>
          <w:spacing w:val="10"/>
          <w:sz w:val="52"/>
          <w:szCs w:val="28"/>
          <w:lang w:eastAsia="bg-BG"/>
        </w:rPr>
      </w:pPr>
      <w:r w:rsidRPr="00761800">
        <w:rPr>
          <w:rFonts w:ascii="Times New Roman" w:hAnsi="Times New Roman"/>
          <w:bCs/>
          <w:noProof/>
          <w:color w:val="852010"/>
          <w:spacing w:val="10"/>
          <w:sz w:val="52"/>
          <w:szCs w:val="28"/>
          <w:lang w:eastAsia="bg-BG"/>
        </w:rPr>
        <w:lastRenderedPageBreak/>
        <mc:AlternateContent>
          <mc:Choice Requires="wps">
            <w:drawing>
              <wp:anchor distT="0" distB="0" distL="114300" distR="114300" simplePos="0" relativeHeight="251826688" behindDoc="0" locked="0" layoutInCell="1" allowOverlap="1" wp14:anchorId="369EB719" wp14:editId="01E305D7">
                <wp:simplePos x="0" y="0"/>
                <wp:positionH relativeFrom="column">
                  <wp:posOffset>-706120</wp:posOffset>
                </wp:positionH>
                <wp:positionV relativeFrom="paragraph">
                  <wp:posOffset>749935</wp:posOffset>
                </wp:positionV>
                <wp:extent cx="10685780" cy="0"/>
                <wp:effectExtent l="0" t="0" r="20320" b="19050"/>
                <wp:wrapNone/>
                <wp:docPr id="699" name="Straight Connector 699"/>
                <wp:cNvGraphicFramePr/>
                <a:graphic xmlns:a="http://schemas.openxmlformats.org/drawingml/2006/main">
                  <a:graphicData uri="http://schemas.microsoft.com/office/word/2010/wordprocessingShape">
                    <wps:wsp>
                      <wps:cNvCnPr/>
                      <wps:spPr>
                        <a:xfrm>
                          <a:off x="0" y="0"/>
                          <a:ext cx="10685780" cy="0"/>
                        </a:xfrm>
                        <a:prstGeom prst="line">
                          <a:avLst/>
                        </a:prstGeom>
                        <a:noFill/>
                        <a:ln w="9525" cap="flat" cmpd="sng" algn="ctr">
                          <a:solidFill>
                            <a:srgbClr val="B32C16"/>
                          </a:solidFill>
                          <a:prstDash val="solid"/>
                        </a:ln>
                        <a:effectLst/>
                      </wps:spPr>
                      <wps:bodyPr/>
                    </wps:wsp>
                  </a:graphicData>
                </a:graphic>
                <wp14:sizeRelH relativeFrom="margin">
                  <wp14:pctWidth>0</wp14:pctWidth>
                </wp14:sizeRelH>
              </wp:anchor>
            </w:drawing>
          </mc:Choice>
          <mc:Fallback>
            <w:pict>
              <v:line w14:anchorId="4643FA57" id="Straight Connector 699" o:spid="_x0000_s1026" style="position:absolute;z-index:251826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6pt,59.05pt" to="785.8pt,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" strokecolor="#b32c16"/>
            </w:pict>
          </mc:Fallback>
        </mc:AlternateContent>
      </w:r>
      <w:r w:rsidRPr="00761800">
        <w:rPr>
          <w:rFonts w:ascii="Times New Roman" w:hAnsi="Times New Roman"/>
          <w:bCs/>
          <w:noProof/>
          <w:color w:val="852010"/>
          <w:spacing w:val="10"/>
          <w:sz w:val="52"/>
          <w:szCs w:val="28"/>
          <w:lang w:eastAsia="bg-BG"/>
        </w:rPr>
        <mc:AlternateContent>
          <mc:Choice Requires="wps">
            <w:drawing>
              <wp:anchor distT="0" distB="0" distL="114300" distR="114300" simplePos="0" relativeHeight="251825664" behindDoc="1" locked="0" layoutInCell="1" allowOverlap="1" wp14:anchorId="7D63AEB7" wp14:editId="7432A9BA">
                <wp:simplePos x="0" y="0"/>
                <wp:positionH relativeFrom="page">
                  <wp:posOffset>0</wp:posOffset>
                </wp:positionH>
                <wp:positionV relativeFrom="page">
                  <wp:posOffset>0</wp:posOffset>
                </wp:positionV>
                <wp:extent cx="10684800" cy="1652400"/>
                <wp:effectExtent l="0" t="0" r="2540" b="5080"/>
                <wp:wrapNone/>
                <wp:docPr id="698" name="Rectangle 698"/>
                <wp:cNvGraphicFramePr/>
                <a:graphic xmlns:a="http://schemas.openxmlformats.org/drawingml/2006/main">
                  <a:graphicData uri="http://schemas.microsoft.com/office/word/2010/wordprocessingShape">
                    <wps:wsp>
                      <wps:cNvSpPr/>
                      <wps:spPr>
                        <a:xfrm>
                          <a:off x="0" y="0"/>
                          <a:ext cx="10684800" cy="1652400"/>
                        </a:xfrm>
                        <a:prstGeom prst="rect">
                          <a:avLst/>
                        </a:prstGeom>
                        <a:solidFill>
                          <a:srgbClr val="B32C16">
                            <a:lumMod val="20000"/>
                            <a:lumOff val="80000"/>
                          </a:srgbClr>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50EAA" id="Rectangle 698" o:spid="_x0000_s1026" style="position:absolute;margin-left:0;margin-top:0;width:841.3pt;height:130.1pt;z-index:-25149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" fillcolor="#f8cfc8" stroked="f" strokeweight="1pt">
                <w10:wrap anchorx="page" anchory="page"/>
              </v:rect>
            </w:pict>
          </mc:Fallback>
        </mc:AlternateContent>
      </w:r>
      <w:r w:rsidRPr="00761800">
        <w:rPr>
          <w:rFonts w:ascii="Times New Roman" w:hAnsi="Times New Roman"/>
          <w:bCs/>
          <w:color w:val="852010"/>
          <w:spacing w:val="10"/>
          <w:sz w:val="52"/>
          <w:szCs w:val="28"/>
          <w:lang w:eastAsia="bg-BG"/>
        </w:rPr>
        <w:t xml:space="preserve"> </w:t>
      </w:r>
      <w:bookmarkStart w:id="543" w:name="_Toc465205582"/>
      <w:r w:rsidRPr="00761800">
        <w:rPr>
          <w:rFonts w:ascii="Times New Roman" w:hAnsi="Times New Roman"/>
          <w:bCs/>
          <w:spacing w:val="10"/>
          <w:sz w:val="52"/>
          <w:szCs w:val="28"/>
          <w:lang w:eastAsia="bg-BG"/>
        </w:rPr>
        <w:t>Приложения</w:t>
      </w:r>
      <w:bookmarkEnd w:id="527"/>
      <w:bookmarkEnd w:id="528"/>
      <w:bookmarkEnd w:id="529"/>
      <w:bookmarkEnd w:id="530"/>
      <w:bookmarkEnd w:id="531"/>
      <w:bookmarkEnd w:id="532"/>
      <w:bookmarkEnd w:id="542"/>
      <w:bookmarkEnd w:id="543"/>
    </w:p>
    <w:p w14:paraId="12C6641B" w14:textId="77777777" w:rsidR="00761800" w:rsidRPr="00761800" w:rsidRDefault="00761800" w:rsidP="00761800">
      <w:pPr>
        <w:keepNext/>
        <w:keepLines/>
        <w:tabs>
          <w:tab w:val="left" w:pos="426"/>
        </w:tabs>
        <w:spacing w:before="480" w:after="360"/>
        <w:outlineLvl w:val="1"/>
        <w:rPr>
          <w:rFonts w:ascii="Times New Roman" w:hAnsi="Times New Roman"/>
          <w:b/>
          <w:bCs/>
          <w:caps/>
          <w:color w:val="852010"/>
          <w:spacing w:val="10"/>
          <w:w w:val="90"/>
          <w:sz w:val="28"/>
          <w:szCs w:val="26"/>
          <w:lang w:eastAsia="bg-BG"/>
        </w:rPr>
        <w:sectPr w:rsidR="00761800" w:rsidRPr="00761800" w:rsidSect="00406B4D">
          <w:type w:val="oddPage"/>
          <w:pgSz w:w="16838" w:h="11906" w:orient="landscape" w:code="9"/>
          <w:pgMar w:top="1418" w:right="1134" w:bottom="851" w:left="1134" w:header="709" w:footer="709" w:gutter="0"/>
          <w:cols w:num="2" w:space="708"/>
          <w:titlePg/>
          <w:docGrid w:linePitch="360"/>
        </w:sectPr>
      </w:pPr>
    </w:p>
    <w:p w14:paraId="5FFB23B1" w14:textId="77777777" w:rsidR="00761800" w:rsidRPr="00761800" w:rsidRDefault="00761800" w:rsidP="00761800">
      <w:pPr>
        <w:keepNext/>
        <w:keepLines/>
        <w:tabs>
          <w:tab w:val="left" w:pos="426"/>
        </w:tabs>
        <w:spacing w:before="480" w:after="360"/>
        <w:outlineLvl w:val="1"/>
        <w:rPr>
          <w:rFonts w:ascii="Times New Roman" w:hAnsi="Times New Roman"/>
          <w:b/>
          <w:bCs/>
          <w:caps/>
          <w:color w:val="852010"/>
          <w:spacing w:val="10"/>
          <w:w w:val="90"/>
          <w:sz w:val="28"/>
          <w:szCs w:val="26"/>
          <w:lang w:eastAsia="bg-BG"/>
        </w:rPr>
      </w:pPr>
      <w:bookmarkStart w:id="544" w:name="_ПРИЛОЖЕНИЕ_№_1:"/>
      <w:bookmarkStart w:id="545" w:name="_Toc233717500"/>
      <w:bookmarkStart w:id="546" w:name="_Toc465205583"/>
      <w:bookmarkEnd w:id="544"/>
      <w:r w:rsidRPr="00761800">
        <w:rPr>
          <w:rFonts w:ascii="Times New Roman" w:hAnsi="Times New Roman"/>
          <w:b/>
          <w:bCs/>
          <w:caps/>
          <w:color w:val="852010"/>
          <w:spacing w:val="10"/>
          <w:w w:val="90"/>
          <w:sz w:val="28"/>
          <w:szCs w:val="26"/>
          <w:lang w:eastAsia="bg-BG"/>
        </w:rPr>
        <w:t xml:space="preserve">Приложение № 1: </w:t>
      </w:r>
      <w:r w:rsidRPr="00761800">
        <w:rPr>
          <w:rFonts w:ascii="Times New Roman" w:hAnsi="Times New Roman"/>
          <w:b/>
          <w:bCs/>
          <w:caps/>
          <w:color w:val="852010"/>
          <w:spacing w:val="10"/>
          <w:w w:val="90"/>
          <w:sz w:val="28"/>
          <w:szCs w:val="26"/>
          <w:lang w:eastAsia="bg-BG"/>
        </w:rPr>
        <w:br/>
        <w:t>Преглед на изпълнението на КФП за 2024 г., предварителен отчет за 2025 г. и изпълнение на КФП към 30.04.2026 г.</w:t>
      </w:r>
      <w:bookmarkEnd w:id="545"/>
    </w:p>
    <w:p w14:paraId="40952CDF"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852010"/>
          <w:spacing w:val="10"/>
          <w:w w:val="90"/>
          <w:sz w:val="28"/>
          <w:szCs w:val="26"/>
          <w:lang w:eastAsia="bg-BG"/>
        </w:rPr>
      </w:pPr>
      <w:bookmarkStart w:id="547" w:name="_Toc233717501"/>
      <w:bookmarkEnd w:id="533"/>
      <w:bookmarkEnd w:id="534"/>
      <w:bookmarkEnd w:id="535"/>
      <w:bookmarkEnd w:id="536"/>
      <w:bookmarkEnd w:id="537"/>
      <w:bookmarkEnd w:id="538"/>
      <w:bookmarkEnd w:id="539"/>
      <w:bookmarkEnd w:id="540"/>
      <w:bookmarkEnd w:id="541"/>
      <w:bookmarkEnd w:id="546"/>
      <w:r w:rsidRPr="00761800">
        <w:rPr>
          <w:rFonts w:ascii="Times New Roman" w:hAnsi="Times New Roman"/>
          <w:b/>
          <w:bCs/>
          <w:caps/>
          <w:color w:val="852010"/>
          <w:spacing w:val="10"/>
          <w:w w:val="90"/>
          <w:sz w:val="28"/>
          <w:szCs w:val="26"/>
          <w:lang w:eastAsia="bg-BG"/>
        </w:rPr>
        <w:t>Преглед на изпълнението на КФП за 2024 г.</w:t>
      </w:r>
      <w:r w:rsidRPr="00761800">
        <w:rPr>
          <w:rFonts w:ascii="Times New Roman" w:hAnsi="Times New Roman"/>
          <w:b/>
          <w:bCs/>
          <w:caps/>
          <w:color w:val="852010"/>
          <w:position w:val="2"/>
          <w:sz w:val="20"/>
          <w:vertAlign w:val="superscript"/>
        </w:rPr>
        <w:footnoteReference w:id="86"/>
      </w:r>
      <w:bookmarkEnd w:id="547"/>
    </w:p>
    <w:p w14:paraId="35E72C3F" w14:textId="77777777" w:rsidR="00761800" w:rsidRPr="00761800" w:rsidRDefault="00761800" w:rsidP="00761800">
      <w:pPr>
        <w:spacing w:after="60"/>
        <w:ind w:right="1245"/>
        <w:jc w:val="right"/>
        <w:rPr>
          <w:rFonts w:ascii="Times New Roman" w:eastAsia="Batang" w:hAnsi="Times New Roman"/>
          <w:sz w:val="18"/>
          <w:szCs w:val="18"/>
          <w:lang w:eastAsia="bg-BG"/>
        </w:rPr>
      </w:pPr>
      <w:r w:rsidRPr="00761800">
        <w:rPr>
          <w:rFonts w:ascii="Times New Roman" w:eastAsia="Batang" w:hAnsi="Times New Roman"/>
          <w:sz w:val="18"/>
          <w:szCs w:val="18"/>
          <w:lang w:eastAsia="bg-BG"/>
        </w:rPr>
        <w:t>(в млн. евро)</w:t>
      </w:r>
    </w:p>
    <w:tbl>
      <w:tblPr>
        <w:tblW w:w="13105" w:type="dxa"/>
        <w:jc w:val="center"/>
        <w:tblLayout w:type="fixed"/>
        <w:tblLook w:val="04A0" w:firstRow="1" w:lastRow="0" w:firstColumn="1" w:lastColumn="0" w:noHBand="0" w:noVBand="1"/>
      </w:tblPr>
      <w:tblGrid>
        <w:gridCol w:w="5245"/>
        <w:gridCol w:w="1792"/>
        <w:gridCol w:w="1517"/>
        <w:gridCol w:w="1379"/>
        <w:gridCol w:w="1460"/>
        <w:gridCol w:w="1712"/>
      </w:tblGrid>
      <w:tr w:rsidR="00761800" w:rsidRPr="00761800" w14:paraId="421E73B4" w14:textId="77777777" w:rsidTr="00761800">
        <w:trPr>
          <w:trHeight w:val="32"/>
          <w:tblHeader/>
          <w:jc w:val="center"/>
        </w:trPr>
        <w:tc>
          <w:tcPr>
            <w:tcW w:w="5245" w:type="dxa"/>
            <w:vMerge w:val="restart"/>
            <w:tcBorders>
              <w:top w:val="single" w:sz="4" w:space="0" w:color="auto"/>
            </w:tcBorders>
            <w:shd w:val="clear" w:color="auto" w:fill="auto"/>
            <w:noWrap/>
            <w:vAlign w:val="center"/>
            <w:hideMark/>
          </w:tcPr>
          <w:p w14:paraId="00994070"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ПОКАЗАТЕЛ</w:t>
            </w:r>
          </w:p>
        </w:tc>
        <w:tc>
          <w:tcPr>
            <w:tcW w:w="1792" w:type="dxa"/>
            <w:vMerge w:val="restart"/>
            <w:tcBorders>
              <w:top w:val="single" w:sz="4" w:space="0" w:color="auto"/>
            </w:tcBorders>
            <w:shd w:val="clear" w:color="auto" w:fill="auto"/>
            <w:noWrap/>
            <w:vAlign w:val="center"/>
            <w:hideMark/>
          </w:tcPr>
          <w:p w14:paraId="1249AA1C"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Програма</w:t>
            </w:r>
            <w:r w:rsidRPr="00761800">
              <w:rPr>
                <w:rFonts w:ascii="Times New Roman" w:hAnsi="Times New Roman"/>
                <w:b/>
                <w:bCs/>
                <w:sz w:val="18"/>
                <w:szCs w:val="18"/>
                <w:vertAlign w:val="superscript"/>
                <w:lang w:eastAsia="bg-BG"/>
              </w:rPr>
              <w:footnoteReference w:id="87"/>
            </w:r>
            <w:r w:rsidRPr="00761800">
              <w:rPr>
                <w:rFonts w:ascii="Times New Roman" w:hAnsi="Times New Roman"/>
                <w:b/>
                <w:bCs/>
                <w:sz w:val="18"/>
                <w:szCs w:val="18"/>
                <w:lang w:eastAsia="bg-BG"/>
              </w:rPr>
              <w:t xml:space="preserve"> </w:t>
            </w:r>
          </w:p>
          <w:p w14:paraId="2F0FA81A"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2024 г.</w:t>
            </w:r>
          </w:p>
        </w:tc>
        <w:tc>
          <w:tcPr>
            <w:tcW w:w="6068" w:type="dxa"/>
            <w:gridSpan w:val="4"/>
            <w:tcBorders>
              <w:top w:val="single" w:sz="4" w:space="0" w:color="auto"/>
            </w:tcBorders>
            <w:shd w:val="clear" w:color="auto" w:fill="F2F2F2"/>
            <w:noWrap/>
            <w:vAlign w:val="center"/>
            <w:hideMark/>
          </w:tcPr>
          <w:p w14:paraId="06B0A7B5"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Отчет 31.12.2024 г.</w:t>
            </w:r>
          </w:p>
        </w:tc>
      </w:tr>
      <w:tr w:rsidR="00761800" w:rsidRPr="00761800" w14:paraId="7D60C06D" w14:textId="77777777" w:rsidTr="00761800">
        <w:trPr>
          <w:trHeight w:val="454"/>
          <w:tblHeader/>
          <w:jc w:val="center"/>
        </w:trPr>
        <w:tc>
          <w:tcPr>
            <w:tcW w:w="5245" w:type="dxa"/>
            <w:vMerge/>
            <w:shd w:val="clear" w:color="auto" w:fill="auto"/>
            <w:vAlign w:val="center"/>
            <w:hideMark/>
          </w:tcPr>
          <w:p w14:paraId="25499147" w14:textId="77777777" w:rsidR="00761800" w:rsidRPr="00761800" w:rsidRDefault="00761800" w:rsidP="00761800">
            <w:pPr>
              <w:jc w:val="both"/>
              <w:rPr>
                <w:rFonts w:ascii="Times New Roman" w:hAnsi="Times New Roman"/>
                <w:b/>
                <w:bCs/>
                <w:sz w:val="18"/>
                <w:szCs w:val="18"/>
                <w:lang w:eastAsia="bg-BG"/>
              </w:rPr>
            </w:pPr>
          </w:p>
        </w:tc>
        <w:tc>
          <w:tcPr>
            <w:tcW w:w="1792" w:type="dxa"/>
            <w:vMerge/>
            <w:shd w:val="clear" w:color="auto" w:fill="auto"/>
            <w:vAlign w:val="center"/>
            <w:hideMark/>
          </w:tcPr>
          <w:p w14:paraId="12571A87" w14:textId="77777777" w:rsidR="00761800" w:rsidRPr="00761800" w:rsidRDefault="00761800" w:rsidP="00761800">
            <w:pPr>
              <w:jc w:val="both"/>
              <w:rPr>
                <w:rFonts w:ascii="Times New Roman" w:hAnsi="Times New Roman"/>
                <w:b/>
                <w:bCs/>
                <w:sz w:val="18"/>
                <w:szCs w:val="18"/>
                <w:lang w:eastAsia="bg-BG"/>
              </w:rPr>
            </w:pPr>
          </w:p>
        </w:tc>
        <w:tc>
          <w:tcPr>
            <w:tcW w:w="1517" w:type="dxa"/>
            <w:shd w:val="clear" w:color="auto" w:fill="F2F2F2"/>
            <w:noWrap/>
            <w:vAlign w:val="center"/>
            <w:hideMark/>
          </w:tcPr>
          <w:p w14:paraId="32A15654"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КФП*</w:t>
            </w:r>
          </w:p>
        </w:tc>
        <w:tc>
          <w:tcPr>
            <w:tcW w:w="1379" w:type="dxa"/>
            <w:shd w:val="clear" w:color="auto" w:fill="F2F2F2"/>
            <w:vAlign w:val="center"/>
            <w:hideMark/>
          </w:tcPr>
          <w:p w14:paraId="7279B193" w14:textId="77777777" w:rsidR="00761800" w:rsidRPr="00761800" w:rsidRDefault="00761800" w:rsidP="00761800">
            <w:pPr>
              <w:ind w:right="-129"/>
              <w:jc w:val="center"/>
              <w:rPr>
                <w:rFonts w:ascii="Times New Roman" w:hAnsi="Times New Roman"/>
                <w:b/>
                <w:bCs/>
                <w:sz w:val="18"/>
                <w:szCs w:val="18"/>
                <w:lang w:eastAsia="bg-BG"/>
              </w:rPr>
            </w:pPr>
            <w:r w:rsidRPr="00761800">
              <w:rPr>
                <w:rFonts w:ascii="Times New Roman" w:hAnsi="Times New Roman"/>
                <w:b/>
                <w:bCs/>
                <w:sz w:val="18"/>
                <w:szCs w:val="18"/>
                <w:lang w:eastAsia="bg-BG"/>
              </w:rPr>
              <w:t>Национален бюджет</w:t>
            </w:r>
          </w:p>
        </w:tc>
        <w:tc>
          <w:tcPr>
            <w:tcW w:w="1460" w:type="dxa"/>
            <w:shd w:val="clear" w:color="auto" w:fill="F2F2F2"/>
            <w:vAlign w:val="center"/>
            <w:hideMark/>
          </w:tcPr>
          <w:p w14:paraId="419E452B"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 xml:space="preserve"> ЕС</w:t>
            </w:r>
            <w:r w:rsidRPr="00761800">
              <w:rPr>
                <w:rFonts w:ascii="Times New Roman" w:hAnsi="Times New Roman"/>
                <w:position w:val="2"/>
                <w:sz w:val="18"/>
                <w:szCs w:val="22"/>
                <w:vertAlign w:val="superscript"/>
              </w:rPr>
              <w:footnoteReference w:id="88"/>
            </w:r>
          </w:p>
        </w:tc>
        <w:tc>
          <w:tcPr>
            <w:tcW w:w="1712" w:type="dxa"/>
            <w:shd w:val="clear" w:color="auto" w:fill="F2F2F2"/>
            <w:vAlign w:val="center"/>
            <w:hideMark/>
          </w:tcPr>
          <w:p w14:paraId="6FD06AB2"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 xml:space="preserve">спрямо </w:t>
            </w:r>
          </w:p>
          <w:p w14:paraId="299A13F8"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Програма</w:t>
            </w:r>
          </w:p>
          <w:p w14:paraId="16FCDAC0"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 xml:space="preserve">    2024 г.</w:t>
            </w:r>
          </w:p>
        </w:tc>
      </w:tr>
      <w:tr w:rsidR="00761800" w:rsidRPr="00761800" w14:paraId="216F8B4F" w14:textId="77777777" w:rsidTr="00761800">
        <w:trPr>
          <w:trHeight w:val="80"/>
          <w:tblHeader/>
          <w:jc w:val="center"/>
        </w:trPr>
        <w:tc>
          <w:tcPr>
            <w:tcW w:w="5245" w:type="dxa"/>
            <w:tcBorders>
              <w:bottom w:val="single" w:sz="4" w:space="0" w:color="auto"/>
            </w:tcBorders>
            <w:shd w:val="clear" w:color="auto" w:fill="auto"/>
            <w:noWrap/>
            <w:vAlign w:val="center"/>
            <w:hideMark/>
          </w:tcPr>
          <w:p w14:paraId="03C31D26"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к.</w:t>
            </w:r>
            <w:r w:rsidRPr="00761800">
              <w:rPr>
                <w:rFonts w:ascii="Times New Roman" w:hAnsi="Times New Roman"/>
                <w:b/>
                <w:bCs/>
                <w:sz w:val="16"/>
                <w:szCs w:val="16"/>
                <w:lang w:eastAsia="bg-BG"/>
              </w:rPr>
              <w:t>1</w:t>
            </w:r>
          </w:p>
        </w:tc>
        <w:tc>
          <w:tcPr>
            <w:tcW w:w="1792" w:type="dxa"/>
            <w:tcBorders>
              <w:bottom w:val="single" w:sz="4" w:space="0" w:color="auto"/>
            </w:tcBorders>
            <w:shd w:val="clear" w:color="auto" w:fill="auto"/>
            <w:noWrap/>
            <w:vAlign w:val="center"/>
            <w:hideMark/>
          </w:tcPr>
          <w:p w14:paraId="6F41DE8B" w14:textId="77777777" w:rsidR="00761800" w:rsidRPr="00761800" w:rsidRDefault="00761800" w:rsidP="00761800">
            <w:pPr>
              <w:jc w:val="center"/>
              <w:rPr>
                <w:rFonts w:ascii="Times New Roman" w:hAnsi="Times New Roman"/>
                <w:b/>
                <w:bCs/>
                <w:sz w:val="14"/>
                <w:szCs w:val="14"/>
                <w:lang w:eastAsia="bg-BG"/>
              </w:rPr>
            </w:pPr>
            <w:r w:rsidRPr="00761800">
              <w:rPr>
                <w:rFonts w:ascii="Times New Roman" w:hAnsi="Times New Roman"/>
                <w:b/>
                <w:bCs/>
                <w:sz w:val="14"/>
                <w:szCs w:val="14"/>
                <w:lang w:eastAsia="bg-BG"/>
              </w:rPr>
              <w:t>к.2</w:t>
            </w:r>
          </w:p>
        </w:tc>
        <w:tc>
          <w:tcPr>
            <w:tcW w:w="1517" w:type="dxa"/>
            <w:tcBorders>
              <w:bottom w:val="single" w:sz="4" w:space="0" w:color="auto"/>
            </w:tcBorders>
            <w:shd w:val="clear" w:color="auto" w:fill="F2F2F2"/>
            <w:noWrap/>
            <w:vAlign w:val="center"/>
            <w:hideMark/>
          </w:tcPr>
          <w:p w14:paraId="4D036CFC" w14:textId="77777777" w:rsidR="00761800" w:rsidRPr="00761800" w:rsidRDefault="00761800" w:rsidP="00761800">
            <w:pPr>
              <w:jc w:val="center"/>
              <w:rPr>
                <w:rFonts w:ascii="Times New Roman" w:hAnsi="Times New Roman"/>
                <w:b/>
                <w:bCs/>
                <w:sz w:val="14"/>
                <w:szCs w:val="14"/>
                <w:lang w:eastAsia="bg-BG"/>
              </w:rPr>
            </w:pPr>
            <w:r w:rsidRPr="00761800">
              <w:rPr>
                <w:rFonts w:ascii="Times New Roman" w:hAnsi="Times New Roman"/>
                <w:b/>
                <w:bCs/>
                <w:sz w:val="14"/>
                <w:szCs w:val="14"/>
                <w:lang w:eastAsia="bg-BG"/>
              </w:rPr>
              <w:t>к.3=к.4+к.5</w:t>
            </w:r>
          </w:p>
        </w:tc>
        <w:tc>
          <w:tcPr>
            <w:tcW w:w="1379" w:type="dxa"/>
            <w:tcBorders>
              <w:bottom w:val="single" w:sz="4" w:space="0" w:color="auto"/>
            </w:tcBorders>
            <w:shd w:val="clear" w:color="auto" w:fill="F2F2F2"/>
            <w:noWrap/>
            <w:vAlign w:val="center"/>
            <w:hideMark/>
          </w:tcPr>
          <w:p w14:paraId="1778EE5E" w14:textId="77777777" w:rsidR="00761800" w:rsidRPr="00761800" w:rsidRDefault="00761800" w:rsidP="00761800">
            <w:pPr>
              <w:ind w:right="-129"/>
              <w:jc w:val="center"/>
              <w:rPr>
                <w:rFonts w:ascii="Times New Roman" w:hAnsi="Times New Roman"/>
                <w:b/>
                <w:bCs/>
                <w:sz w:val="14"/>
                <w:szCs w:val="14"/>
                <w:lang w:eastAsia="bg-BG"/>
              </w:rPr>
            </w:pPr>
            <w:r w:rsidRPr="00761800">
              <w:rPr>
                <w:rFonts w:ascii="Times New Roman" w:hAnsi="Times New Roman"/>
                <w:b/>
                <w:bCs/>
                <w:sz w:val="14"/>
                <w:szCs w:val="14"/>
                <w:lang w:eastAsia="bg-BG"/>
              </w:rPr>
              <w:t>к.4</w:t>
            </w:r>
          </w:p>
        </w:tc>
        <w:tc>
          <w:tcPr>
            <w:tcW w:w="1460" w:type="dxa"/>
            <w:tcBorders>
              <w:bottom w:val="single" w:sz="4" w:space="0" w:color="auto"/>
            </w:tcBorders>
            <w:shd w:val="clear" w:color="auto" w:fill="F2F2F2"/>
            <w:noWrap/>
            <w:vAlign w:val="center"/>
            <w:hideMark/>
          </w:tcPr>
          <w:p w14:paraId="155D586E" w14:textId="77777777" w:rsidR="00761800" w:rsidRPr="00761800" w:rsidRDefault="00761800" w:rsidP="00761800">
            <w:pPr>
              <w:jc w:val="center"/>
              <w:rPr>
                <w:rFonts w:ascii="Times New Roman" w:hAnsi="Times New Roman"/>
                <w:b/>
                <w:bCs/>
                <w:sz w:val="14"/>
                <w:szCs w:val="14"/>
                <w:lang w:eastAsia="bg-BG"/>
              </w:rPr>
            </w:pPr>
            <w:r w:rsidRPr="00761800">
              <w:rPr>
                <w:rFonts w:ascii="Times New Roman" w:hAnsi="Times New Roman"/>
                <w:b/>
                <w:bCs/>
                <w:sz w:val="14"/>
                <w:szCs w:val="14"/>
                <w:lang w:eastAsia="bg-BG"/>
              </w:rPr>
              <w:t>к.5</w:t>
            </w:r>
          </w:p>
        </w:tc>
        <w:tc>
          <w:tcPr>
            <w:tcW w:w="1712" w:type="dxa"/>
            <w:tcBorders>
              <w:bottom w:val="single" w:sz="4" w:space="0" w:color="auto"/>
            </w:tcBorders>
            <w:shd w:val="clear" w:color="auto" w:fill="F2F2F2"/>
            <w:noWrap/>
            <w:vAlign w:val="center"/>
            <w:hideMark/>
          </w:tcPr>
          <w:p w14:paraId="391623FE" w14:textId="77777777" w:rsidR="00761800" w:rsidRPr="00761800" w:rsidRDefault="00761800" w:rsidP="00761800">
            <w:pPr>
              <w:jc w:val="center"/>
              <w:rPr>
                <w:rFonts w:ascii="Times New Roman" w:hAnsi="Times New Roman"/>
                <w:b/>
                <w:bCs/>
                <w:sz w:val="14"/>
                <w:szCs w:val="14"/>
                <w:lang w:eastAsia="bg-BG"/>
              </w:rPr>
            </w:pPr>
            <w:r w:rsidRPr="00761800">
              <w:rPr>
                <w:rFonts w:ascii="Times New Roman" w:hAnsi="Times New Roman"/>
                <w:b/>
                <w:bCs/>
                <w:sz w:val="14"/>
                <w:szCs w:val="14"/>
                <w:lang w:eastAsia="bg-BG"/>
              </w:rPr>
              <w:t>к.6=к.3:к.2</w:t>
            </w:r>
          </w:p>
        </w:tc>
      </w:tr>
      <w:tr w:rsidR="00761800" w:rsidRPr="00761800" w14:paraId="6ECB175D" w14:textId="77777777" w:rsidTr="00761800">
        <w:trPr>
          <w:trHeight w:val="271"/>
          <w:jc w:val="center"/>
        </w:trPr>
        <w:tc>
          <w:tcPr>
            <w:tcW w:w="5245" w:type="dxa"/>
            <w:tcBorders>
              <w:top w:val="single" w:sz="4" w:space="0" w:color="auto"/>
            </w:tcBorders>
            <w:shd w:val="clear" w:color="auto" w:fill="auto"/>
            <w:noWrap/>
            <w:vAlign w:val="center"/>
            <w:hideMark/>
          </w:tcPr>
          <w:p w14:paraId="4F402CD7" w14:textId="77777777" w:rsidR="00761800" w:rsidRPr="00761800" w:rsidRDefault="00761800" w:rsidP="00761800">
            <w:pPr>
              <w:jc w:val="both"/>
              <w:rPr>
                <w:rFonts w:ascii="Times New Roman" w:hAnsi="Times New Roman"/>
                <w:b/>
                <w:bCs/>
                <w:sz w:val="18"/>
                <w:szCs w:val="18"/>
                <w:lang w:eastAsia="bg-BG"/>
              </w:rPr>
            </w:pPr>
            <w:r w:rsidRPr="00761800">
              <w:rPr>
                <w:rFonts w:ascii="Times New Roman" w:hAnsi="Times New Roman"/>
                <w:b/>
                <w:bCs/>
                <w:sz w:val="18"/>
                <w:szCs w:val="18"/>
                <w:lang w:eastAsia="bg-BG"/>
              </w:rPr>
              <w:t>ПРИХОДИ, ПОМОЩИ И ДАРЕНИЯ</w:t>
            </w:r>
          </w:p>
        </w:tc>
        <w:tc>
          <w:tcPr>
            <w:tcW w:w="1792" w:type="dxa"/>
            <w:tcBorders>
              <w:top w:val="single" w:sz="4" w:space="0" w:color="auto"/>
            </w:tcBorders>
            <w:shd w:val="clear" w:color="auto" w:fill="auto"/>
            <w:noWrap/>
          </w:tcPr>
          <w:p w14:paraId="6C051775"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38 495,0</w:t>
            </w:r>
          </w:p>
        </w:tc>
        <w:tc>
          <w:tcPr>
            <w:tcW w:w="1517" w:type="dxa"/>
            <w:tcBorders>
              <w:top w:val="single" w:sz="4" w:space="0" w:color="auto"/>
            </w:tcBorders>
            <w:shd w:val="clear" w:color="auto" w:fill="F2F2F2"/>
            <w:noWrap/>
            <w:vAlign w:val="bottom"/>
          </w:tcPr>
          <w:p w14:paraId="1A61DE2A"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36 820,8</w:t>
            </w:r>
          </w:p>
        </w:tc>
        <w:tc>
          <w:tcPr>
            <w:tcW w:w="1379" w:type="dxa"/>
            <w:tcBorders>
              <w:top w:val="single" w:sz="4" w:space="0" w:color="auto"/>
            </w:tcBorders>
            <w:shd w:val="clear" w:color="auto" w:fill="F2F2F2"/>
            <w:noWrap/>
            <w:vAlign w:val="bottom"/>
          </w:tcPr>
          <w:p w14:paraId="3794B212"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35 060,1</w:t>
            </w:r>
          </w:p>
        </w:tc>
        <w:tc>
          <w:tcPr>
            <w:tcW w:w="1460" w:type="dxa"/>
            <w:tcBorders>
              <w:top w:val="single" w:sz="4" w:space="0" w:color="auto"/>
            </w:tcBorders>
            <w:shd w:val="clear" w:color="auto" w:fill="F2F2F2"/>
            <w:noWrap/>
            <w:vAlign w:val="bottom"/>
          </w:tcPr>
          <w:p w14:paraId="5E803AF2"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1 760,7</w:t>
            </w:r>
          </w:p>
        </w:tc>
        <w:tc>
          <w:tcPr>
            <w:tcW w:w="1712" w:type="dxa"/>
            <w:tcBorders>
              <w:top w:val="single" w:sz="4" w:space="0" w:color="auto"/>
            </w:tcBorders>
            <w:shd w:val="clear" w:color="auto" w:fill="F2F2F2"/>
            <w:noWrap/>
            <w:vAlign w:val="bottom"/>
          </w:tcPr>
          <w:p w14:paraId="78625105"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95,7%</w:t>
            </w:r>
          </w:p>
        </w:tc>
      </w:tr>
      <w:tr w:rsidR="00761800" w:rsidRPr="00761800" w14:paraId="65B99C79" w14:textId="77777777" w:rsidTr="00761800">
        <w:trPr>
          <w:trHeight w:val="299"/>
          <w:jc w:val="center"/>
        </w:trPr>
        <w:tc>
          <w:tcPr>
            <w:tcW w:w="5245" w:type="dxa"/>
            <w:shd w:val="clear" w:color="auto" w:fill="auto"/>
            <w:noWrap/>
            <w:vAlign w:val="center"/>
            <w:hideMark/>
          </w:tcPr>
          <w:p w14:paraId="004C3004"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Данъчни приходи</w:t>
            </w:r>
          </w:p>
        </w:tc>
        <w:tc>
          <w:tcPr>
            <w:tcW w:w="1792" w:type="dxa"/>
            <w:shd w:val="clear" w:color="auto" w:fill="auto"/>
            <w:noWrap/>
          </w:tcPr>
          <w:p w14:paraId="05DACC3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29 629,8</w:t>
            </w:r>
          </w:p>
        </w:tc>
        <w:tc>
          <w:tcPr>
            <w:tcW w:w="1517" w:type="dxa"/>
            <w:shd w:val="clear" w:color="auto" w:fill="F2F2F2"/>
            <w:noWrap/>
            <w:vAlign w:val="bottom"/>
          </w:tcPr>
          <w:p w14:paraId="35D92DC1"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30 010,3</w:t>
            </w:r>
          </w:p>
        </w:tc>
        <w:tc>
          <w:tcPr>
            <w:tcW w:w="1379" w:type="dxa"/>
            <w:shd w:val="clear" w:color="auto" w:fill="F2F2F2"/>
            <w:noWrap/>
            <w:vAlign w:val="bottom"/>
          </w:tcPr>
          <w:p w14:paraId="67BD09CE"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30 010,3</w:t>
            </w:r>
          </w:p>
        </w:tc>
        <w:tc>
          <w:tcPr>
            <w:tcW w:w="1460" w:type="dxa"/>
            <w:shd w:val="clear" w:color="auto" w:fill="F2F2F2"/>
            <w:noWrap/>
            <w:vAlign w:val="bottom"/>
          </w:tcPr>
          <w:p w14:paraId="5A2E22D7"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0,0</w:t>
            </w:r>
          </w:p>
        </w:tc>
        <w:tc>
          <w:tcPr>
            <w:tcW w:w="1712" w:type="dxa"/>
            <w:shd w:val="clear" w:color="auto" w:fill="F2F2F2"/>
            <w:noWrap/>
            <w:vAlign w:val="bottom"/>
          </w:tcPr>
          <w:p w14:paraId="36FB6760"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101,3%</w:t>
            </w:r>
          </w:p>
        </w:tc>
      </w:tr>
      <w:tr w:rsidR="00761800" w:rsidRPr="00761800" w14:paraId="2C3D1607" w14:textId="77777777" w:rsidTr="00761800">
        <w:trPr>
          <w:trHeight w:val="147"/>
          <w:jc w:val="center"/>
        </w:trPr>
        <w:tc>
          <w:tcPr>
            <w:tcW w:w="5245" w:type="dxa"/>
            <w:shd w:val="clear" w:color="auto" w:fill="auto"/>
            <w:noWrap/>
            <w:vAlign w:val="center"/>
            <w:hideMark/>
          </w:tcPr>
          <w:p w14:paraId="1CB4BC8E"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Преки данъци</w:t>
            </w:r>
          </w:p>
        </w:tc>
        <w:tc>
          <w:tcPr>
            <w:tcW w:w="1792" w:type="dxa"/>
            <w:shd w:val="clear" w:color="auto" w:fill="auto"/>
            <w:noWrap/>
          </w:tcPr>
          <w:p w14:paraId="5CB24AF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6 579,7</w:t>
            </w:r>
          </w:p>
        </w:tc>
        <w:tc>
          <w:tcPr>
            <w:tcW w:w="1517" w:type="dxa"/>
            <w:shd w:val="clear" w:color="auto" w:fill="F2F2F2"/>
            <w:noWrap/>
            <w:vAlign w:val="bottom"/>
          </w:tcPr>
          <w:p w14:paraId="3EF27BC3"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6 399,8</w:t>
            </w:r>
          </w:p>
        </w:tc>
        <w:tc>
          <w:tcPr>
            <w:tcW w:w="1379" w:type="dxa"/>
            <w:shd w:val="clear" w:color="auto" w:fill="F2F2F2"/>
            <w:noWrap/>
            <w:vAlign w:val="bottom"/>
          </w:tcPr>
          <w:p w14:paraId="7782AABF"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6 399,8</w:t>
            </w:r>
          </w:p>
        </w:tc>
        <w:tc>
          <w:tcPr>
            <w:tcW w:w="1460" w:type="dxa"/>
            <w:shd w:val="clear" w:color="auto" w:fill="F2F2F2"/>
            <w:noWrap/>
          </w:tcPr>
          <w:p w14:paraId="6ADD6974" w14:textId="77777777" w:rsidR="00761800" w:rsidRPr="00761800" w:rsidRDefault="00761800" w:rsidP="00761800">
            <w:pPr>
              <w:jc w:val="right"/>
              <w:rPr>
                <w:rFonts w:ascii="Times New Roman" w:hAnsi="Times New Roman"/>
                <w:bCs/>
                <w:sz w:val="18"/>
                <w:szCs w:val="18"/>
                <w:lang w:eastAsia="bg-BG"/>
              </w:rPr>
            </w:pPr>
          </w:p>
        </w:tc>
        <w:tc>
          <w:tcPr>
            <w:tcW w:w="1712" w:type="dxa"/>
            <w:shd w:val="clear" w:color="auto" w:fill="F2F2F2"/>
            <w:noWrap/>
            <w:hideMark/>
          </w:tcPr>
          <w:p w14:paraId="4B2381F3"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97,3%</w:t>
            </w:r>
          </w:p>
        </w:tc>
      </w:tr>
      <w:tr w:rsidR="00761800" w:rsidRPr="00761800" w14:paraId="501C2E52" w14:textId="77777777" w:rsidTr="00761800">
        <w:trPr>
          <w:trHeight w:val="222"/>
          <w:jc w:val="center"/>
        </w:trPr>
        <w:tc>
          <w:tcPr>
            <w:tcW w:w="5245" w:type="dxa"/>
            <w:shd w:val="clear" w:color="auto" w:fill="auto"/>
            <w:noWrap/>
            <w:vAlign w:val="center"/>
            <w:hideMark/>
          </w:tcPr>
          <w:p w14:paraId="3E82E0B6"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Косвени данъци </w:t>
            </w:r>
          </w:p>
        </w:tc>
        <w:tc>
          <w:tcPr>
            <w:tcW w:w="1792" w:type="dxa"/>
            <w:shd w:val="clear" w:color="auto" w:fill="auto"/>
            <w:noWrap/>
          </w:tcPr>
          <w:p w14:paraId="3DF37B9C"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13 040,0</w:t>
            </w:r>
          </w:p>
        </w:tc>
        <w:tc>
          <w:tcPr>
            <w:tcW w:w="1517" w:type="dxa"/>
            <w:shd w:val="clear" w:color="auto" w:fill="F2F2F2"/>
            <w:noWrap/>
          </w:tcPr>
          <w:p w14:paraId="40D9F32D"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13 219,0</w:t>
            </w:r>
          </w:p>
        </w:tc>
        <w:tc>
          <w:tcPr>
            <w:tcW w:w="1379" w:type="dxa"/>
            <w:shd w:val="clear" w:color="auto" w:fill="F2F2F2"/>
            <w:noWrap/>
          </w:tcPr>
          <w:p w14:paraId="0452E79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13 219,0</w:t>
            </w:r>
          </w:p>
        </w:tc>
        <w:tc>
          <w:tcPr>
            <w:tcW w:w="1460" w:type="dxa"/>
            <w:shd w:val="clear" w:color="auto" w:fill="F2F2F2"/>
            <w:noWrap/>
          </w:tcPr>
          <w:p w14:paraId="7B8AF79F" w14:textId="77777777" w:rsidR="00761800" w:rsidRPr="00761800" w:rsidRDefault="00761800" w:rsidP="00761800">
            <w:pPr>
              <w:jc w:val="right"/>
              <w:rPr>
                <w:rFonts w:ascii="Times New Roman" w:hAnsi="Times New Roman"/>
                <w:bCs/>
                <w:sz w:val="18"/>
                <w:szCs w:val="18"/>
                <w:lang w:eastAsia="bg-BG"/>
              </w:rPr>
            </w:pPr>
          </w:p>
        </w:tc>
        <w:tc>
          <w:tcPr>
            <w:tcW w:w="1712" w:type="dxa"/>
            <w:shd w:val="clear" w:color="auto" w:fill="F2F2F2"/>
            <w:noWrap/>
            <w:hideMark/>
          </w:tcPr>
          <w:p w14:paraId="1D4A8D51"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101,4%</w:t>
            </w:r>
          </w:p>
        </w:tc>
      </w:tr>
      <w:tr w:rsidR="00761800" w:rsidRPr="00761800" w14:paraId="00CB4CFA" w14:textId="77777777" w:rsidTr="00761800">
        <w:trPr>
          <w:trHeight w:val="283"/>
          <w:jc w:val="center"/>
        </w:trPr>
        <w:tc>
          <w:tcPr>
            <w:tcW w:w="5245" w:type="dxa"/>
            <w:shd w:val="clear" w:color="auto" w:fill="auto"/>
            <w:noWrap/>
            <w:vAlign w:val="center"/>
            <w:hideMark/>
          </w:tcPr>
          <w:p w14:paraId="6429EE15"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Приходи от социални и здравноосиг. вноски</w:t>
            </w:r>
          </w:p>
        </w:tc>
        <w:tc>
          <w:tcPr>
            <w:tcW w:w="1792" w:type="dxa"/>
            <w:shd w:val="clear" w:color="auto" w:fill="auto"/>
            <w:noWrap/>
          </w:tcPr>
          <w:p w14:paraId="379F83D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9 063,4</w:t>
            </w:r>
          </w:p>
        </w:tc>
        <w:tc>
          <w:tcPr>
            <w:tcW w:w="1517" w:type="dxa"/>
            <w:shd w:val="clear" w:color="auto" w:fill="F2F2F2"/>
            <w:noWrap/>
          </w:tcPr>
          <w:p w14:paraId="7D92356E"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9 211,0</w:t>
            </w:r>
          </w:p>
        </w:tc>
        <w:tc>
          <w:tcPr>
            <w:tcW w:w="1379" w:type="dxa"/>
            <w:shd w:val="clear" w:color="auto" w:fill="F2F2F2"/>
            <w:noWrap/>
          </w:tcPr>
          <w:p w14:paraId="6D18CB19"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9 211,0</w:t>
            </w:r>
          </w:p>
        </w:tc>
        <w:tc>
          <w:tcPr>
            <w:tcW w:w="1460" w:type="dxa"/>
            <w:shd w:val="clear" w:color="auto" w:fill="F2F2F2"/>
            <w:noWrap/>
          </w:tcPr>
          <w:p w14:paraId="6B346DF3" w14:textId="77777777" w:rsidR="00761800" w:rsidRPr="00761800" w:rsidRDefault="00761800" w:rsidP="00761800">
            <w:pPr>
              <w:jc w:val="right"/>
              <w:rPr>
                <w:rFonts w:ascii="Times New Roman" w:hAnsi="Times New Roman"/>
                <w:bCs/>
                <w:sz w:val="18"/>
                <w:szCs w:val="18"/>
                <w:lang w:eastAsia="bg-BG"/>
              </w:rPr>
            </w:pPr>
          </w:p>
        </w:tc>
        <w:tc>
          <w:tcPr>
            <w:tcW w:w="1712" w:type="dxa"/>
            <w:shd w:val="clear" w:color="auto" w:fill="F2F2F2"/>
            <w:noWrap/>
            <w:hideMark/>
          </w:tcPr>
          <w:p w14:paraId="556AE47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101,6%</w:t>
            </w:r>
          </w:p>
        </w:tc>
      </w:tr>
      <w:tr w:rsidR="00761800" w:rsidRPr="00761800" w14:paraId="28A9C471" w14:textId="77777777" w:rsidTr="00761800">
        <w:trPr>
          <w:trHeight w:val="131"/>
          <w:jc w:val="center"/>
        </w:trPr>
        <w:tc>
          <w:tcPr>
            <w:tcW w:w="5245" w:type="dxa"/>
            <w:shd w:val="clear" w:color="auto" w:fill="auto"/>
            <w:noWrap/>
            <w:vAlign w:val="center"/>
            <w:hideMark/>
          </w:tcPr>
          <w:p w14:paraId="1254B896"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Други данъци</w:t>
            </w:r>
          </w:p>
        </w:tc>
        <w:tc>
          <w:tcPr>
            <w:tcW w:w="1792" w:type="dxa"/>
            <w:shd w:val="clear" w:color="auto" w:fill="auto"/>
            <w:noWrap/>
          </w:tcPr>
          <w:p w14:paraId="573A1AF3"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946,6</w:t>
            </w:r>
          </w:p>
        </w:tc>
        <w:tc>
          <w:tcPr>
            <w:tcW w:w="1517" w:type="dxa"/>
            <w:shd w:val="clear" w:color="auto" w:fill="F2F2F2"/>
            <w:noWrap/>
          </w:tcPr>
          <w:p w14:paraId="6B28B40E"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1 180,5</w:t>
            </w:r>
          </w:p>
        </w:tc>
        <w:tc>
          <w:tcPr>
            <w:tcW w:w="1379" w:type="dxa"/>
            <w:shd w:val="clear" w:color="auto" w:fill="F2F2F2"/>
            <w:noWrap/>
          </w:tcPr>
          <w:p w14:paraId="1390621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1 180,5</w:t>
            </w:r>
          </w:p>
        </w:tc>
        <w:tc>
          <w:tcPr>
            <w:tcW w:w="1460" w:type="dxa"/>
            <w:shd w:val="clear" w:color="auto" w:fill="F2F2F2"/>
            <w:noWrap/>
          </w:tcPr>
          <w:p w14:paraId="250FE080"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0,0</w:t>
            </w:r>
          </w:p>
        </w:tc>
        <w:tc>
          <w:tcPr>
            <w:tcW w:w="1712" w:type="dxa"/>
            <w:shd w:val="clear" w:color="auto" w:fill="F2F2F2"/>
            <w:noWrap/>
            <w:hideMark/>
          </w:tcPr>
          <w:p w14:paraId="6D2467AA"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124,7%</w:t>
            </w:r>
          </w:p>
        </w:tc>
      </w:tr>
      <w:tr w:rsidR="00761800" w:rsidRPr="00761800" w14:paraId="15964AE6" w14:textId="77777777" w:rsidTr="00761800">
        <w:trPr>
          <w:trHeight w:val="203"/>
          <w:jc w:val="center"/>
        </w:trPr>
        <w:tc>
          <w:tcPr>
            <w:tcW w:w="5245" w:type="dxa"/>
            <w:shd w:val="clear" w:color="auto" w:fill="auto"/>
            <w:noWrap/>
            <w:vAlign w:val="center"/>
            <w:hideMark/>
          </w:tcPr>
          <w:p w14:paraId="13E1FB3F"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lastRenderedPageBreak/>
              <w:t>Неданъчни приходи</w:t>
            </w:r>
          </w:p>
        </w:tc>
        <w:tc>
          <w:tcPr>
            <w:tcW w:w="1792" w:type="dxa"/>
            <w:shd w:val="clear" w:color="auto" w:fill="auto"/>
            <w:noWrap/>
          </w:tcPr>
          <w:p w14:paraId="5F704B5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5 244,9</w:t>
            </w:r>
          </w:p>
        </w:tc>
        <w:tc>
          <w:tcPr>
            <w:tcW w:w="1517" w:type="dxa"/>
            <w:shd w:val="clear" w:color="auto" w:fill="F2F2F2"/>
            <w:noWrap/>
          </w:tcPr>
          <w:p w14:paraId="7207564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4 953,3</w:t>
            </w:r>
          </w:p>
        </w:tc>
        <w:tc>
          <w:tcPr>
            <w:tcW w:w="1379" w:type="dxa"/>
            <w:shd w:val="clear" w:color="auto" w:fill="F2F2F2"/>
            <w:noWrap/>
          </w:tcPr>
          <w:p w14:paraId="1E86679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4 956,7</w:t>
            </w:r>
          </w:p>
        </w:tc>
        <w:tc>
          <w:tcPr>
            <w:tcW w:w="1460" w:type="dxa"/>
            <w:shd w:val="clear" w:color="auto" w:fill="F2F2F2"/>
            <w:noWrap/>
          </w:tcPr>
          <w:p w14:paraId="2540FEDF"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-3,4</w:t>
            </w:r>
          </w:p>
        </w:tc>
        <w:tc>
          <w:tcPr>
            <w:tcW w:w="1712" w:type="dxa"/>
            <w:shd w:val="clear" w:color="auto" w:fill="F2F2F2"/>
            <w:noWrap/>
            <w:hideMark/>
          </w:tcPr>
          <w:p w14:paraId="497E83E2"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94,4%</w:t>
            </w:r>
          </w:p>
        </w:tc>
      </w:tr>
      <w:tr w:rsidR="00761800" w:rsidRPr="00761800" w14:paraId="3DD28C54" w14:textId="77777777" w:rsidTr="00761800">
        <w:trPr>
          <w:trHeight w:val="278"/>
          <w:jc w:val="center"/>
        </w:trPr>
        <w:tc>
          <w:tcPr>
            <w:tcW w:w="5245" w:type="dxa"/>
            <w:shd w:val="clear" w:color="auto" w:fill="auto"/>
            <w:noWrap/>
            <w:vAlign w:val="center"/>
            <w:hideMark/>
          </w:tcPr>
          <w:p w14:paraId="41C40C35"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Помощи и дарения</w:t>
            </w:r>
          </w:p>
        </w:tc>
        <w:tc>
          <w:tcPr>
            <w:tcW w:w="1792" w:type="dxa"/>
            <w:shd w:val="clear" w:color="auto" w:fill="auto"/>
            <w:noWrap/>
          </w:tcPr>
          <w:p w14:paraId="19151F01"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3 620,3</w:t>
            </w:r>
          </w:p>
        </w:tc>
        <w:tc>
          <w:tcPr>
            <w:tcW w:w="1517" w:type="dxa"/>
            <w:shd w:val="clear" w:color="auto" w:fill="F2F2F2"/>
            <w:noWrap/>
          </w:tcPr>
          <w:p w14:paraId="5A53235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1 857,1</w:t>
            </w:r>
          </w:p>
        </w:tc>
        <w:tc>
          <w:tcPr>
            <w:tcW w:w="1379" w:type="dxa"/>
            <w:shd w:val="clear" w:color="auto" w:fill="F2F2F2"/>
            <w:noWrap/>
          </w:tcPr>
          <w:p w14:paraId="42804A87"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93,1</w:t>
            </w:r>
          </w:p>
        </w:tc>
        <w:tc>
          <w:tcPr>
            <w:tcW w:w="1460" w:type="dxa"/>
            <w:shd w:val="clear" w:color="auto" w:fill="F2F2F2"/>
            <w:noWrap/>
          </w:tcPr>
          <w:p w14:paraId="4EB7E92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1 764,0</w:t>
            </w:r>
          </w:p>
        </w:tc>
        <w:tc>
          <w:tcPr>
            <w:tcW w:w="1712" w:type="dxa"/>
            <w:shd w:val="clear" w:color="auto" w:fill="F2F2F2"/>
            <w:noWrap/>
            <w:hideMark/>
          </w:tcPr>
          <w:p w14:paraId="00790572"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51,3%</w:t>
            </w:r>
          </w:p>
        </w:tc>
      </w:tr>
      <w:tr w:rsidR="00761800" w:rsidRPr="00761800" w14:paraId="12BCE2B7" w14:textId="77777777" w:rsidTr="00761800">
        <w:trPr>
          <w:trHeight w:val="278"/>
          <w:jc w:val="center"/>
        </w:trPr>
        <w:tc>
          <w:tcPr>
            <w:tcW w:w="5245" w:type="dxa"/>
            <w:shd w:val="clear" w:color="auto" w:fill="auto"/>
            <w:vAlign w:val="center"/>
            <w:hideMark/>
          </w:tcPr>
          <w:p w14:paraId="515E48E9" w14:textId="77777777" w:rsidR="00761800" w:rsidRPr="00761800" w:rsidRDefault="00761800" w:rsidP="00761800">
            <w:pPr>
              <w:jc w:val="both"/>
              <w:rPr>
                <w:rFonts w:ascii="Times New Roman" w:hAnsi="Times New Roman"/>
                <w:b/>
                <w:bCs/>
                <w:sz w:val="18"/>
                <w:szCs w:val="18"/>
                <w:lang w:eastAsia="bg-BG"/>
              </w:rPr>
            </w:pPr>
            <w:r w:rsidRPr="00761800">
              <w:rPr>
                <w:rFonts w:ascii="Times New Roman" w:hAnsi="Times New Roman"/>
                <w:b/>
                <w:bCs/>
                <w:sz w:val="18"/>
                <w:szCs w:val="18"/>
                <w:lang w:eastAsia="bg-BG"/>
              </w:rPr>
              <w:t>РАЗХОДИ И ВНОСКА В БЮДЖЕТА НА ЕС</w:t>
            </w:r>
          </w:p>
        </w:tc>
        <w:tc>
          <w:tcPr>
            <w:tcW w:w="1792" w:type="dxa"/>
            <w:shd w:val="clear" w:color="auto" w:fill="auto"/>
            <w:noWrap/>
          </w:tcPr>
          <w:p w14:paraId="291FE225"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41 674,9</w:t>
            </w:r>
          </w:p>
        </w:tc>
        <w:tc>
          <w:tcPr>
            <w:tcW w:w="1517" w:type="dxa"/>
            <w:shd w:val="clear" w:color="auto" w:fill="F2F2F2"/>
            <w:noWrap/>
          </w:tcPr>
          <w:p w14:paraId="47337491"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39 972,2</w:t>
            </w:r>
          </w:p>
        </w:tc>
        <w:tc>
          <w:tcPr>
            <w:tcW w:w="1379" w:type="dxa"/>
            <w:shd w:val="clear" w:color="auto" w:fill="F2F2F2"/>
            <w:noWrap/>
          </w:tcPr>
          <w:p w14:paraId="1C0BB153"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38 029,9</w:t>
            </w:r>
          </w:p>
        </w:tc>
        <w:tc>
          <w:tcPr>
            <w:tcW w:w="1460" w:type="dxa"/>
            <w:shd w:val="clear" w:color="auto" w:fill="F2F2F2"/>
            <w:noWrap/>
          </w:tcPr>
          <w:p w14:paraId="079E7E0B"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1 942,3</w:t>
            </w:r>
          </w:p>
        </w:tc>
        <w:tc>
          <w:tcPr>
            <w:tcW w:w="1712" w:type="dxa"/>
            <w:shd w:val="clear" w:color="auto" w:fill="F2F2F2"/>
            <w:noWrap/>
          </w:tcPr>
          <w:p w14:paraId="66562B02"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95,9%</w:t>
            </w:r>
          </w:p>
        </w:tc>
      </w:tr>
      <w:tr w:rsidR="00761800" w:rsidRPr="00761800" w14:paraId="41F79320" w14:textId="77777777" w:rsidTr="00761800">
        <w:trPr>
          <w:trHeight w:val="144"/>
          <w:jc w:val="center"/>
        </w:trPr>
        <w:tc>
          <w:tcPr>
            <w:tcW w:w="5245" w:type="dxa"/>
            <w:shd w:val="clear" w:color="auto" w:fill="auto"/>
            <w:noWrap/>
            <w:vAlign w:val="center"/>
            <w:hideMark/>
          </w:tcPr>
          <w:p w14:paraId="73524B09"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Нелихвени</w:t>
            </w:r>
          </w:p>
        </w:tc>
        <w:tc>
          <w:tcPr>
            <w:tcW w:w="1792" w:type="dxa"/>
            <w:shd w:val="clear" w:color="auto" w:fill="auto"/>
            <w:noWrap/>
          </w:tcPr>
          <w:p w14:paraId="3715A031"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39 997,0</w:t>
            </w:r>
          </w:p>
        </w:tc>
        <w:tc>
          <w:tcPr>
            <w:tcW w:w="1517" w:type="dxa"/>
            <w:shd w:val="clear" w:color="auto" w:fill="F2F2F2"/>
            <w:noWrap/>
          </w:tcPr>
          <w:p w14:paraId="53AF3E7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38 642,2</w:t>
            </w:r>
          </w:p>
        </w:tc>
        <w:tc>
          <w:tcPr>
            <w:tcW w:w="1379" w:type="dxa"/>
            <w:shd w:val="clear" w:color="auto" w:fill="F2F2F2"/>
            <w:noWrap/>
          </w:tcPr>
          <w:p w14:paraId="04FBF35C"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36 700,0</w:t>
            </w:r>
          </w:p>
        </w:tc>
        <w:tc>
          <w:tcPr>
            <w:tcW w:w="1460" w:type="dxa"/>
            <w:shd w:val="clear" w:color="auto" w:fill="F2F2F2"/>
            <w:noWrap/>
          </w:tcPr>
          <w:p w14:paraId="50B3D6A1"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1 942,2</w:t>
            </w:r>
          </w:p>
        </w:tc>
        <w:tc>
          <w:tcPr>
            <w:tcW w:w="1712" w:type="dxa"/>
            <w:shd w:val="clear" w:color="auto" w:fill="F2F2F2"/>
            <w:noWrap/>
          </w:tcPr>
          <w:p w14:paraId="1E3DBFE6"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96,6%</w:t>
            </w:r>
          </w:p>
        </w:tc>
      </w:tr>
      <w:tr w:rsidR="00761800" w:rsidRPr="00761800" w14:paraId="643D3AD5" w14:textId="77777777" w:rsidTr="00761800">
        <w:trPr>
          <w:trHeight w:val="286"/>
          <w:jc w:val="center"/>
        </w:trPr>
        <w:tc>
          <w:tcPr>
            <w:tcW w:w="5245" w:type="dxa"/>
            <w:shd w:val="clear" w:color="auto" w:fill="auto"/>
            <w:noWrap/>
            <w:vAlign w:val="center"/>
          </w:tcPr>
          <w:p w14:paraId="51D411C8"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Текущи</w:t>
            </w:r>
          </w:p>
        </w:tc>
        <w:tc>
          <w:tcPr>
            <w:tcW w:w="1792" w:type="dxa"/>
            <w:shd w:val="clear" w:color="auto" w:fill="auto"/>
            <w:noWrap/>
          </w:tcPr>
          <w:p w14:paraId="4FBB19B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34 667,8</w:t>
            </w:r>
          </w:p>
        </w:tc>
        <w:tc>
          <w:tcPr>
            <w:tcW w:w="1517" w:type="dxa"/>
            <w:shd w:val="clear" w:color="auto" w:fill="F2F2F2"/>
            <w:noWrap/>
          </w:tcPr>
          <w:p w14:paraId="57D68F8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35 139,4</w:t>
            </w:r>
          </w:p>
        </w:tc>
        <w:tc>
          <w:tcPr>
            <w:tcW w:w="1379" w:type="dxa"/>
            <w:shd w:val="clear" w:color="auto" w:fill="F2F2F2"/>
            <w:noWrap/>
          </w:tcPr>
          <w:p w14:paraId="5D4DB052"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34 457,4</w:t>
            </w:r>
          </w:p>
        </w:tc>
        <w:tc>
          <w:tcPr>
            <w:tcW w:w="1460" w:type="dxa"/>
            <w:shd w:val="clear" w:color="auto" w:fill="F2F2F2"/>
            <w:noWrap/>
          </w:tcPr>
          <w:p w14:paraId="0872180D"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681,9</w:t>
            </w:r>
          </w:p>
        </w:tc>
        <w:tc>
          <w:tcPr>
            <w:tcW w:w="1712" w:type="dxa"/>
            <w:shd w:val="clear" w:color="auto" w:fill="F2F2F2"/>
            <w:noWrap/>
          </w:tcPr>
          <w:p w14:paraId="1C11718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101,4%</w:t>
            </w:r>
          </w:p>
        </w:tc>
      </w:tr>
      <w:tr w:rsidR="00761800" w:rsidRPr="00761800" w14:paraId="36CCA257" w14:textId="77777777" w:rsidTr="00761800">
        <w:trPr>
          <w:trHeight w:val="138"/>
          <w:jc w:val="center"/>
        </w:trPr>
        <w:tc>
          <w:tcPr>
            <w:tcW w:w="5245" w:type="dxa"/>
            <w:shd w:val="clear" w:color="auto" w:fill="auto"/>
            <w:noWrap/>
            <w:vAlign w:val="center"/>
          </w:tcPr>
          <w:p w14:paraId="1C06E1B6"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Капиталови**</w:t>
            </w:r>
          </w:p>
        </w:tc>
        <w:tc>
          <w:tcPr>
            <w:tcW w:w="1792" w:type="dxa"/>
            <w:shd w:val="clear" w:color="auto" w:fill="auto"/>
            <w:noWrap/>
          </w:tcPr>
          <w:p w14:paraId="4F0DBEE9"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5 125,8</w:t>
            </w:r>
          </w:p>
        </w:tc>
        <w:tc>
          <w:tcPr>
            <w:tcW w:w="1517" w:type="dxa"/>
            <w:shd w:val="clear" w:color="auto" w:fill="F2F2F2"/>
            <w:noWrap/>
          </w:tcPr>
          <w:p w14:paraId="5D61C889"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3 478,0</w:t>
            </w:r>
          </w:p>
        </w:tc>
        <w:tc>
          <w:tcPr>
            <w:tcW w:w="1379" w:type="dxa"/>
            <w:shd w:val="clear" w:color="auto" w:fill="F2F2F2"/>
            <w:noWrap/>
          </w:tcPr>
          <w:p w14:paraId="0B570C16"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2 225,8</w:t>
            </w:r>
          </w:p>
        </w:tc>
        <w:tc>
          <w:tcPr>
            <w:tcW w:w="1460" w:type="dxa"/>
            <w:shd w:val="clear" w:color="auto" w:fill="F2F2F2"/>
            <w:noWrap/>
          </w:tcPr>
          <w:p w14:paraId="25775314"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1 252,3</w:t>
            </w:r>
          </w:p>
        </w:tc>
        <w:tc>
          <w:tcPr>
            <w:tcW w:w="1712" w:type="dxa"/>
            <w:shd w:val="clear" w:color="auto" w:fill="F2F2F2"/>
            <w:noWrap/>
          </w:tcPr>
          <w:p w14:paraId="6DBAEABF"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67,9%</w:t>
            </w:r>
          </w:p>
        </w:tc>
      </w:tr>
      <w:tr w:rsidR="00761800" w:rsidRPr="00761800" w14:paraId="62C8892D" w14:textId="77777777" w:rsidTr="00761800">
        <w:trPr>
          <w:trHeight w:val="266"/>
          <w:jc w:val="center"/>
        </w:trPr>
        <w:tc>
          <w:tcPr>
            <w:tcW w:w="5245" w:type="dxa"/>
            <w:shd w:val="clear" w:color="auto" w:fill="auto"/>
            <w:noWrap/>
            <w:vAlign w:val="center"/>
          </w:tcPr>
          <w:p w14:paraId="637CAE4F"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Предоставени тек. и кап. трансфери за чужбина</w:t>
            </w:r>
          </w:p>
        </w:tc>
        <w:tc>
          <w:tcPr>
            <w:tcW w:w="1792" w:type="dxa"/>
            <w:shd w:val="clear" w:color="auto" w:fill="auto"/>
            <w:noWrap/>
          </w:tcPr>
          <w:p w14:paraId="4137EA36"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14,1</w:t>
            </w:r>
          </w:p>
        </w:tc>
        <w:tc>
          <w:tcPr>
            <w:tcW w:w="1517" w:type="dxa"/>
            <w:shd w:val="clear" w:color="auto" w:fill="F2F2F2"/>
            <w:noWrap/>
          </w:tcPr>
          <w:p w14:paraId="1920E77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24,9</w:t>
            </w:r>
          </w:p>
        </w:tc>
        <w:tc>
          <w:tcPr>
            <w:tcW w:w="1379" w:type="dxa"/>
            <w:shd w:val="clear" w:color="auto" w:fill="F2F2F2"/>
            <w:noWrap/>
          </w:tcPr>
          <w:p w14:paraId="1E5CB5DF"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16,8</w:t>
            </w:r>
          </w:p>
        </w:tc>
        <w:tc>
          <w:tcPr>
            <w:tcW w:w="1460" w:type="dxa"/>
            <w:shd w:val="clear" w:color="auto" w:fill="F2F2F2"/>
            <w:noWrap/>
          </w:tcPr>
          <w:p w14:paraId="65B9E63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8,1</w:t>
            </w:r>
          </w:p>
        </w:tc>
        <w:tc>
          <w:tcPr>
            <w:tcW w:w="1712" w:type="dxa"/>
            <w:shd w:val="clear" w:color="auto" w:fill="F2F2F2"/>
            <w:noWrap/>
          </w:tcPr>
          <w:p w14:paraId="27C24472"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176,8%</w:t>
            </w:r>
          </w:p>
        </w:tc>
      </w:tr>
      <w:tr w:rsidR="00761800" w:rsidRPr="00761800" w14:paraId="5EF78F7F" w14:textId="77777777" w:rsidTr="00761800">
        <w:trPr>
          <w:trHeight w:val="254"/>
          <w:jc w:val="center"/>
        </w:trPr>
        <w:tc>
          <w:tcPr>
            <w:tcW w:w="5245" w:type="dxa"/>
            <w:shd w:val="clear" w:color="auto" w:fill="auto"/>
            <w:noWrap/>
            <w:vAlign w:val="center"/>
            <w:hideMark/>
          </w:tcPr>
          <w:p w14:paraId="4243734A"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Резерв за непредвидени и/или неотложни разходи</w:t>
            </w:r>
          </w:p>
        </w:tc>
        <w:tc>
          <w:tcPr>
            <w:tcW w:w="1792" w:type="dxa"/>
            <w:shd w:val="clear" w:color="auto" w:fill="auto"/>
            <w:noWrap/>
          </w:tcPr>
          <w:p w14:paraId="30AAC5F6"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189,3</w:t>
            </w:r>
          </w:p>
        </w:tc>
        <w:tc>
          <w:tcPr>
            <w:tcW w:w="1517" w:type="dxa"/>
            <w:shd w:val="clear" w:color="auto" w:fill="F2F2F2"/>
            <w:noWrap/>
          </w:tcPr>
          <w:p w14:paraId="22792D4F" w14:textId="77777777" w:rsidR="00761800" w:rsidRPr="00761800" w:rsidRDefault="00761800" w:rsidP="00761800">
            <w:pPr>
              <w:jc w:val="right"/>
              <w:rPr>
                <w:rFonts w:ascii="Times New Roman" w:hAnsi="Times New Roman"/>
                <w:bCs/>
                <w:sz w:val="18"/>
                <w:szCs w:val="18"/>
                <w:lang w:eastAsia="bg-BG"/>
              </w:rPr>
            </w:pPr>
          </w:p>
        </w:tc>
        <w:tc>
          <w:tcPr>
            <w:tcW w:w="1379" w:type="dxa"/>
            <w:shd w:val="clear" w:color="auto" w:fill="F2F2F2"/>
            <w:noWrap/>
          </w:tcPr>
          <w:p w14:paraId="1DCBF95B" w14:textId="77777777" w:rsidR="00761800" w:rsidRPr="00761800" w:rsidRDefault="00761800" w:rsidP="00761800">
            <w:pPr>
              <w:jc w:val="right"/>
              <w:rPr>
                <w:rFonts w:ascii="Times New Roman" w:hAnsi="Times New Roman"/>
                <w:bCs/>
                <w:sz w:val="18"/>
                <w:szCs w:val="18"/>
                <w:lang w:eastAsia="bg-BG"/>
              </w:rPr>
            </w:pPr>
          </w:p>
        </w:tc>
        <w:tc>
          <w:tcPr>
            <w:tcW w:w="1460" w:type="dxa"/>
            <w:shd w:val="clear" w:color="auto" w:fill="F2F2F2"/>
            <w:noWrap/>
          </w:tcPr>
          <w:p w14:paraId="3529E0BD" w14:textId="77777777" w:rsidR="00761800" w:rsidRPr="00761800" w:rsidRDefault="00761800" w:rsidP="00761800">
            <w:pPr>
              <w:jc w:val="right"/>
              <w:rPr>
                <w:rFonts w:ascii="Times New Roman" w:hAnsi="Times New Roman"/>
                <w:bCs/>
                <w:sz w:val="18"/>
                <w:szCs w:val="18"/>
                <w:lang w:eastAsia="bg-BG"/>
              </w:rPr>
            </w:pPr>
          </w:p>
        </w:tc>
        <w:tc>
          <w:tcPr>
            <w:tcW w:w="1712" w:type="dxa"/>
            <w:shd w:val="clear" w:color="auto" w:fill="F2F2F2"/>
            <w:noWrap/>
          </w:tcPr>
          <w:p w14:paraId="229F93D8" w14:textId="77777777" w:rsidR="00761800" w:rsidRPr="00761800" w:rsidRDefault="00761800" w:rsidP="00761800">
            <w:pPr>
              <w:jc w:val="right"/>
              <w:rPr>
                <w:rFonts w:ascii="Times New Roman" w:hAnsi="Times New Roman"/>
                <w:bCs/>
                <w:sz w:val="18"/>
                <w:szCs w:val="18"/>
                <w:lang w:eastAsia="bg-BG"/>
              </w:rPr>
            </w:pPr>
          </w:p>
        </w:tc>
      </w:tr>
      <w:tr w:rsidR="00761800" w:rsidRPr="00761800" w14:paraId="7EFE191C" w14:textId="77777777" w:rsidTr="00761800">
        <w:trPr>
          <w:trHeight w:val="203"/>
          <w:jc w:val="center"/>
        </w:trPr>
        <w:tc>
          <w:tcPr>
            <w:tcW w:w="5245" w:type="dxa"/>
            <w:shd w:val="clear" w:color="auto" w:fill="auto"/>
            <w:noWrap/>
            <w:vAlign w:val="center"/>
          </w:tcPr>
          <w:p w14:paraId="5A48E6A8"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Лихвени</w:t>
            </w:r>
          </w:p>
        </w:tc>
        <w:tc>
          <w:tcPr>
            <w:tcW w:w="1792" w:type="dxa"/>
            <w:shd w:val="clear" w:color="auto" w:fill="auto"/>
            <w:noWrap/>
          </w:tcPr>
          <w:p w14:paraId="39C5ADF9"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516,7</w:t>
            </w:r>
          </w:p>
        </w:tc>
        <w:tc>
          <w:tcPr>
            <w:tcW w:w="1517" w:type="dxa"/>
            <w:shd w:val="clear" w:color="auto" w:fill="F2F2F2"/>
            <w:noWrap/>
          </w:tcPr>
          <w:p w14:paraId="6FAFF55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515,9</w:t>
            </w:r>
          </w:p>
        </w:tc>
        <w:tc>
          <w:tcPr>
            <w:tcW w:w="1379" w:type="dxa"/>
            <w:shd w:val="clear" w:color="auto" w:fill="F2F2F2"/>
            <w:noWrap/>
          </w:tcPr>
          <w:p w14:paraId="4C64A456"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515,9</w:t>
            </w:r>
          </w:p>
        </w:tc>
        <w:tc>
          <w:tcPr>
            <w:tcW w:w="1460" w:type="dxa"/>
            <w:shd w:val="clear" w:color="auto" w:fill="F2F2F2"/>
            <w:noWrap/>
          </w:tcPr>
          <w:p w14:paraId="4C014FE2"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0,0</w:t>
            </w:r>
          </w:p>
        </w:tc>
        <w:tc>
          <w:tcPr>
            <w:tcW w:w="1712" w:type="dxa"/>
            <w:shd w:val="clear" w:color="auto" w:fill="F2F2F2"/>
            <w:noWrap/>
          </w:tcPr>
          <w:p w14:paraId="6962665E"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99,8%</w:t>
            </w:r>
          </w:p>
        </w:tc>
      </w:tr>
      <w:tr w:rsidR="00761800" w:rsidRPr="00761800" w14:paraId="57BEC3E5" w14:textId="77777777" w:rsidTr="00761800">
        <w:trPr>
          <w:trHeight w:val="59"/>
          <w:jc w:val="center"/>
        </w:trPr>
        <w:tc>
          <w:tcPr>
            <w:tcW w:w="5245" w:type="dxa"/>
            <w:shd w:val="clear" w:color="auto" w:fill="auto"/>
            <w:noWrap/>
            <w:vAlign w:val="center"/>
            <w:hideMark/>
          </w:tcPr>
          <w:p w14:paraId="751635C3"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Вноска в общия бюджет на ЕС</w:t>
            </w:r>
          </w:p>
        </w:tc>
        <w:tc>
          <w:tcPr>
            <w:tcW w:w="1792" w:type="dxa"/>
            <w:shd w:val="clear" w:color="auto" w:fill="auto"/>
            <w:noWrap/>
          </w:tcPr>
          <w:p w14:paraId="70197DF0"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1 161,2</w:t>
            </w:r>
          </w:p>
        </w:tc>
        <w:tc>
          <w:tcPr>
            <w:tcW w:w="1517" w:type="dxa"/>
            <w:shd w:val="clear" w:color="auto" w:fill="F2F2F2"/>
            <w:noWrap/>
          </w:tcPr>
          <w:p w14:paraId="1D01430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814,1</w:t>
            </w:r>
          </w:p>
        </w:tc>
        <w:tc>
          <w:tcPr>
            <w:tcW w:w="1379" w:type="dxa"/>
            <w:shd w:val="clear" w:color="auto" w:fill="F2F2F2"/>
            <w:noWrap/>
          </w:tcPr>
          <w:p w14:paraId="5474E0C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814,1</w:t>
            </w:r>
          </w:p>
        </w:tc>
        <w:tc>
          <w:tcPr>
            <w:tcW w:w="1460" w:type="dxa"/>
            <w:shd w:val="clear" w:color="auto" w:fill="F2F2F2"/>
            <w:noWrap/>
          </w:tcPr>
          <w:p w14:paraId="22DFCA1F"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0,0</w:t>
            </w:r>
          </w:p>
        </w:tc>
        <w:tc>
          <w:tcPr>
            <w:tcW w:w="1712" w:type="dxa"/>
            <w:shd w:val="clear" w:color="auto" w:fill="F2F2F2"/>
            <w:noWrap/>
          </w:tcPr>
          <w:p w14:paraId="7E59D7F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70,1%</w:t>
            </w:r>
          </w:p>
        </w:tc>
      </w:tr>
      <w:tr w:rsidR="00761800" w:rsidRPr="00761800" w14:paraId="0646A251" w14:textId="77777777" w:rsidTr="00761800">
        <w:trPr>
          <w:trHeight w:val="351"/>
          <w:jc w:val="center"/>
        </w:trPr>
        <w:tc>
          <w:tcPr>
            <w:tcW w:w="5245" w:type="dxa"/>
            <w:shd w:val="clear" w:color="auto" w:fill="auto"/>
            <w:vAlign w:val="center"/>
            <w:hideMark/>
          </w:tcPr>
          <w:p w14:paraId="4C6E05A0" w14:textId="77777777" w:rsidR="00761800" w:rsidRPr="00761800" w:rsidRDefault="00761800" w:rsidP="00761800">
            <w:pPr>
              <w:jc w:val="both"/>
              <w:rPr>
                <w:rFonts w:ascii="Times New Roman" w:hAnsi="Times New Roman"/>
                <w:b/>
                <w:bCs/>
                <w:sz w:val="18"/>
                <w:szCs w:val="18"/>
                <w:lang w:eastAsia="bg-BG"/>
              </w:rPr>
            </w:pPr>
            <w:r w:rsidRPr="00761800">
              <w:rPr>
                <w:rFonts w:ascii="Times New Roman" w:hAnsi="Times New Roman"/>
                <w:b/>
                <w:bCs/>
                <w:sz w:val="18"/>
                <w:szCs w:val="18"/>
                <w:lang w:eastAsia="bg-BG"/>
              </w:rPr>
              <w:t>ТРАНСФЕРИ – НЕТО</w:t>
            </w:r>
          </w:p>
        </w:tc>
        <w:tc>
          <w:tcPr>
            <w:tcW w:w="1792" w:type="dxa"/>
            <w:shd w:val="clear" w:color="auto" w:fill="auto"/>
            <w:noWrap/>
          </w:tcPr>
          <w:p w14:paraId="33DAB85F" w14:textId="77777777" w:rsidR="00761800" w:rsidRPr="00761800" w:rsidRDefault="00761800" w:rsidP="00761800">
            <w:pPr>
              <w:jc w:val="right"/>
              <w:rPr>
                <w:rFonts w:ascii="Times New Roman" w:hAnsi="Times New Roman"/>
                <w:bCs/>
                <w:sz w:val="18"/>
                <w:szCs w:val="18"/>
                <w:lang w:eastAsia="bg-BG"/>
              </w:rPr>
            </w:pPr>
          </w:p>
        </w:tc>
        <w:tc>
          <w:tcPr>
            <w:tcW w:w="1517" w:type="dxa"/>
            <w:shd w:val="clear" w:color="auto" w:fill="F2F2F2"/>
            <w:noWrap/>
          </w:tcPr>
          <w:p w14:paraId="68DFE7E8" w14:textId="77777777" w:rsidR="00761800" w:rsidRPr="00761800" w:rsidRDefault="00761800" w:rsidP="00761800">
            <w:pPr>
              <w:jc w:val="right"/>
              <w:rPr>
                <w:rFonts w:ascii="Times New Roman" w:hAnsi="Times New Roman"/>
                <w:b/>
                <w:bCs/>
                <w:color w:val="FE8637"/>
                <w:sz w:val="18"/>
                <w:szCs w:val="18"/>
                <w:lang w:eastAsia="bg-BG"/>
              </w:rPr>
            </w:pPr>
          </w:p>
        </w:tc>
        <w:tc>
          <w:tcPr>
            <w:tcW w:w="1379" w:type="dxa"/>
            <w:shd w:val="clear" w:color="auto" w:fill="F2F2F2"/>
            <w:noWrap/>
          </w:tcPr>
          <w:p w14:paraId="70D08F7D"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-434,2</w:t>
            </w:r>
          </w:p>
        </w:tc>
        <w:tc>
          <w:tcPr>
            <w:tcW w:w="1460" w:type="dxa"/>
            <w:shd w:val="clear" w:color="auto" w:fill="F2F2F2"/>
            <w:noWrap/>
          </w:tcPr>
          <w:p w14:paraId="0C1D90F2"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434,2</w:t>
            </w:r>
          </w:p>
        </w:tc>
        <w:tc>
          <w:tcPr>
            <w:tcW w:w="1712" w:type="dxa"/>
            <w:shd w:val="clear" w:color="auto" w:fill="F2F2F2"/>
            <w:noWrap/>
            <w:vAlign w:val="center"/>
            <w:hideMark/>
          </w:tcPr>
          <w:p w14:paraId="654E41FE" w14:textId="77777777" w:rsidR="00761800" w:rsidRPr="00761800" w:rsidRDefault="00761800" w:rsidP="00761800">
            <w:pPr>
              <w:jc w:val="right"/>
              <w:rPr>
                <w:rFonts w:ascii="Times New Roman" w:hAnsi="Times New Roman"/>
                <w:b/>
                <w:bCs/>
                <w:color w:val="969DAB"/>
                <w:sz w:val="18"/>
                <w:szCs w:val="18"/>
                <w:lang w:eastAsia="bg-BG"/>
              </w:rPr>
            </w:pPr>
            <w:r w:rsidRPr="00761800">
              <w:rPr>
                <w:rFonts w:ascii="Times New Roman" w:hAnsi="Times New Roman"/>
                <w:b/>
                <w:bCs/>
                <w:color w:val="969DAB"/>
                <w:sz w:val="18"/>
                <w:szCs w:val="18"/>
                <w:lang w:eastAsia="bg-BG"/>
              </w:rPr>
              <w:t> </w:t>
            </w:r>
          </w:p>
        </w:tc>
      </w:tr>
      <w:tr w:rsidR="00761800" w:rsidRPr="00761800" w14:paraId="20B23CA8" w14:textId="77777777" w:rsidTr="00761800">
        <w:trPr>
          <w:trHeight w:val="161"/>
          <w:jc w:val="center"/>
        </w:trPr>
        <w:tc>
          <w:tcPr>
            <w:tcW w:w="5245" w:type="dxa"/>
            <w:tcBorders>
              <w:bottom w:val="single" w:sz="4" w:space="0" w:color="auto"/>
            </w:tcBorders>
            <w:shd w:val="clear" w:color="auto" w:fill="auto"/>
            <w:noWrap/>
            <w:vAlign w:val="center"/>
            <w:hideMark/>
          </w:tcPr>
          <w:p w14:paraId="5ECDA643" w14:textId="77777777" w:rsidR="00761800" w:rsidRPr="00761800" w:rsidRDefault="00761800" w:rsidP="00761800">
            <w:pPr>
              <w:jc w:val="both"/>
              <w:rPr>
                <w:rFonts w:ascii="Times New Roman" w:hAnsi="Times New Roman"/>
                <w:b/>
                <w:bCs/>
                <w:sz w:val="18"/>
                <w:szCs w:val="18"/>
                <w:lang w:eastAsia="bg-BG"/>
              </w:rPr>
            </w:pPr>
            <w:r w:rsidRPr="00761800">
              <w:rPr>
                <w:rFonts w:ascii="Times New Roman" w:hAnsi="Times New Roman"/>
                <w:b/>
                <w:bCs/>
                <w:sz w:val="18"/>
                <w:szCs w:val="18"/>
                <w:lang w:eastAsia="bg-BG"/>
              </w:rPr>
              <w:t>БЮДЖЕТНО САЛДО</w:t>
            </w:r>
          </w:p>
        </w:tc>
        <w:tc>
          <w:tcPr>
            <w:tcW w:w="1792" w:type="dxa"/>
            <w:tcBorders>
              <w:bottom w:val="single" w:sz="4" w:space="0" w:color="auto"/>
            </w:tcBorders>
            <w:shd w:val="clear" w:color="auto" w:fill="auto"/>
            <w:noWrap/>
          </w:tcPr>
          <w:p w14:paraId="127031F5"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-3 179,9</w:t>
            </w:r>
          </w:p>
        </w:tc>
        <w:tc>
          <w:tcPr>
            <w:tcW w:w="1517" w:type="dxa"/>
            <w:tcBorders>
              <w:bottom w:val="single" w:sz="4" w:space="0" w:color="auto"/>
            </w:tcBorders>
            <w:shd w:val="clear" w:color="auto" w:fill="F2F2F2"/>
            <w:noWrap/>
          </w:tcPr>
          <w:p w14:paraId="753940C5"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-3 151,4</w:t>
            </w:r>
          </w:p>
        </w:tc>
        <w:tc>
          <w:tcPr>
            <w:tcW w:w="1379" w:type="dxa"/>
            <w:tcBorders>
              <w:bottom w:val="single" w:sz="4" w:space="0" w:color="auto"/>
            </w:tcBorders>
            <w:shd w:val="clear" w:color="auto" w:fill="F2F2F2"/>
            <w:noWrap/>
          </w:tcPr>
          <w:p w14:paraId="3076AB52"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-3 404,1</w:t>
            </w:r>
          </w:p>
        </w:tc>
        <w:tc>
          <w:tcPr>
            <w:tcW w:w="1460" w:type="dxa"/>
            <w:tcBorders>
              <w:bottom w:val="single" w:sz="4" w:space="0" w:color="auto"/>
            </w:tcBorders>
            <w:shd w:val="clear" w:color="auto" w:fill="F2F2F2"/>
            <w:noWrap/>
          </w:tcPr>
          <w:p w14:paraId="5397360A"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252,6</w:t>
            </w:r>
          </w:p>
        </w:tc>
        <w:tc>
          <w:tcPr>
            <w:tcW w:w="1712" w:type="dxa"/>
            <w:tcBorders>
              <w:bottom w:val="single" w:sz="4" w:space="0" w:color="auto"/>
            </w:tcBorders>
            <w:shd w:val="clear" w:color="auto" w:fill="F2F2F2"/>
            <w:noWrap/>
            <w:vAlign w:val="center"/>
            <w:hideMark/>
          </w:tcPr>
          <w:p w14:paraId="6B0101E2"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 </w:t>
            </w:r>
          </w:p>
        </w:tc>
      </w:tr>
    </w:tbl>
    <w:p w14:paraId="70CDAEC1" w14:textId="77777777" w:rsidR="00761800" w:rsidRPr="00761800" w:rsidRDefault="00761800" w:rsidP="00761800">
      <w:pPr>
        <w:spacing w:before="120"/>
        <w:jc w:val="both"/>
        <w:rPr>
          <w:rFonts w:ascii="Times New Roman" w:eastAsia="Batang" w:hAnsi="Times New Roman"/>
          <w:sz w:val="16"/>
          <w:szCs w:val="16"/>
          <w:lang w:eastAsia="bg-BG"/>
        </w:rPr>
      </w:pPr>
      <w:r w:rsidRPr="00761800">
        <w:rPr>
          <w:rFonts w:ascii="Times New Roman" w:eastAsia="Batang" w:hAnsi="Times New Roman"/>
          <w:sz w:val="16"/>
          <w:szCs w:val="16"/>
          <w:lang w:eastAsia="bg-BG"/>
        </w:rPr>
        <w:t>* Данните са на база на тримесечните отчети за касовото изпълнение на ПРБ; ** Вкл. нетен прираст на държавния резерв.</w:t>
      </w:r>
    </w:p>
    <w:p w14:paraId="1DB60505" w14:textId="77777777" w:rsidR="00761800" w:rsidRPr="00761800" w:rsidRDefault="00761800" w:rsidP="00761800">
      <w:pPr>
        <w:autoSpaceDE w:val="0"/>
        <w:autoSpaceDN w:val="0"/>
        <w:adjustRightInd w:val="0"/>
        <w:spacing w:after="120"/>
        <w:ind w:firstLine="709"/>
        <w:jc w:val="both"/>
        <w:rPr>
          <w:rFonts w:ascii="Times New Roman" w:eastAsia="Batang" w:hAnsi="Times New Roman"/>
          <w:b/>
          <w:bCs/>
          <w:sz w:val="16"/>
          <w:szCs w:val="16"/>
          <w:u w:val="single"/>
          <w:lang w:eastAsia="bg-BG"/>
        </w:rPr>
      </w:pPr>
    </w:p>
    <w:p w14:paraId="6AEB61A9" w14:textId="77777777" w:rsidR="00761800" w:rsidRPr="00761800" w:rsidRDefault="00761800" w:rsidP="00761800">
      <w:pPr>
        <w:spacing w:after="60"/>
        <w:ind w:right="259"/>
        <w:jc w:val="right"/>
        <w:rPr>
          <w:rFonts w:ascii="Times New Roman" w:eastAsia="Batang" w:hAnsi="Times New Roman"/>
          <w:sz w:val="18"/>
          <w:szCs w:val="18"/>
          <w:lang w:eastAsia="bg-BG"/>
        </w:rPr>
      </w:pPr>
    </w:p>
    <w:p w14:paraId="630E9038" w14:textId="77777777" w:rsidR="00761800" w:rsidRPr="00761800" w:rsidRDefault="00761800" w:rsidP="00761800">
      <w:pPr>
        <w:spacing w:after="240"/>
        <w:jc w:val="both"/>
        <w:rPr>
          <w:rFonts w:ascii="Times New Roman" w:eastAsia="Batang" w:hAnsi="Times New Roman"/>
          <w:sz w:val="18"/>
          <w:szCs w:val="18"/>
          <w:lang w:eastAsia="bg-BG"/>
        </w:rPr>
        <w:sectPr w:rsidR="00761800" w:rsidRPr="00761800" w:rsidSect="00406B4D">
          <w:headerReference w:type="even" r:id="rId34"/>
          <w:type w:val="continuous"/>
          <w:pgSz w:w="16838" w:h="11906" w:orient="landscape" w:code="9"/>
          <w:pgMar w:top="1418" w:right="1134" w:bottom="851" w:left="1134" w:header="709" w:footer="709" w:gutter="0"/>
          <w:cols w:space="708"/>
          <w:titlePg/>
          <w:docGrid w:linePitch="360"/>
        </w:sectPr>
      </w:pPr>
    </w:p>
    <w:p w14:paraId="40BFB00D" w14:textId="77777777" w:rsidR="00761800" w:rsidRPr="00761800" w:rsidRDefault="00761800" w:rsidP="00761800">
      <w:pPr>
        <w:suppressAutoHyphens/>
        <w:autoSpaceDE w:val="0"/>
        <w:autoSpaceDN w:val="0"/>
        <w:adjustRightInd w:val="0"/>
        <w:spacing w:after="120"/>
        <w:jc w:val="both"/>
        <w:rPr>
          <w:rFonts w:ascii="Times New Roman" w:hAnsi="Times New Roman"/>
          <w:b/>
          <w:color w:val="943634"/>
          <w:sz w:val="22"/>
          <w:szCs w:val="22"/>
          <w:lang w:eastAsia="bg-BG"/>
        </w:rPr>
      </w:pPr>
      <w:r w:rsidRPr="00761800">
        <w:rPr>
          <w:rFonts w:ascii="Times New Roman" w:hAnsi="Times New Roman"/>
          <w:b/>
          <w:color w:val="943634"/>
          <w:sz w:val="22"/>
          <w:szCs w:val="22"/>
          <w:lang w:eastAsia="bg-BG"/>
        </w:rPr>
        <w:t>Изпълнение на приходите, помощите и даренията по КФП</w:t>
      </w:r>
    </w:p>
    <w:p w14:paraId="14D1B84B"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Постъпилите </w:t>
      </w:r>
      <w:r w:rsidRPr="00761800">
        <w:rPr>
          <w:rFonts w:ascii="Times New Roman" w:eastAsia="Batang" w:hAnsi="Times New Roman"/>
          <w:b/>
          <w:bCs/>
          <w:i/>
          <w:sz w:val="20"/>
          <w:lang w:eastAsia="bg-BG"/>
        </w:rPr>
        <w:t>приходи, помощи и дарения</w:t>
      </w:r>
      <w:r w:rsidRPr="00761800">
        <w:rPr>
          <w:rFonts w:ascii="Times New Roman" w:eastAsia="Batang" w:hAnsi="Times New Roman"/>
          <w:bCs/>
          <w:sz w:val="20"/>
          <w:lang w:eastAsia="bg-BG"/>
        </w:rPr>
        <w:t xml:space="preserve"> за 2024 г. са в размер на 36 820,8 млн. евро. Постъпленията нарастват номинално с 2 543,3 млн. евро спрямо отчетените за 2023 г., за което основен принос имат данъчните приходи. Приходите останаха по-ниски от планираните с разчетите към ЗДБРБ за 2024 г. (95,7% от годишните разчети за 2024 г.) главно поради забавянето на втория транш за България по Механизма за възстановяване и устойчивост на ЕС. </w:t>
      </w:r>
    </w:p>
    <w:p w14:paraId="4C97D95B"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Данъчните приходи</w:t>
      </w:r>
      <w:r w:rsidRPr="00761800">
        <w:rPr>
          <w:rFonts w:ascii="Times New Roman" w:eastAsia="Batang" w:hAnsi="Times New Roman"/>
          <w:bCs/>
          <w:sz w:val="20"/>
          <w:lang w:eastAsia="bg-BG"/>
        </w:rPr>
        <w:t xml:space="preserve"> (вкл. приходите от осигурителни вноски) са в размер на 30 010,3 млн. евро, което представлява 101,3% спрямо разчетените за годината и формират 81,5% от общите постъпления по КФП за периода. Съпоставени с предходната година, данъчните приходи нарастват номинално с 3 260,3 млн. евро (12,2%).</w:t>
      </w:r>
    </w:p>
    <w:p w14:paraId="787A562A"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Постъпленията в групата на </w:t>
      </w:r>
      <w:r w:rsidRPr="00761800">
        <w:rPr>
          <w:rFonts w:ascii="Times New Roman" w:eastAsia="Batang" w:hAnsi="Times New Roman"/>
          <w:bCs/>
          <w:i/>
          <w:sz w:val="20"/>
          <w:lang w:eastAsia="bg-BG"/>
        </w:rPr>
        <w:t>преките данъци</w:t>
      </w:r>
      <w:r w:rsidRPr="00761800">
        <w:rPr>
          <w:rFonts w:ascii="Times New Roman" w:eastAsia="Batang" w:hAnsi="Times New Roman"/>
          <w:bCs/>
          <w:sz w:val="20"/>
          <w:lang w:eastAsia="bg-BG"/>
        </w:rPr>
        <w:t xml:space="preserve"> са в размер на 6 399,8 млн. евро, което представлява 97,3% от разчета за 2024 г. и ръст от 662,0 млн. евро (11,5%) спрямо отчетените за 2023 г.</w:t>
      </w:r>
    </w:p>
    <w:p w14:paraId="08488EDC"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Отчетените приходи от </w:t>
      </w:r>
      <w:r w:rsidRPr="00761800">
        <w:rPr>
          <w:rFonts w:ascii="Times New Roman" w:eastAsia="Batang" w:hAnsi="Times New Roman"/>
          <w:bCs/>
          <w:i/>
          <w:sz w:val="20"/>
          <w:lang w:eastAsia="bg-BG"/>
        </w:rPr>
        <w:t>осигурителни вноски</w:t>
      </w:r>
      <w:r w:rsidRPr="00761800">
        <w:rPr>
          <w:rFonts w:ascii="Times New Roman" w:eastAsia="Batang" w:hAnsi="Times New Roman"/>
          <w:bCs/>
          <w:sz w:val="20"/>
          <w:lang w:eastAsia="bg-BG"/>
        </w:rPr>
        <w:t xml:space="preserve"> на общественото и здравно осигуряване към 31.12.2024 г. са в размер на 9 211,0 млн. евро, 101,6% спрямо разчета за 2024 г. и отчитат ръст от 1 221,4 млн. евро (15,3%) спрямо 2023 година. </w:t>
      </w:r>
    </w:p>
    <w:p w14:paraId="629D3C4D"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Постъпленията от </w:t>
      </w:r>
      <w:r w:rsidRPr="00761800">
        <w:rPr>
          <w:rFonts w:ascii="Times New Roman" w:eastAsia="Batang" w:hAnsi="Times New Roman"/>
          <w:bCs/>
          <w:i/>
          <w:sz w:val="20"/>
          <w:lang w:eastAsia="bg-BG"/>
        </w:rPr>
        <w:t>косвени</w:t>
      </w:r>
      <w:r w:rsidRPr="00761800">
        <w:rPr>
          <w:rFonts w:ascii="Times New Roman" w:eastAsia="Batang" w:hAnsi="Times New Roman"/>
          <w:bCs/>
          <w:sz w:val="20"/>
          <w:lang w:eastAsia="bg-BG"/>
        </w:rPr>
        <w:t xml:space="preserve"> </w:t>
      </w:r>
      <w:r w:rsidRPr="00761800">
        <w:rPr>
          <w:rFonts w:ascii="Times New Roman" w:eastAsia="Batang" w:hAnsi="Times New Roman"/>
          <w:bCs/>
          <w:i/>
          <w:sz w:val="20"/>
          <w:lang w:eastAsia="bg-BG"/>
        </w:rPr>
        <w:t>данъци</w:t>
      </w:r>
      <w:r w:rsidRPr="00761800">
        <w:rPr>
          <w:rFonts w:ascii="Times New Roman" w:eastAsia="Batang" w:hAnsi="Times New Roman"/>
          <w:bCs/>
          <w:sz w:val="20"/>
          <w:lang w:eastAsia="bg-BG"/>
        </w:rPr>
        <w:t xml:space="preserve"> са в размер на 13 219,0 млн. евро, което представлява 101,4% спрямо предвидените в ЗДБРБ за 2024 г. и ръст от 1 588,4 млн. евро (13,7%) спрямо отчетените за 2023 г. Приходите от ДДС са в размер на 9 479,3 млн. евро, което представлява 99,5% от планираните със ЗДБРБ за 2024 г. и нарастват с 1 187,9 млн. евро (14,3 на сто). Приходите от акцизи за 2024 г. са в размер на 3 530,3 млн. евро, което е 107,1% спрямо планираните със ЗДБРБ за 2024 г. Съпоставени с 2023 г. постъпленията от акцизи нарастват номинално с 386,9 млн. евро (12,3%). Митата са в размер на 173,3 млн. евро или 91,6% от планираните със ЗДБРБ за 2024 г. и са с 8,3 млн. евро (5,1%) повече спрямо 2023 г. Приходите от данък върху застрахователните премии са в размер на 36,1 млн. евро, при планирани за годината 32,2 млн. евро и отчитат ръст от 5,3 млн. евро (17,0%). </w:t>
      </w:r>
    </w:p>
    <w:p w14:paraId="451F4085" w14:textId="77777777" w:rsidR="00761800" w:rsidRPr="00761800" w:rsidRDefault="00761800" w:rsidP="00761800">
      <w:pPr>
        <w:autoSpaceDE w:val="0"/>
        <w:autoSpaceDN w:val="0"/>
        <w:adjustRightInd w:val="0"/>
        <w:spacing w:after="120"/>
        <w:jc w:val="both"/>
        <w:rPr>
          <w:rFonts w:ascii="Times New Roman" w:eastAsia="Batang" w:hAnsi="Times New Roman"/>
          <w:b/>
          <w:bCs/>
          <w:i/>
          <w:sz w:val="20"/>
          <w:lang w:eastAsia="bg-BG"/>
        </w:rPr>
      </w:pPr>
      <w:r w:rsidRPr="00761800">
        <w:rPr>
          <w:rFonts w:ascii="Times New Roman" w:eastAsia="Batang" w:hAnsi="Times New Roman"/>
          <w:bCs/>
          <w:sz w:val="20"/>
          <w:lang w:eastAsia="bg-BG"/>
        </w:rPr>
        <w:t xml:space="preserve">Постъпленията от </w:t>
      </w:r>
      <w:r w:rsidRPr="00761800">
        <w:rPr>
          <w:rFonts w:ascii="Times New Roman" w:eastAsia="Batang" w:hAnsi="Times New Roman"/>
          <w:bCs/>
          <w:i/>
          <w:sz w:val="20"/>
          <w:lang w:eastAsia="bg-BG"/>
        </w:rPr>
        <w:t>други данъци</w:t>
      </w:r>
      <w:r w:rsidRPr="00761800">
        <w:rPr>
          <w:rFonts w:ascii="Times New Roman" w:eastAsia="Batang" w:hAnsi="Times New Roman"/>
          <w:bCs/>
          <w:sz w:val="20"/>
          <w:lang w:eastAsia="bg-BG"/>
        </w:rPr>
        <w:t xml:space="preserve"> (включват други данъци по ЗКПО, имуществени данъци и др.) са в размер на 1 180,5 млн. евро. </w:t>
      </w:r>
    </w:p>
    <w:p w14:paraId="5AFB1365"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Неданъчните постъпления</w:t>
      </w:r>
      <w:r w:rsidRPr="00761800">
        <w:rPr>
          <w:rFonts w:ascii="Times New Roman" w:eastAsia="Batang" w:hAnsi="Times New Roman"/>
          <w:bCs/>
          <w:sz w:val="20"/>
          <w:lang w:eastAsia="bg-BG"/>
        </w:rPr>
        <w:t xml:space="preserve"> по КФП за 2024 г. са в размер на 4 953,3 млн. евро, което представлява 94,4% от годишните разчети</w:t>
      </w:r>
      <w:r w:rsidRPr="00761800">
        <w:rPr>
          <w:rFonts w:ascii="Times New Roman" w:hAnsi="Times New Roman"/>
          <w:sz w:val="20"/>
          <w:lang w:eastAsia="bg-BG"/>
        </w:rPr>
        <w:t xml:space="preserve"> </w:t>
      </w:r>
      <w:r w:rsidRPr="00761800">
        <w:rPr>
          <w:rFonts w:ascii="Times New Roman" w:eastAsia="Batang" w:hAnsi="Times New Roman"/>
          <w:bCs/>
          <w:sz w:val="20"/>
          <w:lang w:eastAsia="bg-BG"/>
        </w:rPr>
        <w:t xml:space="preserve">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 Неданъчните приходи са по-ниски от планираните с </w:t>
      </w:r>
      <w:r w:rsidRPr="00761800">
        <w:rPr>
          <w:rFonts w:ascii="Times New Roman" w:eastAsia="Batang" w:hAnsi="Times New Roman"/>
          <w:bCs/>
          <w:sz w:val="20"/>
          <w:lang w:eastAsia="bg-BG"/>
        </w:rPr>
        <w:lastRenderedPageBreak/>
        <w:t xml:space="preserve">разчетите към ЗДБРБ за 2024 г. основно поради по-ниските постъпления от продажба на нефинансови активи (главно при постъпленията от продажба на квоти за емисии на парникови газове), по-ниски от планираните държавни и общински такси и други. Относителният дял на неданъчните приходи към общите постъпления по КФП е 13,5%. </w:t>
      </w:r>
    </w:p>
    <w:p w14:paraId="6D23E4CD" w14:textId="77777777" w:rsidR="00761800" w:rsidRPr="00761800" w:rsidRDefault="00761800" w:rsidP="00761800">
      <w:pPr>
        <w:autoSpaceDE w:val="0"/>
        <w:autoSpaceDN w:val="0"/>
        <w:adjustRightInd w:val="0"/>
        <w:spacing w:after="120"/>
        <w:jc w:val="both"/>
        <w:rPr>
          <w:rFonts w:ascii="Times New Roman" w:hAnsi="Times New Roman"/>
          <w:sz w:val="20"/>
          <w:lang w:eastAsia="bg-BG"/>
        </w:rPr>
      </w:pPr>
      <w:r w:rsidRPr="00761800">
        <w:rPr>
          <w:rFonts w:ascii="Times New Roman" w:eastAsia="Batang" w:hAnsi="Times New Roman"/>
          <w:bCs/>
          <w:sz w:val="20"/>
          <w:lang w:eastAsia="bg-BG"/>
        </w:rPr>
        <w:t xml:space="preserve">Постъпилите </w:t>
      </w:r>
      <w:r w:rsidRPr="00761800">
        <w:rPr>
          <w:rFonts w:ascii="Times New Roman" w:eastAsia="Batang" w:hAnsi="Times New Roman"/>
          <w:b/>
          <w:bCs/>
          <w:i/>
          <w:sz w:val="20"/>
          <w:lang w:eastAsia="bg-BG"/>
        </w:rPr>
        <w:t>помощи и дарения</w:t>
      </w:r>
      <w:r w:rsidRPr="00761800">
        <w:rPr>
          <w:rFonts w:ascii="Times New Roman" w:eastAsia="Batang" w:hAnsi="Times New Roman"/>
          <w:bCs/>
          <w:sz w:val="20"/>
          <w:lang w:eastAsia="bg-BG"/>
        </w:rPr>
        <w:t xml:space="preserve"> от страната и чужбина (вкл. помощите от фондовете на ЕС) са в размер на 1 857,1 млн. евро</w:t>
      </w:r>
      <w:r w:rsidRPr="00761800">
        <w:rPr>
          <w:rFonts w:ascii="Times New Roman" w:hAnsi="Times New Roman"/>
          <w:sz w:val="20"/>
          <w:lang w:eastAsia="bg-BG"/>
        </w:rPr>
        <w:t xml:space="preserve"> </w:t>
      </w:r>
      <w:r w:rsidRPr="00761800">
        <w:rPr>
          <w:rFonts w:ascii="Times New Roman" w:eastAsia="Batang" w:hAnsi="Times New Roman"/>
          <w:bCs/>
          <w:sz w:val="20"/>
          <w:lang w:eastAsia="bg-BG"/>
        </w:rPr>
        <w:t>което представлява 51,3% от разчетените за 2024 г.</w:t>
      </w:r>
      <w:r w:rsidRPr="00761800">
        <w:rPr>
          <w:rFonts w:ascii="Times New Roman" w:hAnsi="Times New Roman"/>
          <w:sz w:val="20"/>
          <w:lang w:eastAsia="bg-BG"/>
        </w:rPr>
        <w:t xml:space="preserve"> Постъпленията от помощи и дарения остават значително под заложените в разчета към ЗДБРБ за 2024 г. (3 620,3 млн. евро), което се дължи основно на непостъпване на планираните втори и трети транш по Плана за възстановяване и устойчивост и на част от планираните приходи по оперативните програми на ЕС (неизпълнение на разчетите по приходите от помощи и дарения по КФП с 1 763,2 млн. евро). </w:t>
      </w:r>
    </w:p>
    <w:p w14:paraId="150D87E2" w14:textId="77777777" w:rsidR="00761800" w:rsidRPr="00761800" w:rsidRDefault="00761800" w:rsidP="00761800">
      <w:pPr>
        <w:jc w:val="both"/>
        <w:rPr>
          <w:rFonts w:ascii="Times New Roman" w:hAnsi="Times New Roman"/>
          <w:b/>
          <w:bCs/>
          <w:sz w:val="20"/>
          <w:lang w:eastAsia="bg-BG"/>
        </w:rPr>
      </w:pPr>
      <w:r w:rsidRPr="00761800">
        <w:rPr>
          <w:rFonts w:ascii="Times New Roman" w:hAnsi="Times New Roman"/>
          <w:b/>
          <w:bCs/>
          <w:sz w:val="20"/>
          <w:lang w:eastAsia="bg-BG"/>
        </w:rPr>
        <w:t>Граф.: Данъчно-осигурителни приходи по КФП за 2023 г. и 2024 г.</w:t>
      </w:r>
    </w:p>
    <w:p w14:paraId="4322A2DF" w14:textId="77777777" w:rsidR="00761800" w:rsidRPr="00761800" w:rsidRDefault="00761800" w:rsidP="00761800">
      <w:pPr>
        <w:jc w:val="both"/>
        <w:rPr>
          <w:rFonts w:ascii="Times New Roman" w:hAnsi="Times New Roman"/>
          <w:b/>
          <w:sz w:val="20"/>
          <w:lang w:eastAsia="bg-BG"/>
        </w:rPr>
      </w:pPr>
    </w:p>
    <w:p w14:paraId="22CF2094" w14:textId="77777777" w:rsidR="00761800" w:rsidRPr="00761800" w:rsidRDefault="00761800" w:rsidP="00761800">
      <w:pPr>
        <w:spacing w:after="120"/>
        <w:jc w:val="center"/>
        <w:rPr>
          <w:rFonts w:ascii="Times New Roman" w:hAnsi="Times New Roman"/>
          <w:noProof/>
          <w:sz w:val="20"/>
          <w:lang w:eastAsia="bg-BG"/>
        </w:rPr>
      </w:pPr>
      <w:r w:rsidRPr="00761800">
        <w:rPr>
          <w:rFonts w:ascii="Times New Roman" w:hAnsi="Times New Roman"/>
          <w:noProof/>
          <w:sz w:val="20"/>
          <w:lang w:eastAsia="bg-BG"/>
        </w:rPr>
        <w:drawing>
          <wp:inline distT="0" distB="0" distL="0" distR="0" wp14:anchorId="56A63017" wp14:editId="408FD55F">
            <wp:extent cx="4280535" cy="2419350"/>
            <wp:effectExtent l="0" t="0" r="571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07627" cy="2434662"/>
                    </a:xfrm>
                    <a:prstGeom prst="rect">
                      <a:avLst/>
                    </a:prstGeom>
                    <a:noFill/>
                  </pic:spPr>
                </pic:pic>
              </a:graphicData>
            </a:graphic>
          </wp:inline>
        </w:drawing>
      </w:r>
    </w:p>
    <w:p w14:paraId="7F217FE4" w14:textId="77777777" w:rsidR="00761800" w:rsidRPr="00761800" w:rsidRDefault="00761800" w:rsidP="00761800">
      <w:pPr>
        <w:autoSpaceDE w:val="0"/>
        <w:autoSpaceDN w:val="0"/>
        <w:adjustRightInd w:val="0"/>
        <w:spacing w:before="60"/>
        <w:ind w:right="202" w:firstLine="5098"/>
        <w:jc w:val="right"/>
        <w:rPr>
          <w:rFonts w:ascii="Times New Roman" w:eastAsia="Batang" w:hAnsi="Times New Roman"/>
          <w:bCs/>
          <w:sz w:val="16"/>
          <w:szCs w:val="16"/>
          <w:lang w:eastAsia="bg-BG"/>
        </w:rPr>
      </w:pPr>
      <w:r w:rsidRPr="00761800">
        <w:rPr>
          <w:rFonts w:ascii="Times New Roman" w:eastAsia="Batang" w:hAnsi="Times New Roman"/>
          <w:bCs/>
          <w:sz w:val="16"/>
          <w:szCs w:val="16"/>
          <w:lang w:eastAsia="bg-BG"/>
        </w:rPr>
        <w:t>Източник: МФ</w:t>
      </w:r>
    </w:p>
    <w:p w14:paraId="43343B86" w14:textId="77777777" w:rsidR="00761800" w:rsidRPr="00761800" w:rsidRDefault="00761800" w:rsidP="00761800">
      <w:pPr>
        <w:autoSpaceDE w:val="0"/>
        <w:autoSpaceDN w:val="0"/>
        <w:adjustRightInd w:val="0"/>
        <w:spacing w:after="120" w:line="276" w:lineRule="auto"/>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Изпълнение на разходите</w:t>
      </w:r>
    </w:p>
    <w:p w14:paraId="45DC5A86" w14:textId="77777777" w:rsidR="00761800" w:rsidRPr="00761800" w:rsidRDefault="00761800" w:rsidP="00761800">
      <w:pPr>
        <w:spacing w:after="120"/>
        <w:jc w:val="both"/>
        <w:rPr>
          <w:rFonts w:ascii="Times New Roman" w:eastAsia="Calibri" w:hAnsi="Times New Roman"/>
          <w:sz w:val="20"/>
          <w:lang w:eastAsia="bg-BG"/>
        </w:rPr>
      </w:pPr>
      <w:r w:rsidRPr="00761800">
        <w:rPr>
          <w:rFonts w:ascii="Times New Roman" w:eastAsia="Calibri" w:hAnsi="Times New Roman"/>
          <w:b/>
          <w:sz w:val="20"/>
          <w:lang w:eastAsia="bg-BG"/>
        </w:rPr>
        <w:t>Разходите</w:t>
      </w:r>
      <w:r w:rsidRPr="00761800">
        <w:rPr>
          <w:rFonts w:ascii="Times New Roman" w:eastAsia="Calibri" w:hAnsi="Times New Roman"/>
          <w:sz w:val="20"/>
          <w:lang w:eastAsia="bg-BG"/>
        </w:rPr>
        <w:t xml:space="preserve"> по КФП (вкл. вноската на Република България в бюджета на ЕС) за 2024 г. възлизат на 39 972,2 млн. евро, което е 95,9% от годишните разчети. </w:t>
      </w:r>
      <w:r w:rsidRPr="00761800">
        <w:rPr>
          <w:rFonts w:ascii="Times New Roman" w:eastAsia="Batang" w:hAnsi="Times New Roman"/>
          <w:bCs/>
          <w:sz w:val="20"/>
          <w:lang w:eastAsia="bg-BG"/>
        </w:rPr>
        <w:t xml:space="preserve">По-ниски от планираните са разходите основно по сметките за средства от ЕС, докато разходите по националния бюджет превишават разчетите за годината, което се дължи на по-високи от планираните разходи по бюджетите на </w:t>
      </w:r>
      <w:r w:rsidRPr="00761800">
        <w:rPr>
          <w:rFonts w:ascii="Times New Roman" w:eastAsia="Batang" w:hAnsi="Times New Roman"/>
          <w:bCs/>
          <w:sz w:val="20"/>
          <w:lang w:eastAsia="bg-BG"/>
        </w:rPr>
        <w:t>общините. По-ниско е усвояването на планираните средства по НПВУ, както и при някои от оперативните програми по новия програмен период, което</w:t>
      </w:r>
      <w:r w:rsidRPr="00761800">
        <w:rPr>
          <w:rFonts w:ascii="Times New Roman" w:hAnsi="Times New Roman"/>
          <w:sz w:val="20"/>
          <w:lang w:eastAsia="bg-BG"/>
        </w:rPr>
        <w:t xml:space="preserve"> </w:t>
      </w:r>
      <w:r w:rsidRPr="00761800">
        <w:rPr>
          <w:rFonts w:ascii="Times New Roman" w:eastAsia="Calibri" w:hAnsi="Times New Roman"/>
          <w:sz w:val="20"/>
          <w:lang w:eastAsia="bg-BG"/>
        </w:rPr>
        <w:t>изцяло компенсира неизпълнението в частта на приходите и помощите, представено по-горе.</w:t>
      </w:r>
    </w:p>
    <w:p w14:paraId="31898E2A" w14:textId="77777777" w:rsidR="00761800" w:rsidRPr="00761800" w:rsidRDefault="00761800" w:rsidP="00761800">
      <w:pPr>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Разгледани по икономически елементи разходите нарастват основно в частта на социалните разходи, вследствие на изплатените по-високи пенсии след влезлите в сила увеличения от юли 2023 г. (с 12 на сто) и юли 2024 г. (с 11 на сто), изплатените еднократни добавки към пенсиите на пенсионерите с пенсии до 268,9 евро през април и декември 2024 г., както и при разходите за персонал, след увеличението на възнагражденията на педагогическия персонал, увеличението на възнагражденията на лицата от академичния състав в държавните висши училища, както и при други администрации със ЗДБРБ за 2023 г., ЗДБРБ за 2024 г., Закона за висшето образование и други.</w:t>
      </w:r>
    </w:p>
    <w:p w14:paraId="051F9FAD" w14:textId="77777777" w:rsidR="00761800" w:rsidRPr="00761800" w:rsidRDefault="00761800" w:rsidP="00761800">
      <w:pPr>
        <w:spacing w:after="120"/>
        <w:jc w:val="both"/>
        <w:rPr>
          <w:rFonts w:ascii="Times New Roman" w:hAnsi="Times New Roman"/>
          <w:sz w:val="20"/>
          <w:lang w:eastAsia="bg-BG"/>
        </w:rPr>
      </w:pPr>
      <w:r w:rsidRPr="00761800">
        <w:rPr>
          <w:rFonts w:ascii="Times New Roman" w:hAnsi="Times New Roman"/>
          <w:b/>
          <w:i/>
          <w:sz w:val="20"/>
          <w:lang w:eastAsia="bg-BG"/>
        </w:rPr>
        <w:t>Нелихвените разходи</w:t>
      </w:r>
      <w:r w:rsidRPr="00761800">
        <w:rPr>
          <w:rFonts w:ascii="Times New Roman" w:hAnsi="Times New Roman"/>
          <w:sz w:val="20"/>
          <w:lang w:eastAsia="bg-BG"/>
        </w:rPr>
        <w:t xml:space="preserve"> за 2024 г. са в размер на 38 642,2 млн. евро, което представлява 96,6% от годишния разчет. Текущите нелихвени разходи са в размер на 35 139,4 млн. евро. Капиталовите разходи (вкл. нетния прираст на държавния резерв) възлизат на 3 478,0 млн. евро. Предоставените текущи и капиталови трансфери за чужбина са в размер на 24,9 млн. евро.</w:t>
      </w:r>
    </w:p>
    <w:p w14:paraId="293D6F17" w14:textId="77777777" w:rsidR="00761800" w:rsidRPr="00761800" w:rsidRDefault="00761800" w:rsidP="00761800">
      <w:pPr>
        <w:spacing w:after="120"/>
        <w:jc w:val="both"/>
        <w:rPr>
          <w:rFonts w:ascii="Times New Roman" w:hAnsi="Times New Roman"/>
          <w:sz w:val="20"/>
          <w:lang w:eastAsia="bg-BG"/>
        </w:rPr>
      </w:pPr>
      <w:r w:rsidRPr="00761800">
        <w:rPr>
          <w:rFonts w:ascii="Times New Roman" w:hAnsi="Times New Roman"/>
          <w:b/>
          <w:i/>
          <w:sz w:val="20"/>
          <w:lang w:eastAsia="bg-BG"/>
        </w:rPr>
        <w:t>Лихвените плащания</w:t>
      </w:r>
      <w:r w:rsidRPr="00761800">
        <w:rPr>
          <w:rFonts w:ascii="Times New Roman" w:hAnsi="Times New Roman"/>
          <w:sz w:val="20"/>
          <w:lang w:eastAsia="bg-BG"/>
        </w:rPr>
        <w:t xml:space="preserve"> са в размер на 515,9 млн. евро (99,8% от планираните за годината и ръст от 91,1 млн. евро спрямо 2023 г.).</w:t>
      </w:r>
    </w:p>
    <w:p w14:paraId="34DB8485"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sz w:val="20"/>
          <w:lang w:eastAsia="bg-BG"/>
        </w:rPr>
        <w:t>Вноската на Република България в общия бюджет на ЕС</w:t>
      </w:r>
      <w:r w:rsidRPr="00761800">
        <w:rPr>
          <w:rFonts w:ascii="Times New Roman" w:eastAsia="Batang" w:hAnsi="Times New Roman"/>
          <w:bCs/>
          <w:sz w:val="20"/>
          <w:lang w:eastAsia="bg-BG"/>
        </w:rPr>
        <w:t>, изплатена към 31.12.2024 г. от централния бюджет, възлиза на 814,1 млн. евро, което е в изпълнение на действащото към момента законодателство в областта на собствените ресурси на ЕС.</w:t>
      </w:r>
    </w:p>
    <w:p w14:paraId="6477C0E0"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С оглед постигане на съпоставимост на графиката по-долу за 2024 г. е елиминирано влиянието на трансакцията по чл. 71, ал.1 от Постановление № 13 на Министерския съвет от 2024 г. (възстановени разходи в размер на 613,6 млн. евро от сметката за чужди средства по бюджета на Министерството на регионалното развитие и благоустройството).</w:t>
      </w:r>
    </w:p>
    <w:p w14:paraId="612F340E" w14:textId="77777777" w:rsidR="00761800" w:rsidRPr="00761800" w:rsidRDefault="00761800" w:rsidP="00761800">
      <w:pPr>
        <w:ind w:left="720" w:hanging="720"/>
        <w:jc w:val="both"/>
        <w:rPr>
          <w:rFonts w:ascii="Times New Roman" w:hAnsi="Times New Roman"/>
          <w:b/>
          <w:bCs/>
          <w:sz w:val="20"/>
          <w:lang w:eastAsia="bg-BG"/>
        </w:rPr>
      </w:pPr>
      <w:r w:rsidRPr="00761800">
        <w:rPr>
          <w:rFonts w:ascii="Times New Roman" w:hAnsi="Times New Roman"/>
          <w:b/>
          <w:bCs/>
          <w:sz w:val="20"/>
          <w:lang w:eastAsia="bg-BG"/>
        </w:rPr>
        <w:t>Граф.: Основни разходни показатели по КФП за 2023 г. и 2024 г.</w:t>
      </w:r>
    </w:p>
    <w:p w14:paraId="6AECDF64" w14:textId="77777777" w:rsidR="00761800" w:rsidRPr="00761800" w:rsidRDefault="00761800" w:rsidP="00761800">
      <w:pPr>
        <w:ind w:left="900" w:hanging="900"/>
        <w:jc w:val="both"/>
        <w:rPr>
          <w:rFonts w:ascii="Times New Roman" w:hAnsi="Times New Roman"/>
          <w:sz w:val="20"/>
          <w:lang w:eastAsia="bg-BG"/>
        </w:rPr>
      </w:pPr>
      <w:r w:rsidRPr="00761800">
        <w:rPr>
          <w:rFonts w:ascii="Times New Roman" w:hAnsi="Times New Roman"/>
          <w:b/>
          <w:bCs/>
          <w:sz w:val="20"/>
          <w:lang w:eastAsia="bg-BG"/>
        </w:rPr>
        <w:t xml:space="preserve">              (на съпоставима база)</w:t>
      </w:r>
    </w:p>
    <w:p w14:paraId="1C42E528" w14:textId="77777777" w:rsidR="00761800" w:rsidRPr="00761800" w:rsidRDefault="00761800" w:rsidP="00761800">
      <w:pPr>
        <w:jc w:val="center"/>
        <w:rPr>
          <w:rFonts w:ascii="Times New Roman" w:hAnsi="Times New Roman"/>
          <w:noProof/>
          <w:sz w:val="20"/>
          <w:lang w:eastAsia="bg-BG"/>
        </w:rPr>
      </w:pPr>
      <w:r w:rsidRPr="00761800">
        <w:rPr>
          <w:rFonts w:ascii="Times New Roman" w:hAnsi="Times New Roman"/>
          <w:noProof/>
          <w:sz w:val="20"/>
          <w:lang w:eastAsia="bg-BG"/>
        </w:rPr>
        <w:lastRenderedPageBreak/>
        <w:drawing>
          <wp:inline distT="0" distB="0" distL="0" distR="0" wp14:anchorId="68F97061" wp14:editId="44593565">
            <wp:extent cx="4356100" cy="2413913"/>
            <wp:effectExtent l="0" t="0" r="635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56100" cy="2413913"/>
                    </a:xfrm>
                    <a:prstGeom prst="rect">
                      <a:avLst/>
                    </a:prstGeom>
                    <a:noFill/>
                  </pic:spPr>
                </pic:pic>
              </a:graphicData>
            </a:graphic>
          </wp:inline>
        </w:drawing>
      </w:r>
    </w:p>
    <w:p w14:paraId="4D5E03AD" w14:textId="77777777" w:rsidR="00761800" w:rsidRPr="00761800" w:rsidRDefault="00761800" w:rsidP="00761800">
      <w:pPr>
        <w:jc w:val="both"/>
        <w:rPr>
          <w:rFonts w:ascii="Times New Roman" w:hAnsi="Times New Roman"/>
          <w:bCs/>
          <w:iCs/>
          <w:sz w:val="16"/>
          <w:szCs w:val="16"/>
          <w:lang w:eastAsia="bg-BG"/>
        </w:rPr>
      </w:pPr>
      <w:r w:rsidRPr="00761800">
        <w:rPr>
          <w:rFonts w:ascii="Times New Roman" w:hAnsi="Times New Roman"/>
          <w:bCs/>
          <w:iCs/>
          <w:sz w:val="16"/>
          <w:szCs w:val="16"/>
          <w:lang w:eastAsia="bg-BG"/>
        </w:rPr>
        <w:t>* Вкл. Предоставени текущи и капиталови трансфери за чужбина</w:t>
      </w:r>
    </w:p>
    <w:p w14:paraId="2ABFDD04" w14:textId="77777777" w:rsidR="00761800" w:rsidRPr="00761800" w:rsidRDefault="00761800" w:rsidP="00761800">
      <w:pPr>
        <w:autoSpaceDE w:val="0"/>
        <w:autoSpaceDN w:val="0"/>
        <w:adjustRightInd w:val="0"/>
        <w:spacing w:after="120" w:line="276" w:lineRule="auto"/>
        <w:rPr>
          <w:rFonts w:ascii="Times New Roman" w:hAnsi="Times New Roman"/>
          <w:bCs/>
          <w:iCs/>
          <w:sz w:val="16"/>
          <w:szCs w:val="16"/>
          <w:lang w:eastAsia="bg-BG"/>
        </w:rPr>
      </w:pPr>
      <w:r w:rsidRPr="00761800">
        <w:rPr>
          <w:rFonts w:ascii="Times New Roman" w:hAnsi="Times New Roman"/>
          <w:bCs/>
          <w:iCs/>
          <w:sz w:val="16"/>
          <w:szCs w:val="16"/>
          <w:lang w:eastAsia="bg-BG"/>
        </w:rPr>
        <w:t>** Вкл. Нетен прираст на държавния резерв</w:t>
      </w:r>
    </w:p>
    <w:p w14:paraId="1D8E9BC7" w14:textId="77777777" w:rsidR="00761800" w:rsidRPr="00761800" w:rsidRDefault="00761800" w:rsidP="00761800">
      <w:pPr>
        <w:autoSpaceDE w:val="0"/>
        <w:autoSpaceDN w:val="0"/>
        <w:adjustRightInd w:val="0"/>
        <w:spacing w:before="60"/>
        <w:ind w:right="202"/>
        <w:jc w:val="right"/>
        <w:rPr>
          <w:rFonts w:ascii="Times New Roman" w:eastAsia="Batang" w:hAnsi="Times New Roman"/>
          <w:bCs/>
          <w:sz w:val="16"/>
          <w:szCs w:val="16"/>
          <w:lang w:eastAsia="bg-BG"/>
        </w:rPr>
      </w:pPr>
      <w:r w:rsidRPr="00761800">
        <w:rPr>
          <w:rFonts w:ascii="Times New Roman" w:eastAsia="Batang" w:hAnsi="Times New Roman"/>
          <w:bCs/>
          <w:sz w:val="16"/>
          <w:szCs w:val="16"/>
          <w:lang w:eastAsia="bg-BG"/>
        </w:rPr>
        <w:t>Източник: МФ</w:t>
      </w:r>
    </w:p>
    <w:p w14:paraId="02FAD30D" w14:textId="77777777" w:rsidR="00761800" w:rsidRPr="00761800" w:rsidRDefault="00761800" w:rsidP="00761800">
      <w:pPr>
        <w:autoSpaceDE w:val="0"/>
        <w:autoSpaceDN w:val="0"/>
        <w:adjustRightInd w:val="0"/>
        <w:spacing w:after="120" w:line="276" w:lineRule="auto"/>
        <w:rPr>
          <w:rFonts w:ascii="Times New Roman" w:eastAsia="Batang" w:hAnsi="Times New Roman"/>
          <w:b/>
          <w:bCs/>
          <w:i/>
          <w:color w:val="943634"/>
          <w:sz w:val="22"/>
          <w:szCs w:val="22"/>
          <w:lang w:eastAsia="bg-BG"/>
        </w:rPr>
      </w:pPr>
      <w:r w:rsidRPr="00761800">
        <w:rPr>
          <w:rFonts w:ascii="Times New Roman" w:eastAsia="Batang" w:hAnsi="Times New Roman"/>
          <w:b/>
          <w:bCs/>
          <w:i/>
          <w:color w:val="943634"/>
          <w:sz w:val="22"/>
          <w:szCs w:val="22"/>
          <w:lang w:eastAsia="bg-BG"/>
        </w:rPr>
        <w:t>Разходи по държавния бюджет, бюджетите на социалноосигурителните фондове и бюджетите на общините</w:t>
      </w:r>
    </w:p>
    <w:p w14:paraId="6B7F3E36" w14:textId="77777777" w:rsidR="00761800" w:rsidRPr="00761800" w:rsidRDefault="00761800" w:rsidP="00F64909">
      <w:pPr>
        <w:numPr>
          <w:ilvl w:val="0"/>
          <w:numId w:val="5"/>
        </w:numPr>
        <w:autoSpaceDE w:val="0"/>
        <w:autoSpaceDN w:val="0"/>
        <w:adjustRightInd w:val="0"/>
        <w:spacing w:after="120" w:line="276" w:lineRule="auto"/>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Държавен бюджет</w:t>
      </w:r>
    </w:p>
    <w:p w14:paraId="0B828912"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Общият размер на </w:t>
      </w:r>
      <w:r w:rsidRPr="00761800">
        <w:rPr>
          <w:rFonts w:ascii="Times New Roman" w:eastAsia="Batang" w:hAnsi="Times New Roman"/>
          <w:b/>
          <w:bCs/>
          <w:i/>
          <w:sz w:val="20"/>
          <w:lang w:eastAsia="bg-BG"/>
        </w:rPr>
        <w:t>разходите по държавния бюджет</w:t>
      </w:r>
      <w:r w:rsidRPr="00761800">
        <w:rPr>
          <w:rFonts w:ascii="Times New Roman" w:eastAsia="Batang" w:hAnsi="Times New Roman"/>
          <w:bCs/>
          <w:sz w:val="20"/>
          <w:lang w:eastAsia="bg-BG"/>
        </w:rPr>
        <w:t xml:space="preserve"> (вкл. и трансферите за др. бюджети и вноската в бюджета на ЕС) за 2024 г. е 25 548,1 млн. евро, 97,1% от разчета. На съпоставима база при елиминирането на влиянието на трансакцията по чл. 71, ал.1 от Постановление № 13 на Министерския съвет от 2024 г. разходите по държавния бюджет за 2024 г. нарастват спрямо 2023 г. с 3 126,1 млн. евро (13,6%).</w:t>
      </w:r>
    </w:p>
    <w:p w14:paraId="29D12DDD"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Нелихвените разходи по държавния бюджет</w:t>
      </w:r>
      <w:r w:rsidRPr="00761800">
        <w:rPr>
          <w:rFonts w:ascii="Times New Roman" w:eastAsia="Batang" w:hAnsi="Times New Roman"/>
          <w:bCs/>
          <w:sz w:val="20"/>
          <w:lang w:eastAsia="bg-BG"/>
        </w:rPr>
        <w:t xml:space="preserve"> (без трансферите за др. бюджети) за 2024 г. са в размер на 9 905,1 млн. евро.   </w:t>
      </w:r>
    </w:p>
    <w:p w14:paraId="58D94536"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Разходите за </w:t>
      </w:r>
      <w:r w:rsidRPr="00761800">
        <w:rPr>
          <w:rFonts w:ascii="Times New Roman" w:eastAsia="Batang" w:hAnsi="Times New Roman"/>
          <w:bCs/>
          <w:i/>
          <w:sz w:val="20"/>
          <w:lang w:eastAsia="bg-BG"/>
        </w:rPr>
        <w:t>персонал</w:t>
      </w:r>
      <w:r w:rsidRPr="00761800">
        <w:rPr>
          <w:rFonts w:ascii="Times New Roman" w:eastAsia="Batang" w:hAnsi="Times New Roman"/>
          <w:bCs/>
          <w:sz w:val="20"/>
          <w:lang w:eastAsia="bg-BG"/>
        </w:rPr>
        <w:t xml:space="preserve"> (заплати и възнаграждения, други възнаграждения и плащания за персонала и осигурителни вноски) са в общ размер на 5 038,1 млн. евро или 100,8% спрямо планираните за 2024 г. и ръст от 692,8 млн. евро (15,9%) спрямо 2023 г. Разходите за </w:t>
      </w:r>
      <w:r w:rsidRPr="00761800">
        <w:rPr>
          <w:rFonts w:ascii="Times New Roman" w:eastAsia="Batang" w:hAnsi="Times New Roman"/>
          <w:bCs/>
          <w:i/>
          <w:sz w:val="20"/>
          <w:lang w:eastAsia="bg-BG"/>
        </w:rPr>
        <w:t>издръжка</w:t>
      </w:r>
      <w:r w:rsidRPr="00761800">
        <w:rPr>
          <w:rFonts w:ascii="Times New Roman" w:eastAsia="Batang" w:hAnsi="Times New Roman"/>
          <w:bCs/>
          <w:sz w:val="20"/>
          <w:lang w:eastAsia="bg-BG"/>
        </w:rPr>
        <w:t xml:space="preserve"> (вкл. разходи за членски внос и участие в нетърговски организации и дейности и платени данъци, такси и административни санкции) са в размер на 1 891,4 млн. евро или 77,3% от планираните за годината. </w:t>
      </w:r>
      <w:r w:rsidRPr="00761800">
        <w:rPr>
          <w:rFonts w:ascii="Times New Roman" w:eastAsia="Batang" w:hAnsi="Times New Roman"/>
          <w:bCs/>
          <w:i/>
          <w:sz w:val="20"/>
          <w:lang w:eastAsia="bg-BG"/>
        </w:rPr>
        <w:t>Социалните разходи</w:t>
      </w:r>
      <w:r w:rsidRPr="00761800">
        <w:rPr>
          <w:rFonts w:ascii="Times New Roman" w:eastAsia="Batang" w:hAnsi="Times New Roman"/>
          <w:bCs/>
          <w:sz w:val="20"/>
          <w:lang w:eastAsia="bg-BG"/>
        </w:rPr>
        <w:t xml:space="preserve"> (вкл. разходите за стипендии) са </w:t>
      </w:r>
      <w:r w:rsidRPr="00761800">
        <w:rPr>
          <w:rFonts w:ascii="Times New Roman" w:eastAsia="Batang" w:hAnsi="Times New Roman"/>
          <w:bCs/>
          <w:sz w:val="20"/>
          <w:lang w:eastAsia="bg-BG"/>
        </w:rPr>
        <w:t xml:space="preserve">в размер на 891,5 млн. евро или 65,3% от предвидените за годината като нарастват с 206,6 млн. евро (30,2%) спрямо 2023 г. Част от планираните социални разходи по държавния бюджет се предоставят като трансфери за общинските бюджети. </w:t>
      </w:r>
      <w:r w:rsidRPr="00761800">
        <w:rPr>
          <w:rFonts w:ascii="Times New Roman" w:eastAsia="Batang" w:hAnsi="Times New Roman"/>
          <w:bCs/>
          <w:i/>
          <w:sz w:val="20"/>
          <w:lang w:eastAsia="bg-BG"/>
        </w:rPr>
        <w:t>Предоставените текущи и капиталови трансфери за чужбина</w:t>
      </w:r>
      <w:r w:rsidRPr="00761800">
        <w:rPr>
          <w:rFonts w:ascii="Times New Roman" w:eastAsia="Batang" w:hAnsi="Times New Roman"/>
          <w:bCs/>
          <w:sz w:val="20"/>
          <w:lang w:eastAsia="bg-BG"/>
        </w:rPr>
        <w:t xml:space="preserve"> са в размер на 14,6 млн. евро. Разходите за </w:t>
      </w:r>
      <w:r w:rsidRPr="00761800">
        <w:rPr>
          <w:rFonts w:ascii="Times New Roman" w:eastAsia="Batang" w:hAnsi="Times New Roman"/>
          <w:bCs/>
          <w:i/>
          <w:sz w:val="20"/>
          <w:lang w:eastAsia="bg-BG"/>
        </w:rPr>
        <w:t>субсидии</w:t>
      </w:r>
      <w:r w:rsidRPr="00761800">
        <w:rPr>
          <w:rFonts w:ascii="Times New Roman" w:eastAsia="Batang" w:hAnsi="Times New Roman"/>
          <w:bCs/>
          <w:sz w:val="20"/>
          <w:lang w:eastAsia="bg-BG"/>
        </w:rPr>
        <w:t xml:space="preserve"> са в размер на 1 218,1 млн. евро или 122,2% спрямо планираните за годината и нарастват с 474,4 млн. евро (63,8%) сравнени с предходната година. За 2024 г. субсидиите за „БДЖ – Пътнически превози” ЕООД са в размер на 131,6 млн. евро (в т. ч. 24,6 млн. евро допълнителна субсидия за изпълнението на обществена превозна услуга за месец декември 2024 г. - ПМС № 410/28.11.2024 г.), субсидиите за Национална компания „Железопътна инфраструктура” са 163,8 млн. евро (в т. ч. допълнителна субсидия за текущо поддържане и експлоатация на железопътната инфраструктура за месец декември 2024 г. в размер на 9,7 млн. евро и отпуснати средства за стихийни бедствия в размер на 0,075 млн. евро - ПМС № 423/04.12.2024 г.) и 40,0 млн. евро са за „Български пощи” ЕАД, в т.ч. 14,9 млн. евро за извършване на универсална пощенска услуга (вкл. 0,3 млн. евро доплащане за 2022 г.), 15,7 млн. евро за разпространение на периодични печатни издания - вестници и списания (вкл. 1,9 млн. евро доплащане за 2022 г. и 2023 г.) и 9,4 млн. евро за предоставяне на административни услуги. За отчетния период субсидиите за „България Хели Мед Сървиз“ (център за спешна медицинска помощ по въздуха) са в размер на 1,1 млн. евро (отчетена е възстановена субсидия в размер на 2,0 млн. евро). Към края на декември 2024 г. ДФ „Земеделие“ e изплатил субсидии в общ размер на 479,5 млн. евро, от които 414,5 млн. евро държавна помощ; 35,6 млн. евро преходна национална помощ за тютюн, 24,9 млн. евро преходна национална помощ за сектор „Животновъдство“ и 4,1 млн. евро средства за ДДС по схеми „Училищен плод“ и „Училищно мляко“.</w:t>
      </w:r>
    </w:p>
    <w:p w14:paraId="2240FEDD"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i/>
          <w:sz w:val="20"/>
          <w:lang w:eastAsia="bg-BG"/>
        </w:rPr>
        <w:t xml:space="preserve">Капиталовите разходи </w:t>
      </w:r>
      <w:r w:rsidRPr="00761800">
        <w:rPr>
          <w:rFonts w:ascii="Times New Roman" w:eastAsia="Batang" w:hAnsi="Times New Roman"/>
          <w:bCs/>
          <w:sz w:val="20"/>
          <w:lang w:eastAsia="bg-BG"/>
        </w:rPr>
        <w:t>(вкл. нетния прираст на държавния резерв) по държавния бюджет възлизат на 851,4 млн. евро.</w:t>
      </w:r>
    </w:p>
    <w:p w14:paraId="327E1A62"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Лихвените плащания по държавния бюджет</w:t>
      </w:r>
      <w:r w:rsidRPr="00761800">
        <w:rPr>
          <w:rFonts w:ascii="Times New Roman" w:eastAsia="Batang" w:hAnsi="Times New Roman"/>
          <w:bCs/>
          <w:sz w:val="20"/>
          <w:lang w:eastAsia="bg-BG"/>
        </w:rPr>
        <w:t xml:space="preserve"> към 31.12.2024 г. са в общ размер на 487,4 млн. евро или 98,6% от предвидените в годишните разчети.</w:t>
      </w:r>
    </w:p>
    <w:p w14:paraId="2AC700FD"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Нетният размер на </w:t>
      </w:r>
      <w:r w:rsidRPr="00761800">
        <w:rPr>
          <w:rFonts w:ascii="Times New Roman" w:eastAsia="Batang" w:hAnsi="Times New Roman"/>
          <w:b/>
          <w:bCs/>
          <w:i/>
          <w:sz w:val="20"/>
          <w:lang w:eastAsia="bg-BG"/>
        </w:rPr>
        <w:t>трансферите по държавния бюджет</w:t>
      </w:r>
      <w:r w:rsidRPr="00761800">
        <w:rPr>
          <w:rFonts w:ascii="Times New Roman" w:eastAsia="Batang" w:hAnsi="Times New Roman"/>
          <w:bCs/>
          <w:sz w:val="20"/>
          <w:lang w:eastAsia="bg-BG"/>
        </w:rPr>
        <w:t xml:space="preserve"> към декември 2024 г. е 14 341,5 млн. евро.</w:t>
      </w:r>
    </w:p>
    <w:p w14:paraId="2F7DA627" w14:textId="77777777" w:rsidR="00761800" w:rsidRPr="00761800" w:rsidRDefault="00761800" w:rsidP="00F64909">
      <w:pPr>
        <w:numPr>
          <w:ilvl w:val="0"/>
          <w:numId w:val="5"/>
        </w:numPr>
        <w:autoSpaceDE w:val="0"/>
        <w:autoSpaceDN w:val="0"/>
        <w:adjustRightInd w:val="0"/>
        <w:spacing w:after="120" w:line="276" w:lineRule="auto"/>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Разходи по бюджетите на социалноосигурителните фондове</w:t>
      </w:r>
    </w:p>
    <w:p w14:paraId="025C0182"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Извършените разходи по бюджетите на социалноосигурителните фондове за 2024 г. са в размер на 16 805,6 млн. евро (100,8% спрямо разчета за годината и ръст от 2 192,3 млн. евро, 15,0% спрямо 2023 г.), в т.ч. пенсии, помощи и </w:t>
      </w:r>
      <w:r w:rsidRPr="00761800">
        <w:rPr>
          <w:rFonts w:ascii="Times New Roman" w:eastAsia="Batang" w:hAnsi="Times New Roman"/>
          <w:bCs/>
          <w:sz w:val="20"/>
          <w:lang w:eastAsia="bg-BG"/>
        </w:rPr>
        <w:lastRenderedPageBreak/>
        <w:t>обезщетения по КСО в размер на 12 645,7 млн. евро и здравноосигурителни плащания в размер на 4 003,3 млн. евро.</w:t>
      </w:r>
    </w:p>
    <w:p w14:paraId="1EB29BD0" w14:textId="77777777" w:rsidR="00761800" w:rsidRPr="00761800" w:rsidRDefault="00761800" w:rsidP="00F64909">
      <w:pPr>
        <w:numPr>
          <w:ilvl w:val="0"/>
          <w:numId w:val="5"/>
        </w:numPr>
        <w:autoSpaceDE w:val="0"/>
        <w:autoSpaceDN w:val="0"/>
        <w:adjustRightInd w:val="0"/>
        <w:spacing w:after="120" w:line="276" w:lineRule="auto"/>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Разходи по бюджетите на общините</w:t>
      </w:r>
    </w:p>
    <w:p w14:paraId="45104E42"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Извършените разходи по общинските бюджети, включително и за сметка на предоставените трансфери от други бюджети, са в размер на 7 525,5 млн. евро или 146,7% спрямо разчетите към ЗДБРБ за 2024 г. и ръст от 17,6% спрямо 2023 г. Текущите нелихвени разходи възлизат на 6 265,5 млн. евро (129,8% спрямо годишния разчет и ръст от 15,8% спрямо 2023 г.), а капиталовите разходи са в размер на 1 232,2 млн. евро (ръст от 28,3% спрямо отчетените за 2023 г.). Лихвените плащания са в размер на 27,1 млн. евро или 121,0% спрямо разчета за годината и ръст от 15,5% спрямо отчетените за 2023 г.</w:t>
      </w:r>
    </w:p>
    <w:p w14:paraId="1D9726B3" w14:textId="77777777" w:rsidR="00761800" w:rsidRPr="00761800" w:rsidRDefault="00761800" w:rsidP="00F64909">
      <w:pPr>
        <w:numPr>
          <w:ilvl w:val="0"/>
          <w:numId w:val="5"/>
        </w:numPr>
        <w:autoSpaceDE w:val="0"/>
        <w:autoSpaceDN w:val="0"/>
        <w:adjustRightInd w:val="0"/>
        <w:spacing w:after="120" w:line="276" w:lineRule="auto"/>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Бюджетно салдо по консолидираната фискална програма за  2024 г.</w:t>
      </w:r>
    </w:p>
    <w:p w14:paraId="4AB46A02"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sz w:val="20"/>
          <w:lang w:eastAsia="bg-BG"/>
        </w:rPr>
        <w:t>Бюджетното салдо по КФП</w:t>
      </w:r>
      <w:r w:rsidRPr="00761800">
        <w:rPr>
          <w:rFonts w:ascii="Times New Roman" w:eastAsia="Batang" w:hAnsi="Times New Roman"/>
          <w:bCs/>
          <w:sz w:val="20"/>
          <w:lang w:eastAsia="bg-BG"/>
        </w:rPr>
        <w:t xml:space="preserve"> за 2024 г. е отрицателно в размер на 3 151,4 млн. евро (3,0% от БВП) и се формира от дефицит в размер на 3 404,1 млн. евро по националния бюджет и излишък в размер на 252,6 млн. евро по европейските средства. </w:t>
      </w:r>
    </w:p>
    <w:p w14:paraId="0653A56C"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Общият размер на </w:t>
      </w:r>
      <w:r w:rsidRPr="00761800">
        <w:rPr>
          <w:rFonts w:ascii="Times New Roman" w:eastAsia="Batang" w:hAnsi="Times New Roman"/>
          <w:b/>
          <w:bCs/>
          <w:sz w:val="20"/>
          <w:lang w:eastAsia="bg-BG"/>
        </w:rPr>
        <w:t>касовите постъпления от ЕС</w:t>
      </w:r>
      <w:r w:rsidRPr="00761800">
        <w:rPr>
          <w:rFonts w:ascii="Times New Roman" w:eastAsia="Batang" w:hAnsi="Times New Roman"/>
          <w:bCs/>
          <w:sz w:val="20"/>
          <w:lang w:eastAsia="bg-BG"/>
        </w:rPr>
        <w:t xml:space="preserve"> (от Структурните и Кохезионния фондове, от ЕЗФРСР и ЕФР, от средства за директни плащания към земеделските производители и плащания по пазарни мерки и др.) към 31.12.2024 г. е 2 638,5 млн. евро. Нетните постъпления от ЕС към 31.12.2024 г. (касови </w:t>
      </w:r>
      <w:r w:rsidRPr="00761800">
        <w:rPr>
          <w:rFonts w:ascii="Times New Roman" w:eastAsia="Batang" w:hAnsi="Times New Roman"/>
          <w:bCs/>
          <w:sz w:val="20"/>
          <w:lang w:eastAsia="bg-BG"/>
        </w:rPr>
        <w:t xml:space="preserve">постъпления от ЕС, намалени с вноската в общия бюджет на ЕС) са положителни в размер на 1 824,4 млн. евро. </w:t>
      </w:r>
    </w:p>
    <w:p w14:paraId="51FDD9C7"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Размерът на </w:t>
      </w:r>
      <w:r w:rsidRPr="00761800">
        <w:rPr>
          <w:rFonts w:ascii="Times New Roman" w:eastAsia="Batang" w:hAnsi="Times New Roman"/>
          <w:b/>
          <w:bCs/>
          <w:sz w:val="20"/>
          <w:lang w:eastAsia="bg-BG"/>
        </w:rPr>
        <w:t>фискалния резерв</w:t>
      </w:r>
      <w:r w:rsidRPr="00761800">
        <w:rPr>
          <w:rFonts w:ascii="Times New Roman" w:eastAsia="Batang" w:hAnsi="Times New Roman"/>
          <w:b/>
          <w:bCs/>
          <w:sz w:val="20"/>
          <w:vertAlign w:val="superscript"/>
          <w:lang w:eastAsia="bg-BG"/>
        </w:rPr>
        <w:t xml:space="preserve"> </w:t>
      </w:r>
      <w:r w:rsidRPr="00761800">
        <w:rPr>
          <w:rFonts w:ascii="Times New Roman" w:eastAsia="Batang" w:hAnsi="Times New Roman"/>
          <w:bCs/>
          <w:sz w:val="20"/>
          <w:lang w:eastAsia="bg-BG"/>
        </w:rPr>
        <w:t>към 31.12.2024 г. е 6 066,6 млн. евро, в т. ч. 4 901,2 млн. евро депозити на фискалния резерв в БНБ и банки и 1 165,4 млн. евро вземания от фондовете на Европейския съюз за сертифицирани разходи, аванси и други.</w:t>
      </w:r>
    </w:p>
    <w:p w14:paraId="12989451"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027EA5EC"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4FAFEE94"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2B60852D"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30E1DEEC"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6431D9D3"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677E688A"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777D5DC1"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1F82BD56"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75A64868" w14:textId="77777777" w:rsidR="00761800" w:rsidRPr="00761800" w:rsidRDefault="00761800" w:rsidP="00761800">
      <w:pPr>
        <w:autoSpaceDE w:val="0"/>
        <w:autoSpaceDN w:val="0"/>
        <w:adjustRightInd w:val="0"/>
        <w:spacing w:after="120"/>
        <w:jc w:val="both"/>
        <w:rPr>
          <w:rFonts w:ascii="Times New Roman" w:eastAsia="Batang" w:hAnsi="Times New Roman"/>
          <w:b/>
          <w:bCs/>
          <w:sz w:val="20"/>
          <w:highlight w:val="yellow"/>
          <w:lang w:eastAsia="bg-BG"/>
        </w:rPr>
      </w:pPr>
    </w:p>
    <w:p w14:paraId="0734B885" w14:textId="77777777" w:rsidR="00761800" w:rsidRPr="00761800" w:rsidRDefault="00761800" w:rsidP="00761800">
      <w:pPr>
        <w:spacing w:after="200" w:line="276" w:lineRule="auto"/>
        <w:rPr>
          <w:rFonts w:ascii="Times New Roman" w:hAnsi="Times New Roman"/>
          <w:sz w:val="22"/>
          <w:szCs w:val="22"/>
          <w:lang w:eastAsia="bg-BG"/>
        </w:rPr>
      </w:pPr>
      <w:r w:rsidRPr="00761800">
        <w:rPr>
          <w:rFonts w:ascii="Times New Roman" w:hAnsi="Times New Roman"/>
          <w:sz w:val="22"/>
          <w:szCs w:val="22"/>
          <w:lang w:eastAsia="bg-BG"/>
        </w:rPr>
        <w:br w:type="page"/>
      </w:r>
    </w:p>
    <w:p w14:paraId="0C9767D0" w14:textId="77777777" w:rsidR="00761800" w:rsidRPr="00761800" w:rsidRDefault="00761800" w:rsidP="00761800">
      <w:pPr>
        <w:tabs>
          <w:tab w:val="num" w:pos="0"/>
          <w:tab w:val="left" w:pos="540"/>
          <w:tab w:val="center" w:pos="4153"/>
          <w:tab w:val="right" w:pos="8306"/>
        </w:tabs>
        <w:spacing w:after="200"/>
        <w:jc w:val="both"/>
        <w:rPr>
          <w:rFonts w:ascii="Times New Roman" w:hAnsi="Times New Roman"/>
          <w:sz w:val="22"/>
          <w:szCs w:val="22"/>
          <w:lang w:eastAsia="bg-BG"/>
        </w:rPr>
        <w:sectPr w:rsidR="00761800" w:rsidRPr="00761800" w:rsidSect="00406B4D">
          <w:headerReference w:type="default" r:id="rId37"/>
          <w:type w:val="continuous"/>
          <w:pgSz w:w="16838" w:h="11906" w:orient="landscape" w:code="9"/>
          <w:pgMar w:top="1418" w:right="1134" w:bottom="851" w:left="1276" w:header="709" w:footer="709" w:gutter="0"/>
          <w:cols w:num="2" w:space="708"/>
          <w:titlePg/>
          <w:docGrid w:linePitch="360"/>
        </w:sectPr>
      </w:pPr>
    </w:p>
    <w:p w14:paraId="27765175"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9A3D00"/>
          <w:spacing w:val="10"/>
          <w:w w:val="90"/>
          <w:sz w:val="28"/>
          <w:szCs w:val="26"/>
          <w:lang w:eastAsia="bg-BG"/>
        </w:rPr>
      </w:pPr>
      <w:bookmarkStart w:id="548" w:name="_Toc233717502"/>
      <w:r w:rsidRPr="00761800">
        <w:rPr>
          <w:rFonts w:ascii="Times New Roman" w:hAnsi="Times New Roman"/>
          <w:b/>
          <w:bCs/>
          <w:caps/>
          <w:color w:val="852010"/>
          <w:spacing w:val="10"/>
          <w:w w:val="90"/>
          <w:sz w:val="28"/>
          <w:szCs w:val="26"/>
          <w:lang w:eastAsia="bg-BG"/>
        </w:rPr>
        <w:lastRenderedPageBreak/>
        <w:t>Предварителен отчет на КФП за 2025 г</w:t>
      </w:r>
      <w:r w:rsidRPr="00761800">
        <w:rPr>
          <w:rFonts w:ascii="Times New Roman" w:hAnsi="Times New Roman"/>
          <w:b/>
          <w:bCs/>
          <w:caps/>
          <w:color w:val="9A3D00"/>
          <w:spacing w:val="10"/>
          <w:w w:val="90"/>
          <w:sz w:val="28"/>
          <w:szCs w:val="26"/>
          <w:lang w:eastAsia="bg-BG"/>
        </w:rPr>
        <w:t>.</w:t>
      </w:r>
      <w:r w:rsidRPr="00761800">
        <w:rPr>
          <w:rFonts w:ascii="Times New Roman" w:hAnsi="Times New Roman"/>
          <w:b/>
          <w:bCs/>
          <w:caps/>
          <w:color w:val="9A3D00"/>
          <w:position w:val="2"/>
          <w:sz w:val="18"/>
          <w:szCs w:val="26"/>
          <w:vertAlign w:val="superscript"/>
        </w:rPr>
        <w:footnoteReference w:id="89"/>
      </w:r>
      <w:bookmarkEnd w:id="548"/>
    </w:p>
    <w:p w14:paraId="011FC681" w14:textId="77777777" w:rsidR="00761800" w:rsidRPr="00761800" w:rsidRDefault="00761800" w:rsidP="00761800">
      <w:pPr>
        <w:autoSpaceDE w:val="0"/>
        <w:autoSpaceDN w:val="0"/>
        <w:adjustRightInd w:val="0"/>
        <w:spacing w:after="60"/>
        <w:ind w:firstLine="1138"/>
        <w:jc w:val="right"/>
        <w:rPr>
          <w:rFonts w:ascii="Times New Roman" w:hAnsi="Times New Roman" w:cs="Calibri"/>
          <w:bCs/>
          <w:sz w:val="18"/>
          <w:szCs w:val="18"/>
          <w:lang w:eastAsia="bg-BG"/>
        </w:rPr>
      </w:pPr>
      <w:r w:rsidRPr="00761800">
        <w:rPr>
          <w:rFonts w:ascii="Times New Roman" w:hAnsi="Times New Roman" w:cs="Calibri"/>
          <w:bCs/>
          <w:sz w:val="18"/>
          <w:szCs w:val="18"/>
          <w:lang w:eastAsia="bg-BG"/>
        </w:rPr>
        <w:t xml:space="preserve"> (в млн. евро)</w:t>
      </w:r>
    </w:p>
    <w:tbl>
      <w:tblPr>
        <w:tblW w:w="14722" w:type="dxa"/>
        <w:jc w:val="center"/>
        <w:tblLayout w:type="fixed"/>
        <w:tblLook w:val="04A0" w:firstRow="1" w:lastRow="0" w:firstColumn="1" w:lastColumn="0" w:noHBand="0" w:noVBand="1"/>
      </w:tblPr>
      <w:tblGrid>
        <w:gridCol w:w="6796"/>
        <w:gridCol w:w="1683"/>
        <w:gridCol w:w="1559"/>
        <w:gridCol w:w="1416"/>
        <w:gridCol w:w="1500"/>
        <w:gridCol w:w="1768"/>
      </w:tblGrid>
      <w:tr w:rsidR="00761800" w:rsidRPr="00761800" w14:paraId="12D5FBCA" w14:textId="77777777" w:rsidTr="00761800">
        <w:trPr>
          <w:trHeight w:val="27"/>
          <w:tblHeader/>
          <w:jc w:val="center"/>
        </w:trPr>
        <w:tc>
          <w:tcPr>
            <w:tcW w:w="6796" w:type="dxa"/>
            <w:vMerge w:val="restart"/>
            <w:tcBorders>
              <w:top w:val="single" w:sz="4" w:space="0" w:color="auto"/>
            </w:tcBorders>
            <w:shd w:val="clear" w:color="auto" w:fill="auto"/>
            <w:noWrap/>
            <w:vAlign w:val="center"/>
            <w:hideMark/>
          </w:tcPr>
          <w:p w14:paraId="3B0F03E7"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ПОКАЗАТЕЛ</w:t>
            </w:r>
          </w:p>
        </w:tc>
        <w:tc>
          <w:tcPr>
            <w:tcW w:w="1683" w:type="dxa"/>
            <w:vMerge w:val="restart"/>
            <w:tcBorders>
              <w:top w:val="single" w:sz="4" w:space="0" w:color="auto"/>
            </w:tcBorders>
            <w:shd w:val="clear" w:color="auto" w:fill="auto"/>
            <w:noWrap/>
            <w:vAlign w:val="center"/>
            <w:hideMark/>
          </w:tcPr>
          <w:p w14:paraId="4A1581DF" w14:textId="77777777" w:rsidR="00761800" w:rsidRPr="00761800" w:rsidRDefault="00761800" w:rsidP="00761800">
            <w:pPr>
              <w:ind w:hanging="110"/>
              <w:jc w:val="center"/>
              <w:rPr>
                <w:rFonts w:ascii="Times New Roman" w:hAnsi="Times New Roman"/>
                <w:b/>
                <w:bCs/>
                <w:sz w:val="18"/>
                <w:szCs w:val="18"/>
                <w:lang w:eastAsia="bg-BG"/>
              </w:rPr>
            </w:pPr>
            <w:r w:rsidRPr="00761800">
              <w:rPr>
                <w:rFonts w:ascii="Times New Roman" w:hAnsi="Times New Roman"/>
                <w:b/>
                <w:bCs/>
                <w:sz w:val="18"/>
                <w:szCs w:val="18"/>
                <w:lang w:eastAsia="bg-BG"/>
              </w:rPr>
              <w:t>Програма</w:t>
            </w:r>
            <w:r w:rsidRPr="00761800">
              <w:rPr>
                <w:rFonts w:ascii="Times New Roman" w:hAnsi="Times New Roman"/>
                <w:b/>
                <w:bCs/>
                <w:sz w:val="18"/>
                <w:szCs w:val="18"/>
                <w:vertAlign w:val="superscript"/>
                <w:lang w:eastAsia="bg-BG"/>
              </w:rPr>
              <w:footnoteReference w:id="90"/>
            </w:r>
            <w:r w:rsidRPr="00761800">
              <w:rPr>
                <w:rFonts w:ascii="Times New Roman" w:hAnsi="Times New Roman"/>
                <w:b/>
                <w:bCs/>
                <w:sz w:val="18"/>
                <w:szCs w:val="18"/>
                <w:lang w:eastAsia="bg-BG"/>
              </w:rPr>
              <w:t xml:space="preserve"> </w:t>
            </w:r>
          </w:p>
          <w:p w14:paraId="36241BDB" w14:textId="77777777" w:rsidR="00761800" w:rsidRPr="00761800" w:rsidRDefault="00761800" w:rsidP="00761800">
            <w:pPr>
              <w:ind w:hanging="110"/>
              <w:jc w:val="center"/>
              <w:rPr>
                <w:rFonts w:ascii="Times New Roman" w:hAnsi="Times New Roman"/>
                <w:b/>
                <w:bCs/>
                <w:sz w:val="18"/>
                <w:szCs w:val="18"/>
                <w:lang w:eastAsia="bg-BG"/>
              </w:rPr>
            </w:pPr>
            <w:r w:rsidRPr="00761800">
              <w:rPr>
                <w:rFonts w:ascii="Times New Roman" w:hAnsi="Times New Roman"/>
                <w:b/>
                <w:bCs/>
                <w:sz w:val="18"/>
                <w:szCs w:val="18"/>
                <w:lang w:eastAsia="bg-BG"/>
              </w:rPr>
              <w:t>2025 г.</w:t>
            </w:r>
          </w:p>
        </w:tc>
        <w:tc>
          <w:tcPr>
            <w:tcW w:w="6243" w:type="dxa"/>
            <w:gridSpan w:val="4"/>
            <w:tcBorders>
              <w:top w:val="single" w:sz="4" w:space="0" w:color="auto"/>
            </w:tcBorders>
            <w:shd w:val="clear" w:color="auto" w:fill="F2F2F2"/>
            <w:noWrap/>
            <w:vAlign w:val="center"/>
            <w:hideMark/>
          </w:tcPr>
          <w:p w14:paraId="224D8437"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Отчет 31.12.2025 г.</w:t>
            </w:r>
          </w:p>
        </w:tc>
      </w:tr>
      <w:tr w:rsidR="00761800" w:rsidRPr="00761800" w14:paraId="1F6FDC7B" w14:textId="77777777" w:rsidTr="00761800">
        <w:trPr>
          <w:trHeight w:val="384"/>
          <w:tblHeader/>
          <w:jc w:val="center"/>
        </w:trPr>
        <w:tc>
          <w:tcPr>
            <w:tcW w:w="6796" w:type="dxa"/>
            <w:vMerge/>
            <w:shd w:val="clear" w:color="auto" w:fill="auto"/>
            <w:vAlign w:val="center"/>
            <w:hideMark/>
          </w:tcPr>
          <w:p w14:paraId="362924A3" w14:textId="77777777" w:rsidR="00761800" w:rsidRPr="00761800" w:rsidRDefault="00761800" w:rsidP="00761800">
            <w:pPr>
              <w:jc w:val="both"/>
              <w:rPr>
                <w:rFonts w:ascii="Times New Roman" w:hAnsi="Times New Roman"/>
                <w:b/>
                <w:bCs/>
                <w:sz w:val="18"/>
                <w:szCs w:val="18"/>
                <w:lang w:eastAsia="bg-BG"/>
              </w:rPr>
            </w:pPr>
          </w:p>
        </w:tc>
        <w:tc>
          <w:tcPr>
            <w:tcW w:w="1683" w:type="dxa"/>
            <w:vMerge/>
            <w:shd w:val="clear" w:color="auto" w:fill="auto"/>
            <w:vAlign w:val="center"/>
            <w:hideMark/>
          </w:tcPr>
          <w:p w14:paraId="636F5A27" w14:textId="77777777" w:rsidR="00761800" w:rsidRPr="00761800" w:rsidRDefault="00761800" w:rsidP="00761800">
            <w:pPr>
              <w:ind w:hanging="110"/>
              <w:jc w:val="both"/>
              <w:rPr>
                <w:rFonts w:ascii="Times New Roman" w:hAnsi="Times New Roman"/>
                <w:b/>
                <w:bCs/>
                <w:sz w:val="18"/>
                <w:szCs w:val="18"/>
                <w:lang w:eastAsia="bg-BG"/>
              </w:rPr>
            </w:pPr>
          </w:p>
        </w:tc>
        <w:tc>
          <w:tcPr>
            <w:tcW w:w="1559" w:type="dxa"/>
            <w:shd w:val="clear" w:color="auto" w:fill="F2F2F2"/>
            <w:noWrap/>
            <w:vAlign w:val="center"/>
            <w:hideMark/>
          </w:tcPr>
          <w:p w14:paraId="41E27B4F"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КФП*</w:t>
            </w:r>
          </w:p>
        </w:tc>
        <w:tc>
          <w:tcPr>
            <w:tcW w:w="1416" w:type="dxa"/>
            <w:shd w:val="clear" w:color="auto" w:fill="F2F2F2"/>
            <w:vAlign w:val="center"/>
            <w:hideMark/>
          </w:tcPr>
          <w:p w14:paraId="28A16A2E" w14:textId="77777777" w:rsidR="00761800" w:rsidRPr="00761800" w:rsidRDefault="00761800" w:rsidP="00761800">
            <w:pPr>
              <w:ind w:right="-129"/>
              <w:jc w:val="center"/>
              <w:rPr>
                <w:rFonts w:ascii="Times New Roman" w:hAnsi="Times New Roman"/>
                <w:b/>
                <w:bCs/>
                <w:sz w:val="18"/>
                <w:szCs w:val="18"/>
                <w:lang w:eastAsia="bg-BG"/>
              </w:rPr>
            </w:pPr>
            <w:r w:rsidRPr="00761800">
              <w:rPr>
                <w:rFonts w:ascii="Times New Roman" w:hAnsi="Times New Roman"/>
                <w:b/>
                <w:bCs/>
                <w:sz w:val="18"/>
                <w:szCs w:val="18"/>
                <w:lang w:eastAsia="bg-BG"/>
              </w:rPr>
              <w:t>Национален бюджет</w:t>
            </w:r>
          </w:p>
        </w:tc>
        <w:tc>
          <w:tcPr>
            <w:tcW w:w="1500" w:type="dxa"/>
            <w:shd w:val="clear" w:color="auto" w:fill="F2F2F2"/>
            <w:vAlign w:val="center"/>
            <w:hideMark/>
          </w:tcPr>
          <w:p w14:paraId="53733071"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ЕС</w:t>
            </w:r>
            <w:r w:rsidRPr="00761800">
              <w:rPr>
                <w:rFonts w:ascii="Times New Roman" w:hAnsi="Times New Roman"/>
                <w:position w:val="2"/>
                <w:sz w:val="18"/>
                <w:szCs w:val="22"/>
                <w:vertAlign w:val="superscript"/>
              </w:rPr>
              <w:footnoteReference w:id="91"/>
            </w:r>
          </w:p>
        </w:tc>
        <w:tc>
          <w:tcPr>
            <w:tcW w:w="1768" w:type="dxa"/>
            <w:shd w:val="clear" w:color="auto" w:fill="F2F2F2"/>
            <w:vAlign w:val="center"/>
            <w:hideMark/>
          </w:tcPr>
          <w:p w14:paraId="05162EB4"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 xml:space="preserve">спрямо </w:t>
            </w:r>
          </w:p>
          <w:p w14:paraId="3F0A6617"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Програма</w:t>
            </w:r>
          </w:p>
          <w:p w14:paraId="0CFB4AC3"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 xml:space="preserve">    2025 г.</w:t>
            </w:r>
          </w:p>
        </w:tc>
      </w:tr>
      <w:tr w:rsidR="00761800" w:rsidRPr="00761800" w14:paraId="7E2613B7" w14:textId="77777777" w:rsidTr="00761800">
        <w:trPr>
          <w:trHeight w:val="50"/>
          <w:tblHeader/>
          <w:jc w:val="center"/>
        </w:trPr>
        <w:tc>
          <w:tcPr>
            <w:tcW w:w="6796" w:type="dxa"/>
            <w:tcBorders>
              <w:bottom w:val="single" w:sz="4" w:space="0" w:color="auto"/>
            </w:tcBorders>
            <w:shd w:val="clear" w:color="auto" w:fill="auto"/>
            <w:noWrap/>
            <w:vAlign w:val="center"/>
            <w:hideMark/>
          </w:tcPr>
          <w:p w14:paraId="216A12A8"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к.</w:t>
            </w:r>
            <w:r w:rsidRPr="00761800">
              <w:rPr>
                <w:rFonts w:ascii="Times New Roman" w:hAnsi="Times New Roman"/>
                <w:b/>
                <w:bCs/>
                <w:sz w:val="16"/>
                <w:szCs w:val="16"/>
                <w:lang w:eastAsia="bg-BG"/>
              </w:rPr>
              <w:t>1</w:t>
            </w:r>
          </w:p>
        </w:tc>
        <w:tc>
          <w:tcPr>
            <w:tcW w:w="1683" w:type="dxa"/>
            <w:tcBorders>
              <w:bottom w:val="single" w:sz="4" w:space="0" w:color="auto"/>
            </w:tcBorders>
            <w:shd w:val="clear" w:color="auto" w:fill="auto"/>
            <w:noWrap/>
            <w:vAlign w:val="center"/>
            <w:hideMark/>
          </w:tcPr>
          <w:p w14:paraId="7D5A84CE" w14:textId="77777777" w:rsidR="00761800" w:rsidRPr="00761800" w:rsidRDefault="00761800" w:rsidP="00761800">
            <w:pPr>
              <w:ind w:hanging="110"/>
              <w:jc w:val="center"/>
              <w:rPr>
                <w:rFonts w:ascii="Times New Roman" w:hAnsi="Times New Roman"/>
                <w:b/>
                <w:bCs/>
                <w:sz w:val="14"/>
                <w:szCs w:val="14"/>
                <w:lang w:eastAsia="bg-BG"/>
              </w:rPr>
            </w:pPr>
            <w:r w:rsidRPr="00761800">
              <w:rPr>
                <w:rFonts w:ascii="Times New Roman" w:hAnsi="Times New Roman"/>
                <w:b/>
                <w:bCs/>
                <w:sz w:val="14"/>
                <w:szCs w:val="14"/>
                <w:lang w:eastAsia="bg-BG"/>
              </w:rPr>
              <w:t>к.2</w:t>
            </w:r>
          </w:p>
        </w:tc>
        <w:tc>
          <w:tcPr>
            <w:tcW w:w="1559" w:type="dxa"/>
            <w:tcBorders>
              <w:bottom w:val="single" w:sz="4" w:space="0" w:color="auto"/>
            </w:tcBorders>
            <w:shd w:val="clear" w:color="auto" w:fill="F2F2F2"/>
            <w:noWrap/>
            <w:vAlign w:val="center"/>
            <w:hideMark/>
          </w:tcPr>
          <w:p w14:paraId="14A5C182" w14:textId="77777777" w:rsidR="00761800" w:rsidRPr="00761800" w:rsidRDefault="00761800" w:rsidP="00761800">
            <w:pPr>
              <w:jc w:val="center"/>
              <w:rPr>
                <w:rFonts w:ascii="Times New Roman" w:hAnsi="Times New Roman"/>
                <w:b/>
                <w:bCs/>
                <w:sz w:val="14"/>
                <w:szCs w:val="14"/>
                <w:lang w:eastAsia="bg-BG"/>
              </w:rPr>
            </w:pPr>
            <w:r w:rsidRPr="00761800">
              <w:rPr>
                <w:rFonts w:ascii="Times New Roman" w:hAnsi="Times New Roman"/>
                <w:b/>
                <w:bCs/>
                <w:sz w:val="14"/>
                <w:szCs w:val="14"/>
                <w:lang w:eastAsia="bg-BG"/>
              </w:rPr>
              <w:t>к.3=к.4+к.5</w:t>
            </w:r>
          </w:p>
        </w:tc>
        <w:tc>
          <w:tcPr>
            <w:tcW w:w="1416" w:type="dxa"/>
            <w:tcBorders>
              <w:bottom w:val="single" w:sz="4" w:space="0" w:color="auto"/>
            </w:tcBorders>
            <w:shd w:val="clear" w:color="auto" w:fill="F2F2F2"/>
            <w:noWrap/>
            <w:vAlign w:val="center"/>
            <w:hideMark/>
          </w:tcPr>
          <w:p w14:paraId="35FD56A5" w14:textId="77777777" w:rsidR="00761800" w:rsidRPr="00761800" w:rsidRDefault="00761800" w:rsidP="00761800">
            <w:pPr>
              <w:ind w:right="-129"/>
              <w:jc w:val="center"/>
              <w:rPr>
                <w:rFonts w:ascii="Times New Roman" w:hAnsi="Times New Roman"/>
                <w:b/>
                <w:bCs/>
                <w:sz w:val="14"/>
                <w:szCs w:val="14"/>
                <w:lang w:eastAsia="bg-BG"/>
              </w:rPr>
            </w:pPr>
            <w:r w:rsidRPr="00761800">
              <w:rPr>
                <w:rFonts w:ascii="Times New Roman" w:hAnsi="Times New Roman"/>
                <w:b/>
                <w:bCs/>
                <w:sz w:val="14"/>
                <w:szCs w:val="14"/>
                <w:lang w:eastAsia="bg-BG"/>
              </w:rPr>
              <w:t>к.4</w:t>
            </w:r>
          </w:p>
        </w:tc>
        <w:tc>
          <w:tcPr>
            <w:tcW w:w="1500" w:type="dxa"/>
            <w:tcBorders>
              <w:bottom w:val="single" w:sz="4" w:space="0" w:color="auto"/>
            </w:tcBorders>
            <w:shd w:val="clear" w:color="auto" w:fill="F2F2F2"/>
            <w:noWrap/>
            <w:vAlign w:val="center"/>
            <w:hideMark/>
          </w:tcPr>
          <w:p w14:paraId="52F1B72E" w14:textId="77777777" w:rsidR="00761800" w:rsidRPr="00761800" w:rsidRDefault="00761800" w:rsidP="00761800">
            <w:pPr>
              <w:jc w:val="center"/>
              <w:rPr>
                <w:rFonts w:ascii="Times New Roman" w:hAnsi="Times New Roman"/>
                <w:b/>
                <w:bCs/>
                <w:sz w:val="14"/>
                <w:szCs w:val="14"/>
                <w:lang w:eastAsia="bg-BG"/>
              </w:rPr>
            </w:pPr>
            <w:r w:rsidRPr="00761800">
              <w:rPr>
                <w:rFonts w:ascii="Times New Roman" w:hAnsi="Times New Roman"/>
                <w:b/>
                <w:bCs/>
                <w:sz w:val="14"/>
                <w:szCs w:val="14"/>
                <w:lang w:eastAsia="bg-BG"/>
              </w:rPr>
              <w:t>к.5</w:t>
            </w:r>
          </w:p>
        </w:tc>
        <w:tc>
          <w:tcPr>
            <w:tcW w:w="1768" w:type="dxa"/>
            <w:tcBorders>
              <w:bottom w:val="single" w:sz="4" w:space="0" w:color="auto"/>
            </w:tcBorders>
            <w:shd w:val="clear" w:color="auto" w:fill="F2F2F2"/>
            <w:noWrap/>
            <w:vAlign w:val="center"/>
            <w:hideMark/>
          </w:tcPr>
          <w:p w14:paraId="1E0D453E" w14:textId="77777777" w:rsidR="00761800" w:rsidRPr="00761800" w:rsidRDefault="00761800" w:rsidP="00761800">
            <w:pPr>
              <w:jc w:val="center"/>
              <w:rPr>
                <w:rFonts w:ascii="Times New Roman" w:hAnsi="Times New Roman"/>
                <w:b/>
                <w:bCs/>
                <w:sz w:val="14"/>
                <w:szCs w:val="14"/>
                <w:lang w:eastAsia="bg-BG"/>
              </w:rPr>
            </w:pPr>
            <w:r w:rsidRPr="00761800">
              <w:rPr>
                <w:rFonts w:ascii="Times New Roman" w:hAnsi="Times New Roman"/>
                <w:b/>
                <w:bCs/>
                <w:sz w:val="14"/>
                <w:szCs w:val="14"/>
                <w:lang w:eastAsia="bg-BG"/>
              </w:rPr>
              <w:t>к.6=к.3:к.2</w:t>
            </w:r>
          </w:p>
        </w:tc>
      </w:tr>
      <w:tr w:rsidR="00761800" w:rsidRPr="00761800" w14:paraId="32F23978" w14:textId="77777777" w:rsidTr="00761800">
        <w:trPr>
          <w:trHeight w:val="109"/>
          <w:jc w:val="center"/>
        </w:trPr>
        <w:tc>
          <w:tcPr>
            <w:tcW w:w="6796" w:type="dxa"/>
            <w:tcBorders>
              <w:top w:val="single" w:sz="4" w:space="0" w:color="auto"/>
            </w:tcBorders>
            <w:shd w:val="clear" w:color="auto" w:fill="auto"/>
            <w:noWrap/>
            <w:vAlign w:val="center"/>
            <w:hideMark/>
          </w:tcPr>
          <w:p w14:paraId="15CF5C87" w14:textId="77777777" w:rsidR="00761800" w:rsidRPr="00761800" w:rsidRDefault="00761800" w:rsidP="00761800">
            <w:pPr>
              <w:jc w:val="both"/>
              <w:rPr>
                <w:rFonts w:ascii="Times New Roman" w:hAnsi="Times New Roman"/>
                <w:b/>
                <w:bCs/>
                <w:sz w:val="18"/>
                <w:szCs w:val="18"/>
                <w:lang w:eastAsia="bg-BG"/>
              </w:rPr>
            </w:pPr>
            <w:r w:rsidRPr="00761800">
              <w:rPr>
                <w:rFonts w:ascii="Times New Roman" w:hAnsi="Times New Roman"/>
                <w:b/>
                <w:bCs/>
                <w:sz w:val="18"/>
                <w:szCs w:val="18"/>
                <w:lang w:eastAsia="bg-BG"/>
              </w:rPr>
              <w:t>ПРИХОДИ, ПОМОЩИ И ДАРЕНИЯ</w:t>
            </w:r>
          </w:p>
        </w:tc>
        <w:tc>
          <w:tcPr>
            <w:tcW w:w="1683" w:type="dxa"/>
            <w:tcBorders>
              <w:top w:val="single" w:sz="4" w:space="0" w:color="auto"/>
            </w:tcBorders>
            <w:shd w:val="clear" w:color="auto" w:fill="auto"/>
            <w:noWrap/>
          </w:tcPr>
          <w:p w14:paraId="4F1D630F" w14:textId="77777777" w:rsidR="00761800" w:rsidRPr="00761800" w:rsidRDefault="00761800" w:rsidP="00761800">
            <w:pPr>
              <w:ind w:hanging="110"/>
              <w:jc w:val="right"/>
              <w:rPr>
                <w:rFonts w:ascii="Times New Roman" w:hAnsi="Times New Roman"/>
                <w:b/>
                <w:bCs/>
                <w:sz w:val="18"/>
                <w:szCs w:val="18"/>
                <w:lang w:eastAsia="bg-BG"/>
              </w:rPr>
            </w:pPr>
            <w:r w:rsidRPr="00761800">
              <w:rPr>
                <w:rFonts w:ascii="Times New Roman" w:hAnsi="Times New Roman"/>
                <w:b/>
                <w:bCs/>
                <w:sz w:val="18"/>
                <w:szCs w:val="18"/>
                <w:lang w:eastAsia="bg-BG"/>
              </w:rPr>
              <w:t>46 154,7</w:t>
            </w:r>
          </w:p>
        </w:tc>
        <w:tc>
          <w:tcPr>
            <w:tcW w:w="1559" w:type="dxa"/>
            <w:tcBorders>
              <w:top w:val="single" w:sz="4" w:space="0" w:color="auto"/>
            </w:tcBorders>
            <w:shd w:val="clear" w:color="auto" w:fill="F2F2F2"/>
            <w:noWrap/>
            <w:vAlign w:val="bottom"/>
          </w:tcPr>
          <w:p w14:paraId="356E233F"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44 014,7</w:t>
            </w:r>
          </w:p>
        </w:tc>
        <w:tc>
          <w:tcPr>
            <w:tcW w:w="1416" w:type="dxa"/>
            <w:tcBorders>
              <w:top w:val="single" w:sz="4" w:space="0" w:color="auto"/>
            </w:tcBorders>
            <w:shd w:val="clear" w:color="auto" w:fill="F2F2F2"/>
            <w:noWrap/>
            <w:vAlign w:val="bottom"/>
          </w:tcPr>
          <w:p w14:paraId="5D4AF7D5"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40 887,7</w:t>
            </w:r>
          </w:p>
        </w:tc>
        <w:tc>
          <w:tcPr>
            <w:tcW w:w="1500" w:type="dxa"/>
            <w:tcBorders>
              <w:top w:val="single" w:sz="4" w:space="0" w:color="auto"/>
            </w:tcBorders>
            <w:shd w:val="clear" w:color="auto" w:fill="F2F2F2"/>
            <w:noWrap/>
            <w:vAlign w:val="bottom"/>
          </w:tcPr>
          <w:p w14:paraId="20129F51"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3 127,0</w:t>
            </w:r>
          </w:p>
        </w:tc>
        <w:tc>
          <w:tcPr>
            <w:tcW w:w="1768" w:type="dxa"/>
            <w:tcBorders>
              <w:top w:val="single" w:sz="4" w:space="0" w:color="auto"/>
            </w:tcBorders>
            <w:shd w:val="clear" w:color="auto" w:fill="F2F2F2"/>
            <w:noWrap/>
            <w:vAlign w:val="bottom"/>
          </w:tcPr>
          <w:p w14:paraId="0576A059"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95,4%</w:t>
            </w:r>
          </w:p>
        </w:tc>
      </w:tr>
      <w:tr w:rsidR="00761800" w:rsidRPr="00761800" w14:paraId="1900A978" w14:textId="77777777" w:rsidTr="00761800">
        <w:trPr>
          <w:trHeight w:val="297"/>
          <w:jc w:val="center"/>
        </w:trPr>
        <w:tc>
          <w:tcPr>
            <w:tcW w:w="6796" w:type="dxa"/>
            <w:shd w:val="clear" w:color="auto" w:fill="auto"/>
            <w:noWrap/>
            <w:vAlign w:val="center"/>
            <w:hideMark/>
          </w:tcPr>
          <w:p w14:paraId="119380D8"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Данъчни приходи</w:t>
            </w:r>
          </w:p>
        </w:tc>
        <w:tc>
          <w:tcPr>
            <w:tcW w:w="1683" w:type="dxa"/>
            <w:shd w:val="clear" w:color="auto" w:fill="auto"/>
            <w:noWrap/>
          </w:tcPr>
          <w:p w14:paraId="62C2A68C"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36 221,5</w:t>
            </w:r>
          </w:p>
        </w:tc>
        <w:tc>
          <w:tcPr>
            <w:tcW w:w="1559" w:type="dxa"/>
            <w:shd w:val="clear" w:color="auto" w:fill="F2F2F2"/>
            <w:noWrap/>
            <w:vAlign w:val="bottom"/>
          </w:tcPr>
          <w:p w14:paraId="607C3F05"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34 603,1</w:t>
            </w:r>
          </w:p>
        </w:tc>
        <w:tc>
          <w:tcPr>
            <w:tcW w:w="1416" w:type="dxa"/>
            <w:shd w:val="clear" w:color="auto" w:fill="F2F2F2"/>
            <w:noWrap/>
            <w:vAlign w:val="bottom"/>
          </w:tcPr>
          <w:p w14:paraId="198A8DD1"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34 603,1</w:t>
            </w:r>
          </w:p>
        </w:tc>
        <w:tc>
          <w:tcPr>
            <w:tcW w:w="1500" w:type="dxa"/>
            <w:shd w:val="clear" w:color="auto" w:fill="F2F2F2"/>
            <w:noWrap/>
            <w:vAlign w:val="bottom"/>
          </w:tcPr>
          <w:p w14:paraId="736F4D16"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0,0</w:t>
            </w:r>
          </w:p>
        </w:tc>
        <w:tc>
          <w:tcPr>
            <w:tcW w:w="1768" w:type="dxa"/>
            <w:shd w:val="clear" w:color="auto" w:fill="F2F2F2"/>
            <w:noWrap/>
            <w:vAlign w:val="bottom"/>
          </w:tcPr>
          <w:p w14:paraId="0FED2DBF"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95,5%</w:t>
            </w:r>
          </w:p>
        </w:tc>
      </w:tr>
      <w:tr w:rsidR="00761800" w:rsidRPr="00761800" w14:paraId="7BD845E2" w14:textId="77777777" w:rsidTr="00761800">
        <w:trPr>
          <w:trHeight w:val="80"/>
          <w:jc w:val="center"/>
        </w:trPr>
        <w:tc>
          <w:tcPr>
            <w:tcW w:w="6796" w:type="dxa"/>
            <w:shd w:val="clear" w:color="auto" w:fill="auto"/>
            <w:noWrap/>
            <w:vAlign w:val="center"/>
            <w:hideMark/>
          </w:tcPr>
          <w:p w14:paraId="49721318"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Преки данъци</w:t>
            </w:r>
          </w:p>
        </w:tc>
        <w:tc>
          <w:tcPr>
            <w:tcW w:w="1683" w:type="dxa"/>
            <w:shd w:val="clear" w:color="auto" w:fill="auto"/>
            <w:noWrap/>
          </w:tcPr>
          <w:p w14:paraId="385369E5"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7 480,4</w:t>
            </w:r>
          </w:p>
        </w:tc>
        <w:tc>
          <w:tcPr>
            <w:tcW w:w="1559" w:type="dxa"/>
            <w:shd w:val="clear" w:color="auto" w:fill="F2F2F2"/>
            <w:noWrap/>
            <w:vAlign w:val="bottom"/>
          </w:tcPr>
          <w:p w14:paraId="7312386D"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7 626,6</w:t>
            </w:r>
          </w:p>
        </w:tc>
        <w:tc>
          <w:tcPr>
            <w:tcW w:w="1416" w:type="dxa"/>
            <w:shd w:val="clear" w:color="auto" w:fill="F2F2F2"/>
            <w:noWrap/>
            <w:vAlign w:val="bottom"/>
          </w:tcPr>
          <w:p w14:paraId="1D0B9D51"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7 626,6</w:t>
            </w:r>
          </w:p>
        </w:tc>
        <w:tc>
          <w:tcPr>
            <w:tcW w:w="1500" w:type="dxa"/>
            <w:shd w:val="clear" w:color="auto" w:fill="F2F2F2"/>
            <w:noWrap/>
          </w:tcPr>
          <w:p w14:paraId="619EFFAB" w14:textId="77777777" w:rsidR="00761800" w:rsidRPr="00761800" w:rsidRDefault="00761800" w:rsidP="00761800">
            <w:pPr>
              <w:jc w:val="right"/>
              <w:rPr>
                <w:rFonts w:ascii="Times New Roman" w:hAnsi="Times New Roman"/>
                <w:bCs/>
                <w:sz w:val="18"/>
                <w:szCs w:val="18"/>
                <w:lang w:eastAsia="bg-BG"/>
              </w:rPr>
            </w:pPr>
          </w:p>
        </w:tc>
        <w:tc>
          <w:tcPr>
            <w:tcW w:w="1768" w:type="dxa"/>
            <w:shd w:val="clear" w:color="auto" w:fill="F2F2F2"/>
            <w:noWrap/>
            <w:hideMark/>
          </w:tcPr>
          <w:p w14:paraId="2BC33BC2"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102,0%</w:t>
            </w:r>
          </w:p>
        </w:tc>
      </w:tr>
      <w:tr w:rsidR="00761800" w:rsidRPr="00761800" w14:paraId="0CDA7A0C" w14:textId="77777777" w:rsidTr="00761800">
        <w:trPr>
          <w:trHeight w:val="132"/>
          <w:jc w:val="center"/>
        </w:trPr>
        <w:tc>
          <w:tcPr>
            <w:tcW w:w="6796" w:type="dxa"/>
            <w:shd w:val="clear" w:color="auto" w:fill="auto"/>
            <w:noWrap/>
            <w:vAlign w:val="center"/>
            <w:hideMark/>
          </w:tcPr>
          <w:p w14:paraId="32FDE916"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Косвени данъци </w:t>
            </w:r>
          </w:p>
        </w:tc>
        <w:tc>
          <w:tcPr>
            <w:tcW w:w="1683" w:type="dxa"/>
            <w:shd w:val="clear" w:color="auto" w:fill="auto"/>
            <w:noWrap/>
          </w:tcPr>
          <w:p w14:paraId="51E3BFBE"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16 856,3</w:t>
            </w:r>
          </w:p>
        </w:tc>
        <w:tc>
          <w:tcPr>
            <w:tcW w:w="1559" w:type="dxa"/>
            <w:shd w:val="clear" w:color="auto" w:fill="F2F2F2"/>
            <w:noWrap/>
          </w:tcPr>
          <w:p w14:paraId="293FB231"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15 038,0</w:t>
            </w:r>
          </w:p>
        </w:tc>
        <w:tc>
          <w:tcPr>
            <w:tcW w:w="1416" w:type="dxa"/>
            <w:shd w:val="clear" w:color="auto" w:fill="F2F2F2"/>
            <w:noWrap/>
          </w:tcPr>
          <w:p w14:paraId="0BA3D74C"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15 038,0</w:t>
            </w:r>
          </w:p>
        </w:tc>
        <w:tc>
          <w:tcPr>
            <w:tcW w:w="1500" w:type="dxa"/>
            <w:shd w:val="clear" w:color="auto" w:fill="F2F2F2"/>
            <w:noWrap/>
          </w:tcPr>
          <w:p w14:paraId="27873BC1" w14:textId="77777777" w:rsidR="00761800" w:rsidRPr="00761800" w:rsidRDefault="00761800" w:rsidP="00761800">
            <w:pPr>
              <w:jc w:val="right"/>
              <w:rPr>
                <w:rFonts w:ascii="Times New Roman" w:hAnsi="Times New Roman"/>
                <w:bCs/>
                <w:sz w:val="18"/>
                <w:szCs w:val="18"/>
                <w:lang w:eastAsia="bg-BG"/>
              </w:rPr>
            </w:pPr>
          </w:p>
        </w:tc>
        <w:tc>
          <w:tcPr>
            <w:tcW w:w="1768" w:type="dxa"/>
            <w:shd w:val="clear" w:color="auto" w:fill="F2F2F2"/>
            <w:noWrap/>
            <w:hideMark/>
          </w:tcPr>
          <w:p w14:paraId="0A0C16FC"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89,2%</w:t>
            </w:r>
          </w:p>
        </w:tc>
      </w:tr>
      <w:tr w:rsidR="00761800" w:rsidRPr="00761800" w14:paraId="7364F2B0" w14:textId="77777777" w:rsidTr="00761800">
        <w:trPr>
          <w:trHeight w:val="205"/>
          <w:jc w:val="center"/>
        </w:trPr>
        <w:tc>
          <w:tcPr>
            <w:tcW w:w="6796" w:type="dxa"/>
            <w:shd w:val="clear" w:color="auto" w:fill="auto"/>
            <w:noWrap/>
            <w:vAlign w:val="center"/>
            <w:hideMark/>
          </w:tcPr>
          <w:p w14:paraId="3488D030"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Приходи от социални и здравноосиг. вноски</w:t>
            </w:r>
          </w:p>
        </w:tc>
        <w:tc>
          <w:tcPr>
            <w:tcW w:w="1683" w:type="dxa"/>
            <w:shd w:val="clear" w:color="auto" w:fill="auto"/>
            <w:noWrap/>
          </w:tcPr>
          <w:p w14:paraId="7FA79341"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10 718,6</w:t>
            </w:r>
          </w:p>
        </w:tc>
        <w:tc>
          <w:tcPr>
            <w:tcW w:w="1559" w:type="dxa"/>
            <w:shd w:val="clear" w:color="auto" w:fill="F2F2F2"/>
            <w:noWrap/>
          </w:tcPr>
          <w:p w14:paraId="5AC9324D"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10 586,9</w:t>
            </w:r>
          </w:p>
        </w:tc>
        <w:tc>
          <w:tcPr>
            <w:tcW w:w="1416" w:type="dxa"/>
            <w:shd w:val="clear" w:color="auto" w:fill="F2F2F2"/>
            <w:noWrap/>
          </w:tcPr>
          <w:p w14:paraId="739BA064"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10 586,9</w:t>
            </w:r>
          </w:p>
        </w:tc>
        <w:tc>
          <w:tcPr>
            <w:tcW w:w="1500" w:type="dxa"/>
            <w:shd w:val="clear" w:color="auto" w:fill="F2F2F2"/>
            <w:noWrap/>
          </w:tcPr>
          <w:p w14:paraId="3465162A" w14:textId="77777777" w:rsidR="00761800" w:rsidRPr="00761800" w:rsidRDefault="00761800" w:rsidP="00761800">
            <w:pPr>
              <w:jc w:val="right"/>
              <w:rPr>
                <w:rFonts w:ascii="Times New Roman" w:hAnsi="Times New Roman"/>
                <w:bCs/>
                <w:sz w:val="18"/>
                <w:szCs w:val="18"/>
                <w:lang w:eastAsia="bg-BG"/>
              </w:rPr>
            </w:pPr>
          </w:p>
        </w:tc>
        <w:tc>
          <w:tcPr>
            <w:tcW w:w="1768" w:type="dxa"/>
            <w:shd w:val="clear" w:color="auto" w:fill="F2F2F2"/>
            <w:noWrap/>
            <w:hideMark/>
          </w:tcPr>
          <w:p w14:paraId="25100A39"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98,8%</w:t>
            </w:r>
          </w:p>
        </w:tc>
      </w:tr>
      <w:tr w:rsidR="00761800" w:rsidRPr="00761800" w14:paraId="3D3BABB4" w14:textId="77777777" w:rsidTr="00761800">
        <w:trPr>
          <w:trHeight w:val="285"/>
          <w:jc w:val="center"/>
        </w:trPr>
        <w:tc>
          <w:tcPr>
            <w:tcW w:w="6796" w:type="dxa"/>
            <w:shd w:val="clear" w:color="auto" w:fill="auto"/>
            <w:noWrap/>
            <w:vAlign w:val="center"/>
            <w:hideMark/>
          </w:tcPr>
          <w:p w14:paraId="02BF3CCF"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Други данъци</w:t>
            </w:r>
          </w:p>
        </w:tc>
        <w:tc>
          <w:tcPr>
            <w:tcW w:w="1683" w:type="dxa"/>
            <w:shd w:val="clear" w:color="auto" w:fill="auto"/>
            <w:noWrap/>
          </w:tcPr>
          <w:p w14:paraId="7D8C6FD7"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1 166,2</w:t>
            </w:r>
          </w:p>
        </w:tc>
        <w:tc>
          <w:tcPr>
            <w:tcW w:w="1559" w:type="dxa"/>
            <w:shd w:val="clear" w:color="auto" w:fill="F2F2F2"/>
            <w:noWrap/>
          </w:tcPr>
          <w:p w14:paraId="0FAB967A"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1 351,6</w:t>
            </w:r>
          </w:p>
        </w:tc>
        <w:tc>
          <w:tcPr>
            <w:tcW w:w="1416" w:type="dxa"/>
            <w:shd w:val="clear" w:color="auto" w:fill="F2F2F2"/>
            <w:noWrap/>
          </w:tcPr>
          <w:p w14:paraId="44B88B2E"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1 351,6</w:t>
            </w:r>
          </w:p>
        </w:tc>
        <w:tc>
          <w:tcPr>
            <w:tcW w:w="1500" w:type="dxa"/>
            <w:shd w:val="clear" w:color="auto" w:fill="F2F2F2"/>
            <w:noWrap/>
          </w:tcPr>
          <w:p w14:paraId="76C03AC6" w14:textId="77777777" w:rsidR="00761800" w:rsidRPr="00761800" w:rsidRDefault="00761800" w:rsidP="00761800">
            <w:pPr>
              <w:jc w:val="right"/>
              <w:rPr>
                <w:rFonts w:ascii="Times New Roman" w:hAnsi="Times New Roman"/>
                <w:bCs/>
                <w:sz w:val="18"/>
                <w:szCs w:val="18"/>
                <w:lang w:eastAsia="bg-BG"/>
              </w:rPr>
            </w:pPr>
          </w:p>
        </w:tc>
        <w:tc>
          <w:tcPr>
            <w:tcW w:w="1768" w:type="dxa"/>
            <w:shd w:val="clear" w:color="auto" w:fill="F2F2F2"/>
            <w:noWrap/>
            <w:hideMark/>
          </w:tcPr>
          <w:p w14:paraId="479BC0AE"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115,9%</w:t>
            </w:r>
          </w:p>
        </w:tc>
      </w:tr>
      <w:tr w:rsidR="00761800" w:rsidRPr="00761800" w14:paraId="1EA239DC" w14:textId="77777777" w:rsidTr="00761800">
        <w:trPr>
          <w:trHeight w:val="271"/>
          <w:jc w:val="center"/>
        </w:trPr>
        <w:tc>
          <w:tcPr>
            <w:tcW w:w="6796" w:type="dxa"/>
            <w:shd w:val="clear" w:color="auto" w:fill="auto"/>
            <w:noWrap/>
            <w:vAlign w:val="center"/>
            <w:hideMark/>
          </w:tcPr>
          <w:p w14:paraId="3536DFB9"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Неданъчни приходи</w:t>
            </w:r>
          </w:p>
        </w:tc>
        <w:tc>
          <w:tcPr>
            <w:tcW w:w="1683" w:type="dxa"/>
            <w:shd w:val="clear" w:color="auto" w:fill="auto"/>
            <w:noWrap/>
          </w:tcPr>
          <w:p w14:paraId="1531930D"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6 129,7</w:t>
            </w:r>
          </w:p>
        </w:tc>
        <w:tc>
          <w:tcPr>
            <w:tcW w:w="1559" w:type="dxa"/>
            <w:shd w:val="clear" w:color="auto" w:fill="F2F2F2"/>
            <w:noWrap/>
          </w:tcPr>
          <w:p w14:paraId="29E3213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6 063,4</w:t>
            </w:r>
          </w:p>
        </w:tc>
        <w:tc>
          <w:tcPr>
            <w:tcW w:w="1416" w:type="dxa"/>
            <w:shd w:val="clear" w:color="auto" w:fill="F2F2F2"/>
            <w:noWrap/>
          </w:tcPr>
          <w:p w14:paraId="097DACAC"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6 068,0</w:t>
            </w:r>
          </w:p>
        </w:tc>
        <w:tc>
          <w:tcPr>
            <w:tcW w:w="1500" w:type="dxa"/>
            <w:shd w:val="clear" w:color="auto" w:fill="F2F2F2"/>
            <w:noWrap/>
          </w:tcPr>
          <w:p w14:paraId="355601BA"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-4,7</w:t>
            </w:r>
          </w:p>
        </w:tc>
        <w:tc>
          <w:tcPr>
            <w:tcW w:w="1768" w:type="dxa"/>
            <w:shd w:val="clear" w:color="auto" w:fill="F2F2F2"/>
            <w:noWrap/>
            <w:hideMark/>
          </w:tcPr>
          <w:p w14:paraId="3F8CFBBC"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98,9%</w:t>
            </w:r>
          </w:p>
        </w:tc>
      </w:tr>
      <w:tr w:rsidR="00761800" w:rsidRPr="00761800" w14:paraId="10FFE470" w14:textId="77777777" w:rsidTr="00761800">
        <w:trPr>
          <w:trHeight w:val="61"/>
          <w:jc w:val="center"/>
        </w:trPr>
        <w:tc>
          <w:tcPr>
            <w:tcW w:w="6796" w:type="dxa"/>
            <w:shd w:val="clear" w:color="auto" w:fill="auto"/>
            <w:noWrap/>
            <w:vAlign w:val="center"/>
            <w:hideMark/>
          </w:tcPr>
          <w:p w14:paraId="5092693D"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Помощи и дарения</w:t>
            </w:r>
          </w:p>
        </w:tc>
        <w:tc>
          <w:tcPr>
            <w:tcW w:w="1683" w:type="dxa"/>
            <w:shd w:val="clear" w:color="auto" w:fill="auto"/>
            <w:noWrap/>
          </w:tcPr>
          <w:p w14:paraId="1BDC2B78"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3 803,4</w:t>
            </w:r>
          </w:p>
        </w:tc>
        <w:tc>
          <w:tcPr>
            <w:tcW w:w="1559" w:type="dxa"/>
            <w:shd w:val="clear" w:color="auto" w:fill="F2F2F2"/>
            <w:noWrap/>
          </w:tcPr>
          <w:p w14:paraId="687C5A0E"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3 348,2</w:t>
            </w:r>
          </w:p>
        </w:tc>
        <w:tc>
          <w:tcPr>
            <w:tcW w:w="1416" w:type="dxa"/>
            <w:shd w:val="clear" w:color="auto" w:fill="F2F2F2"/>
            <w:noWrap/>
          </w:tcPr>
          <w:p w14:paraId="0597C586"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216,6</w:t>
            </w:r>
          </w:p>
        </w:tc>
        <w:tc>
          <w:tcPr>
            <w:tcW w:w="1500" w:type="dxa"/>
            <w:shd w:val="clear" w:color="auto" w:fill="F2F2F2"/>
            <w:noWrap/>
          </w:tcPr>
          <w:p w14:paraId="2A815184"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 3 131,6</w:t>
            </w:r>
          </w:p>
        </w:tc>
        <w:tc>
          <w:tcPr>
            <w:tcW w:w="1768" w:type="dxa"/>
            <w:shd w:val="clear" w:color="auto" w:fill="F2F2F2"/>
            <w:noWrap/>
            <w:hideMark/>
          </w:tcPr>
          <w:p w14:paraId="3E20F26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88,0%</w:t>
            </w:r>
          </w:p>
        </w:tc>
      </w:tr>
      <w:tr w:rsidR="00761800" w:rsidRPr="00761800" w14:paraId="0D5B24B8" w14:textId="77777777" w:rsidTr="00761800">
        <w:trPr>
          <w:trHeight w:val="353"/>
          <w:jc w:val="center"/>
        </w:trPr>
        <w:tc>
          <w:tcPr>
            <w:tcW w:w="6796" w:type="dxa"/>
            <w:shd w:val="clear" w:color="auto" w:fill="auto"/>
            <w:vAlign w:val="center"/>
            <w:hideMark/>
          </w:tcPr>
          <w:p w14:paraId="43EB44B3" w14:textId="77777777" w:rsidR="00761800" w:rsidRPr="00761800" w:rsidRDefault="00761800" w:rsidP="00761800">
            <w:pPr>
              <w:jc w:val="both"/>
              <w:rPr>
                <w:rFonts w:ascii="Times New Roman" w:hAnsi="Times New Roman"/>
                <w:b/>
                <w:bCs/>
                <w:sz w:val="18"/>
                <w:szCs w:val="18"/>
                <w:lang w:eastAsia="bg-BG"/>
              </w:rPr>
            </w:pPr>
            <w:r w:rsidRPr="00761800">
              <w:rPr>
                <w:rFonts w:ascii="Times New Roman" w:hAnsi="Times New Roman"/>
                <w:b/>
                <w:bCs/>
                <w:sz w:val="18"/>
                <w:szCs w:val="18"/>
                <w:lang w:eastAsia="bg-BG"/>
              </w:rPr>
              <w:t>РАЗХОДИ И ВНОСКА В БЮДЖЕТА НА ЕС</w:t>
            </w:r>
          </w:p>
        </w:tc>
        <w:tc>
          <w:tcPr>
            <w:tcW w:w="1683" w:type="dxa"/>
            <w:shd w:val="clear" w:color="auto" w:fill="auto"/>
            <w:noWrap/>
          </w:tcPr>
          <w:p w14:paraId="33B760B8" w14:textId="77777777" w:rsidR="00761800" w:rsidRPr="00761800" w:rsidRDefault="00761800" w:rsidP="00761800">
            <w:pPr>
              <w:ind w:hanging="110"/>
              <w:jc w:val="right"/>
              <w:rPr>
                <w:rFonts w:ascii="Times New Roman" w:hAnsi="Times New Roman"/>
                <w:b/>
                <w:bCs/>
                <w:sz w:val="18"/>
                <w:szCs w:val="18"/>
                <w:lang w:eastAsia="bg-BG"/>
              </w:rPr>
            </w:pPr>
            <w:r w:rsidRPr="00761800">
              <w:rPr>
                <w:rFonts w:ascii="Times New Roman" w:hAnsi="Times New Roman"/>
                <w:b/>
                <w:bCs/>
                <w:sz w:val="18"/>
                <w:szCs w:val="18"/>
                <w:lang w:eastAsia="bg-BG"/>
              </w:rPr>
              <w:t>49 445,0</w:t>
            </w:r>
          </w:p>
        </w:tc>
        <w:tc>
          <w:tcPr>
            <w:tcW w:w="1559" w:type="dxa"/>
            <w:shd w:val="clear" w:color="auto" w:fill="F2F2F2"/>
            <w:noWrap/>
          </w:tcPr>
          <w:p w14:paraId="1D063695"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47 507,2</w:t>
            </w:r>
          </w:p>
        </w:tc>
        <w:tc>
          <w:tcPr>
            <w:tcW w:w="1416" w:type="dxa"/>
            <w:shd w:val="clear" w:color="auto" w:fill="F2F2F2"/>
            <w:noWrap/>
          </w:tcPr>
          <w:p w14:paraId="1268AD66"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43 636,3</w:t>
            </w:r>
          </w:p>
        </w:tc>
        <w:tc>
          <w:tcPr>
            <w:tcW w:w="1500" w:type="dxa"/>
            <w:shd w:val="clear" w:color="auto" w:fill="F2F2F2"/>
            <w:noWrap/>
          </w:tcPr>
          <w:p w14:paraId="54D0EF88"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3 871,0</w:t>
            </w:r>
          </w:p>
        </w:tc>
        <w:tc>
          <w:tcPr>
            <w:tcW w:w="1768" w:type="dxa"/>
            <w:shd w:val="clear" w:color="auto" w:fill="F2F2F2"/>
            <w:noWrap/>
          </w:tcPr>
          <w:p w14:paraId="6E820733"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96,1%</w:t>
            </w:r>
          </w:p>
        </w:tc>
      </w:tr>
      <w:tr w:rsidR="00761800" w:rsidRPr="00761800" w14:paraId="59E72FC9" w14:textId="77777777" w:rsidTr="00761800">
        <w:trPr>
          <w:trHeight w:val="141"/>
          <w:jc w:val="center"/>
        </w:trPr>
        <w:tc>
          <w:tcPr>
            <w:tcW w:w="6796" w:type="dxa"/>
            <w:shd w:val="clear" w:color="auto" w:fill="auto"/>
            <w:noWrap/>
            <w:vAlign w:val="center"/>
            <w:hideMark/>
          </w:tcPr>
          <w:p w14:paraId="7C9C5D9D"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Нелихвени</w:t>
            </w:r>
          </w:p>
        </w:tc>
        <w:tc>
          <w:tcPr>
            <w:tcW w:w="1683" w:type="dxa"/>
            <w:shd w:val="clear" w:color="auto" w:fill="auto"/>
            <w:noWrap/>
          </w:tcPr>
          <w:p w14:paraId="15C047C6"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47 581,9</w:t>
            </w:r>
          </w:p>
        </w:tc>
        <w:tc>
          <w:tcPr>
            <w:tcW w:w="1559" w:type="dxa"/>
            <w:shd w:val="clear" w:color="auto" w:fill="F2F2F2"/>
            <w:noWrap/>
          </w:tcPr>
          <w:p w14:paraId="0C8E3499"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45 729,1</w:t>
            </w:r>
          </w:p>
        </w:tc>
        <w:tc>
          <w:tcPr>
            <w:tcW w:w="1416" w:type="dxa"/>
            <w:shd w:val="clear" w:color="auto" w:fill="F2F2F2"/>
            <w:noWrap/>
          </w:tcPr>
          <w:p w14:paraId="468497DD"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41 858,2</w:t>
            </w:r>
          </w:p>
        </w:tc>
        <w:tc>
          <w:tcPr>
            <w:tcW w:w="1500" w:type="dxa"/>
            <w:shd w:val="clear" w:color="auto" w:fill="F2F2F2"/>
            <w:noWrap/>
          </w:tcPr>
          <w:p w14:paraId="67C2E1A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3 870,9</w:t>
            </w:r>
          </w:p>
        </w:tc>
        <w:tc>
          <w:tcPr>
            <w:tcW w:w="1768" w:type="dxa"/>
            <w:shd w:val="clear" w:color="auto" w:fill="F2F2F2"/>
            <w:noWrap/>
          </w:tcPr>
          <w:p w14:paraId="3A57EB3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96,1%</w:t>
            </w:r>
          </w:p>
        </w:tc>
      </w:tr>
      <w:tr w:rsidR="00761800" w:rsidRPr="00761800" w14:paraId="2AD1C96C" w14:textId="77777777" w:rsidTr="00761800">
        <w:trPr>
          <w:trHeight w:val="192"/>
          <w:jc w:val="center"/>
        </w:trPr>
        <w:tc>
          <w:tcPr>
            <w:tcW w:w="6796" w:type="dxa"/>
            <w:shd w:val="clear" w:color="auto" w:fill="auto"/>
            <w:noWrap/>
            <w:vAlign w:val="center"/>
          </w:tcPr>
          <w:p w14:paraId="15212291"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Текущи</w:t>
            </w:r>
          </w:p>
        </w:tc>
        <w:tc>
          <w:tcPr>
            <w:tcW w:w="1683" w:type="dxa"/>
            <w:shd w:val="clear" w:color="auto" w:fill="auto"/>
            <w:noWrap/>
          </w:tcPr>
          <w:p w14:paraId="3337C169"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40 469,4</w:t>
            </w:r>
          </w:p>
        </w:tc>
        <w:tc>
          <w:tcPr>
            <w:tcW w:w="1559" w:type="dxa"/>
            <w:shd w:val="clear" w:color="auto" w:fill="F2F2F2"/>
            <w:noWrap/>
          </w:tcPr>
          <w:p w14:paraId="7D039D7A"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39 802,3</w:t>
            </w:r>
          </w:p>
        </w:tc>
        <w:tc>
          <w:tcPr>
            <w:tcW w:w="1416" w:type="dxa"/>
            <w:shd w:val="clear" w:color="auto" w:fill="F2F2F2"/>
            <w:noWrap/>
          </w:tcPr>
          <w:p w14:paraId="0EBD4457"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38 655,1</w:t>
            </w:r>
          </w:p>
        </w:tc>
        <w:tc>
          <w:tcPr>
            <w:tcW w:w="1500" w:type="dxa"/>
            <w:shd w:val="clear" w:color="auto" w:fill="F2F2F2"/>
            <w:noWrap/>
          </w:tcPr>
          <w:p w14:paraId="0DF36A31"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1 147,1</w:t>
            </w:r>
          </w:p>
        </w:tc>
        <w:tc>
          <w:tcPr>
            <w:tcW w:w="1768" w:type="dxa"/>
            <w:shd w:val="clear" w:color="auto" w:fill="F2F2F2"/>
            <w:noWrap/>
          </w:tcPr>
          <w:p w14:paraId="4E3D9033"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98,4%</w:t>
            </w:r>
          </w:p>
        </w:tc>
      </w:tr>
      <w:tr w:rsidR="00761800" w:rsidRPr="00761800" w14:paraId="7ECA8830" w14:textId="77777777" w:rsidTr="00761800">
        <w:trPr>
          <w:trHeight w:val="243"/>
          <w:jc w:val="center"/>
        </w:trPr>
        <w:tc>
          <w:tcPr>
            <w:tcW w:w="6796" w:type="dxa"/>
            <w:shd w:val="clear" w:color="auto" w:fill="auto"/>
            <w:noWrap/>
            <w:vAlign w:val="center"/>
          </w:tcPr>
          <w:p w14:paraId="4D29065B"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Капиталови**</w:t>
            </w:r>
          </w:p>
        </w:tc>
        <w:tc>
          <w:tcPr>
            <w:tcW w:w="1683" w:type="dxa"/>
            <w:shd w:val="clear" w:color="auto" w:fill="auto"/>
            <w:noWrap/>
          </w:tcPr>
          <w:p w14:paraId="39E5ADE5"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6 889,2</w:t>
            </w:r>
          </w:p>
        </w:tc>
        <w:tc>
          <w:tcPr>
            <w:tcW w:w="1559" w:type="dxa"/>
            <w:shd w:val="clear" w:color="auto" w:fill="F2F2F2"/>
            <w:noWrap/>
          </w:tcPr>
          <w:p w14:paraId="3B4D060E"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5 891,1</w:t>
            </w:r>
          </w:p>
        </w:tc>
        <w:tc>
          <w:tcPr>
            <w:tcW w:w="1416" w:type="dxa"/>
            <w:shd w:val="clear" w:color="auto" w:fill="F2F2F2"/>
            <w:noWrap/>
          </w:tcPr>
          <w:p w14:paraId="14EE1517" w14:textId="77777777" w:rsidR="00761800" w:rsidRPr="00761800" w:rsidRDefault="00761800" w:rsidP="00761800">
            <w:pPr>
              <w:tabs>
                <w:tab w:val="right" w:pos="1200"/>
              </w:tabs>
              <w:jc w:val="right"/>
              <w:rPr>
                <w:rFonts w:ascii="Times New Roman" w:hAnsi="Times New Roman"/>
                <w:bCs/>
                <w:sz w:val="18"/>
                <w:szCs w:val="18"/>
                <w:lang w:eastAsia="bg-BG"/>
              </w:rPr>
            </w:pPr>
            <w:r w:rsidRPr="00761800">
              <w:rPr>
                <w:rFonts w:ascii="Times New Roman" w:hAnsi="Times New Roman"/>
                <w:bCs/>
                <w:sz w:val="18"/>
                <w:szCs w:val="18"/>
                <w:lang w:eastAsia="bg-BG"/>
              </w:rPr>
              <w:t>3 187,0</w:t>
            </w:r>
          </w:p>
        </w:tc>
        <w:tc>
          <w:tcPr>
            <w:tcW w:w="1500" w:type="dxa"/>
            <w:shd w:val="clear" w:color="auto" w:fill="F2F2F2"/>
            <w:noWrap/>
          </w:tcPr>
          <w:p w14:paraId="0CABCA3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2 704,1</w:t>
            </w:r>
          </w:p>
        </w:tc>
        <w:tc>
          <w:tcPr>
            <w:tcW w:w="1768" w:type="dxa"/>
            <w:shd w:val="clear" w:color="auto" w:fill="F2F2F2"/>
            <w:noWrap/>
          </w:tcPr>
          <w:p w14:paraId="3579053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85,5%</w:t>
            </w:r>
          </w:p>
        </w:tc>
      </w:tr>
      <w:tr w:rsidR="00761800" w:rsidRPr="00761800" w14:paraId="09FD16FC" w14:textId="77777777" w:rsidTr="00761800">
        <w:trPr>
          <w:trHeight w:val="227"/>
          <w:jc w:val="center"/>
        </w:trPr>
        <w:tc>
          <w:tcPr>
            <w:tcW w:w="6796" w:type="dxa"/>
            <w:shd w:val="clear" w:color="auto" w:fill="auto"/>
            <w:noWrap/>
            <w:vAlign w:val="center"/>
          </w:tcPr>
          <w:p w14:paraId="3AD79EE3"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Предоставени тек. и кап. трансфери за чужбина</w:t>
            </w:r>
          </w:p>
        </w:tc>
        <w:tc>
          <w:tcPr>
            <w:tcW w:w="1683" w:type="dxa"/>
            <w:shd w:val="clear" w:color="auto" w:fill="auto"/>
            <w:noWrap/>
          </w:tcPr>
          <w:p w14:paraId="7CF73145"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14,2</w:t>
            </w:r>
          </w:p>
        </w:tc>
        <w:tc>
          <w:tcPr>
            <w:tcW w:w="1559" w:type="dxa"/>
            <w:shd w:val="clear" w:color="auto" w:fill="F2F2F2"/>
            <w:noWrap/>
          </w:tcPr>
          <w:p w14:paraId="322A16DC"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35,8</w:t>
            </w:r>
          </w:p>
        </w:tc>
        <w:tc>
          <w:tcPr>
            <w:tcW w:w="1416" w:type="dxa"/>
            <w:shd w:val="clear" w:color="auto" w:fill="F2F2F2"/>
            <w:noWrap/>
          </w:tcPr>
          <w:p w14:paraId="13BBB3E4"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16,1</w:t>
            </w:r>
          </w:p>
        </w:tc>
        <w:tc>
          <w:tcPr>
            <w:tcW w:w="1500" w:type="dxa"/>
            <w:shd w:val="clear" w:color="auto" w:fill="F2F2F2"/>
            <w:noWrap/>
          </w:tcPr>
          <w:p w14:paraId="22F0ED9F"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19,7</w:t>
            </w:r>
          </w:p>
        </w:tc>
        <w:tc>
          <w:tcPr>
            <w:tcW w:w="1768" w:type="dxa"/>
            <w:shd w:val="clear" w:color="auto" w:fill="F2F2F2"/>
            <w:noWrap/>
          </w:tcPr>
          <w:p w14:paraId="0FD8C4A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252,7%</w:t>
            </w:r>
          </w:p>
        </w:tc>
      </w:tr>
      <w:tr w:rsidR="00761800" w:rsidRPr="00761800" w14:paraId="050F2468" w14:textId="77777777" w:rsidTr="00761800">
        <w:trPr>
          <w:trHeight w:val="80"/>
          <w:jc w:val="center"/>
        </w:trPr>
        <w:tc>
          <w:tcPr>
            <w:tcW w:w="6796" w:type="dxa"/>
            <w:shd w:val="clear" w:color="auto" w:fill="auto"/>
            <w:noWrap/>
            <w:vAlign w:val="center"/>
            <w:hideMark/>
          </w:tcPr>
          <w:p w14:paraId="4D676CA1"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Резерв за непредвидени и/или неотложни разходи***</w:t>
            </w:r>
          </w:p>
        </w:tc>
        <w:tc>
          <w:tcPr>
            <w:tcW w:w="1683" w:type="dxa"/>
            <w:shd w:val="clear" w:color="auto" w:fill="auto"/>
            <w:noWrap/>
          </w:tcPr>
          <w:p w14:paraId="13BF4757"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209,2</w:t>
            </w:r>
          </w:p>
        </w:tc>
        <w:tc>
          <w:tcPr>
            <w:tcW w:w="1559" w:type="dxa"/>
            <w:shd w:val="clear" w:color="auto" w:fill="F2F2F2"/>
            <w:noWrap/>
          </w:tcPr>
          <w:p w14:paraId="2C2088D5" w14:textId="77777777" w:rsidR="00761800" w:rsidRPr="00761800" w:rsidRDefault="00761800" w:rsidP="00761800">
            <w:pPr>
              <w:jc w:val="right"/>
              <w:rPr>
                <w:rFonts w:ascii="Times New Roman" w:hAnsi="Times New Roman"/>
                <w:bCs/>
                <w:sz w:val="18"/>
                <w:szCs w:val="18"/>
                <w:lang w:eastAsia="bg-BG"/>
              </w:rPr>
            </w:pPr>
          </w:p>
        </w:tc>
        <w:tc>
          <w:tcPr>
            <w:tcW w:w="1416" w:type="dxa"/>
            <w:shd w:val="clear" w:color="auto" w:fill="F2F2F2"/>
            <w:noWrap/>
          </w:tcPr>
          <w:p w14:paraId="772E1E01" w14:textId="77777777" w:rsidR="00761800" w:rsidRPr="00761800" w:rsidRDefault="00761800" w:rsidP="00761800">
            <w:pPr>
              <w:jc w:val="right"/>
              <w:rPr>
                <w:rFonts w:ascii="Times New Roman" w:hAnsi="Times New Roman"/>
                <w:bCs/>
                <w:sz w:val="18"/>
                <w:szCs w:val="18"/>
                <w:lang w:eastAsia="bg-BG"/>
              </w:rPr>
            </w:pPr>
          </w:p>
        </w:tc>
        <w:tc>
          <w:tcPr>
            <w:tcW w:w="1500" w:type="dxa"/>
            <w:shd w:val="clear" w:color="auto" w:fill="F2F2F2"/>
            <w:noWrap/>
          </w:tcPr>
          <w:p w14:paraId="3F420945" w14:textId="77777777" w:rsidR="00761800" w:rsidRPr="00761800" w:rsidRDefault="00761800" w:rsidP="00761800">
            <w:pPr>
              <w:jc w:val="right"/>
              <w:rPr>
                <w:rFonts w:ascii="Times New Roman" w:hAnsi="Times New Roman"/>
                <w:bCs/>
                <w:sz w:val="18"/>
                <w:szCs w:val="18"/>
                <w:lang w:eastAsia="bg-BG"/>
              </w:rPr>
            </w:pPr>
          </w:p>
        </w:tc>
        <w:tc>
          <w:tcPr>
            <w:tcW w:w="1768" w:type="dxa"/>
            <w:shd w:val="clear" w:color="auto" w:fill="F2F2F2"/>
            <w:noWrap/>
          </w:tcPr>
          <w:p w14:paraId="636A6E1C" w14:textId="77777777" w:rsidR="00761800" w:rsidRPr="00761800" w:rsidRDefault="00761800" w:rsidP="00761800">
            <w:pPr>
              <w:jc w:val="right"/>
              <w:rPr>
                <w:rFonts w:ascii="Times New Roman" w:hAnsi="Times New Roman"/>
                <w:bCs/>
                <w:sz w:val="18"/>
                <w:szCs w:val="18"/>
                <w:lang w:eastAsia="bg-BG"/>
              </w:rPr>
            </w:pPr>
          </w:p>
        </w:tc>
      </w:tr>
      <w:tr w:rsidR="00761800" w:rsidRPr="00761800" w14:paraId="7765505B" w14:textId="77777777" w:rsidTr="00761800">
        <w:trPr>
          <w:trHeight w:val="298"/>
          <w:jc w:val="center"/>
        </w:trPr>
        <w:tc>
          <w:tcPr>
            <w:tcW w:w="6796" w:type="dxa"/>
            <w:shd w:val="clear" w:color="auto" w:fill="auto"/>
            <w:noWrap/>
            <w:vAlign w:val="center"/>
          </w:tcPr>
          <w:p w14:paraId="30F46367"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Лихвени</w:t>
            </w:r>
          </w:p>
        </w:tc>
        <w:tc>
          <w:tcPr>
            <w:tcW w:w="1683" w:type="dxa"/>
            <w:shd w:val="clear" w:color="auto" w:fill="auto"/>
            <w:noWrap/>
          </w:tcPr>
          <w:p w14:paraId="2A96340C"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830,0</w:t>
            </w:r>
          </w:p>
        </w:tc>
        <w:tc>
          <w:tcPr>
            <w:tcW w:w="1559" w:type="dxa"/>
            <w:shd w:val="clear" w:color="auto" w:fill="F2F2F2"/>
            <w:noWrap/>
          </w:tcPr>
          <w:p w14:paraId="5F576ABA"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737,1</w:t>
            </w:r>
          </w:p>
        </w:tc>
        <w:tc>
          <w:tcPr>
            <w:tcW w:w="1416" w:type="dxa"/>
            <w:shd w:val="clear" w:color="auto" w:fill="F2F2F2"/>
            <w:noWrap/>
          </w:tcPr>
          <w:p w14:paraId="37A64E84"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737,1</w:t>
            </w:r>
          </w:p>
        </w:tc>
        <w:tc>
          <w:tcPr>
            <w:tcW w:w="1500" w:type="dxa"/>
            <w:shd w:val="clear" w:color="auto" w:fill="F2F2F2"/>
            <w:noWrap/>
          </w:tcPr>
          <w:p w14:paraId="021EFBD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0,0</w:t>
            </w:r>
          </w:p>
        </w:tc>
        <w:tc>
          <w:tcPr>
            <w:tcW w:w="1768" w:type="dxa"/>
            <w:shd w:val="clear" w:color="auto" w:fill="F2F2F2"/>
            <w:noWrap/>
          </w:tcPr>
          <w:p w14:paraId="79B0316E"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88,8%</w:t>
            </w:r>
          </w:p>
        </w:tc>
      </w:tr>
      <w:tr w:rsidR="00761800" w:rsidRPr="00761800" w14:paraId="3DFCAECB" w14:textId="77777777" w:rsidTr="00761800">
        <w:trPr>
          <w:trHeight w:val="50"/>
          <w:jc w:val="center"/>
        </w:trPr>
        <w:tc>
          <w:tcPr>
            <w:tcW w:w="6796" w:type="dxa"/>
            <w:shd w:val="clear" w:color="auto" w:fill="auto"/>
            <w:noWrap/>
            <w:vAlign w:val="center"/>
            <w:hideMark/>
          </w:tcPr>
          <w:p w14:paraId="04C8AC85"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Вноска в общия бюджет на ЕС</w:t>
            </w:r>
          </w:p>
        </w:tc>
        <w:tc>
          <w:tcPr>
            <w:tcW w:w="1683" w:type="dxa"/>
            <w:shd w:val="clear" w:color="auto" w:fill="auto"/>
            <w:noWrap/>
          </w:tcPr>
          <w:p w14:paraId="218F2EBA"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1 033,1</w:t>
            </w:r>
          </w:p>
        </w:tc>
        <w:tc>
          <w:tcPr>
            <w:tcW w:w="1559" w:type="dxa"/>
            <w:shd w:val="clear" w:color="auto" w:fill="F2F2F2"/>
            <w:noWrap/>
          </w:tcPr>
          <w:p w14:paraId="0D006932"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1 041,0</w:t>
            </w:r>
          </w:p>
        </w:tc>
        <w:tc>
          <w:tcPr>
            <w:tcW w:w="1416" w:type="dxa"/>
            <w:shd w:val="clear" w:color="auto" w:fill="F2F2F2"/>
            <w:noWrap/>
          </w:tcPr>
          <w:p w14:paraId="63D04B8C"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1 041,0</w:t>
            </w:r>
          </w:p>
        </w:tc>
        <w:tc>
          <w:tcPr>
            <w:tcW w:w="1500" w:type="dxa"/>
            <w:shd w:val="clear" w:color="auto" w:fill="F2F2F2"/>
            <w:noWrap/>
          </w:tcPr>
          <w:p w14:paraId="48EF3664"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0,0</w:t>
            </w:r>
          </w:p>
        </w:tc>
        <w:tc>
          <w:tcPr>
            <w:tcW w:w="1768" w:type="dxa"/>
            <w:shd w:val="clear" w:color="auto" w:fill="F2F2F2"/>
            <w:noWrap/>
          </w:tcPr>
          <w:p w14:paraId="1C066FD3"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100,8%</w:t>
            </w:r>
          </w:p>
        </w:tc>
      </w:tr>
      <w:tr w:rsidR="00761800" w:rsidRPr="00761800" w14:paraId="16515B66" w14:textId="77777777" w:rsidTr="00761800">
        <w:trPr>
          <w:trHeight w:val="357"/>
          <w:jc w:val="center"/>
        </w:trPr>
        <w:tc>
          <w:tcPr>
            <w:tcW w:w="6796" w:type="dxa"/>
            <w:shd w:val="clear" w:color="auto" w:fill="auto"/>
            <w:vAlign w:val="center"/>
            <w:hideMark/>
          </w:tcPr>
          <w:p w14:paraId="21CA83FB" w14:textId="77777777" w:rsidR="00761800" w:rsidRPr="00761800" w:rsidRDefault="00761800" w:rsidP="00761800">
            <w:pPr>
              <w:jc w:val="both"/>
              <w:rPr>
                <w:rFonts w:ascii="Times New Roman" w:hAnsi="Times New Roman"/>
                <w:b/>
                <w:bCs/>
                <w:sz w:val="18"/>
                <w:szCs w:val="18"/>
                <w:lang w:eastAsia="bg-BG"/>
              </w:rPr>
            </w:pPr>
            <w:r w:rsidRPr="00761800">
              <w:rPr>
                <w:rFonts w:ascii="Times New Roman" w:hAnsi="Times New Roman"/>
                <w:b/>
                <w:bCs/>
                <w:sz w:val="18"/>
                <w:szCs w:val="18"/>
                <w:lang w:eastAsia="bg-BG"/>
              </w:rPr>
              <w:t>ТРАНСФЕРИ – НЕТО</w:t>
            </w:r>
          </w:p>
        </w:tc>
        <w:tc>
          <w:tcPr>
            <w:tcW w:w="1683" w:type="dxa"/>
            <w:shd w:val="clear" w:color="auto" w:fill="auto"/>
            <w:noWrap/>
          </w:tcPr>
          <w:p w14:paraId="7135ECAD" w14:textId="77777777" w:rsidR="00761800" w:rsidRPr="00761800" w:rsidRDefault="00761800" w:rsidP="00761800">
            <w:pPr>
              <w:ind w:hanging="110"/>
              <w:jc w:val="right"/>
              <w:rPr>
                <w:rFonts w:ascii="Times New Roman" w:hAnsi="Times New Roman"/>
                <w:bCs/>
                <w:sz w:val="18"/>
                <w:szCs w:val="18"/>
                <w:lang w:eastAsia="bg-BG"/>
              </w:rPr>
            </w:pPr>
          </w:p>
        </w:tc>
        <w:tc>
          <w:tcPr>
            <w:tcW w:w="1559" w:type="dxa"/>
            <w:shd w:val="clear" w:color="auto" w:fill="F2F2F2"/>
            <w:noWrap/>
          </w:tcPr>
          <w:p w14:paraId="3CC5A767" w14:textId="77777777" w:rsidR="00761800" w:rsidRPr="00761800" w:rsidRDefault="00761800" w:rsidP="00761800">
            <w:pPr>
              <w:jc w:val="right"/>
              <w:rPr>
                <w:rFonts w:ascii="Times New Roman" w:hAnsi="Times New Roman"/>
                <w:b/>
                <w:bCs/>
                <w:sz w:val="18"/>
                <w:szCs w:val="18"/>
                <w:lang w:eastAsia="bg-BG"/>
              </w:rPr>
            </w:pPr>
          </w:p>
        </w:tc>
        <w:tc>
          <w:tcPr>
            <w:tcW w:w="1416" w:type="dxa"/>
            <w:shd w:val="clear" w:color="auto" w:fill="F2F2F2"/>
            <w:noWrap/>
          </w:tcPr>
          <w:p w14:paraId="05B3EC52"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3,3</w:t>
            </w:r>
          </w:p>
        </w:tc>
        <w:tc>
          <w:tcPr>
            <w:tcW w:w="1500" w:type="dxa"/>
            <w:shd w:val="clear" w:color="auto" w:fill="F2F2F2"/>
            <w:noWrap/>
          </w:tcPr>
          <w:p w14:paraId="627DA75B"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-3,3</w:t>
            </w:r>
          </w:p>
        </w:tc>
        <w:tc>
          <w:tcPr>
            <w:tcW w:w="1768" w:type="dxa"/>
            <w:shd w:val="clear" w:color="auto" w:fill="F2F2F2"/>
            <w:noWrap/>
            <w:vAlign w:val="center"/>
            <w:hideMark/>
          </w:tcPr>
          <w:p w14:paraId="098A364A" w14:textId="77777777" w:rsidR="00761800" w:rsidRPr="00761800" w:rsidRDefault="00761800" w:rsidP="00761800">
            <w:pPr>
              <w:jc w:val="right"/>
              <w:rPr>
                <w:rFonts w:ascii="Times New Roman" w:hAnsi="Times New Roman"/>
                <w:b/>
                <w:bCs/>
                <w:color w:val="969DAB"/>
                <w:sz w:val="18"/>
                <w:szCs w:val="18"/>
                <w:lang w:eastAsia="bg-BG"/>
              </w:rPr>
            </w:pPr>
            <w:r w:rsidRPr="00761800">
              <w:rPr>
                <w:rFonts w:ascii="Times New Roman" w:hAnsi="Times New Roman"/>
                <w:b/>
                <w:bCs/>
                <w:color w:val="969DAB"/>
                <w:sz w:val="18"/>
                <w:szCs w:val="18"/>
                <w:lang w:eastAsia="bg-BG"/>
              </w:rPr>
              <w:t> </w:t>
            </w:r>
          </w:p>
        </w:tc>
      </w:tr>
      <w:tr w:rsidR="00761800" w:rsidRPr="00761800" w14:paraId="5AC9F8E8" w14:textId="77777777" w:rsidTr="00761800">
        <w:trPr>
          <w:trHeight w:val="141"/>
          <w:jc w:val="center"/>
        </w:trPr>
        <w:tc>
          <w:tcPr>
            <w:tcW w:w="6796" w:type="dxa"/>
            <w:tcBorders>
              <w:bottom w:val="single" w:sz="4" w:space="0" w:color="auto"/>
            </w:tcBorders>
            <w:shd w:val="clear" w:color="auto" w:fill="auto"/>
            <w:noWrap/>
            <w:vAlign w:val="center"/>
            <w:hideMark/>
          </w:tcPr>
          <w:p w14:paraId="4A2C1977" w14:textId="77777777" w:rsidR="00761800" w:rsidRPr="00761800" w:rsidRDefault="00761800" w:rsidP="00761800">
            <w:pPr>
              <w:jc w:val="both"/>
              <w:rPr>
                <w:rFonts w:ascii="Times New Roman" w:hAnsi="Times New Roman"/>
                <w:b/>
                <w:bCs/>
                <w:sz w:val="18"/>
                <w:szCs w:val="18"/>
                <w:lang w:eastAsia="bg-BG"/>
              </w:rPr>
            </w:pPr>
            <w:r w:rsidRPr="00761800">
              <w:rPr>
                <w:rFonts w:ascii="Times New Roman" w:hAnsi="Times New Roman"/>
                <w:b/>
                <w:bCs/>
                <w:sz w:val="18"/>
                <w:szCs w:val="18"/>
                <w:lang w:eastAsia="bg-BG"/>
              </w:rPr>
              <w:t>БЮДЖЕТНО САЛДО</w:t>
            </w:r>
          </w:p>
        </w:tc>
        <w:tc>
          <w:tcPr>
            <w:tcW w:w="1683" w:type="dxa"/>
            <w:tcBorders>
              <w:bottom w:val="single" w:sz="4" w:space="0" w:color="auto"/>
            </w:tcBorders>
            <w:shd w:val="clear" w:color="auto" w:fill="auto"/>
            <w:noWrap/>
          </w:tcPr>
          <w:p w14:paraId="18D9DA07" w14:textId="77777777" w:rsidR="00761800" w:rsidRPr="00761800" w:rsidRDefault="00761800" w:rsidP="00761800">
            <w:pPr>
              <w:ind w:hanging="110"/>
              <w:jc w:val="right"/>
              <w:rPr>
                <w:rFonts w:ascii="Times New Roman" w:hAnsi="Times New Roman"/>
                <w:b/>
                <w:bCs/>
                <w:sz w:val="18"/>
                <w:szCs w:val="18"/>
                <w:lang w:eastAsia="bg-BG"/>
              </w:rPr>
            </w:pPr>
            <w:r w:rsidRPr="00761800">
              <w:rPr>
                <w:rFonts w:ascii="Times New Roman" w:hAnsi="Times New Roman"/>
                <w:b/>
                <w:bCs/>
                <w:sz w:val="18"/>
                <w:szCs w:val="18"/>
                <w:lang w:eastAsia="bg-BG"/>
              </w:rPr>
              <w:t>-3 290,3</w:t>
            </w:r>
          </w:p>
        </w:tc>
        <w:tc>
          <w:tcPr>
            <w:tcW w:w="1559" w:type="dxa"/>
            <w:tcBorders>
              <w:bottom w:val="single" w:sz="4" w:space="0" w:color="auto"/>
            </w:tcBorders>
            <w:shd w:val="clear" w:color="auto" w:fill="F2F2F2"/>
            <w:noWrap/>
          </w:tcPr>
          <w:p w14:paraId="788DF251"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-3 492,5</w:t>
            </w:r>
          </w:p>
        </w:tc>
        <w:tc>
          <w:tcPr>
            <w:tcW w:w="1416" w:type="dxa"/>
            <w:tcBorders>
              <w:bottom w:val="single" w:sz="4" w:space="0" w:color="auto"/>
            </w:tcBorders>
            <w:shd w:val="clear" w:color="auto" w:fill="F2F2F2"/>
            <w:noWrap/>
          </w:tcPr>
          <w:p w14:paraId="7895FAF8"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-2 745,3</w:t>
            </w:r>
          </w:p>
        </w:tc>
        <w:tc>
          <w:tcPr>
            <w:tcW w:w="1500" w:type="dxa"/>
            <w:tcBorders>
              <w:bottom w:val="single" w:sz="4" w:space="0" w:color="auto"/>
            </w:tcBorders>
            <w:shd w:val="clear" w:color="auto" w:fill="F2F2F2"/>
            <w:noWrap/>
          </w:tcPr>
          <w:p w14:paraId="2CC9EB83"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- 747,3</w:t>
            </w:r>
          </w:p>
        </w:tc>
        <w:tc>
          <w:tcPr>
            <w:tcW w:w="1768" w:type="dxa"/>
            <w:tcBorders>
              <w:bottom w:val="single" w:sz="4" w:space="0" w:color="auto"/>
            </w:tcBorders>
            <w:shd w:val="clear" w:color="auto" w:fill="F2F2F2"/>
            <w:noWrap/>
            <w:vAlign w:val="center"/>
            <w:hideMark/>
          </w:tcPr>
          <w:p w14:paraId="595CDE53"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 </w:t>
            </w:r>
          </w:p>
        </w:tc>
      </w:tr>
    </w:tbl>
    <w:p w14:paraId="115EC58F" w14:textId="77777777" w:rsidR="00761800" w:rsidRPr="00761800" w:rsidRDefault="00761800" w:rsidP="00761800">
      <w:pPr>
        <w:jc w:val="both"/>
        <w:rPr>
          <w:rFonts w:ascii="Times New Roman" w:hAnsi="Times New Roman" w:cs="Calibri"/>
          <w:bCs/>
          <w:sz w:val="18"/>
          <w:szCs w:val="18"/>
          <w:lang w:eastAsia="bg-BG"/>
        </w:rPr>
      </w:pPr>
    </w:p>
    <w:p w14:paraId="7BCDBA4A" w14:textId="77777777" w:rsidR="00761800" w:rsidRPr="00761800" w:rsidRDefault="00761800" w:rsidP="00761800">
      <w:pPr>
        <w:jc w:val="both"/>
        <w:rPr>
          <w:rFonts w:ascii="Times New Roman" w:eastAsia="Batang" w:hAnsi="Times New Roman"/>
          <w:sz w:val="16"/>
          <w:szCs w:val="16"/>
          <w:lang w:eastAsia="bg-BG"/>
        </w:rPr>
      </w:pPr>
      <w:r w:rsidRPr="00761800">
        <w:rPr>
          <w:rFonts w:ascii="Times New Roman" w:eastAsia="Batang" w:hAnsi="Times New Roman"/>
          <w:sz w:val="16"/>
          <w:szCs w:val="16"/>
          <w:lang w:eastAsia="bg-BG"/>
        </w:rPr>
        <w:t>*  Данните са на база на тримесечните отчети за касовото изпълнение на ПРБ; ** Вкл. нетен прираст на държавния резерв.</w:t>
      </w:r>
    </w:p>
    <w:p w14:paraId="1E70A3B1" w14:textId="77777777" w:rsidR="00761800" w:rsidRPr="00761800" w:rsidRDefault="00761800" w:rsidP="00761800">
      <w:pPr>
        <w:jc w:val="both"/>
        <w:rPr>
          <w:rFonts w:ascii="Times New Roman" w:eastAsia="Batang" w:hAnsi="Times New Roman"/>
          <w:bCs/>
          <w:sz w:val="16"/>
          <w:szCs w:val="16"/>
          <w:lang w:eastAsia="bg-BG"/>
        </w:rPr>
      </w:pPr>
      <w:r w:rsidRPr="00761800">
        <w:rPr>
          <w:rFonts w:ascii="Times New Roman" w:eastAsia="Batang" w:hAnsi="Times New Roman"/>
          <w:sz w:val="16"/>
          <w:szCs w:val="16"/>
          <w:lang w:eastAsia="bg-BG"/>
        </w:rPr>
        <w:t>*** В позицията „Резерв за непредвидени и/или неотложни разходи“ се отразяват само разходите по разчет, а средствата, изразходвани за сметка на резерва по отчет са отчетени по съответните разходни позиции, към които се отнасят извършените разходи.</w:t>
      </w:r>
    </w:p>
    <w:p w14:paraId="62448C0C" w14:textId="77777777" w:rsidR="00761800" w:rsidRPr="00761800" w:rsidRDefault="00761800" w:rsidP="00761800">
      <w:pPr>
        <w:spacing w:after="200"/>
        <w:jc w:val="both"/>
        <w:rPr>
          <w:rFonts w:ascii="Times New Roman" w:eastAsia="Batang" w:hAnsi="Times New Roman"/>
          <w:sz w:val="16"/>
          <w:szCs w:val="16"/>
          <w:lang w:eastAsia="bg-BG"/>
        </w:rPr>
      </w:pPr>
    </w:p>
    <w:p w14:paraId="7ABDA4E3" w14:textId="77777777" w:rsidR="00761800" w:rsidRPr="00761800" w:rsidRDefault="00761800" w:rsidP="00761800">
      <w:pPr>
        <w:spacing w:after="200"/>
        <w:jc w:val="both"/>
        <w:rPr>
          <w:rFonts w:ascii="Times New Roman" w:eastAsia="Batang" w:hAnsi="Times New Roman"/>
          <w:sz w:val="18"/>
          <w:szCs w:val="18"/>
          <w:lang w:eastAsia="bg-BG"/>
        </w:rPr>
        <w:sectPr w:rsidR="00761800" w:rsidRPr="00761800" w:rsidSect="00406B4D">
          <w:footerReference w:type="even" r:id="rId38"/>
          <w:headerReference w:type="first" r:id="rId39"/>
          <w:footerReference w:type="first" r:id="rId40"/>
          <w:type w:val="continuous"/>
          <w:pgSz w:w="16838" w:h="11906" w:orient="landscape" w:code="9"/>
          <w:pgMar w:top="851" w:right="1134" w:bottom="851" w:left="1134" w:header="709" w:footer="709" w:gutter="0"/>
          <w:cols w:space="708"/>
          <w:docGrid w:linePitch="360"/>
        </w:sectPr>
      </w:pPr>
    </w:p>
    <w:p w14:paraId="586B9452" w14:textId="77777777" w:rsidR="00761800" w:rsidRPr="00761800" w:rsidRDefault="00761800" w:rsidP="00761800">
      <w:pPr>
        <w:suppressAutoHyphens/>
        <w:autoSpaceDE w:val="0"/>
        <w:autoSpaceDN w:val="0"/>
        <w:adjustRightInd w:val="0"/>
        <w:spacing w:after="120" w:line="276" w:lineRule="auto"/>
        <w:jc w:val="both"/>
        <w:rPr>
          <w:rFonts w:ascii="Times New Roman" w:hAnsi="Times New Roman"/>
          <w:b/>
          <w:color w:val="943634"/>
          <w:sz w:val="22"/>
          <w:szCs w:val="22"/>
          <w:lang w:eastAsia="bg-BG"/>
        </w:rPr>
      </w:pPr>
      <w:r w:rsidRPr="00761800">
        <w:rPr>
          <w:rFonts w:ascii="Times New Roman" w:hAnsi="Times New Roman"/>
          <w:b/>
          <w:color w:val="943634"/>
          <w:sz w:val="22"/>
          <w:szCs w:val="22"/>
          <w:lang w:eastAsia="bg-BG"/>
        </w:rPr>
        <w:lastRenderedPageBreak/>
        <w:t xml:space="preserve">Изпълнение на приходите, </w:t>
      </w:r>
      <w:r w:rsidRPr="00761800">
        <w:rPr>
          <w:rFonts w:ascii="Times New Roman" w:hAnsi="Times New Roman"/>
          <w:b/>
          <w:bCs/>
          <w:color w:val="943634"/>
          <w:sz w:val="22"/>
          <w:szCs w:val="22"/>
          <w:lang w:eastAsia="bg-BG"/>
        </w:rPr>
        <w:t xml:space="preserve">помощите и даренията </w:t>
      </w:r>
      <w:r w:rsidRPr="00761800">
        <w:rPr>
          <w:rFonts w:ascii="Times New Roman" w:hAnsi="Times New Roman"/>
          <w:b/>
          <w:color w:val="943634"/>
          <w:sz w:val="22"/>
          <w:szCs w:val="22"/>
          <w:lang w:eastAsia="bg-BG"/>
        </w:rPr>
        <w:t xml:space="preserve">по КФП </w:t>
      </w:r>
    </w:p>
    <w:p w14:paraId="3225F15F"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Постъпилите </w:t>
      </w:r>
      <w:r w:rsidRPr="00761800">
        <w:rPr>
          <w:rFonts w:ascii="Times New Roman" w:eastAsia="Batang" w:hAnsi="Times New Roman"/>
          <w:b/>
          <w:bCs/>
          <w:i/>
          <w:sz w:val="20"/>
          <w:lang w:eastAsia="bg-BG"/>
        </w:rPr>
        <w:t>приходи, помощи и дарения</w:t>
      </w:r>
      <w:r w:rsidRPr="00761800">
        <w:rPr>
          <w:rFonts w:ascii="Times New Roman" w:eastAsia="Batang" w:hAnsi="Times New Roman"/>
          <w:bCs/>
          <w:sz w:val="20"/>
          <w:lang w:eastAsia="bg-BG"/>
        </w:rPr>
        <w:t xml:space="preserve"> през 2025 г. са в размер на 44 014,7 млн. евро, което представлява 95,4% от разчетите към ЗДБРБ за 2025 година. Постъпленията нарастват с 19,5% (7 193,9 млн. евро) спрямо отчетените за 2024 година. За този ръст принос имат най-вече данъчните приходи, които нарастват c 15,3% (4 592,8 млн. евро). Неданъчните приходи нарастват с 22,4% (1 110,1 млн. евро) спрямо отчетените за 2024 г., а постъпленията в частта на помощите и даренията са повече спрямо 2024 г. с 80,3% (1 491,1 млн. евро). Ръстът при помощите се дължи основно на получените втори и трети транш по Механизма за възстановяване и устойчивост (МВУ), като част от дължимите средства и по двата транша бяха задържани от ЕК. </w:t>
      </w:r>
    </w:p>
    <w:p w14:paraId="74A98C58"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Данъчните приходи</w:t>
      </w:r>
      <w:r w:rsidRPr="00761800">
        <w:rPr>
          <w:rFonts w:ascii="Times New Roman" w:eastAsia="Batang" w:hAnsi="Times New Roman"/>
          <w:bCs/>
          <w:sz w:val="20"/>
          <w:lang w:eastAsia="bg-BG"/>
        </w:rPr>
        <w:t xml:space="preserve"> (вкл. приходите от осигурителни вноски) са в размер на 34 603,1 млн. евро, което представлява 95,5% от разчетените за годината и формират 78,6% от общите постъпления по КФП за годината. При основните групи данъци, с изключение на косвените данъци и социалните и здравноосигурителните вноски, изпълнението на разчетите е близко до планираните годишни цели, като при преките данъци се отчита преизпълнение на годишния план с 2 на сто, а при другите данъци – с 15,9 на сто. За наблюдаваното неизпълнение на годишните разчети при приходите от косвени данъци и осигурителните вноски причината е по-късното приемане на ЗДБРБ за 2025 г., което ограничи периода за прилагането на промените, свързани с мерките за повишаване на събираемостта на приходите и свързаните с това амбициозни цели за годината.</w:t>
      </w:r>
    </w:p>
    <w:p w14:paraId="277A0D12"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Постъпленията в групата на </w:t>
      </w:r>
      <w:r w:rsidRPr="00761800">
        <w:rPr>
          <w:rFonts w:ascii="Times New Roman" w:eastAsia="Batang" w:hAnsi="Times New Roman"/>
          <w:bCs/>
          <w:i/>
          <w:sz w:val="20"/>
          <w:lang w:eastAsia="bg-BG"/>
        </w:rPr>
        <w:t>преките данъци</w:t>
      </w:r>
      <w:r w:rsidRPr="00761800">
        <w:rPr>
          <w:rFonts w:ascii="Times New Roman" w:eastAsia="Batang" w:hAnsi="Times New Roman"/>
          <w:bCs/>
          <w:sz w:val="20"/>
          <w:lang w:eastAsia="bg-BG"/>
        </w:rPr>
        <w:t xml:space="preserve"> са в размер на 7 626,6 млн. евро, което представлява 102,0% спрямо разчета за 2025 г. и ръст от 1 226,7 млн. евро спрямо отчетените за 2024 г.</w:t>
      </w:r>
    </w:p>
    <w:p w14:paraId="1054442F"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Постъпленията от </w:t>
      </w:r>
      <w:r w:rsidRPr="00761800">
        <w:rPr>
          <w:rFonts w:ascii="Times New Roman" w:eastAsia="Batang" w:hAnsi="Times New Roman"/>
          <w:bCs/>
          <w:i/>
          <w:sz w:val="20"/>
          <w:lang w:eastAsia="bg-BG"/>
        </w:rPr>
        <w:t>косвени</w:t>
      </w:r>
      <w:r w:rsidRPr="00761800">
        <w:rPr>
          <w:rFonts w:ascii="Times New Roman" w:eastAsia="Batang" w:hAnsi="Times New Roman"/>
          <w:bCs/>
          <w:sz w:val="20"/>
          <w:lang w:eastAsia="bg-BG"/>
        </w:rPr>
        <w:t xml:space="preserve"> </w:t>
      </w:r>
      <w:r w:rsidRPr="00761800">
        <w:rPr>
          <w:rFonts w:ascii="Times New Roman" w:eastAsia="Batang" w:hAnsi="Times New Roman"/>
          <w:bCs/>
          <w:i/>
          <w:sz w:val="20"/>
          <w:lang w:eastAsia="bg-BG"/>
        </w:rPr>
        <w:t>данъци</w:t>
      </w:r>
      <w:r w:rsidRPr="00761800">
        <w:rPr>
          <w:rFonts w:ascii="Times New Roman" w:eastAsia="Batang" w:hAnsi="Times New Roman"/>
          <w:bCs/>
          <w:sz w:val="20"/>
          <w:lang w:eastAsia="bg-BG"/>
        </w:rPr>
        <w:t xml:space="preserve"> са в размер на 15 038,0 млн. евро, което представлява 89,2% от предвидените в ЗДБРБ за 2025 г. и ръст от 1 819,0 млн. евро, 13,8% спрямо отчетените за 2024 г. (основно поради ръст на приходите от ДДС). Приходите от ДДС са в размер на 10 998,5 млн. евро, което представлява 86,6% от планираните със ЗДБРБ за 2025 година. Съпоставени с 2024 г., приходите от ДДС нарастват с 1 519,2 млн. евро (16 на сто), в резултат основно на по-високите приходи от ДДС от сделки в страната и вътреобщностни придобивания (ВОП). Приходите от акцизи са в размер на 3 795,7 млн. евро, което е 96,5% от планираните със ЗДБРБ за 2025 г. Съпоставени с предходната година постъпленията от акцизи са с 265,4 млн. евро (7,5%) повече. Митата са в размер на 203,6 млн. евро или 108,5% спрямо планираните със ЗДБРБ за 2025 г. В </w:t>
      </w:r>
      <w:r w:rsidRPr="00761800">
        <w:rPr>
          <w:rFonts w:ascii="Times New Roman" w:eastAsia="Batang" w:hAnsi="Times New Roman"/>
          <w:bCs/>
          <w:sz w:val="20"/>
          <w:lang w:eastAsia="bg-BG"/>
        </w:rPr>
        <w:t>сравнение с предходната година събраните мита са с 30,3 млн. евро (17,5%) повече. Приходите от данък върху застрахователните премии са в размер на 40,2 млн. евро, при планирани за годината 38,1 млн. евро, и в сравнение с 2024 г. отчитат ръст от 4,1 млн. евро.</w:t>
      </w:r>
    </w:p>
    <w:p w14:paraId="0BC86DFC"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Отчетените приходи от </w:t>
      </w:r>
      <w:r w:rsidRPr="00761800">
        <w:rPr>
          <w:rFonts w:ascii="Times New Roman" w:eastAsia="Batang" w:hAnsi="Times New Roman"/>
          <w:bCs/>
          <w:i/>
          <w:sz w:val="20"/>
          <w:lang w:eastAsia="bg-BG"/>
        </w:rPr>
        <w:t>осигурителни вноски на общественото и здравно осигуряване</w:t>
      </w:r>
      <w:r w:rsidRPr="00761800">
        <w:rPr>
          <w:rFonts w:ascii="Times New Roman" w:eastAsia="Batang" w:hAnsi="Times New Roman"/>
          <w:bCs/>
          <w:sz w:val="20"/>
          <w:lang w:eastAsia="bg-BG"/>
        </w:rPr>
        <w:t xml:space="preserve"> към 31.12.2025 г. са в размер на 10 586,9 млн. евро или 98,8% от разчета за 2025 г. и ръст от 1 376,0 млн. евро (14,9%) спрямо отчетените за 2024 г.</w:t>
      </w:r>
    </w:p>
    <w:p w14:paraId="233004C9"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Постъпленията от </w:t>
      </w:r>
      <w:r w:rsidRPr="00761800">
        <w:rPr>
          <w:rFonts w:ascii="Times New Roman" w:eastAsia="Batang" w:hAnsi="Times New Roman"/>
          <w:bCs/>
          <w:i/>
          <w:sz w:val="20"/>
          <w:lang w:eastAsia="bg-BG"/>
        </w:rPr>
        <w:t>други данъци</w:t>
      </w:r>
      <w:r w:rsidRPr="00761800">
        <w:rPr>
          <w:rFonts w:ascii="Times New Roman" w:eastAsia="Batang" w:hAnsi="Times New Roman"/>
          <w:bCs/>
          <w:sz w:val="20"/>
          <w:lang w:eastAsia="bg-BG"/>
        </w:rPr>
        <w:t xml:space="preserve"> (включват други данъци по ЗКПО, имуществени данъци и др.) са в размер на 1 351,6 млн. евро, което представлява 115,9% спрямо годишния разчет и ръст спрямо отчетените за 2024 г. от 171,2 млн. евро (14,5%).</w:t>
      </w:r>
    </w:p>
    <w:p w14:paraId="04345B41"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Неданъчните постъпления</w:t>
      </w:r>
      <w:r w:rsidRPr="00761800">
        <w:rPr>
          <w:rFonts w:ascii="Times New Roman" w:eastAsia="Batang" w:hAnsi="Times New Roman"/>
          <w:bCs/>
          <w:sz w:val="20"/>
          <w:lang w:eastAsia="bg-BG"/>
        </w:rPr>
        <w:t xml:space="preserve"> по КФП за 2025 г. са в размер на 6 063,4 млн. евро, което представлява 98,9% от годишните разчети и ръст от 1 110,0 млн. евро, 22,4% спрямо 2024 г. Тези приходи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p>
    <w:p w14:paraId="679D83FC"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Постъпилите </w:t>
      </w:r>
      <w:r w:rsidRPr="00761800">
        <w:rPr>
          <w:rFonts w:ascii="Times New Roman" w:eastAsia="Batang" w:hAnsi="Times New Roman"/>
          <w:b/>
          <w:bCs/>
          <w:i/>
          <w:sz w:val="20"/>
          <w:lang w:eastAsia="bg-BG"/>
        </w:rPr>
        <w:t>помощи и дарения</w:t>
      </w:r>
      <w:r w:rsidRPr="00761800">
        <w:rPr>
          <w:rFonts w:ascii="Times New Roman" w:eastAsia="Batang" w:hAnsi="Times New Roman"/>
          <w:bCs/>
          <w:sz w:val="20"/>
          <w:lang w:eastAsia="bg-BG"/>
        </w:rPr>
        <w:t xml:space="preserve"> от страната и чужбина (вкл. помощите от фондовете на ЕС) са в размер на 3 348,2 млн. евро, в т.ч. получени 1 904,3 млн. евро по</w:t>
      </w:r>
      <w:r w:rsidRPr="00761800">
        <w:rPr>
          <w:rFonts w:ascii="Times New Roman" w:hAnsi="Times New Roman"/>
          <w:szCs w:val="22"/>
          <w:lang w:eastAsia="bg-BG"/>
        </w:rPr>
        <w:t xml:space="preserve"> </w:t>
      </w:r>
      <w:r w:rsidRPr="00761800">
        <w:rPr>
          <w:rFonts w:ascii="Times New Roman" w:eastAsia="Batang" w:hAnsi="Times New Roman"/>
          <w:bCs/>
          <w:sz w:val="20"/>
          <w:lang w:eastAsia="bg-BG"/>
        </w:rPr>
        <w:t>Механизма за възстановяване и устойчивост.</w:t>
      </w:r>
    </w:p>
    <w:p w14:paraId="20DD3D4E" w14:textId="77777777" w:rsidR="00761800" w:rsidRPr="00761800" w:rsidRDefault="00761800" w:rsidP="00761800">
      <w:pPr>
        <w:keepNext/>
        <w:spacing w:before="120"/>
        <w:ind w:left="720" w:hanging="720"/>
        <w:jc w:val="both"/>
        <w:rPr>
          <w:rFonts w:ascii="Times New Roman" w:hAnsi="Times New Roman"/>
          <w:b/>
          <w:sz w:val="20"/>
          <w:lang w:eastAsia="bg-BG"/>
        </w:rPr>
      </w:pPr>
      <w:r w:rsidRPr="00761800">
        <w:rPr>
          <w:rFonts w:ascii="Times New Roman" w:hAnsi="Times New Roman"/>
          <w:b/>
          <w:bCs/>
          <w:sz w:val="20"/>
          <w:lang w:eastAsia="bg-BG"/>
        </w:rPr>
        <w:t>Граф.: Данъчно-осигурителни приходи по КФП за 2024 г. и 2025 г.</w:t>
      </w:r>
    </w:p>
    <w:p w14:paraId="62859C3F" w14:textId="77777777" w:rsidR="00761800" w:rsidRPr="00761800" w:rsidRDefault="00761800" w:rsidP="00761800">
      <w:pPr>
        <w:autoSpaceDE w:val="0"/>
        <w:autoSpaceDN w:val="0"/>
        <w:adjustRightInd w:val="0"/>
        <w:spacing w:after="120"/>
        <w:jc w:val="center"/>
        <w:rPr>
          <w:rFonts w:ascii="Times New Roman" w:eastAsia="Batang" w:hAnsi="Times New Roman"/>
          <w:bCs/>
          <w:noProof/>
          <w:sz w:val="20"/>
          <w:lang w:eastAsia="bg-BG"/>
        </w:rPr>
      </w:pPr>
      <w:r w:rsidRPr="00761800">
        <w:rPr>
          <w:rFonts w:ascii="Times New Roman" w:eastAsia="Batang" w:hAnsi="Times New Roman"/>
          <w:bCs/>
          <w:noProof/>
          <w:sz w:val="20"/>
          <w:lang w:eastAsia="bg-BG"/>
        </w:rPr>
        <w:drawing>
          <wp:inline distT="0" distB="0" distL="0" distR="0" wp14:anchorId="2D623CB5" wp14:editId="2CBFBD81">
            <wp:extent cx="4295775" cy="2170430"/>
            <wp:effectExtent l="0" t="0" r="9525"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296997" cy="2171047"/>
                    </a:xfrm>
                    <a:prstGeom prst="rect">
                      <a:avLst/>
                    </a:prstGeom>
                    <a:noFill/>
                  </pic:spPr>
                </pic:pic>
              </a:graphicData>
            </a:graphic>
          </wp:inline>
        </w:drawing>
      </w:r>
    </w:p>
    <w:p w14:paraId="3AC7FE98" w14:textId="77777777" w:rsidR="00761800" w:rsidRPr="00761800" w:rsidRDefault="00761800" w:rsidP="00761800">
      <w:pPr>
        <w:autoSpaceDE w:val="0"/>
        <w:autoSpaceDN w:val="0"/>
        <w:adjustRightInd w:val="0"/>
        <w:spacing w:before="60"/>
        <w:ind w:right="202" w:firstLine="5098"/>
        <w:jc w:val="right"/>
        <w:rPr>
          <w:rFonts w:ascii="Times New Roman" w:eastAsia="Batang" w:hAnsi="Times New Roman"/>
          <w:bCs/>
          <w:sz w:val="16"/>
          <w:szCs w:val="16"/>
          <w:lang w:eastAsia="bg-BG"/>
        </w:rPr>
      </w:pPr>
      <w:r w:rsidRPr="00761800">
        <w:rPr>
          <w:rFonts w:ascii="Times New Roman" w:eastAsia="Batang" w:hAnsi="Times New Roman"/>
          <w:bCs/>
          <w:sz w:val="16"/>
          <w:szCs w:val="16"/>
          <w:lang w:eastAsia="bg-BG"/>
        </w:rPr>
        <w:lastRenderedPageBreak/>
        <w:t>Източник: МФ</w:t>
      </w:r>
    </w:p>
    <w:p w14:paraId="257EE1AA" w14:textId="77777777" w:rsidR="00761800" w:rsidRPr="00761800" w:rsidRDefault="00761800" w:rsidP="00761800">
      <w:pPr>
        <w:autoSpaceDE w:val="0"/>
        <w:autoSpaceDN w:val="0"/>
        <w:adjustRightInd w:val="0"/>
        <w:spacing w:after="120" w:line="276" w:lineRule="auto"/>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Изпълнение на разходите по КФП</w:t>
      </w:r>
    </w:p>
    <w:p w14:paraId="0FA40570" w14:textId="77777777" w:rsidR="00761800" w:rsidRPr="00761800" w:rsidRDefault="00761800" w:rsidP="00761800">
      <w:pPr>
        <w:jc w:val="both"/>
        <w:rPr>
          <w:rFonts w:ascii="Times New Roman" w:hAnsi="Times New Roman"/>
          <w:sz w:val="20"/>
          <w:lang w:eastAsia="bg-BG"/>
        </w:rPr>
      </w:pPr>
      <w:r w:rsidRPr="00761800">
        <w:rPr>
          <w:rFonts w:ascii="Times New Roman" w:eastAsia="Calibri" w:hAnsi="Times New Roman"/>
          <w:b/>
          <w:sz w:val="20"/>
          <w:lang w:eastAsia="bg-BG"/>
        </w:rPr>
        <w:t>Разходите</w:t>
      </w:r>
      <w:r w:rsidRPr="00761800">
        <w:rPr>
          <w:rFonts w:ascii="Times New Roman" w:eastAsia="Calibri" w:hAnsi="Times New Roman"/>
          <w:sz w:val="20"/>
          <w:lang w:eastAsia="bg-BG"/>
        </w:rPr>
        <w:t xml:space="preserve"> по КФП (вкл. вноската на Република България в бюджета на ЕС) за 2025 г. възлизат на 47 507,2 млн. евро, което е 96,1% от годишните разчети. За сравнение, разходите по КФП за 2024 г. бяха в размер на 39 972,2 млн. евро, като следва да бъде взето предвид, че през месец февруари 2024 г. има отчетена трансакция по възстановяване на разходи от сметка за чужди средства на Министерството на регионалното развитие и благоустройството обратно към бюджета на министерството в размер на 613,6 млн. евро. При елиминирането на тази трансакция, с оглед съпоставимост, разходите през 2025 г. нарастват с 6 921,5 млн. евро (17,1%). Нарастване на разходите има основно в частта на социалните плащания, вкл. разходите за пенсии, както и при разходите за персонал, капиталовите разходи и други. </w:t>
      </w:r>
      <w:r w:rsidRPr="00761800">
        <w:rPr>
          <w:rFonts w:ascii="Times New Roman" w:hAnsi="Times New Roman"/>
          <w:sz w:val="20"/>
          <w:lang w:eastAsia="bg-BG"/>
        </w:rPr>
        <w:t xml:space="preserve"> </w:t>
      </w:r>
    </w:p>
    <w:p w14:paraId="22714287" w14:textId="77777777" w:rsidR="00761800" w:rsidRPr="00761800" w:rsidRDefault="00761800" w:rsidP="00761800">
      <w:pPr>
        <w:spacing w:before="120" w:after="120"/>
        <w:jc w:val="both"/>
        <w:rPr>
          <w:rFonts w:ascii="Times New Roman" w:hAnsi="Times New Roman"/>
          <w:sz w:val="20"/>
          <w:lang w:eastAsia="bg-BG"/>
        </w:rPr>
      </w:pPr>
      <w:r w:rsidRPr="00761800">
        <w:rPr>
          <w:rFonts w:ascii="Times New Roman" w:hAnsi="Times New Roman"/>
          <w:b/>
          <w:i/>
          <w:sz w:val="20"/>
          <w:lang w:eastAsia="bg-BG"/>
        </w:rPr>
        <w:t>Нелихвените разходи</w:t>
      </w:r>
      <w:r w:rsidRPr="00761800">
        <w:rPr>
          <w:rFonts w:ascii="Times New Roman" w:hAnsi="Times New Roman"/>
          <w:sz w:val="20"/>
          <w:lang w:eastAsia="bg-BG"/>
        </w:rPr>
        <w:t xml:space="preserve"> през 2025 г. са в размер на 45 729,1 млн. евро, което представлява 96,1% от годишния разчет и ръст на съпоставима база от 6 473,3 млн. евро (16,5%) спрямо отчетените за 2024 г. Текущите нелихвени разходи са в размер на 39 802,3 млн. евро. Капиталовите разходи (вкл. нетния прираст на държавния резерв) възлизат на 5 891,1 млн. евро. Предоставените текущи и капиталови трансфери за чужбина са в размер на 35,8 млн. евро. </w:t>
      </w:r>
    </w:p>
    <w:p w14:paraId="6E11E84B" w14:textId="77777777" w:rsidR="00761800" w:rsidRPr="00761800" w:rsidRDefault="00761800" w:rsidP="00761800">
      <w:pPr>
        <w:spacing w:before="120" w:after="120"/>
        <w:jc w:val="both"/>
        <w:rPr>
          <w:rFonts w:ascii="Times New Roman" w:hAnsi="Times New Roman"/>
          <w:sz w:val="20"/>
          <w:lang w:eastAsia="bg-BG"/>
        </w:rPr>
      </w:pPr>
      <w:r w:rsidRPr="00761800">
        <w:rPr>
          <w:rFonts w:ascii="Times New Roman" w:hAnsi="Times New Roman"/>
          <w:b/>
          <w:i/>
          <w:sz w:val="20"/>
          <w:lang w:eastAsia="bg-BG"/>
        </w:rPr>
        <w:t>Лихвените плащания</w:t>
      </w:r>
      <w:r w:rsidRPr="00761800">
        <w:rPr>
          <w:rFonts w:ascii="Times New Roman" w:hAnsi="Times New Roman"/>
          <w:sz w:val="20"/>
          <w:lang w:eastAsia="bg-BG"/>
        </w:rPr>
        <w:t xml:space="preserve"> са в размер на 737,1 млн. евро (88,8% от планираните за годината и ръст от 221,2 млн. евро спрямо 2024 г., което се дължи основно на календара по обслужването на държавния дълг.</w:t>
      </w:r>
    </w:p>
    <w:p w14:paraId="40096860"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sz w:val="20"/>
          <w:lang w:eastAsia="bg-BG"/>
        </w:rPr>
        <w:t>Вноската на Република България в общия бюджет на ЕС</w:t>
      </w:r>
      <w:r w:rsidRPr="00761800">
        <w:rPr>
          <w:rFonts w:ascii="Times New Roman" w:eastAsia="Batang" w:hAnsi="Times New Roman"/>
          <w:bCs/>
          <w:sz w:val="20"/>
          <w:lang w:eastAsia="bg-BG"/>
        </w:rPr>
        <w:t>, изплатена към 31.12.2025 г. от централния бюджет, възлиза на 1 041,0 млн. евро, което е в изпълнение на действащото към момента законодателство в областта на собствените ресурси на ЕС.</w:t>
      </w:r>
    </w:p>
    <w:p w14:paraId="43F610B4"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С оглед постигане на съпоставимост на графиката по-долу за 2024 г. е елиминирано влиянието на трансакцията по чл. 71, ал.1 от Постановление № 13 на Министерския съвет от 2024 г. (възстановени разходи в размер на 613,6 млн. евро от сметката за чужди средства по бюджета на Министерството на регионалното развитие и благоустройството).</w:t>
      </w:r>
    </w:p>
    <w:p w14:paraId="51EB9D76" w14:textId="77777777" w:rsidR="00761800" w:rsidRPr="00761800" w:rsidRDefault="00761800" w:rsidP="00761800">
      <w:pPr>
        <w:keepNext/>
        <w:spacing w:before="120"/>
        <w:jc w:val="both"/>
        <w:rPr>
          <w:rFonts w:ascii="Times New Roman" w:eastAsia="Calibri" w:hAnsi="Times New Roman"/>
          <w:b/>
          <w:sz w:val="20"/>
          <w:lang w:eastAsia="bg-BG"/>
        </w:rPr>
      </w:pPr>
    </w:p>
    <w:p w14:paraId="57048A10" w14:textId="77777777" w:rsidR="00761800" w:rsidRPr="00761800" w:rsidRDefault="00761800" w:rsidP="00761800">
      <w:pPr>
        <w:keepNext/>
        <w:spacing w:before="120"/>
        <w:ind w:left="720" w:hanging="720"/>
        <w:jc w:val="both"/>
        <w:rPr>
          <w:rFonts w:ascii="Times New Roman" w:hAnsi="Times New Roman"/>
          <w:sz w:val="20"/>
          <w:lang w:eastAsia="bg-BG"/>
        </w:rPr>
      </w:pPr>
      <w:r w:rsidRPr="00761800">
        <w:rPr>
          <w:rFonts w:ascii="Times New Roman" w:hAnsi="Times New Roman"/>
          <w:b/>
          <w:bCs/>
          <w:sz w:val="20"/>
          <w:lang w:eastAsia="bg-BG"/>
        </w:rPr>
        <w:t xml:space="preserve">Граф.: Основни разходни показатели по КФП </w:t>
      </w:r>
      <w:r w:rsidRPr="00761800">
        <w:rPr>
          <w:rFonts w:ascii="Times New Roman" w:hAnsi="Times New Roman"/>
          <w:b/>
          <w:bCs/>
          <w:iCs/>
          <w:sz w:val="20"/>
          <w:lang w:eastAsia="bg-BG"/>
        </w:rPr>
        <w:t>за 2024 г. и 2025 г.</w:t>
      </w:r>
    </w:p>
    <w:p w14:paraId="64316B9D" w14:textId="77777777" w:rsidR="00761800" w:rsidRPr="00761800" w:rsidRDefault="00761800" w:rsidP="00761800">
      <w:pPr>
        <w:autoSpaceDE w:val="0"/>
        <w:autoSpaceDN w:val="0"/>
        <w:adjustRightInd w:val="0"/>
        <w:spacing w:after="120"/>
        <w:jc w:val="center"/>
        <w:rPr>
          <w:rFonts w:ascii="Times New Roman" w:eastAsia="Batang" w:hAnsi="Times New Roman"/>
          <w:bCs/>
          <w:noProof/>
          <w:sz w:val="20"/>
          <w:lang w:eastAsia="bg-BG"/>
        </w:rPr>
      </w:pPr>
    </w:p>
    <w:p w14:paraId="56FA6423" w14:textId="77777777" w:rsidR="00761800" w:rsidRPr="00761800" w:rsidRDefault="00761800" w:rsidP="00761800">
      <w:pPr>
        <w:autoSpaceDE w:val="0"/>
        <w:autoSpaceDN w:val="0"/>
        <w:adjustRightInd w:val="0"/>
        <w:spacing w:after="120"/>
        <w:jc w:val="center"/>
        <w:rPr>
          <w:rFonts w:ascii="Times New Roman" w:eastAsia="Batang" w:hAnsi="Times New Roman"/>
          <w:bCs/>
          <w:noProof/>
          <w:sz w:val="20"/>
          <w:lang w:eastAsia="bg-BG"/>
        </w:rPr>
      </w:pPr>
    </w:p>
    <w:p w14:paraId="5EE08774" w14:textId="77777777" w:rsidR="00761800" w:rsidRPr="00761800" w:rsidRDefault="00761800" w:rsidP="00761800">
      <w:pPr>
        <w:autoSpaceDE w:val="0"/>
        <w:autoSpaceDN w:val="0"/>
        <w:adjustRightInd w:val="0"/>
        <w:spacing w:after="120"/>
        <w:jc w:val="center"/>
        <w:rPr>
          <w:rFonts w:ascii="Times New Roman" w:eastAsia="Batang" w:hAnsi="Times New Roman"/>
          <w:bCs/>
          <w:noProof/>
          <w:sz w:val="20"/>
          <w:lang w:eastAsia="bg-BG"/>
        </w:rPr>
      </w:pPr>
      <w:r w:rsidRPr="00761800">
        <w:rPr>
          <w:rFonts w:ascii="Times New Roman" w:eastAsia="Batang" w:hAnsi="Times New Roman"/>
          <w:bCs/>
          <w:noProof/>
          <w:sz w:val="20"/>
          <w:lang w:eastAsia="bg-BG"/>
        </w:rPr>
        <w:drawing>
          <wp:inline distT="0" distB="0" distL="0" distR="0" wp14:anchorId="52D5B7DB" wp14:editId="6BFB3D06">
            <wp:extent cx="4269941" cy="2277687"/>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279699" cy="2282892"/>
                    </a:xfrm>
                    <a:prstGeom prst="rect">
                      <a:avLst/>
                    </a:prstGeom>
                    <a:noFill/>
                  </pic:spPr>
                </pic:pic>
              </a:graphicData>
            </a:graphic>
          </wp:inline>
        </w:drawing>
      </w:r>
    </w:p>
    <w:p w14:paraId="66B946D4" w14:textId="77777777" w:rsidR="00761800" w:rsidRPr="00761800" w:rsidRDefault="00761800" w:rsidP="00761800">
      <w:pPr>
        <w:jc w:val="both"/>
        <w:rPr>
          <w:rFonts w:ascii="Times New Roman" w:hAnsi="Times New Roman"/>
          <w:bCs/>
          <w:iCs/>
          <w:color w:val="000000"/>
          <w:sz w:val="16"/>
          <w:szCs w:val="16"/>
          <w:lang w:eastAsia="bg-BG"/>
        </w:rPr>
      </w:pPr>
      <w:r w:rsidRPr="00761800">
        <w:rPr>
          <w:rFonts w:ascii="Times New Roman" w:hAnsi="Times New Roman"/>
          <w:bCs/>
          <w:iCs/>
          <w:color w:val="000000"/>
          <w:sz w:val="16"/>
          <w:szCs w:val="16"/>
          <w:lang w:eastAsia="bg-BG"/>
        </w:rPr>
        <w:t>* Вкл. Предоставени текущи и капиталови трансфери за чужбина</w:t>
      </w:r>
    </w:p>
    <w:p w14:paraId="6CDF1D1D" w14:textId="77777777" w:rsidR="00761800" w:rsidRPr="00761800" w:rsidRDefault="00761800" w:rsidP="00761800">
      <w:pPr>
        <w:jc w:val="both"/>
        <w:rPr>
          <w:rFonts w:ascii="Times New Roman" w:hAnsi="Times New Roman"/>
          <w:bCs/>
          <w:iCs/>
          <w:color w:val="000000"/>
          <w:sz w:val="16"/>
          <w:szCs w:val="16"/>
          <w:lang w:eastAsia="bg-BG"/>
        </w:rPr>
      </w:pPr>
      <w:r w:rsidRPr="00761800">
        <w:rPr>
          <w:rFonts w:ascii="Times New Roman" w:hAnsi="Times New Roman"/>
          <w:bCs/>
          <w:iCs/>
          <w:color w:val="000000"/>
          <w:sz w:val="16"/>
          <w:szCs w:val="16"/>
          <w:lang w:eastAsia="bg-BG"/>
        </w:rPr>
        <w:t>** Вкл. Нетен прираст на държавния резерв</w:t>
      </w:r>
    </w:p>
    <w:p w14:paraId="466CC32B" w14:textId="77777777" w:rsidR="00761800" w:rsidRPr="00761800" w:rsidRDefault="00761800" w:rsidP="00761800">
      <w:pPr>
        <w:autoSpaceDE w:val="0"/>
        <w:autoSpaceDN w:val="0"/>
        <w:adjustRightInd w:val="0"/>
        <w:spacing w:before="60"/>
        <w:ind w:right="202" w:firstLine="5098"/>
        <w:jc w:val="right"/>
        <w:rPr>
          <w:rFonts w:ascii="Times New Roman" w:eastAsia="Batang" w:hAnsi="Times New Roman"/>
          <w:bCs/>
          <w:sz w:val="16"/>
          <w:szCs w:val="16"/>
          <w:lang w:eastAsia="bg-BG"/>
        </w:rPr>
      </w:pPr>
      <w:r w:rsidRPr="00761800">
        <w:rPr>
          <w:rFonts w:ascii="Times New Roman" w:eastAsia="Batang" w:hAnsi="Times New Roman"/>
          <w:bCs/>
          <w:sz w:val="16"/>
          <w:szCs w:val="16"/>
          <w:lang w:eastAsia="bg-BG"/>
        </w:rPr>
        <w:t>Източник: МФ</w:t>
      </w:r>
    </w:p>
    <w:p w14:paraId="5588162C"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60C76FBF" w14:textId="77777777" w:rsidR="00761800" w:rsidRPr="00761800" w:rsidRDefault="00761800" w:rsidP="00761800">
      <w:pPr>
        <w:autoSpaceDE w:val="0"/>
        <w:autoSpaceDN w:val="0"/>
        <w:adjustRightInd w:val="0"/>
        <w:spacing w:after="120" w:line="276" w:lineRule="auto"/>
        <w:rPr>
          <w:rFonts w:ascii="Times New Roman" w:eastAsia="Batang" w:hAnsi="Times New Roman"/>
          <w:b/>
          <w:bCs/>
          <w:i/>
          <w:color w:val="943634"/>
          <w:sz w:val="22"/>
          <w:szCs w:val="22"/>
          <w:lang w:eastAsia="bg-BG"/>
        </w:rPr>
      </w:pPr>
      <w:r w:rsidRPr="00761800">
        <w:rPr>
          <w:rFonts w:ascii="Times New Roman" w:eastAsia="Batang" w:hAnsi="Times New Roman"/>
          <w:b/>
          <w:bCs/>
          <w:i/>
          <w:color w:val="943634"/>
          <w:sz w:val="22"/>
          <w:szCs w:val="22"/>
          <w:lang w:eastAsia="bg-BG"/>
        </w:rPr>
        <w:t>Разходи по държавния бюджет, бюджетите на социалноосигурителните фондове и бюджетите на общините</w:t>
      </w:r>
    </w:p>
    <w:p w14:paraId="5E16E374" w14:textId="77777777" w:rsidR="00761800" w:rsidRPr="00761800" w:rsidRDefault="00761800" w:rsidP="00F64909">
      <w:pPr>
        <w:numPr>
          <w:ilvl w:val="0"/>
          <w:numId w:val="5"/>
        </w:numPr>
        <w:autoSpaceDE w:val="0"/>
        <w:autoSpaceDN w:val="0"/>
        <w:adjustRightInd w:val="0"/>
        <w:spacing w:after="120" w:line="276" w:lineRule="auto"/>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Държавен бюджет</w:t>
      </w:r>
    </w:p>
    <w:p w14:paraId="2F20B6A7"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Общият размер на </w:t>
      </w:r>
      <w:r w:rsidRPr="00761800">
        <w:rPr>
          <w:rFonts w:ascii="Times New Roman" w:eastAsia="Batang" w:hAnsi="Times New Roman"/>
          <w:b/>
          <w:bCs/>
          <w:i/>
          <w:sz w:val="20"/>
          <w:lang w:eastAsia="bg-BG"/>
        </w:rPr>
        <w:t>разходите по държавния бюджет</w:t>
      </w:r>
      <w:r w:rsidRPr="00761800">
        <w:rPr>
          <w:rFonts w:ascii="Times New Roman" w:eastAsia="Batang" w:hAnsi="Times New Roman"/>
          <w:bCs/>
          <w:sz w:val="20"/>
          <w:lang w:eastAsia="bg-BG"/>
        </w:rPr>
        <w:t xml:space="preserve"> (вкл. и трансферите за др. бюджети и вноската в бюджета на ЕС) за 2025 г. е 29 420,8 млн. евро, 92,4% от разчета. </w:t>
      </w:r>
    </w:p>
    <w:p w14:paraId="150BF285"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Нелихвените разходи по държавния бюджет</w:t>
      </w:r>
      <w:r w:rsidRPr="00761800">
        <w:rPr>
          <w:rFonts w:ascii="Times New Roman" w:eastAsia="Batang" w:hAnsi="Times New Roman"/>
          <w:bCs/>
          <w:sz w:val="20"/>
          <w:lang w:eastAsia="bg-BG"/>
        </w:rPr>
        <w:t xml:space="preserve"> (без трансферите за др. бюджети)  2025 г. са в размер на 12 233,5 млн. евро. На съпоставима база нелихвените разходи по държавния бюджет за 2024 г. са в размер на 10 518,7  млн. евро, като разходите през 2025 г. нарастват номинално с 1 714,8 млн. евро (16,3 на сто), след елиминиране на трансакцията по чл. 71, ал.1 от Постановление № 13 на Министерския съвет от 2024 г.</w:t>
      </w:r>
    </w:p>
    <w:p w14:paraId="0663A798" w14:textId="77777777" w:rsidR="00761800" w:rsidRPr="00761800" w:rsidRDefault="00761800" w:rsidP="00761800">
      <w:pPr>
        <w:jc w:val="both"/>
        <w:rPr>
          <w:rFonts w:ascii="Times New Roman" w:hAnsi="Times New Roman"/>
          <w:bCs/>
          <w:sz w:val="20"/>
          <w:lang w:eastAsia="bg-BG"/>
        </w:rPr>
      </w:pPr>
      <w:r w:rsidRPr="00761800">
        <w:rPr>
          <w:rFonts w:ascii="Times New Roman" w:hAnsi="Times New Roman"/>
          <w:bCs/>
          <w:sz w:val="20"/>
          <w:lang w:eastAsia="bg-BG"/>
        </w:rPr>
        <w:t xml:space="preserve">Разходите за персонал (заплати и възнаграждения, други възнаграждения и плащания за персонала и осигурителни вноски) са в общ размер на 6 323,8 млн. евро или 97,1% от планираните за 2025 г. и ръст от 1 285,7 млн. евро (25,5%) спрямо предходната година.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2 044,6 млн. евро или 73,7% от </w:t>
      </w:r>
      <w:r w:rsidRPr="00761800">
        <w:rPr>
          <w:rFonts w:ascii="Times New Roman" w:hAnsi="Times New Roman"/>
          <w:bCs/>
          <w:sz w:val="20"/>
          <w:lang w:eastAsia="bg-BG"/>
        </w:rPr>
        <w:lastRenderedPageBreak/>
        <w:t xml:space="preserve">планираните за годината. Социалните разходи (вкл. разходите за стипендии) са в размер на 1 019,4 млн. евро или 58,8% от предвидените за годината като нарастват със 127,9 млн. евро (14,4%) спрямо предходната година. Част от планираните социални разходи по държавния бюджет се предоставят като трансфери за общинските бюджети. Разходите за субсидии са в размер на 965,7 млн. евро или 88,2% от планираните за годината. През 2025 г. субсидиите за „БДЖ – Пътнически превози” ЕООД са в размер на 116,0 млн. евро, субсидиите за Национална компания „Железопътна инфраструктура” са 180,6 млн. евро (в т. ч. 0,047 млн. евро стихийни бедствия) и 53,4 млн. евро са за „Български пощи” ЕАД, в т. ч. 15,9 млн. евро за извършване на универсална пощенска услуга, 16,2 млн. евро за разпространение на периодични печатни издания - вестници и списания, 9,6 млн. евро за предоставяне на административни услуги, 11,6 млн. евро за обмяна на левове в евро и 0,2 млн. евро за дейности, предвидени в Комуникационната стратегия за информация и публичност на присъединяването на България към еврозоната, чрез мрежата от пощенските станции на територията на страната (ПМС № 480/21.12.2022 г.). През 2025 г. субсидиите за „България Хели Мед Сървиз“ (център за спешна медицинска помощ по въздуха) са в размер на 4,9 млн. евро. През 2025 г. ДФ „Земеделие“ e изплатил субсидии в общ размер на 186,4 млн. евро, от които 121,7 млн. евро държавна помощ; 36,1 млн. евро преходна национална помощ за тютюн, 23,0 млн. евро преходна национална помощ за животни и 4,7 млн. евро средства за ДДС по схеми „Училищен плод“ и „Училищно мляко“. </w:t>
      </w:r>
    </w:p>
    <w:p w14:paraId="38212C70" w14:textId="77777777" w:rsidR="00761800" w:rsidRPr="00761800" w:rsidRDefault="00761800" w:rsidP="00761800">
      <w:pPr>
        <w:autoSpaceDE w:val="0"/>
        <w:autoSpaceDN w:val="0"/>
        <w:adjustRightInd w:val="0"/>
        <w:spacing w:before="120" w:after="120"/>
        <w:jc w:val="both"/>
        <w:rPr>
          <w:rFonts w:ascii="Times New Roman" w:hAnsi="Times New Roman"/>
          <w:bCs/>
          <w:sz w:val="20"/>
          <w:lang w:eastAsia="bg-BG"/>
        </w:rPr>
      </w:pPr>
      <w:r w:rsidRPr="00761800">
        <w:rPr>
          <w:rFonts w:ascii="Times New Roman" w:hAnsi="Times New Roman"/>
          <w:bCs/>
          <w:i/>
          <w:sz w:val="20"/>
          <w:lang w:eastAsia="bg-BG"/>
        </w:rPr>
        <w:t>Капиталовите разходи</w:t>
      </w:r>
      <w:r w:rsidRPr="00761800">
        <w:rPr>
          <w:rFonts w:ascii="Times New Roman" w:hAnsi="Times New Roman"/>
          <w:bCs/>
          <w:sz w:val="20"/>
          <w:lang w:eastAsia="bg-BG"/>
        </w:rPr>
        <w:t xml:space="preserve"> (вкл. нетния прираст на държавния резерв) по държавния бюджет възлизат на 1 865,2 млн. евро.</w:t>
      </w:r>
    </w:p>
    <w:p w14:paraId="6BB2A3B2" w14:textId="77777777" w:rsidR="00761800" w:rsidRPr="00761800" w:rsidRDefault="00761800" w:rsidP="00761800">
      <w:pPr>
        <w:autoSpaceDE w:val="0"/>
        <w:autoSpaceDN w:val="0"/>
        <w:adjustRightInd w:val="0"/>
        <w:spacing w:before="120"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Лихвените плащания по държавния бюджет</w:t>
      </w:r>
      <w:r w:rsidRPr="00761800">
        <w:rPr>
          <w:rFonts w:ascii="Times New Roman" w:eastAsia="Batang" w:hAnsi="Times New Roman"/>
          <w:bCs/>
          <w:sz w:val="20"/>
          <w:lang w:eastAsia="bg-BG"/>
        </w:rPr>
        <w:t xml:space="preserve"> към 31.12.2025 г. са в общ размер на 708,9 млн. евро или 88,5% от предвидените в годишните разчети.</w:t>
      </w:r>
    </w:p>
    <w:p w14:paraId="3F3EC9CB"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Нетният размер на </w:t>
      </w:r>
      <w:r w:rsidRPr="00761800">
        <w:rPr>
          <w:rFonts w:ascii="Times New Roman" w:eastAsia="Batang" w:hAnsi="Times New Roman"/>
          <w:b/>
          <w:bCs/>
          <w:i/>
          <w:sz w:val="20"/>
          <w:lang w:eastAsia="bg-BG"/>
        </w:rPr>
        <w:t>трансферите по държавния бюджет</w:t>
      </w:r>
      <w:r w:rsidRPr="00761800">
        <w:rPr>
          <w:rFonts w:ascii="Times New Roman" w:eastAsia="Batang" w:hAnsi="Times New Roman"/>
          <w:bCs/>
          <w:sz w:val="20"/>
          <w:lang w:eastAsia="bg-BG"/>
        </w:rPr>
        <w:t xml:space="preserve"> за 2025 г. е 15 437,5 млн. евро.</w:t>
      </w:r>
    </w:p>
    <w:p w14:paraId="66D03A66" w14:textId="77777777" w:rsidR="00761800" w:rsidRPr="00761800" w:rsidRDefault="00761800" w:rsidP="00F64909">
      <w:pPr>
        <w:numPr>
          <w:ilvl w:val="0"/>
          <w:numId w:val="5"/>
        </w:numPr>
        <w:autoSpaceDE w:val="0"/>
        <w:autoSpaceDN w:val="0"/>
        <w:adjustRightInd w:val="0"/>
        <w:spacing w:after="120"/>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Разходи по бюджетите на социалноосигурителните фондове</w:t>
      </w:r>
    </w:p>
    <w:p w14:paraId="5D5D4A19"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Извършените разходи по бюджетите на социалноосигурителните фондове през 2025 г. са в размер на 18 727,5 млн. евро (99,0% от разчета за годината и ръст от </w:t>
      </w:r>
      <w:r w:rsidRPr="00761800">
        <w:rPr>
          <w:rFonts w:ascii="Times New Roman" w:eastAsia="Batang" w:hAnsi="Times New Roman"/>
          <w:bCs/>
          <w:sz w:val="20"/>
          <w:lang w:eastAsia="bg-BG"/>
        </w:rPr>
        <w:t>1 921,9 млн. евро, 11,4% спрямо 2024 г.), в т. ч. пенсии, помощи и обезщетения по КСО в размер на 14 022,8 млн. евро и здравноосигурителни плащания в размер на 4 538,7 млн. евро.</w:t>
      </w:r>
    </w:p>
    <w:p w14:paraId="5EF08243" w14:textId="77777777" w:rsidR="00761800" w:rsidRPr="00761800" w:rsidRDefault="00761800" w:rsidP="00F64909">
      <w:pPr>
        <w:numPr>
          <w:ilvl w:val="0"/>
          <w:numId w:val="5"/>
        </w:numPr>
        <w:autoSpaceDE w:val="0"/>
        <w:autoSpaceDN w:val="0"/>
        <w:adjustRightInd w:val="0"/>
        <w:spacing w:after="120"/>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Разходи по бюджетите на общините</w:t>
      </w:r>
    </w:p>
    <w:p w14:paraId="4BC234BB"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Извършените разходи по общинските бюджети, включително и за сметка на предоставените трансфери от други бюджети, са в размер на 8 359,6 млн. евро или 138,2% от разчетите към ЗДБРБ за 2025 г. и ръст от 11,1% спрямо предходната година. Текущите нелихвени разходи възлизат на 7 136,8 млн. евро (129,9% спрямо годишния разчет и ръст от 13,9% спрямо 2024 г.), а капиталовите разходи са в размер на 1 195,4 млн. евро (намаление от 3,0% спрямо отчетените за 2024 г.). Лихвените плащания са в размер на 26,7 млн. евро или 92,9% от разчета за годината и намаление от 1,4% спрямо отчетените за 2024 година.</w:t>
      </w:r>
    </w:p>
    <w:p w14:paraId="746DD574" w14:textId="77777777" w:rsidR="00761800" w:rsidRPr="00761800" w:rsidRDefault="00761800" w:rsidP="00F64909">
      <w:pPr>
        <w:numPr>
          <w:ilvl w:val="0"/>
          <w:numId w:val="5"/>
        </w:numPr>
        <w:autoSpaceDE w:val="0"/>
        <w:autoSpaceDN w:val="0"/>
        <w:adjustRightInd w:val="0"/>
        <w:spacing w:after="120"/>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Бюджетно салдо по консолидираната фискална програма за 2025 г.</w:t>
      </w:r>
    </w:p>
    <w:p w14:paraId="34A2B615"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sz w:val="20"/>
          <w:lang w:eastAsia="bg-BG"/>
        </w:rPr>
        <w:t>Бюджетното салдо по КФП</w:t>
      </w:r>
      <w:r w:rsidRPr="00761800">
        <w:rPr>
          <w:rFonts w:ascii="Times New Roman" w:eastAsia="Batang" w:hAnsi="Times New Roman"/>
          <w:bCs/>
          <w:sz w:val="20"/>
          <w:lang w:eastAsia="bg-BG"/>
        </w:rPr>
        <w:t xml:space="preserve"> за 2025 г. е отрицателно в размер на 3 492,5 млн. евро (3,0% от БВП). То се формира от дефицит по националния бюджет в размер на 2 745,2 млн. евро и дефицит по европейските средства в размер на 747,3 млн. евро. </w:t>
      </w:r>
    </w:p>
    <w:p w14:paraId="61300FAE"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Общият размер на </w:t>
      </w:r>
      <w:r w:rsidRPr="00761800">
        <w:rPr>
          <w:rFonts w:ascii="Times New Roman" w:eastAsia="Batang" w:hAnsi="Times New Roman"/>
          <w:b/>
          <w:bCs/>
          <w:sz w:val="20"/>
          <w:lang w:eastAsia="bg-BG"/>
        </w:rPr>
        <w:t>касовите постъпления от ЕС</w:t>
      </w:r>
      <w:r w:rsidRPr="00761800">
        <w:rPr>
          <w:rFonts w:ascii="Times New Roman" w:eastAsia="Batang" w:hAnsi="Times New Roman"/>
          <w:bCs/>
          <w:sz w:val="20"/>
          <w:lang w:eastAsia="bg-BG"/>
        </w:rPr>
        <w:t xml:space="preserve"> (от Структурните и Кохезионния фондове, от ЕЗФРСР и ЕФР, от средства за директни плащания към земеделските производители и плащания по пазарни мерки и др.) за 2025 г. е 4 030,4 млн. евро. Нетните постъпления от ЕС към 31.12.2025 г. (касови постъпления от ЕС, намалени с вноската в общия бюджет на ЕС) са положителни в размер на 2 989,4 млн. евро.</w:t>
      </w:r>
    </w:p>
    <w:p w14:paraId="0BD66E11" w14:textId="77777777" w:rsidR="00761800" w:rsidRPr="00761800" w:rsidRDefault="00761800" w:rsidP="00761800">
      <w:pPr>
        <w:autoSpaceDE w:val="0"/>
        <w:autoSpaceDN w:val="0"/>
        <w:adjustRightInd w:val="0"/>
        <w:spacing w:after="120"/>
        <w:jc w:val="both"/>
        <w:rPr>
          <w:rFonts w:ascii="Times New Roman" w:eastAsia="Batang" w:hAnsi="Times New Roman"/>
          <w:sz w:val="16"/>
          <w:szCs w:val="16"/>
          <w:lang w:eastAsia="bg-BG"/>
        </w:rPr>
      </w:pPr>
      <w:r w:rsidRPr="00761800">
        <w:rPr>
          <w:rFonts w:ascii="Times New Roman" w:eastAsia="Batang" w:hAnsi="Times New Roman"/>
          <w:bCs/>
          <w:sz w:val="20"/>
          <w:lang w:eastAsia="bg-BG"/>
        </w:rPr>
        <w:t xml:space="preserve">Размерът на </w:t>
      </w:r>
      <w:r w:rsidRPr="00761800">
        <w:rPr>
          <w:rFonts w:ascii="Times New Roman" w:eastAsia="Batang" w:hAnsi="Times New Roman"/>
          <w:b/>
          <w:bCs/>
          <w:sz w:val="20"/>
          <w:lang w:eastAsia="bg-BG"/>
        </w:rPr>
        <w:t>фискалния резерв</w:t>
      </w:r>
      <w:r w:rsidRPr="00761800">
        <w:rPr>
          <w:rFonts w:ascii="Times New Roman" w:eastAsia="Batang" w:hAnsi="Times New Roman"/>
          <w:b/>
          <w:bCs/>
          <w:position w:val="2"/>
          <w:sz w:val="20"/>
          <w:vertAlign w:val="superscript"/>
          <w:lang w:eastAsia="bg-BG"/>
        </w:rPr>
        <w:footnoteReference w:id="92"/>
      </w:r>
      <w:r w:rsidRPr="00761800">
        <w:rPr>
          <w:rFonts w:ascii="Times New Roman" w:eastAsia="Batang" w:hAnsi="Times New Roman"/>
          <w:b/>
          <w:bCs/>
          <w:position w:val="2"/>
          <w:sz w:val="20"/>
          <w:vertAlign w:val="superscript"/>
          <w:lang w:eastAsia="bg-BG"/>
        </w:rPr>
        <w:t xml:space="preserve"> </w:t>
      </w:r>
      <w:r w:rsidRPr="00761800">
        <w:rPr>
          <w:rFonts w:ascii="Times New Roman" w:eastAsia="Batang" w:hAnsi="Times New Roman"/>
          <w:bCs/>
          <w:sz w:val="20"/>
          <w:lang w:eastAsia="bg-BG"/>
        </w:rPr>
        <w:t>към 31.12.2025 г. е 8 930,8 млн. евро, в т. ч. 7 600,8 млн. евро депозити на фискалния резерв в БНБ и банки и 1 330,0 млн. евро вземания от фондовете на Европейския съюз за сертифицирани разходи, аванси и други.</w:t>
      </w:r>
    </w:p>
    <w:p w14:paraId="3C492C36" w14:textId="77777777" w:rsidR="00761800" w:rsidRPr="00761800" w:rsidRDefault="00761800" w:rsidP="00761800">
      <w:pPr>
        <w:autoSpaceDE w:val="0"/>
        <w:autoSpaceDN w:val="0"/>
        <w:adjustRightInd w:val="0"/>
        <w:spacing w:after="120"/>
        <w:jc w:val="both"/>
        <w:rPr>
          <w:rFonts w:ascii="Times New Roman" w:eastAsia="Batang" w:hAnsi="Times New Roman"/>
          <w:b/>
          <w:bCs/>
          <w:sz w:val="20"/>
          <w:highlight w:val="yellow"/>
          <w:lang w:eastAsia="bg-BG"/>
        </w:rPr>
      </w:pPr>
    </w:p>
    <w:p w14:paraId="5E31E9A2" w14:textId="77777777" w:rsidR="00761800" w:rsidRPr="00761800" w:rsidRDefault="00761800" w:rsidP="00761800">
      <w:pPr>
        <w:spacing w:after="200" w:line="276" w:lineRule="auto"/>
        <w:rPr>
          <w:rFonts w:ascii="Times New Roman" w:eastAsia="Batang" w:hAnsi="Times New Roman"/>
          <w:b/>
          <w:bCs/>
          <w:sz w:val="20"/>
          <w:lang w:eastAsia="bg-BG"/>
        </w:rPr>
      </w:pPr>
      <w:r w:rsidRPr="00761800">
        <w:rPr>
          <w:rFonts w:ascii="Times New Roman" w:eastAsia="Batang" w:hAnsi="Times New Roman"/>
          <w:b/>
          <w:bCs/>
          <w:sz w:val="20"/>
          <w:lang w:eastAsia="bg-BG"/>
        </w:rPr>
        <w:br w:type="page"/>
      </w:r>
    </w:p>
    <w:p w14:paraId="3BDCD9C6"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852010"/>
          <w:spacing w:val="10"/>
          <w:w w:val="90"/>
          <w:sz w:val="28"/>
          <w:szCs w:val="26"/>
          <w:lang w:eastAsia="bg-BG"/>
        </w:rPr>
        <w:sectPr w:rsidR="00761800" w:rsidRPr="00761800" w:rsidSect="00406B4D">
          <w:headerReference w:type="even" r:id="rId43"/>
          <w:headerReference w:type="default" r:id="rId44"/>
          <w:headerReference w:type="first" r:id="rId45"/>
          <w:footerReference w:type="first" r:id="rId46"/>
          <w:pgSz w:w="16838" w:h="11906" w:orient="landscape" w:code="9"/>
          <w:pgMar w:top="1418" w:right="1134" w:bottom="851" w:left="1134" w:header="709" w:footer="709" w:gutter="0"/>
          <w:cols w:num="2" w:space="708"/>
          <w:titlePg/>
          <w:docGrid w:linePitch="360"/>
        </w:sectPr>
      </w:pPr>
    </w:p>
    <w:p w14:paraId="229B4651" w14:textId="77777777" w:rsidR="00761800" w:rsidRPr="00761800" w:rsidRDefault="00761800" w:rsidP="00F64909">
      <w:pPr>
        <w:keepNext/>
        <w:keepLines/>
        <w:numPr>
          <w:ilvl w:val="1"/>
          <w:numId w:val="6"/>
        </w:numPr>
        <w:tabs>
          <w:tab w:val="left" w:pos="426"/>
        </w:tabs>
        <w:spacing w:before="480" w:after="360"/>
        <w:ind w:hanging="270"/>
        <w:jc w:val="both"/>
        <w:outlineLvl w:val="1"/>
        <w:rPr>
          <w:rFonts w:ascii="Times New Roman" w:hAnsi="Times New Roman"/>
          <w:b/>
          <w:bCs/>
          <w:caps/>
          <w:color w:val="852010"/>
          <w:spacing w:val="10"/>
          <w:w w:val="90"/>
          <w:sz w:val="28"/>
          <w:szCs w:val="26"/>
          <w:lang w:eastAsia="bg-BG"/>
        </w:rPr>
      </w:pPr>
      <w:bookmarkStart w:id="549" w:name="_Toc233717503"/>
      <w:r w:rsidRPr="00761800">
        <w:rPr>
          <w:rFonts w:ascii="Times New Roman" w:hAnsi="Times New Roman"/>
          <w:b/>
          <w:bCs/>
          <w:caps/>
          <w:color w:val="852010"/>
          <w:spacing w:val="10"/>
          <w:w w:val="90"/>
          <w:sz w:val="28"/>
          <w:szCs w:val="26"/>
          <w:lang w:eastAsia="bg-BG"/>
        </w:rPr>
        <w:lastRenderedPageBreak/>
        <w:t>Изпълнение на КФП към 30.04.2026 г.</w:t>
      </w:r>
      <w:bookmarkEnd w:id="549"/>
    </w:p>
    <w:p w14:paraId="39E54C8B" w14:textId="77777777" w:rsidR="00761800" w:rsidRPr="00761800" w:rsidRDefault="00761800" w:rsidP="00761800">
      <w:pPr>
        <w:autoSpaceDE w:val="0"/>
        <w:autoSpaceDN w:val="0"/>
        <w:adjustRightInd w:val="0"/>
        <w:spacing w:after="60"/>
        <w:ind w:firstLine="1138"/>
        <w:jc w:val="right"/>
        <w:rPr>
          <w:rFonts w:ascii="Times New Roman" w:hAnsi="Times New Roman" w:cs="Calibri"/>
          <w:bCs/>
          <w:sz w:val="18"/>
          <w:szCs w:val="18"/>
          <w:lang w:eastAsia="bg-BG"/>
        </w:rPr>
      </w:pPr>
      <w:r w:rsidRPr="00761800">
        <w:rPr>
          <w:rFonts w:ascii="Times New Roman" w:hAnsi="Times New Roman" w:cs="Calibri"/>
          <w:bCs/>
          <w:sz w:val="18"/>
          <w:szCs w:val="18"/>
          <w:lang w:eastAsia="bg-BG"/>
        </w:rPr>
        <w:t>(в млн. евро)</w:t>
      </w:r>
    </w:p>
    <w:tbl>
      <w:tblPr>
        <w:tblW w:w="14722" w:type="dxa"/>
        <w:jc w:val="center"/>
        <w:tblLayout w:type="fixed"/>
        <w:tblLook w:val="04A0" w:firstRow="1" w:lastRow="0" w:firstColumn="1" w:lastColumn="0" w:noHBand="0" w:noVBand="1"/>
      </w:tblPr>
      <w:tblGrid>
        <w:gridCol w:w="6796"/>
        <w:gridCol w:w="1683"/>
        <w:gridCol w:w="1559"/>
        <w:gridCol w:w="1416"/>
        <w:gridCol w:w="1500"/>
        <w:gridCol w:w="1768"/>
      </w:tblGrid>
      <w:tr w:rsidR="00761800" w:rsidRPr="00761800" w14:paraId="29F70B52" w14:textId="77777777" w:rsidTr="00761800">
        <w:trPr>
          <w:trHeight w:val="27"/>
          <w:jc w:val="center"/>
        </w:trPr>
        <w:tc>
          <w:tcPr>
            <w:tcW w:w="6796" w:type="dxa"/>
            <w:vMerge w:val="restart"/>
            <w:tcBorders>
              <w:top w:val="single" w:sz="4" w:space="0" w:color="auto"/>
            </w:tcBorders>
            <w:shd w:val="clear" w:color="auto" w:fill="auto"/>
            <w:noWrap/>
            <w:vAlign w:val="center"/>
            <w:hideMark/>
          </w:tcPr>
          <w:p w14:paraId="2CB65666" w14:textId="77777777" w:rsidR="00761800" w:rsidRPr="00761800" w:rsidRDefault="00761800" w:rsidP="00761800">
            <w:pPr>
              <w:jc w:val="center"/>
              <w:rPr>
                <w:rFonts w:ascii="Times New Roman" w:hAnsi="Times New Roman"/>
                <w:b/>
                <w:bCs/>
                <w:sz w:val="18"/>
                <w:szCs w:val="18"/>
                <w:lang w:val="en-US" w:eastAsia="bg-BG"/>
              </w:rPr>
            </w:pPr>
            <w:r w:rsidRPr="00761800">
              <w:rPr>
                <w:rFonts w:ascii="Times New Roman" w:hAnsi="Times New Roman"/>
                <w:b/>
                <w:bCs/>
                <w:sz w:val="18"/>
                <w:szCs w:val="18"/>
                <w:lang w:eastAsia="bg-BG"/>
              </w:rPr>
              <w:t>ПОКАЗАТЕЛ</w:t>
            </w:r>
          </w:p>
        </w:tc>
        <w:tc>
          <w:tcPr>
            <w:tcW w:w="1683" w:type="dxa"/>
            <w:vMerge w:val="restart"/>
            <w:tcBorders>
              <w:top w:val="single" w:sz="4" w:space="0" w:color="auto"/>
            </w:tcBorders>
            <w:shd w:val="clear" w:color="auto" w:fill="auto"/>
            <w:noWrap/>
            <w:vAlign w:val="center"/>
            <w:hideMark/>
          </w:tcPr>
          <w:p w14:paraId="6A1D6217" w14:textId="77777777" w:rsidR="00761800" w:rsidRPr="00761800" w:rsidRDefault="00761800" w:rsidP="00761800">
            <w:pPr>
              <w:ind w:hanging="110"/>
              <w:jc w:val="center"/>
              <w:rPr>
                <w:rFonts w:ascii="Times New Roman" w:hAnsi="Times New Roman"/>
                <w:b/>
                <w:bCs/>
                <w:sz w:val="18"/>
                <w:szCs w:val="18"/>
                <w:lang w:eastAsia="bg-BG"/>
              </w:rPr>
            </w:pPr>
            <w:r w:rsidRPr="00761800">
              <w:rPr>
                <w:rFonts w:ascii="Times New Roman" w:hAnsi="Times New Roman"/>
                <w:b/>
                <w:bCs/>
                <w:sz w:val="18"/>
                <w:szCs w:val="18"/>
                <w:lang w:eastAsia="bg-BG"/>
              </w:rPr>
              <w:t xml:space="preserve">Отчет </w:t>
            </w:r>
          </w:p>
          <w:p w14:paraId="044900CC" w14:textId="77777777" w:rsidR="00761800" w:rsidRPr="00761800" w:rsidRDefault="00761800" w:rsidP="00761800">
            <w:pPr>
              <w:ind w:hanging="110"/>
              <w:jc w:val="center"/>
              <w:rPr>
                <w:rFonts w:ascii="Times New Roman" w:hAnsi="Times New Roman"/>
                <w:b/>
                <w:bCs/>
                <w:sz w:val="18"/>
                <w:szCs w:val="18"/>
                <w:lang w:val="ru-RU" w:eastAsia="bg-BG"/>
              </w:rPr>
            </w:pPr>
            <w:r w:rsidRPr="00761800">
              <w:rPr>
                <w:rFonts w:ascii="Times New Roman" w:hAnsi="Times New Roman"/>
                <w:b/>
                <w:bCs/>
                <w:sz w:val="18"/>
                <w:szCs w:val="18"/>
                <w:lang w:eastAsia="bg-BG"/>
              </w:rPr>
              <w:t>30.04.2025 г.</w:t>
            </w:r>
          </w:p>
        </w:tc>
        <w:tc>
          <w:tcPr>
            <w:tcW w:w="6243" w:type="dxa"/>
            <w:gridSpan w:val="4"/>
            <w:tcBorders>
              <w:top w:val="single" w:sz="4" w:space="0" w:color="auto"/>
            </w:tcBorders>
            <w:shd w:val="clear" w:color="auto" w:fill="F2F2F2"/>
            <w:noWrap/>
            <w:vAlign w:val="center"/>
            <w:hideMark/>
          </w:tcPr>
          <w:p w14:paraId="7FB04FEC" w14:textId="77777777" w:rsidR="00761800" w:rsidRPr="00761800" w:rsidRDefault="00761800" w:rsidP="00761800">
            <w:pPr>
              <w:jc w:val="center"/>
              <w:rPr>
                <w:rFonts w:ascii="Times New Roman" w:hAnsi="Times New Roman"/>
                <w:b/>
                <w:bCs/>
                <w:sz w:val="18"/>
                <w:szCs w:val="18"/>
                <w:lang w:val="ru-RU" w:eastAsia="bg-BG"/>
              </w:rPr>
            </w:pPr>
            <w:r w:rsidRPr="00761800">
              <w:rPr>
                <w:rFonts w:ascii="Times New Roman" w:hAnsi="Times New Roman"/>
                <w:b/>
                <w:bCs/>
                <w:sz w:val="18"/>
                <w:szCs w:val="18"/>
                <w:lang w:eastAsia="bg-BG"/>
              </w:rPr>
              <w:t>Отчет 30.04.2026 г.</w:t>
            </w:r>
          </w:p>
        </w:tc>
      </w:tr>
      <w:tr w:rsidR="00761800" w:rsidRPr="00761800" w14:paraId="0736026C" w14:textId="77777777" w:rsidTr="00761800">
        <w:trPr>
          <w:trHeight w:val="384"/>
          <w:jc w:val="center"/>
        </w:trPr>
        <w:tc>
          <w:tcPr>
            <w:tcW w:w="6796" w:type="dxa"/>
            <w:vMerge/>
            <w:shd w:val="clear" w:color="auto" w:fill="auto"/>
            <w:vAlign w:val="center"/>
            <w:hideMark/>
          </w:tcPr>
          <w:p w14:paraId="057A0290" w14:textId="77777777" w:rsidR="00761800" w:rsidRPr="00761800" w:rsidRDefault="00761800" w:rsidP="00761800">
            <w:pPr>
              <w:jc w:val="both"/>
              <w:rPr>
                <w:rFonts w:ascii="Times New Roman" w:hAnsi="Times New Roman"/>
                <w:b/>
                <w:bCs/>
                <w:sz w:val="18"/>
                <w:szCs w:val="18"/>
                <w:lang w:val="ru-RU" w:eastAsia="bg-BG"/>
              </w:rPr>
            </w:pPr>
          </w:p>
        </w:tc>
        <w:tc>
          <w:tcPr>
            <w:tcW w:w="1683" w:type="dxa"/>
            <w:vMerge/>
            <w:shd w:val="clear" w:color="auto" w:fill="auto"/>
            <w:vAlign w:val="center"/>
            <w:hideMark/>
          </w:tcPr>
          <w:p w14:paraId="34C10383" w14:textId="77777777" w:rsidR="00761800" w:rsidRPr="00761800" w:rsidRDefault="00761800" w:rsidP="00761800">
            <w:pPr>
              <w:ind w:hanging="110"/>
              <w:jc w:val="both"/>
              <w:rPr>
                <w:rFonts w:ascii="Times New Roman" w:hAnsi="Times New Roman"/>
                <w:b/>
                <w:bCs/>
                <w:sz w:val="18"/>
                <w:szCs w:val="18"/>
                <w:lang w:val="ru-RU" w:eastAsia="bg-BG"/>
              </w:rPr>
            </w:pPr>
          </w:p>
        </w:tc>
        <w:tc>
          <w:tcPr>
            <w:tcW w:w="1559" w:type="dxa"/>
            <w:shd w:val="clear" w:color="auto" w:fill="F2F2F2"/>
            <w:noWrap/>
            <w:vAlign w:val="center"/>
            <w:hideMark/>
          </w:tcPr>
          <w:p w14:paraId="6BB09114" w14:textId="77777777" w:rsidR="00761800" w:rsidRPr="00761800" w:rsidRDefault="00761800" w:rsidP="00761800">
            <w:pPr>
              <w:jc w:val="center"/>
              <w:rPr>
                <w:rFonts w:ascii="Times New Roman" w:hAnsi="Times New Roman"/>
                <w:b/>
                <w:bCs/>
                <w:sz w:val="18"/>
                <w:szCs w:val="18"/>
                <w:lang w:val="ru-RU" w:eastAsia="bg-BG"/>
              </w:rPr>
            </w:pPr>
            <w:r w:rsidRPr="00761800">
              <w:rPr>
                <w:rFonts w:ascii="Times New Roman" w:hAnsi="Times New Roman"/>
                <w:b/>
                <w:bCs/>
                <w:sz w:val="18"/>
                <w:szCs w:val="18"/>
                <w:lang w:eastAsia="bg-BG"/>
              </w:rPr>
              <w:t>КФП*</w:t>
            </w:r>
          </w:p>
        </w:tc>
        <w:tc>
          <w:tcPr>
            <w:tcW w:w="1416" w:type="dxa"/>
            <w:shd w:val="clear" w:color="auto" w:fill="F2F2F2"/>
            <w:vAlign w:val="center"/>
            <w:hideMark/>
          </w:tcPr>
          <w:p w14:paraId="6FBA99F5" w14:textId="77777777" w:rsidR="00761800" w:rsidRPr="00761800" w:rsidRDefault="00761800" w:rsidP="00761800">
            <w:pPr>
              <w:ind w:right="-129"/>
              <w:jc w:val="center"/>
              <w:rPr>
                <w:rFonts w:ascii="Times New Roman" w:hAnsi="Times New Roman"/>
                <w:b/>
                <w:bCs/>
                <w:sz w:val="18"/>
                <w:szCs w:val="18"/>
                <w:lang w:val="ru-RU" w:eastAsia="bg-BG"/>
              </w:rPr>
            </w:pPr>
            <w:r w:rsidRPr="00761800">
              <w:rPr>
                <w:rFonts w:ascii="Times New Roman" w:hAnsi="Times New Roman"/>
                <w:b/>
                <w:bCs/>
                <w:sz w:val="18"/>
                <w:szCs w:val="18"/>
                <w:lang w:eastAsia="bg-BG"/>
              </w:rPr>
              <w:t>Национален бюджет</w:t>
            </w:r>
          </w:p>
        </w:tc>
        <w:tc>
          <w:tcPr>
            <w:tcW w:w="1500" w:type="dxa"/>
            <w:shd w:val="clear" w:color="auto" w:fill="F2F2F2"/>
            <w:vAlign w:val="center"/>
            <w:hideMark/>
          </w:tcPr>
          <w:p w14:paraId="64B14935" w14:textId="77777777" w:rsidR="00761800" w:rsidRPr="00761800" w:rsidRDefault="00761800" w:rsidP="00761800">
            <w:pPr>
              <w:jc w:val="center"/>
              <w:rPr>
                <w:rFonts w:ascii="Times New Roman" w:hAnsi="Times New Roman"/>
                <w:b/>
                <w:bCs/>
                <w:sz w:val="18"/>
                <w:szCs w:val="18"/>
                <w:lang w:val="ru-RU" w:eastAsia="bg-BG"/>
              </w:rPr>
            </w:pPr>
            <w:r w:rsidRPr="00761800">
              <w:rPr>
                <w:rFonts w:ascii="Times New Roman" w:hAnsi="Times New Roman"/>
                <w:b/>
                <w:bCs/>
                <w:sz w:val="18"/>
                <w:szCs w:val="18"/>
                <w:lang w:eastAsia="bg-BG"/>
              </w:rPr>
              <w:t>ЕС</w:t>
            </w:r>
            <w:r w:rsidRPr="00761800">
              <w:rPr>
                <w:rFonts w:ascii="Times New Roman" w:hAnsi="Times New Roman"/>
                <w:position w:val="2"/>
                <w:sz w:val="18"/>
                <w:szCs w:val="22"/>
                <w:vertAlign w:val="superscript"/>
              </w:rPr>
              <w:footnoteReference w:id="93"/>
            </w:r>
          </w:p>
        </w:tc>
        <w:tc>
          <w:tcPr>
            <w:tcW w:w="1768" w:type="dxa"/>
            <w:shd w:val="clear" w:color="auto" w:fill="F2F2F2"/>
            <w:vAlign w:val="center"/>
            <w:hideMark/>
          </w:tcPr>
          <w:p w14:paraId="0052642E" w14:textId="77777777" w:rsidR="00761800" w:rsidRPr="00761800" w:rsidRDefault="00761800" w:rsidP="00761800">
            <w:pPr>
              <w:jc w:val="center"/>
              <w:rPr>
                <w:rFonts w:ascii="Times New Roman" w:hAnsi="Times New Roman"/>
                <w:b/>
                <w:bCs/>
                <w:sz w:val="18"/>
                <w:szCs w:val="18"/>
                <w:lang w:eastAsia="bg-BG"/>
              </w:rPr>
            </w:pPr>
            <w:r w:rsidRPr="00761800">
              <w:rPr>
                <w:rFonts w:ascii="Times New Roman" w:hAnsi="Times New Roman"/>
                <w:b/>
                <w:bCs/>
                <w:sz w:val="18"/>
                <w:szCs w:val="18"/>
                <w:lang w:eastAsia="bg-BG"/>
              </w:rPr>
              <w:t xml:space="preserve">спрямо </w:t>
            </w:r>
          </w:p>
          <w:p w14:paraId="73D9D7BA" w14:textId="77777777" w:rsidR="00761800" w:rsidRPr="00761800" w:rsidRDefault="00761800" w:rsidP="00761800">
            <w:pPr>
              <w:jc w:val="center"/>
              <w:rPr>
                <w:rFonts w:ascii="Times New Roman" w:hAnsi="Times New Roman"/>
                <w:b/>
                <w:bCs/>
                <w:sz w:val="18"/>
                <w:szCs w:val="18"/>
                <w:lang w:val="ru-RU" w:eastAsia="bg-BG"/>
              </w:rPr>
            </w:pPr>
            <w:r w:rsidRPr="00761800">
              <w:rPr>
                <w:rFonts w:ascii="Times New Roman" w:hAnsi="Times New Roman"/>
                <w:b/>
                <w:bCs/>
                <w:sz w:val="18"/>
                <w:szCs w:val="18"/>
                <w:lang w:eastAsia="bg-BG"/>
              </w:rPr>
              <w:t>април 2025 г.</w:t>
            </w:r>
          </w:p>
        </w:tc>
      </w:tr>
      <w:tr w:rsidR="00761800" w:rsidRPr="00761800" w14:paraId="65A49D9D" w14:textId="77777777" w:rsidTr="00761800">
        <w:trPr>
          <w:trHeight w:val="50"/>
          <w:jc w:val="center"/>
        </w:trPr>
        <w:tc>
          <w:tcPr>
            <w:tcW w:w="6796" w:type="dxa"/>
            <w:tcBorders>
              <w:bottom w:val="single" w:sz="4" w:space="0" w:color="auto"/>
            </w:tcBorders>
            <w:shd w:val="clear" w:color="auto" w:fill="auto"/>
            <w:noWrap/>
            <w:vAlign w:val="center"/>
            <w:hideMark/>
          </w:tcPr>
          <w:p w14:paraId="3E0790DF" w14:textId="77777777" w:rsidR="00761800" w:rsidRPr="00761800" w:rsidRDefault="00761800" w:rsidP="00761800">
            <w:pPr>
              <w:jc w:val="center"/>
              <w:rPr>
                <w:rFonts w:ascii="Times New Roman" w:hAnsi="Times New Roman"/>
                <w:b/>
                <w:bCs/>
                <w:sz w:val="18"/>
                <w:szCs w:val="18"/>
                <w:lang w:val="ru-RU" w:eastAsia="bg-BG"/>
              </w:rPr>
            </w:pPr>
            <w:r w:rsidRPr="00761800">
              <w:rPr>
                <w:rFonts w:ascii="Times New Roman" w:hAnsi="Times New Roman"/>
                <w:b/>
                <w:bCs/>
                <w:sz w:val="18"/>
                <w:szCs w:val="18"/>
                <w:lang w:eastAsia="bg-BG"/>
              </w:rPr>
              <w:t>к.</w:t>
            </w:r>
            <w:r w:rsidRPr="00761800">
              <w:rPr>
                <w:rFonts w:ascii="Times New Roman" w:hAnsi="Times New Roman"/>
                <w:b/>
                <w:bCs/>
                <w:sz w:val="16"/>
                <w:szCs w:val="16"/>
                <w:lang w:eastAsia="bg-BG"/>
              </w:rPr>
              <w:t>1</w:t>
            </w:r>
          </w:p>
        </w:tc>
        <w:tc>
          <w:tcPr>
            <w:tcW w:w="1683" w:type="dxa"/>
            <w:tcBorders>
              <w:bottom w:val="single" w:sz="4" w:space="0" w:color="auto"/>
            </w:tcBorders>
            <w:shd w:val="clear" w:color="auto" w:fill="auto"/>
            <w:noWrap/>
            <w:vAlign w:val="center"/>
            <w:hideMark/>
          </w:tcPr>
          <w:p w14:paraId="434D9839" w14:textId="77777777" w:rsidR="00761800" w:rsidRPr="00761800" w:rsidRDefault="00761800" w:rsidP="00761800">
            <w:pPr>
              <w:ind w:hanging="110"/>
              <w:jc w:val="center"/>
              <w:rPr>
                <w:rFonts w:ascii="Times New Roman" w:hAnsi="Times New Roman"/>
                <w:b/>
                <w:bCs/>
                <w:sz w:val="14"/>
                <w:szCs w:val="14"/>
                <w:lang w:val="ru-RU" w:eastAsia="bg-BG"/>
              </w:rPr>
            </w:pPr>
            <w:r w:rsidRPr="00761800">
              <w:rPr>
                <w:rFonts w:ascii="Times New Roman" w:hAnsi="Times New Roman"/>
                <w:b/>
                <w:bCs/>
                <w:sz w:val="14"/>
                <w:szCs w:val="14"/>
                <w:lang w:eastAsia="bg-BG"/>
              </w:rPr>
              <w:t>к.2</w:t>
            </w:r>
          </w:p>
        </w:tc>
        <w:tc>
          <w:tcPr>
            <w:tcW w:w="1559" w:type="dxa"/>
            <w:tcBorders>
              <w:bottom w:val="single" w:sz="4" w:space="0" w:color="auto"/>
            </w:tcBorders>
            <w:shd w:val="clear" w:color="auto" w:fill="F2F2F2"/>
            <w:noWrap/>
            <w:vAlign w:val="center"/>
            <w:hideMark/>
          </w:tcPr>
          <w:p w14:paraId="12D59B0D" w14:textId="77777777" w:rsidR="00761800" w:rsidRPr="00761800" w:rsidRDefault="00761800" w:rsidP="00761800">
            <w:pPr>
              <w:jc w:val="center"/>
              <w:rPr>
                <w:rFonts w:ascii="Times New Roman" w:hAnsi="Times New Roman"/>
                <w:b/>
                <w:bCs/>
                <w:sz w:val="14"/>
                <w:szCs w:val="14"/>
                <w:lang w:val="ru-RU" w:eastAsia="bg-BG"/>
              </w:rPr>
            </w:pPr>
            <w:r w:rsidRPr="00761800">
              <w:rPr>
                <w:rFonts w:ascii="Times New Roman" w:hAnsi="Times New Roman"/>
                <w:b/>
                <w:bCs/>
                <w:sz w:val="14"/>
                <w:szCs w:val="14"/>
                <w:lang w:eastAsia="bg-BG"/>
              </w:rPr>
              <w:t>к.3=к.4+к.5</w:t>
            </w:r>
          </w:p>
        </w:tc>
        <w:tc>
          <w:tcPr>
            <w:tcW w:w="1416" w:type="dxa"/>
            <w:tcBorders>
              <w:bottom w:val="single" w:sz="4" w:space="0" w:color="auto"/>
            </w:tcBorders>
            <w:shd w:val="clear" w:color="auto" w:fill="F2F2F2"/>
            <w:noWrap/>
            <w:vAlign w:val="center"/>
            <w:hideMark/>
          </w:tcPr>
          <w:p w14:paraId="27A9FB1F" w14:textId="77777777" w:rsidR="00761800" w:rsidRPr="00761800" w:rsidRDefault="00761800" w:rsidP="00761800">
            <w:pPr>
              <w:ind w:right="-129"/>
              <w:jc w:val="center"/>
              <w:rPr>
                <w:rFonts w:ascii="Times New Roman" w:hAnsi="Times New Roman"/>
                <w:b/>
                <w:bCs/>
                <w:sz w:val="14"/>
                <w:szCs w:val="14"/>
                <w:lang w:val="ru-RU" w:eastAsia="bg-BG"/>
              </w:rPr>
            </w:pPr>
            <w:r w:rsidRPr="00761800">
              <w:rPr>
                <w:rFonts w:ascii="Times New Roman" w:hAnsi="Times New Roman"/>
                <w:b/>
                <w:bCs/>
                <w:sz w:val="14"/>
                <w:szCs w:val="14"/>
                <w:lang w:eastAsia="bg-BG"/>
              </w:rPr>
              <w:t>к.4</w:t>
            </w:r>
          </w:p>
        </w:tc>
        <w:tc>
          <w:tcPr>
            <w:tcW w:w="1500" w:type="dxa"/>
            <w:tcBorders>
              <w:bottom w:val="single" w:sz="4" w:space="0" w:color="auto"/>
            </w:tcBorders>
            <w:shd w:val="clear" w:color="auto" w:fill="F2F2F2"/>
            <w:noWrap/>
            <w:vAlign w:val="center"/>
            <w:hideMark/>
          </w:tcPr>
          <w:p w14:paraId="3F138CFC" w14:textId="77777777" w:rsidR="00761800" w:rsidRPr="00761800" w:rsidRDefault="00761800" w:rsidP="00761800">
            <w:pPr>
              <w:jc w:val="center"/>
              <w:rPr>
                <w:rFonts w:ascii="Times New Roman" w:hAnsi="Times New Roman"/>
                <w:b/>
                <w:bCs/>
                <w:sz w:val="14"/>
                <w:szCs w:val="14"/>
                <w:lang w:val="ru-RU" w:eastAsia="bg-BG"/>
              </w:rPr>
            </w:pPr>
            <w:r w:rsidRPr="00761800">
              <w:rPr>
                <w:rFonts w:ascii="Times New Roman" w:hAnsi="Times New Roman"/>
                <w:b/>
                <w:bCs/>
                <w:sz w:val="14"/>
                <w:szCs w:val="14"/>
                <w:lang w:eastAsia="bg-BG"/>
              </w:rPr>
              <w:t>к.5</w:t>
            </w:r>
          </w:p>
        </w:tc>
        <w:tc>
          <w:tcPr>
            <w:tcW w:w="1768" w:type="dxa"/>
            <w:tcBorders>
              <w:bottom w:val="single" w:sz="4" w:space="0" w:color="auto"/>
            </w:tcBorders>
            <w:shd w:val="clear" w:color="auto" w:fill="F2F2F2"/>
            <w:noWrap/>
            <w:vAlign w:val="center"/>
            <w:hideMark/>
          </w:tcPr>
          <w:p w14:paraId="6C146647" w14:textId="77777777" w:rsidR="00761800" w:rsidRPr="00761800" w:rsidRDefault="00761800" w:rsidP="00761800">
            <w:pPr>
              <w:jc w:val="center"/>
              <w:rPr>
                <w:rFonts w:ascii="Times New Roman" w:hAnsi="Times New Roman"/>
                <w:b/>
                <w:bCs/>
                <w:sz w:val="14"/>
                <w:szCs w:val="14"/>
                <w:lang w:val="ru-RU" w:eastAsia="bg-BG"/>
              </w:rPr>
            </w:pPr>
            <w:r w:rsidRPr="00761800">
              <w:rPr>
                <w:rFonts w:ascii="Times New Roman" w:hAnsi="Times New Roman"/>
                <w:b/>
                <w:bCs/>
                <w:sz w:val="14"/>
                <w:szCs w:val="14"/>
                <w:lang w:eastAsia="bg-BG"/>
              </w:rPr>
              <w:t>к.6=к.3:к.2</w:t>
            </w:r>
          </w:p>
        </w:tc>
      </w:tr>
      <w:tr w:rsidR="00761800" w:rsidRPr="00761800" w14:paraId="21920C01" w14:textId="77777777" w:rsidTr="00761800">
        <w:trPr>
          <w:trHeight w:val="109"/>
          <w:jc w:val="center"/>
        </w:trPr>
        <w:tc>
          <w:tcPr>
            <w:tcW w:w="6796" w:type="dxa"/>
            <w:tcBorders>
              <w:top w:val="single" w:sz="4" w:space="0" w:color="auto"/>
            </w:tcBorders>
            <w:shd w:val="clear" w:color="auto" w:fill="auto"/>
            <w:noWrap/>
            <w:vAlign w:val="center"/>
            <w:hideMark/>
          </w:tcPr>
          <w:p w14:paraId="773F788F" w14:textId="77777777" w:rsidR="00761800" w:rsidRPr="00761800" w:rsidRDefault="00761800" w:rsidP="00761800">
            <w:pPr>
              <w:jc w:val="both"/>
              <w:rPr>
                <w:rFonts w:ascii="Times New Roman" w:hAnsi="Times New Roman"/>
                <w:b/>
                <w:bCs/>
                <w:sz w:val="18"/>
                <w:szCs w:val="18"/>
                <w:lang w:val="ru-RU" w:eastAsia="bg-BG"/>
              </w:rPr>
            </w:pPr>
            <w:r w:rsidRPr="00761800">
              <w:rPr>
                <w:rFonts w:ascii="Times New Roman" w:hAnsi="Times New Roman"/>
                <w:b/>
                <w:bCs/>
                <w:sz w:val="18"/>
                <w:szCs w:val="18"/>
                <w:lang w:eastAsia="bg-BG"/>
              </w:rPr>
              <w:t>ПРИХОДИ, ПОМОЩИ И ДАРЕНИЯ</w:t>
            </w:r>
          </w:p>
        </w:tc>
        <w:tc>
          <w:tcPr>
            <w:tcW w:w="1683" w:type="dxa"/>
            <w:tcBorders>
              <w:top w:val="single" w:sz="4" w:space="0" w:color="auto"/>
            </w:tcBorders>
            <w:shd w:val="clear" w:color="auto" w:fill="auto"/>
            <w:noWrap/>
          </w:tcPr>
          <w:p w14:paraId="5900EEB3" w14:textId="77777777" w:rsidR="00761800" w:rsidRPr="00761800" w:rsidRDefault="00761800" w:rsidP="00761800">
            <w:pPr>
              <w:ind w:hanging="110"/>
              <w:jc w:val="right"/>
              <w:rPr>
                <w:rFonts w:ascii="Times New Roman" w:hAnsi="Times New Roman"/>
                <w:b/>
                <w:bCs/>
                <w:sz w:val="18"/>
                <w:szCs w:val="18"/>
                <w:lang w:eastAsia="bg-BG"/>
              </w:rPr>
            </w:pPr>
            <w:r w:rsidRPr="00761800">
              <w:rPr>
                <w:rFonts w:ascii="Times New Roman" w:hAnsi="Times New Roman"/>
                <w:b/>
                <w:bCs/>
                <w:sz w:val="18"/>
                <w:szCs w:val="18"/>
                <w:lang w:eastAsia="bg-BG"/>
              </w:rPr>
              <w:t>12 513,6</w:t>
            </w:r>
          </w:p>
        </w:tc>
        <w:tc>
          <w:tcPr>
            <w:tcW w:w="1559" w:type="dxa"/>
            <w:tcBorders>
              <w:top w:val="single" w:sz="4" w:space="0" w:color="auto"/>
            </w:tcBorders>
            <w:shd w:val="clear" w:color="auto" w:fill="F2F2F2"/>
            <w:noWrap/>
            <w:vAlign w:val="bottom"/>
          </w:tcPr>
          <w:p w14:paraId="13D22079"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14 071,1</w:t>
            </w:r>
          </w:p>
        </w:tc>
        <w:tc>
          <w:tcPr>
            <w:tcW w:w="1416" w:type="dxa"/>
            <w:tcBorders>
              <w:top w:val="single" w:sz="4" w:space="0" w:color="auto"/>
            </w:tcBorders>
            <w:shd w:val="clear" w:color="auto" w:fill="F2F2F2"/>
            <w:noWrap/>
            <w:vAlign w:val="bottom"/>
          </w:tcPr>
          <w:p w14:paraId="7F347475"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13 217,3</w:t>
            </w:r>
          </w:p>
        </w:tc>
        <w:tc>
          <w:tcPr>
            <w:tcW w:w="1500" w:type="dxa"/>
            <w:tcBorders>
              <w:top w:val="single" w:sz="4" w:space="0" w:color="auto"/>
            </w:tcBorders>
            <w:shd w:val="clear" w:color="auto" w:fill="F2F2F2"/>
            <w:noWrap/>
            <w:vAlign w:val="bottom"/>
          </w:tcPr>
          <w:p w14:paraId="1A6496AE"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853,8</w:t>
            </w:r>
          </w:p>
        </w:tc>
        <w:tc>
          <w:tcPr>
            <w:tcW w:w="1768" w:type="dxa"/>
            <w:tcBorders>
              <w:top w:val="single" w:sz="4" w:space="0" w:color="auto"/>
            </w:tcBorders>
            <w:shd w:val="clear" w:color="auto" w:fill="F2F2F2"/>
            <w:noWrap/>
            <w:vAlign w:val="bottom"/>
          </w:tcPr>
          <w:p w14:paraId="1FF55386"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112,4%</w:t>
            </w:r>
          </w:p>
        </w:tc>
      </w:tr>
      <w:tr w:rsidR="00761800" w:rsidRPr="00761800" w14:paraId="01207BCA" w14:textId="77777777" w:rsidTr="00761800">
        <w:trPr>
          <w:trHeight w:val="293"/>
          <w:jc w:val="center"/>
        </w:trPr>
        <w:tc>
          <w:tcPr>
            <w:tcW w:w="6796" w:type="dxa"/>
            <w:shd w:val="clear" w:color="auto" w:fill="auto"/>
            <w:noWrap/>
            <w:vAlign w:val="center"/>
            <w:hideMark/>
          </w:tcPr>
          <w:p w14:paraId="7AE35169" w14:textId="77777777" w:rsidR="00761800" w:rsidRPr="00761800" w:rsidRDefault="00761800" w:rsidP="00761800">
            <w:pPr>
              <w:jc w:val="both"/>
              <w:rPr>
                <w:rFonts w:ascii="Times New Roman" w:hAnsi="Times New Roman"/>
                <w:sz w:val="18"/>
                <w:szCs w:val="18"/>
                <w:lang w:val="ru-RU" w:eastAsia="bg-BG"/>
              </w:rPr>
            </w:pPr>
            <w:r w:rsidRPr="00761800">
              <w:rPr>
                <w:rFonts w:ascii="Times New Roman" w:hAnsi="Times New Roman"/>
                <w:sz w:val="18"/>
                <w:szCs w:val="18"/>
                <w:lang w:eastAsia="bg-BG"/>
              </w:rPr>
              <w:t>Данъчни приходи</w:t>
            </w:r>
          </w:p>
        </w:tc>
        <w:tc>
          <w:tcPr>
            <w:tcW w:w="1683" w:type="dxa"/>
            <w:shd w:val="clear" w:color="auto" w:fill="auto"/>
            <w:noWrap/>
          </w:tcPr>
          <w:p w14:paraId="7DB71B2F" w14:textId="77777777" w:rsidR="00761800" w:rsidRPr="00761800" w:rsidRDefault="00761800" w:rsidP="00761800">
            <w:pPr>
              <w:ind w:hanging="110"/>
              <w:jc w:val="right"/>
              <w:rPr>
                <w:rFonts w:ascii="Times New Roman" w:hAnsi="Times New Roman"/>
                <w:bCs/>
                <w:sz w:val="18"/>
                <w:szCs w:val="18"/>
                <w:lang w:val="ru-RU" w:eastAsia="bg-BG"/>
              </w:rPr>
            </w:pPr>
            <w:r w:rsidRPr="00761800">
              <w:rPr>
                <w:rFonts w:ascii="Times New Roman" w:hAnsi="Times New Roman"/>
                <w:bCs/>
                <w:sz w:val="18"/>
                <w:szCs w:val="18"/>
                <w:lang w:val="ru-RU" w:eastAsia="bg-BG"/>
              </w:rPr>
              <w:t>10 015,9</w:t>
            </w:r>
          </w:p>
        </w:tc>
        <w:tc>
          <w:tcPr>
            <w:tcW w:w="1559" w:type="dxa"/>
            <w:shd w:val="clear" w:color="auto" w:fill="F2F2F2"/>
            <w:noWrap/>
            <w:vAlign w:val="bottom"/>
          </w:tcPr>
          <w:p w14:paraId="749AC598"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11 465,9</w:t>
            </w:r>
          </w:p>
        </w:tc>
        <w:tc>
          <w:tcPr>
            <w:tcW w:w="1416" w:type="dxa"/>
            <w:shd w:val="clear" w:color="auto" w:fill="F2F2F2"/>
            <w:noWrap/>
            <w:vAlign w:val="bottom"/>
          </w:tcPr>
          <w:p w14:paraId="709B4B3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11 465,9</w:t>
            </w:r>
          </w:p>
        </w:tc>
        <w:tc>
          <w:tcPr>
            <w:tcW w:w="1500" w:type="dxa"/>
            <w:shd w:val="clear" w:color="auto" w:fill="F2F2F2"/>
            <w:noWrap/>
            <w:vAlign w:val="bottom"/>
          </w:tcPr>
          <w:p w14:paraId="10A20FBF"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0,0</w:t>
            </w:r>
          </w:p>
        </w:tc>
        <w:tc>
          <w:tcPr>
            <w:tcW w:w="1768" w:type="dxa"/>
            <w:shd w:val="clear" w:color="auto" w:fill="F2F2F2"/>
            <w:noWrap/>
            <w:vAlign w:val="bottom"/>
          </w:tcPr>
          <w:p w14:paraId="3442C8DC"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114,5%</w:t>
            </w:r>
          </w:p>
        </w:tc>
      </w:tr>
      <w:tr w:rsidR="00761800" w:rsidRPr="00761800" w14:paraId="74754BC7" w14:textId="77777777" w:rsidTr="00761800">
        <w:trPr>
          <w:trHeight w:val="269"/>
          <w:jc w:val="center"/>
        </w:trPr>
        <w:tc>
          <w:tcPr>
            <w:tcW w:w="6796" w:type="dxa"/>
            <w:shd w:val="clear" w:color="auto" w:fill="auto"/>
            <w:noWrap/>
            <w:vAlign w:val="center"/>
            <w:hideMark/>
          </w:tcPr>
          <w:p w14:paraId="56399C05" w14:textId="77777777" w:rsidR="00761800" w:rsidRPr="00761800" w:rsidRDefault="00761800" w:rsidP="00761800">
            <w:pPr>
              <w:jc w:val="both"/>
              <w:rPr>
                <w:rFonts w:ascii="Times New Roman" w:hAnsi="Times New Roman"/>
                <w:sz w:val="18"/>
                <w:szCs w:val="18"/>
                <w:lang w:val="en-US" w:eastAsia="bg-BG"/>
              </w:rPr>
            </w:pPr>
            <w:r w:rsidRPr="00761800">
              <w:rPr>
                <w:rFonts w:ascii="Times New Roman" w:hAnsi="Times New Roman"/>
                <w:sz w:val="18"/>
                <w:szCs w:val="18"/>
                <w:lang w:eastAsia="bg-BG"/>
              </w:rPr>
              <w:t xml:space="preserve">    Преки данъци</w:t>
            </w:r>
          </w:p>
        </w:tc>
        <w:tc>
          <w:tcPr>
            <w:tcW w:w="1683" w:type="dxa"/>
            <w:shd w:val="clear" w:color="auto" w:fill="auto"/>
            <w:noWrap/>
          </w:tcPr>
          <w:p w14:paraId="7B234906"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1 751,7</w:t>
            </w:r>
          </w:p>
        </w:tc>
        <w:tc>
          <w:tcPr>
            <w:tcW w:w="1559" w:type="dxa"/>
            <w:shd w:val="clear" w:color="auto" w:fill="F2F2F2"/>
            <w:noWrap/>
            <w:vAlign w:val="bottom"/>
          </w:tcPr>
          <w:p w14:paraId="13B5755A"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2 102,6</w:t>
            </w:r>
          </w:p>
        </w:tc>
        <w:tc>
          <w:tcPr>
            <w:tcW w:w="1416" w:type="dxa"/>
            <w:shd w:val="clear" w:color="auto" w:fill="F2F2F2"/>
            <w:noWrap/>
            <w:vAlign w:val="bottom"/>
          </w:tcPr>
          <w:p w14:paraId="3363AF13" w14:textId="77777777" w:rsidR="00761800" w:rsidRPr="00761800" w:rsidRDefault="00761800" w:rsidP="00761800">
            <w:pPr>
              <w:jc w:val="right"/>
              <w:rPr>
                <w:rFonts w:ascii="Times New Roman" w:hAnsi="Times New Roman"/>
                <w:sz w:val="18"/>
                <w:szCs w:val="18"/>
                <w:lang w:eastAsia="bg-BG"/>
              </w:rPr>
            </w:pPr>
            <w:r w:rsidRPr="00761800">
              <w:rPr>
                <w:rFonts w:ascii="Times New Roman" w:hAnsi="Times New Roman"/>
                <w:sz w:val="18"/>
                <w:szCs w:val="18"/>
                <w:lang w:eastAsia="bg-BG"/>
              </w:rPr>
              <w:t>2 102,6</w:t>
            </w:r>
          </w:p>
        </w:tc>
        <w:tc>
          <w:tcPr>
            <w:tcW w:w="1500" w:type="dxa"/>
            <w:shd w:val="clear" w:color="auto" w:fill="F2F2F2"/>
            <w:noWrap/>
          </w:tcPr>
          <w:p w14:paraId="12403A48" w14:textId="77777777" w:rsidR="00761800" w:rsidRPr="00761800" w:rsidRDefault="00761800" w:rsidP="00761800">
            <w:pPr>
              <w:jc w:val="right"/>
              <w:rPr>
                <w:rFonts w:ascii="Times New Roman" w:hAnsi="Times New Roman"/>
                <w:bCs/>
                <w:sz w:val="18"/>
                <w:szCs w:val="18"/>
                <w:lang w:eastAsia="bg-BG"/>
              </w:rPr>
            </w:pPr>
          </w:p>
        </w:tc>
        <w:tc>
          <w:tcPr>
            <w:tcW w:w="1768" w:type="dxa"/>
            <w:shd w:val="clear" w:color="auto" w:fill="F2F2F2"/>
            <w:noWrap/>
            <w:hideMark/>
          </w:tcPr>
          <w:p w14:paraId="45088F7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120,0%</w:t>
            </w:r>
          </w:p>
        </w:tc>
      </w:tr>
      <w:tr w:rsidR="00761800" w:rsidRPr="00761800" w14:paraId="369C409E" w14:textId="77777777" w:rsidTr="00761800">
        <w:trPr>
          <w:trHeight w:val="287"/>
          <w:jc w:val="center"/>
        </w:trPr>
        <w:tc>
          <w:tcPr>
            <w:tcW w:w="6796" w:type="dxa"/>
            <w:shd w:val="clear" w:color="auto" w:fill="auto"/>
            <w:noWrap/>
            <w:vAlign w:val="center"/>
            <w:hideMark/>
          </w:tcPr>
          <w:p w14:paraId="52E91949" w14:textId="77777777" w:rsidR="00761800" w:rsidRPr="00761800" w:rsidRDefault="00761800" w:rsidP="00761800">
            <w:pPr>
              <w:jc w:val="both"/>
              <w:rPr>
                <w:rFonts w:ascii="Times New Roman" w:hAnsi="Times New Roman"/>
                <w:sz w:val="18"/>
                <w:szCs w:val="18"/>
                <w:lang w:val="en-US" w:eastAsia="bg-BG"/>
              </w:rPr>
            </w:pPr>
            <w:r w:rsidRPr="00761800">
              <w:rPr>
                <w:rFonts w:ascii="Times New Roman" w:hAnsi="Times New Roman"/>
                <w:sz w:val="18"/>
                <w:szCs w:val="18"/>
                <w:lang w:eastAsia="bg-BG"/>
              </w:rPr>
              <w:t xml:space="preserve">    Косвени данъци </w:t>
            </w:r>
          </w:p>
        </w:tc>
        <w:tc>
          <w:tcPr>
            <w:tcW w:w="1683" w:type="dxa"/>
            <w:shd w:val="clear" w:color="auto" w:fill="auto"/>
            <w:noWrap/>
          </w:tcPr>
          <w:p w14:paraId="537BF96F"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4 430,5</w:t>
            </w:r>
          </w:p>
        </w:tc>
        <w:tc>
          <w:tcPr>
            <w:tcW w:w="1559" w:type="dxa"/>
            <w:shd w:val="clear" w:color="auto" w:fill="F2F2F2"/>
            <w:noWrap/>
          </w:tcPr>
          <w:p w14:paraId="561CF116"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5 037,7</w:t>
            </w:r>
          </w:p>
        </w:tc>
        <w:tc>
          <w:tcPr>
            <w:tcW w:w="1416" w:type="dxa"/>
            <w:shd w:val="clear" w:color="auto" w:fill="F2F2F2"/>
            <w:noWrap/>
          </w:tcPr>
          <w:p w14:paraId="2F59CA0F"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5 037,7</w:t>
            </w:r>
          </w:p>
        </w:tc>
        <w:tc>
          <w:tcPr>
            <w:tcW w:w="1500" w:type="dxa"/>
            <w:shd w:val="clear" w:color="auto" w:fill="F2F2F2"/>
            <w:noWrap/>
          </w:tcPr>
          <w:p w14:paraId="22A97EF6" w14:textId="77777777" w:rsidR="00761800" w:rsidRPr="00761800" w:rsidRDefault="00761800" w:rsidP="00761800">
            <w:pPr>
              <w:jc w:val="right"/>
              <w:rPr>
                <w:rFonts w:ascii="Times New Roman" w:hAnsi="Times New Roman"/>
                <w:bCs/>
                <w:sz w:val="18"/>
                <w:szCs w:val="18"/>
                <w:lang w:eastAsia="bg-BG"/>
              </w:rPr>
            </w:pPr>
          </w:p>
        </w:tc>
        <w:tc>
          <w:tcPr>
            <w:tcW w:w="1768" w:type="dxa"/>
            <w:shd w:val="clear" w:color="auto" w:fill="F2F2F2"/>
            <w:noWrap/>
            <w:hideMark/>
          </w:tcPr>
          <w:p w14:paraId="5B787137"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113,7%</w:t>
            </w:r>
          </w:p>
        </w:tc>
      </w:tr>
      <w:tr w:rsidR="00761800" w:rsidRPr="00761800" w14:paraId="56D39B1A" w14:textId="77777777" w:rsidTr="00761800">
        <w:trPr>
          <w:trHeight w:val="128"/>
          <w:jc w:val="center"/>
        </w:trPr>
        <w:tc>
          <w:tcPr>
            <w:tcW w:w="6796" w:type="dxa"/>
            <w:shd w:val="clear" w:color="auto" w:fill="auto"/>
            <w:noWrap/>
            <w:vAlign w:val="center"/>
            <w:hideMark/>
          </w:tcPr>
          <w:p w14:paraId="2367CDFC"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Приходи от социални и здравноосиг. вноски</w:t>
            </w:r>
          </w:p>
        </w:tc>
        <w:tc>
          <w:tcPr>
            <w:tcW w:w="1683" w:type="dxa"/>
            <w:shd w:val="clear" w:color="auto" w:fill="auto"/>
            <w:noWrap/>
          </w:tcPr>
          <w:p w14:paraId="6055F531"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3 232,6</w:t>
            </w:r>
          </w:p>
        </w:tc>
        <w:tc>
          <w:tcPr>
            <w:tcW w:w="1559" w:type="dxa"/>
            <w:shd w:val="clear" w:color="auto" w:fill="F2F2F2"/>
            <w:noWrap/>
          </w:tcPr>
          <w:p w14:paraId="5CAC3EED" w14:textId="77777777" w:rsidR="00761800" w:rsidRPr="00761800" w:rsidRDefault="00761800" w:rsidP="00761800">
            <w:pPr>
              <w:jc w:val="right"/>
              <w:rPr>
                <w:rFonts w:ascii="Times New Roman" w:hAnsi="Times New Roman"/>
                <w:bCs/>
                <w:sz w:val="18"/>
                <w:szCs w:val="18"/>
                <w:lang w:val="ru-RU" w:eastAsia="bg-BG"/>
              </w:rPr>
            </w:pPr>
            <w:r w:rsidRPr="00761800">
              <w:rPr>
                <w:rFonts w:ascii="Times New Roman" w:hAnsi="Times New Roman"/>
                <w:bCs/>
                <w:sz w:val="18"/>
                <w:szCs w:val="18"/>
                <w:lang w:val="ru-RU" w:eastAsia="bg-BG"/>
              </w:rPr>
              <w:t>3 721,0</w:t>
            </w:r>
          </w:p>
        </w:tc>
        <w:tc>
          <w:tcPr>
            <w:tcW w:w="1416" w:type="dxa"/>
            <w:shd w:val="clear" w:color="auto" w:fill="F2F2F2"/>
            <w:noWrap/>
          </w:tcPr>
          <w:p w14:paraId="56F6FA0A" w14:textId="77777777" w:rsidR="00761800" w:rsidRPr="00761800" w:rsidRDefault="00761800" w:rsidP="00761800">
            <w:pPr>
              <w:jc w:val="right"/>
              <w:rPr>
                <w:rFonts w:ascii="Times New Roman" w:hAnsi="Times New Roman"/>
                <w:bCs/>
                <w:sz w:val="18"/>
                <w:szCs w:val="18"/>
                <w:lang w:val="ru-RU" w:eastAsia="bg-BG"/>
              </w:rPr>
            </w:pPr>
            <w:r w:rsidRPr="00761800">
              <w:rPr>
                <w:rFonts w:ascii="Times New Roman" w:hAnsi="Times New Roman"/>
                <w:bCs/>
                <w:sz w:val="18"/>
                <w:szCs w:val="18"/>
                <w:lang w:val="ru-RU" w:eastAsia="bg-BG"/>
              </w:rPr>
              <w:t>3 721,0</w:t>
            </w:r>
          </w:p>
        </w:tc>
        <w:tc>
          <w:tcPr>
            <w:tcW w:w="1500" w:type="dxa"/>
            <w:shd w:val="clear" w:color="auto" w:fill="F2F2F2"/>
            <w:noWrap/>
          </w:tcPr>
          <w:p w14:paraId="5BE339B5" w14:textId="77777777" w:rsidR="00761800" w:rsidRPr="00761800" w:rsidRDefault="00761800" w:rsidP="00761800">
            <w:pPr>
              <w:jc w:val="right"/>
              <w:rPr>
                <w:rFonts w:ascii="Times New Roman" w:hAnsi="Times New Roman"/>
                <w:bCs/>
                <w:sz w:val="18"/>
                <w:szCs w:val="18"/>
                <w:lang w:eastAsia="bg-BG"/>
              </w:rPr>
            </w:pPr>
          </w:p>
        </w:tc>
        <w:tc>
          <w:tcPr>
            <w:tcW w:w="1768" w:type="dxa"/>
            <w:shd w:val="clear" w:color="auto" w:fill="F2F2F2"/>
            <w:noWrap/>
            <w:hideMark/>
          </w:tcPr>
          <w:p w14:paraId="3729BA0F"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115,1%</w:t>
            </w:r>
          </w:p>
        </w:tc>
      </w:tr>
      <w:tr w:rsidR="00761800" w:rsidRPr="00761800" w14:paraId="74EF2915" w14:textId="77777777" w:rsidTr="00761800">
        <w:trPr>
          <w:trHeight w:val="307"/>
          <w:jc w:val="center"/>
        </w:trPr>
        <w:tc>
          <w:tcPr>
            <w:tcW w:w="6796" w:type="dxa"/>
            <w:shd w:val="clear" w:color="auto" w:fill="auto"/>
            <w:noWrap/>
            <w:vAlign w:val="center"/>
            <w:hideMark/>
          </w:tcPr>
          <w:p w14:paraId="0EF2237E" w14:textId="77777777" w:rsidR="00761800" w:rsidRPr="00761800" w:rsidRDefault="00761800" w:rsidP="00761800">
            <w:pPr>
              <w:jc w:val="both"/>
              <w:rPr>
                <w:rFonts w:ascii="Times New Roman" w:hAnsi="Times New Roman"/>
                <w:sz w:val="18"/>
                <w:szCs w:val="18"/>
                <w:lang w:val="ru-RU" w:eastAsia="bg-BG"/>
              </w:rPr>
            </w:pPr>
            <w:r w:rsidRPr="00761800">
              <w:rPr>
                <w:rFonts w:ascii="Times New Roman" w:hAnsi="Times New Roman"/>
                <w:sz w:val="18"/>
                <w:szCs w:val="18"/>
                <w:lang w:eastAsia="bg-BG"/>
              </w:rPr>
              <w:t xml:space="preserve">    Други данъци</w:t>
            </w:r>
          </w:p>
        </w:tc>
        <w:tc>
          <w:tcPr>
            <w:tcW w:w="1683" w:type="dxa"/>
            <w:shd w:val="clear" w:color="auto" w:fill="auto"/>
            <w:noWrap/>
          </w:tcPr>
          <w:p w14:paraId="7A485397"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601,1</w:t>
            </w:r>
          </w:p>
        </w:tc>
        <w:tc>
          <w:tcPr>
            <w:tcW w:w="1559" w:type="dxa"/>
            <w:shd w:val="clear" w:color="auto" w:fill="F2F2F2"/>
            <w:noWrap/>
          </w:tcPr>
          <w:p w14:paraId="43BBB83F" w14:textId="77777777" w:rsidR="00761800" w:rsidRPr="00761800" w:rsidRDefault="00761800" w:rsidP="00761800">
            <w:pPr>
              <w:jc w:val="right"/>
              <w:rPr>
                <w:rFonts w:ascii="Times New Roman" w:hAnsi="Times New Roman"/>
                <w:bCs/>
                <w:sz w:val="18"/>
                <w:szCs w:val="18"/>
                <w:lang w:val="ru-RU" w:eastAsia="bg-BG"/>
              </w:rPr>
            </w:pPr>
            <w:r w:rsidRPr="00761800">
              <w:rPr>
                <w:rFonts w:ascii="Times New Roman" w:hAnsi="Times New Roman"/>
                <w:bCs/>
                <w:sz w:val="18"/>
                <w:szCs w:val="18"/>
                <w:lang w:val="ru-RU" w:eastAsia="bg-BG"/>
              </w:rPr>
              <w:t>604,5</w:t>
            </w:r>
          </w:p>
        </w:tc>
        <w:tc>
          <w:tcPr>
            <w:tcW w:w="1416" w:type="dxa"/>
            <w:shd w:val="clear" w:color="auto" w:fill="F2F2F2"/>
            <w:noWrap/>
          </w:tcPr>
          <w:p w14:paraId="13983469"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604,5</w:t>
            </w:r>
          </w:p>
        </w:tc>
        <w:tc>
          <w:tcPr>
            <w:tcW w:w="1500" w:type="dxa"/>
            <w:shd w:val="clear" w:color="auto" w:fill="F2F2F2"/>
            <w:noWrap/>
          </w:tcPr>
          <w:p w14:paraId="511F6CB8" w14:textId="77777777" w:rsidR="00761800" w:rsidRPr="00761800" w:rsidRDefault="00761800" w:rsidP="00761800">
            <w:pPr>
              <w:jc w:val="right"/>
              <w:rPr>
                <w:rFonts w:ascii="Times New Roman" w:hAnsi="Times New Roman"/>
                <w:bCs/>
                <w:sz w:val="18"/>
                <w:szCs w:val="18"/>
                <w:lang w:eastAsia="bg-BG"/>
              </w:rPr>
            </w:pPr>
          </w:p>
        </w:tc>
        <w:tc>
          <w:tcPr>
            <w:tcW w:w="1768" w:type="dxa"/>
            <w:shd w:val="clear" w:color="auto" w:fill="F2F2F2"/>
            <w:noWrap/>
            <w:hideMark/>
          </w:tcPr>
          <w:p w14:paraId="3D9AC11C"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100,6%</w:t>
            </w:r>
          </w:p>
        </w:tc>
      </w:tr>
      <w:tr w:rsidR="00761800" w:rsidRPr="00761800" w14:paraId="3D72D15F" w14:textId="77777777" w:rsidTr="00761800">
        <w:trPr>
          <w:trHeight w:val="50"/>
          <w:jc w:val="center"/>
        </w:trPr>
        <w:tc>
          <w:tcPr>
            <w:tcW w:w="6796" w:type="dxa"/>
            <w:shd w:val="clear" w:color="auto" w:fill="auto"/>
            <w:noWrap/>
            <w:vAlign w:val="center"/>
            <w:hideMark/>
          </w:tcPr>
          <w:p w14:paraId="160809A3" w14:textId="77777777" w:rsidR="00761800" w:rsidRPr="00761800" w:rsidRDefault="00761800" w:rsidP="00761800">
            <w:pPr>
              <w:jc w:val="both"/>
              <w:rPr>
                <w:rFonts w:ascii="Times New Roman" w:hAnsi="Times New Roman"/>
                <w:sz w:val="18"/>
                <w:szCs w:val="18"/>
                <w:lang w:val="en-US" w:eastAsia="bg-BG"/>
              </w:rPr>
            </w:pPr>
            <w:r w:rsidRPr="00761800">
              <w:rPr>
                <w:rFonts w:ascii="Times New Roman" w:hAnsi="Times New Roman"/>
                <w:sz w:val="18"/>
                <w:szCs w:val="18"/>
                <w:lang w:eastAsia="bg-BG"/>
              </w:rPr>
              <w:t>Неданъчни приходи</w:t>
            </w:r>
          </w:p>
        </w:tc>
        <w:tc>
          <w:tcPr>
            <w:tcW w:w="1683" w:type="dxa"/>
            <w:shd w:val="clear" w:color="auto" w:fill="auto"/>
            <w:noWrap/>
          </w:tcPr>
          <w:p w14:paraId="4D666132"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2 007,8</w:t>
            </w:r>
          </w:p>
        </w:tc>
        <w:tc>
          <w:tcPr>
            <w:tcW w:w="1559" w:type="dxa"/>
            <w:shd w:val="clear" w:color="auto" w:fill="F2F2F2"/>
            <w:noWrap/>
          </w:tcPr>
          <w:p w14:paraId="6BAB90B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1 701,4</w:t>
            </w:r>
          </w:p>
        </w:tc>
        <w:tc>
          <w:tcPr>
            <w:tcW w:w="1416" w:type="dxa"/>
            <w:shd w:val="clear" w:color="auto" w:fill="F2F2F2"/>
            <w:noWrap/>
          </w:tcPr>
          <w:p w14:paraId="2FDC406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1 702,4</w:t>
            </w:r>
          </w:p>
        </w:tc>
        <w:tc>
          <w:tcPr>
            <w:tcW w:w="1500" w:type="dxa"/>
            <w:shd w:val="clear" w:color="auto" w:fill="F2F2F2"/>
            <w:noWrap/>
          </w:tcPr>
          <w:p w14:paraId="2F9FB3F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-1,0</w:t>
            </w:r>
          </w:p>
        </w:tc>
        <w:tc>
          <w:tcPr>
            <w:tcW w:w="1768" w:type="dxa"/>
            <w:shd w:val="clear" w:color="auto" w:fill="F2F2F2"/>
            <w:noWrap/>
            <w:hideMark/>
          </w:tcPr>
          <w:p w14:paraId="1CC7F0EF"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84,7%</w:t>
            </w:r>
          </w:p>
        </w:tc>
      </w:tr>
      <w:tr w:rsidR="00761800" w:rsidRPr="00761800" w14:paraId="132BF876" w14:textId="77777777" w:rsidTr="00761800">
        <w:trPr>
          <w:trHeight w:val="273"/>
          <w:jc w:val="center"/>
        </w:trPr>
        <w:tc>
          <w:tcPr>
            <w:tcW w:w="6796" w:type="dxa"/>
            <w:shd w:val="clear" w:color="auto" w:fill="auto"/>
            <w:noWrap/>
            <w:vAlign w:val="center"/>
            <w:hideMark/>
          </w:tcPr>
          <w:p w14:paraId="78D70D77" w14:textId="77777777" w:rsidR="00761800" w:rsidRPr="00761800" w:rsidRDefault="00761800" w:rsidP="00761800">
            <w:pPr>
              <w:jc w:val="both"/>
              <w:rPr>
                <w:rFonts w:ascii="Times New Roman" w:hAnsi="Times New Roman"/>
                <w:sz w:val="18"/>
                <w:szCs w:val="18"/>
                <w:lang w:val="en-US" w:eastAsia="bg-BG"/>
              </w:rPr>
            </w:pPr>
            <w:r w:rsidRPr="00761800">
              <w:rPr>
                <w:rFonts w:ascii="Times New Roman" w:hAnsi="Times New Roman"/>
                <w:sz w:val="18"/>
                <w:szCs w:val="18"/>
                <w:lang w:eastAsia="bg-BG"/>
              </w:rPr>
              <w:t>Помощи и дарения</w:t>
            </w:r>
          </w:p>
        </w:tc>
        <w:tc>
          <w:tcPr>
            <w:tcW w:w="1683" w:type="dxa"/>
            <w:shd w:val="clear" w:color="auto" w:fill="auto"/>
            <w:noWrap/>
          </w:tcPr>
          <w:p w14:paraId="6D2C73E8"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490,0</w:t>
            </w:r>
          </w:p>
        </w:tc>
        <w:tc>
          <w:tcPr>
            <w:tcW w:w="1559" w:type="dxa"/>
            <w:shd w:val="clear" w:color="auto" w:fill="F2F2F2"/>
            <w:noWrap/>
          </w:tcPr>
          <w:p w14:paraId="5D6777DA"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903,8</w:t>
            </w:r>
          </w:p>
        </w:tc>
        <w:tc>
          <w:tcPr>
            <w:tcW w:w="1416" w:type="dxa"/>
            <w:shd w:val="clear" w:color="auto" w:fill="F2F2F2"/>
            <w:noWrap/>
          </w:tcPr>
          <w:p w14:paraId="656DC7AD"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49,1</w:t>
            </w:r>
          </w:p>
        </w:tc>
        <w:tc>
          <w:tcPr>
            <w:tcW w:w="1500" w:type="dxa"/>
            <w:shd w:val="clear" w:color="auto" w:fill="F2F2F2"/>
            <w:noWrap/>
          </w:tcPr>
          <w:p w14:paraId="3F921DC0"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 854,8</w:t>
            </w:r>
          </w:p>
        </w:tc>
        <w:tc>
          <w:tcPr>
            <w:tcW w:w="1768" w:type="dxa"/>
            <w:shd w:val="clear" w:color="auto" w:fill="F2F2F2"/>
            <w:noWrap/>
            <w:hideMark/>
          </w:tcPr>
          <w:p w14:paraId="638C29C9"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184,5%</w:t>
            </w:r>
          </w:p>
        </w:tc>
      </w:tr>
      <w:tr w:rsidR="00761800" w:rsidRPr="00761800" w14:paraId="36BD1028" w14:textId="77777777" w:rsidTr="00761800">
        <w:trPr>
          <w:trHeight w:val="149"/>
          <w:jc w:val="center"/>
        </w:trPr>
        <w:tc>
          <w:tcPr>
            <w:tcW w:w="6796" w:type="dxa"/>
            <w:shd w:val="clear" w:color="auto" w:fill="auto"/>
            <w:vAlign w:val="center"/>
            <w:hideMark/>
          </w:tcPr>
          <w:p w14:paraId="18E784B0" w14:textId="77777777" w:rsidR="00761800" w:rsidRPr="00761800" w:rsidRDefault="00761800" w:rsidP="00761800">
            <w:pPr>
              <w:jc w:val="both"/>
              <w:rPr>
                <w:rFonts w:ascii="Times New Roman" w:hAnsi="Times New Roman"/>
                <w:b/>
                <w:bCs/>
                <w:sz w:val="18"/>
                <w:szCs w:val="18"/>
                <w:lang w:eastAsia="bg-BG"/>
              </w:rPr>
            </w:pPr>
            <w:r w:rsidRPr="00761800">
              <w:rPr>
                <w:rFonts w:ascii="Times New Roman" w:hAnsi="Times New Roman"/>
                <w:b/>
                <w:bCs/>
                <w:sz w:val="18"/>
                <w:szCs w:val="18"/>
                <w:lang w:eastAsia="bg-BG"/>
              </w:rPr>
              <w:t>РАЗХОДИ И ВНОСКА В БЮДЖЕТА НА ЕС</w:t>
            </w:r>
          </w:p>
        </w:tc>
        <w:tc>
          <w:tcPr>
            <w:tcW w:w="1683" w:type="dxa"/>
            <w:shd w:val="clear" w:color="auto" w:fill="auto"/>
            <w:noWrap/>
          </w:tcPr>
          <w:p w14:paraId="04DA01CC" w14:textId="77777777" w:rsidR="00761800" w:rsidRPr="00761800" w:rsidRDefault="00761800" w:rsidP="00761800">
            <w:pPr>
              <w:ind w:hanging="110"/>
              <w:jc w:val="right"/>
              <w:rPr>
                <w:rFonts w:ascii="Times New Roman" w:hAnsi="Times New Roman"/>
                <w:b/>
                <w:bCs/>
                <w:sz w:val="18"/>
                <w:szCs w:val="18"/>
                <w:lang w:eastAsia="bg-BG"/>
              </w:rPr>
            </w:pPr>
            <w:r w:rsidRPr="00761800">
              <w:rPr>
                <w:rFonts w:ascii="Times New Roman" w:hAnsi="Times New Roman"/>
                <w:b/>
                <w:bCs/>
                <w:sz w:val="18"/>
                <w:szCs w:val="18"/>
                <w:lang w:eastAsia="bg-BG"/>
              </w:rPr>
              <w:t>13 492,4</w:t>
            </w:r>
          </w:p>
        </w:tc>
        <w:tc>
          <w:tcPr>
            <w:tcW w:w="1559" w:type="dxa"/>
            <w:shd w:val="clear" w:color="auto" w:fill="F2F2F2"/>
            <w:noWrap/>
          </w:tcPr>
          <w:p w14:paraId="3A83A8E1"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15 832,3</w:t>
            </w:r>
          </w:p>
        </w:tc>
        <w:tc>
          <w:tcPr>
            <w:tcW w:w="1416" w:type="dxa"/>
            <w:shd w:val="clear" w:color="auto" w:fill="F2F2F2"/>
            <w:noWrap/>
          </w:tcPr>
          <w:p w14:paraId="67F29B4C"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14 717,0</w:t>
            </w:r>
          </w:p>
        </w:tc>
        <w:tc>
          <w:tcPr>
            <w:tcW w:w="1500" w:type="dxa"/>
            <w:shd w:val="clear" w:color="auto" w:fill="F2F2F2"/>
            <w:noWrap/>
          </w:tcPr>
          <w:p w14:paraId="613CB176"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1 115,2</w:t>
            </w:r>
          </w:p>
        </w:tc>
        <w:tc>
          <w:tcPr>
            <w:tcW w:w="1768" w:type="dxa"/>
            <w:shd w:val="clear" w:color="auto" w:fill="F2F2F2"/>
            <w:noWrap/>
          </w:tcPr>
          <w:p w14:paraId="7070E98F"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117,3%</w:t>
            </w:r>
          </w:p>
        </w:tc>
      </w:tr>
      <w:tr w:rsidR="00761800" w:rsidRPr="00761800" w14:paraId="438063B5" w14:textId="77777777" w:rsidTr="00761800">
        <w:trPr>
          <w:trHeight w:val="267"/>
          <w:jc w:val="center"/>
        </w:trPr>
        <w:tc>
          <w:tcPr>
            <w:tcW w:w="6796" w:type="dxa"/>
            <w:shd w:val="clear" w:color="auto" w:fill="auto"/>
            <w:noWrap/>
            <w:vAlign w:val="center"/>
            <w:hideMark/>
          </w:tcPr>
          <w:p w14:paraId="0E219617" w14:textId="77777777" w:rsidR="00761800" w:rsidRPr="00761800" w:rsidRDefault="00761800" w:rsidP="00761800">
            <w:pPr>
              <w:jc w:val="both"/>
              <w:rPr>
                <w:rFonts w:ascii="Times New Roman" w:hAnsi="Times New Roman"/>
                <w:sz w:val="18"/>
                <w:szCs w:val="18"/>
                <w:lang w:val="ru-RU" w:eastAsia="bg-BG"/>
              </w:rPr>
            </w:pPr>
            <w:r w:rsidRPr="00761800">
              <w:rPr>
                <w:rFonts w:ascii="Times New Roman" w:hAnsi="Times New Roman"/>
                <w:sz w:val="18"/>
                <w:szCs w:val="18"/>
                <w:lang w:eastAsia="bg-BG"/>
              </w:rPr>
              <w:t xml:space="preserve"> Нелихвени</w:t>
            </w:r>
          </w:p>
        </w:tc>
        <w:tc>
          <w:tcPr>
            <w:tcW w:w="1683" w:type="dxa"/>
            <w:shd w:val="clear" w:color="auto" w:fill="auto"/>
            <w:noWrap/>
          </w:tcPr>
          <w:p w14:paraId="3987B5BD"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12 934,6</w:t>
            </w:r>
          </w:p>
        </w:tc>
        <w:tc>
          <w:tcPr>
            <w:tcW w:w="1559" w:type="dxa"/>
            <w:shd w:val="clear" w:color="auto" w:fill="F2F2F2"/>
            <w:noWrap/>
          </w:tcPr>
          <w:p w14:paraId="2653F52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15 241,3</w:t>
            </w:r>
          </w:p>
        </w:tc>
        <w:tc>
          <w:tcPr>
            <w:tcW w:w="1416" w:type="dxa"/>
            <w:shd w:val="clear" w:color="auto" w:fill="F2F2F2"/>
            <w:noWrap/>
          </w:tcPr>
          <w:p w14:paraId="7DF04BFA"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14 126,0</w:t>
            </w:r>
          </w:p>
        </w:tc>
        <w:tc>
          <w:tcPr>
            <w:tcW w:w="1500" w:type="dxa"/>
            <w:shd w:val="clear" w:color="auto" w:fill="F2F2F2"/>
            <w:noWrap/>
          </w:tcPr>
          <w:p w14:paraId="069FB73A"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1 115,2</w:t>
            </w:r>
          </w:p>
        </w:tc>
        <w:tc>
          <w:tcPr>
            <w:tcW w:w="1768" w:type="dxa"/>
            <w:shd w:val="clear" w:color="auto" w:fill="F2F2F2"/>
            <w:noWrap/>
          </w:tcPr>
          <w:p w14:paraId="3844D3DC"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117,8%</w:t>
            </w:r>
          </w:p>
        </w:tc>
      </w:tr>
      <w:tr w:rsidR="00761800" w:rsidRPr="00761800" w14:paraId="41097303" w14:textId="77777777" w:rsidTr="00761800">
        <w:trPr>
          <w:trHeight w:val="192"/>
          <w:jc w:val="center"/>
        </w:trPr>
        <w:tc>
          <w:tcPr>
            <w:tcW w:w="6796" w:type="dxa"/>
            <w:shd w:val="clear" w:color="auto" w:fill="auto"/>
            <w:noWrap/>
            <w:vAlign w:val="center"/>
          </w:tcPr>
          <w:p w14:paraId="2F7DE6DB" w14:textId="77777777" w:rsidR="00761800" w:rsidRPr="00761800" w:rsidRDefault="00761800" w:rsidP="00761800">
            <w:pPr>
              <w:jc w:val="both"/>
              <w:rPr>
                <w:rFonts w:ascii="Times New Roman" w:hAnsi="Times New Roman"/>
                <w:sz w:val="18"/>
                <w:szCs w:val="18"/>
                <w:lang w:val="en-US" w:eastAsia="bg-BG"/>
              </w:rPr>
            </w:pPr>
            <w:r w:rsidRPr="00761800">
              <w:rPr>
                <w:rFonts w:ascii="Times New Roman" w:hAnsi="Times New Roman"/>
                <w:sz w:val="18"/>
                <w:szCs w:val="18"/>
                <w:lang w:eastAsia="bg-BG"/>
              </w:rPr>
              <w:t xml:space="preserve">     Текущи</w:t>
            </w:r>
          </w:p>
        </w:tc>
        <w:tc>
          <w:tcPr>
            <w:tcW w:w="1683" w:type="dxa"/>
            <w:shd w:val="clear" w:color="auto" w:fill="auto"/>
            <w:noWrap/>
          </w:tcPr>
          <w:p w14:paraId="0C0E19B5"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11 946,7</w:t>
            </w:r>
          </w:p>
        </w:tc>
        <w:tc>
          <w:tcPr>
            <w:tcW w:w="1559" w:type="dxa"/>
            <w:shd w:val="clear" w:color="auto" w:fill="F2F2F2"/>
            <w:noWrap/>
          </w:tcPr>
          <w:p w14:paraId="13FCE66F" w14:textId="77777777" w:rsidR="00761800" w:rsidRPr="00761800" w:rsidRDefault="00761800" w:rsidP="00761800">
            <w:pPr>
              <w:jc w:val="right"/>
              <w:rPr>
                <w:rFonts w:ascii="Times New Roman" w:hAnsi="Times New Roman"/>
                <w:bCs/>
                <w:sz w:val="18"/>
                <w:szCs w:val="18"/>
                <w:lang w:val="ru-RU" w:eastAsia="bg-BG"/>
              </w:rPr>
            </w:pPr>
            <w:r w:rsidRPr="00761800">
              <w:rPr>
                <w:rFonts w:ascii="Times New Roman" w:hAnsi="Times New Roman"/>
                <w:bCs/>
                <w:sz w:val="18"/>
                <w:szCs w:val="18"/>
                <w:lang w:val="ru-RU" w:eastAsia="bg-BG"/>
              </w:rPr>
              <w:t>13 746,2</w:t>
            </w:r>
          </w:p>
        </w:tc>
        <w:tc>
          <w:tcPr>
            <w:tcW w:w="1416" w:type="dxa"/>
            <w:shd w:val="clear" w:color="auto" w:fill="F2F2F2"/>
            <w:noWrap/>
          </w:tcPr>
          <w:p w14:paraId="6820F43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13 349,5</w:t>
            </w:r>
          </w:p>
        </w:tc>
        <w:tc>
          <w:tcPr>
            <w:tcW w:w="1500" w:type="dxa"/>
            <w:shd w:val="clear" w:color="auto" w:fill="F2F2F2"/>
            <w:noWrap/>
          </w:tcPr>
          <w:p w14:paraId="534584D2"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396,6</w:t>
            </w:r>
          </w:p>
        </w:tc>
        <w:tc>
          <w:tcPr>
            <w:tcW w:w="1768" w:type="dxa"/>
            <w:shd w:val="clear" w:color="auto" w:fill="F2F2F2"/>
            <w:noWrap/>
          </w:tcPr>
          <w:p w14:paraId="2D0557E3"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115,1%</w:t>
            </w:r>
          </w:p>
        </w:tc>
      </w:tr>
      <w:tr w:rsidR="00761800" w:rsidRPr="00761800" w14:paraId="20073502" w14:textId="77777777" w:rsidTr="00761800">
        <w:trPr>
          <w:trHeight w:val="231"/>
          <w:jc w:val="center"/>
        </w:trPr>
        <w:tc>
          <w:tcPr>
            <w:tcW w:w="6796" w:type="dxa"/>
            <w:shd w:val="clear" w:color="auto" w:fill="auto"/>
            <w:noWrap/>
            <w:vAlign w:val="center"/>
          </w:tcPr>
          <w:p w14:paraId="228E01E0" w14:textId="77777777" w:rsidR="00761800" w:rsidRPr="00761800" w:rsidRDefault="00761800" w:rsidP="00761800">
            <w:pPr>
              <w:jc w:val="both"/>
              <w:rPr>
                <w:rFonts w:ascii="Times New Roman" w:hAnsi="Times New Roman"/>
                <w:sz w:val="18"/>
                <w:szCs w:val="18"/>
                <w:lang w:val="en-US" w:eastAsia="bg-BG"/>
              </w:rPr>
            </w:pPr>
            <w:r w:rsidRPr="00761800">
              <w:rPr>
                <w:rFonts w:ascii="Times New Roman" w:hAnsi="Times New Roman"/>
                <w:sz w:val="18"/>
                <w:szCs w:val="18"/>
                <w:lang w:eastAsia="bg-BG"/>
              </w:rPr>
              <w:t xml:space="preserve">     Капиталови**</w:t>
            </w:r>
          </w:p>
        </w:tc>
        <w:tc>
          <w:tcPr>
            <w:tcW w:w="1683" w:type="dxa"/>
            <w:shd w:val="clear" w:color="auto" w:fill="auto"/>
            <w:noWrap/>
          </w:tcPr>
          <w:p w14:paraId="3CEAA24D"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977,4</w:t>
            </w:r>
          </w:p>
        </w:tc>
        <w:tc>
          <w:tcPr>
            <w:tcW w:w="1559" w:type="dxa"/>
            <w:shd w:val="clear" w:color="auto" w:fill="F2F2F2"/>
            <w:noWrap/>
          </w:tcPr>
          <w:p w14:paraId="10613918" w14:textId="77777777" w:rsidR="00761800" w:rsidRPr="00761800" w:rsidRDefault="00761800" w:rsidP="00761800">
            <w:pPr>
              <w:jc w:val="right"/>
              <w:rPr>
                <w:rFonts w:ascii="Times New Roman" w:hAnsi="Times New Roman"/>
                <w:bCs/>
                <w:sz w:val="18"/>
                <w:szCs w:val="18"/>
                <w:lang w:val="ru-RU" w:eastAsia="bg-BG"/>
              </w:rPr>
            </w:pPr>
            <w:r w:rsidRPr="00761800">
              <w:rPr>
                <w:rFonts w:ascii="Times New Roman" w:hAnsi="Times New Roman"/>
                <w:bCs/>
                <w:sz w:val="18"/>
                <w:szCs w:val="18"/>
                <w:lang w:val="ru-RU" w:eastAsia="bg-BG"/>
              </w:rPr>
              <w:t>1 481,5</w:t>
            </w:r>
          </w:p>
        </w:tc>
        <w:tc>
          <w:tcPr>
            <w:tcW w:w="1416" w:type="dxa"/>
            <w:shd w:val="clear" w:color="auto" w:fill="F2F2F2"/>
            <w:noWrap/>
          </w:tcPr>
          <w:p w14:paraId="7CD80E61" w14:textId="77777777" w:rsidR="00761800" w:rsidRPr="00761800" w:rsidRDefault="00761800" w:rsidP="00761800">
            <w:pPr>
              <w:tabs>
                <w:tab w:val="right" w:pos="1200"/>
              </w:tabs>
              <w:jc w:val="right"/>
              <w:rPr>
                <w:rFonts w:ascii="Times New Roman" w:hAnsi="Times New Roman"/>
                <w:bCs/>
                <w:sz w:val="18"/>
                <w:szCs w:val="18"/>
                <w:lang w:eastAsia="bg-BG"/>
              </w:rPr>
            </w:pPr>
            <w:r w:rsidRPr="00761800">
              <w:rPr>
                <w:rFonts w:ascii="Times New Roman" w:hAnsi="Times New Roman"/>
                <w:bCs/>
                <w:sz w:val="18"/>
                <w:szCs w:val="18"/>
                <w:lang w:eastAsia="bg-BG"/>
              </w:rPr>
              <w:t>774,8</w:t>
            </w:r>
          </w:p>
        </w:tc>
        <w:tc>
          <w:tcPr>
            <w:tcW w:w="1500" w:type="dxa"/>
            <w:shd w:val="clear" w:color="auto" w:fill="F2F2F2"/>
            <w:noWrap/>
          </w:tcPr>
          <w:p w14:paraId="07AC9614"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706,7</w:t>
            </w:r>
          </w:p>
        </w:tc>
        <w:tc>
          <w:tcPr>
            <w:tcW w:w="1768" w:type="dxa"/>
            <w:shd w:val="clear" w:color="auto" w:fill="F2F2F2"/>
            <w:noWrap/>
          </w:tcPr>
          <w:p w14:paraId="0306340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151,6%</w:t>
            </w:r>
          </w:p>
        </w:tc>
      </w:tr>
      <w:tr w:rsidR="00761800" w:rsidRPr="00761800" w14:paraId="04B7774D" w14:textId="77777777" w:rsidTr="00761800">
        <w:trPr>
          <w:trHeight w:val="277"/>
          <w:jc w:val="center"/>
        </w:trPr>
        <w:tc>
          <w:tcPr>
            <w:tcW w:w="6796" w:type="dxa"/>
            <w:shd w:val="clear" w:color="auto" w:fill="auto"/>
            <w:noWrap/>
            <w:vAlign w:val="center"/>
          </w:tcPr>
          <w:p w14:paraId="4F894B3F"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 xml:space="preserve">     Предоставени тек. и кап. трансфери за чужбина</w:t>
            </w:r>
          </w:p>
        </w:tc>
        <w:tc>
          <w:tcPr>
            <w:tcW w:w="1683" w:type="dxa"/>
            <w:shd w:val="clear" w:color="auto" w:fill="auto"/>
            <w:noWrap/>
          </w:tcPr>
          <w:p w14:paraId="61187F3C"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10,5</w:t>
            </w:r>
          </w:p>
        </w:tc>
        <w:tc>
          <w:tcPr>
            <w:tcW w:w="1559" w:type="dxa"/>
            <w:shd w:val="clear" w:color="auto" w:fill="F2F2F2"/>
            <w:noWrap/>
          </w:tcPr>
          <w:p w14:paraId="03D6085A" w14:textId="77777777" w:rsidR="00761800" w:rsidRPr="00761800" w:rsidRDefault="00761800" w:rsidP="00761800">
            <w:pPr>
              <w:jc w:val="right"/>
              <w:rPr>
                <w:rFonts w:ascii="Times New Roman" w:hAnsi="Times New Roman"/>
                <w:bCs/>
                <w:sz w:val="18"/>
                <w:szCs w:val="18"/>
                <w:lang w:val="ru-RU" w:eastAsia="bg-BG"/>
              </w:rPr>
            </w:pPr>
            <w:r w:rsidRPr="00761800">
              <w:rPr>
                <w:rFonts w:ascii="Times New Roman" w:hAnsi="Times New Roman"/>
                <w:bCs/>
                <w:sz w:val="18"/>
                <w:szCs w:val="18"/>
                <w:lang w:val="ru-RU" w:eastAsia="bg-BG"/>
              </w:rPr>
              <w:t>13,6</w:t>
            </w:r>
          </w:p>
        </w:tc>
        <w:tc>
          <w:tcPr>
            <w:tcW w:w="1416" w:type="dxa"/>
            <w:shd w:val="clear" w:color="auto" w:fill="F2F2F2"/>
            <w:noWrap/>
          </w:tcPr>
          <w:p w14:paraId="450B193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1,7</w:t>
            </w:r>
          </w:p>
        </w:tc>
        <w:tc>
          <w:tcPr>
            <w:tcW w:w="1500" w:type="dxa"/>
            <w:shd w:val="clear" w:color="auto" w:fill="F2F2F2"/>
            <w:noWrap/>
          </w:tcPr>
          <w:p w14:paraId="55D35FD8"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11,9</w:t>
            </w:r>
          </w:p>
        </w:tc>
        <w:tc>
          <w:tcPr>
            <w:tcW w:w="1768" w:type="dxa"/>
            <w:shd w:val="clear" w:color="auto" w:fill="F2F2F2"/>
            <w:noWrap/>
          </w:tcPr>
          <w:p w14:paraId="2910CDE4"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129,8%</w:t>
            </w:r>
          </w:p>
        </w:tc>
      </w:tr>
      <w:tr w:rsidR="00761800" w:rsidRPr="00761800" w14:paraId="2C5D272C" w14:textId="77777777" w:rsidTr="00761800">
        <w:trPr>
          <w:trHeight w:val="223"/>
          <w:jc w:val="center"/>
        </w:trPr>
        <w:tc>
          <w:tcPr>
            <w:tcW w:w="6796" w:type="dxa"/>
            <w:shd w:val="clear" w:color="auto" w:fill="auto"/>
            <w:noWrap/>
            <w:vAlign w:val="center"/>
          </w:tcPr>
          <w:p w14:paraId="0D6885CA"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Лихвени</w:t>
            </w:r>
          </w:p>
        </w:tc>
        <w:tc>
          <w:tcPr>
            <w:tcW w:w="1683" w:type="dxa"/>
            <w:shd w:val="clear" w:color="auto" w:fill="auto"/>
            <w:noWrap/>
          </w:tcPr>
          <w:p w14:paraId="7DE14E6D"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219,2</w:t>
            </w:r>
          </w:p>
        </w:tc>
        <w:tc>
          <w:tcPr>
            <w:tcW w:w="1559" w:type="dxa"/>
            <w:shd w:val="clear" w:color="auto" w:fill="F2F2F2"/>
            <w:noWrap/>
          </w:tcPr>
          <w:p w14:paraId="478AA6B4" w14:textId="77777777" w:rsidR="00761800" w:rsidRPr="00761800" w:rsidRDefault="00761800" w:rsidP="00761800">
            <w:pPr>
              <w:jc w:val="right"/>
              <w:rPr>
                <w:rFonts w:ascii="Times New Roman" w:hAnsi="Times New Roman"/>
                <w:bCs/>
                <w:sz w:val="18"/>
                <w:szCs w:val="18"/>
                <w:lang w:val="ru-RU" w:eastAsia="bg-BG"/>
              </w:rPr>
            </w:pPr>
            <w:r w:rsidRPr="00761800">
              <w:rPr>
                <w:rFonts w:ascii="Times New Roman" w:hAnsi="Times New Roman"/>
                <w:bCs/>
                <w:sz w:val="18"/>
                <w:szCs w:val="18"/>
                <w:lang w:val="ru-RU" w:eastAsia="bg-BG"/>
              </w:rPr>
              <w:t>239,2</w:t>
            </w:r>
          </w:p>
        </w:tc>
        <w:tc>
          <w:tcPr>
            <w:tcW w:w="1416" w:type="dxa"/>
            <w:shd w:val="clear" w:color="auto" w:fill="F2F2F2"/>
            <w:noWrap/>
          </w:tcPr>
          <w:p w14:paraId="2D2A3204"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239,2</w:t>
            </w:r>
          </w:p>
        </w:tc>
        <w:tc>
          <w:tcPr>
            <w:tcW w:w="1500" w:type="dxa"/>
            <w:shd w:val="clear" w:color="auto" w:fill="F2F2F2"/>
            <w:noWrap/>
          </w:tcPr>
          <w:p w14:paraId="46CD8923"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0,0</w:t>
            </w:r>
          </w:p>
        </w:tc>
        <w:tc>
          <w:tcPr>
            <w:tcW w:w="1768" w:type="dxa"/>
            <w:shd w:val="clear" w:color="auto" w:fill="F2F2F2"/>
            <w:noWrap/>
          </w:tcPr>
          <w:p w14:paraId="5612DAB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109,1%</w:t>
            </w:r>
          </w:p>
        </w:tc>
      </w:tr>
      <w:tr w:rsidR="00761800" w:rsidRPr="00761800" w14:paraId="156BCE6A" w14:textId="77777777" w:rsidTr="00761800">
        <w:trPr>
          <w:trHeight w:val="50"/>
          <w:jc w:val="center"/>
        </w:trPr>
        <w:tc>
          <w:tcPr>
            <w:tcW w:w="6796" w:type="dxa"/>
            <w:shd w:val="clear" w:color="auto" w:fill="auto"/>
            <w:noWrap/>
            <w:vAlign w:val="center"/>
            <w:hideMark/>
          </w:tcPr>
          <w:p w14:paraId="0CB49F86" w14:textId="77777777" w:rsidR="00761800" w:rsidRPr="00761800" w:rsidRDefault="00761800" w:rsidP="00761800">
            <w:pPr>
              <w:jc w:val="both"/>
              <w:rPr>
                <w:rFonts w:ascii="Times New Roman" w:hAnsi="Times New Roman"/>
                <w:sz w:val="18"/>
                <w:szCs w:val="18"/>
                <w:lang w:eastAsia="bg-BG"/>
              </w:rPr>
            </w:pPr>
            <w:r w:rsidRPr="00761800">
              <w:rPr>
                <w:rFonts w:ascii="Times New Roman" w:hAnsi="Times New Roman"/>
                <w:sz w:val="18"/>
                <w:szCs w:val="18"/>
                <w:lang w:eastAsia="bg-BG"/>
              </w:rPr>
              <w:t>Вноска в общия бюджет на ЕС</w:t>
            </w:r>
          </w:p>
        </w:tc>
        <w:tc>
          <w:tcPr>
            <w:tcW w:w="1683" w:type="dxa"/>
            <w:shd w:val="clear" w:color="auto" w:fill="auto"/>
            <w:noWrap/>
          </w:tcPr>
          <w:p w14:paraId="085897AC" w14:textId="77777777" w:rsidR="00761800" w:rsidRPr="00761800" w:rsidRDefault="00761800" w:rsidP="00761800">
            <w:pPr>
              <w:ind w:hanging="110"/>
              <w:jc w:val="right"/>
              <w:rPr>
                <w:rFonts w:ascii="Times New Roman" w:hAnsi="Times New Roman"/>
                <w:bCs/>
                <w:sz w:val="18"/>
                <w:szCs w:val="18"/>
                <w:lang w:eastAsia="bg-BG"/>
              </w:rPr>
            </w:pPr>
            <w:r w:rsidRPr="00761800">
              <w:rPr>
                <w:rFonts w:ascii="Times New Roman" w:hAnsi="Times New Roman"/>
                <w:bCs/>
                <w:sz w:val="18"/>
                <w:szCs w:val="18"/>
                <w:lang w:eastAsia="bg-BG"/>
              </w:rPr>
              <w:t>338,5</w:t>
            </w:r>
          </w:p>
        </w:tc>
        <w:tc>
          <w:tcPr>
            <w:tcW w:w="1559" w:type="dxa"/>
            <w:shd w:val="clear" w:color="auto" w:fill="F2F2F2"/>
            <w:noWrap/>
          </w:tcPr>
          <w:p w14:paraId="49BF599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351,8</w:t>
            </w:r>
          </w:p>
        </w:tc>
        <w:tc>
          <w:tcPr>
            <w:tcW w:w="1416" w:type="dxa"/>
            <w:shd w:val="clear" w:color="auto" w:fill="F2F2F2"/>
            <w:noWrap/>
          </w:tcPr>
          <w:p w14:paraId="4CDD6B05"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351,8</w:t>
            </w:r>
          </w:p>
        </w:tc>
        <w:tc>
          <w:tcPr>
            <w:tcW w:w="1500" w:type="dxa"/>
            <w:shd w:val="clear" w:color="auto" w:fill="F2F2F2"/>
            <w:noWrap/>
          </w:tcPr>
          <w:p w14:paraId="655F853E"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0,0</w:t>
            </w:r>
          </w:p>
        </w:tc>
        <w:tc>
          <w:tcPr>
            <w:tcW w:w="1768" w:type="dxa"/>
            <w:shd w:val="clear" w:color="auto" w:fill="F2F2F2"/>
            <w:noWrap/>
          </w:tcPr>
          <w:p w14:paraId="1C8780FB" w14:textId="77777777" w:rsidR="00761800" w:rsidRPr="00761800" w:rsidRDefault="00761800" w:rsidP="00761800">
            <w:pPr>
              <w:jc w:val="right"/>
              <w:rPr>
                <w:rFonts w:ascii="Times New Roman" w:hAnsi="Times New Roman"/>
                <w:bCs/>
                <w:sz w:val="18"/>
                <w:szCs w:val="18"/>
                <w:lang w:eastAsia="bg-BG"/>
              </w:rPr>
            </w:pPr>
            <w:r w:rsidRPr="00761800">
              <w:rPr>
                <w:rFonts w:ascii="Times New Roman" w:hAnsi="Times New Roman"/>
                <w:bCs/>
                <w:sz w:val="18"/>
                <w:szCs w:val="18"/>
                <w:lang w:eastAsia="bg-BG"/>
              </w:rPr>
              <w:t>103,9%</w:t>
            </w:r>
          </w:p>
        </w:tc>
      </w:tr>
      <w:tr w:rsidR="00761800" w:rsidRPr="00761800" w14:paraId="7C90DAA8" w14:textId="77777777" w:rsidTr="00761800">
        <w:trPr>
          <w:trHeight w:val="273"/>
          <w:jc w:val="center"/>
        </w:trPr>
        <w:tc>
          <w:tcPr>
            <w:tcW w:w="6796" w:type="dxa"/>
            <w:shd w:val="clear" w:color="auto" w:fill="auto"/>
            <w:vAlign w:val="center"/>
            <w:hideMark/>
          </w:tcPr>
          <w:p w14:paraId="63DA78F2" w14:textId="77777777" w:rsidR="00761800" w:rsidRPr="00761800" w:rsidRDefault="00761800" w:rsidP="00761800">
            <w:pPr>
              <w:jc w:val="both"/>
              <w:rPr>
                <w:rFonts w:ascii="Times New Roman" w:hAnsi="Times New Roman"/>
                <w:b/>
                <w:bCs/>
                <w:sz w:val="18"/>
                <w:szCs w:val="18"/>
                <w:lang w:val="en-US" w:eastAsia="bg-BG"/>
              </w:rPr>
            </w:pPr>
            <w:r w:rsidRPr="00761800">
              <w:rPr>
                <w:rFonts w:ascii="Times New Roman" w:hAnsi="Times New Roman"/>
                <w:b/>
                <w:bCs/>
                <w:sz w:val="18"/>
                <w:szCs w:val="18"/>
                <w:lang w:eastAsia="bg-BG"/>
              </w:rPr>
              <w:t>ТРАНСФЕРИ – НЕТО</w:t>
            </w:r>
          </w:p>
        </w:tc>
        <w:tc>
          <w:tcPr>
            <w:tcW w:w="1683" w:type="dxa"/>
            <w:shd w:val="clear" w:color="auto" w:fill="auto"/>
            <w:noWrap/>
          </w:tcPr>
          <w:p w14:paraId="4F5EBDD8" w14:textId="77777777" w:rsidR="00761800" w:rsidRPr="00761800" w:rsidRDefault="00761800" w:rsidP="00761800">
            <w:pPr>
              <w:ind w:hanging="110"/>
              <w:jc w:val="right"/>
              <w:rPr>
                <w:rFonts w:ascii="Times New Roman" w:hAnsi="Times New Roman"/>
                <w:bCs/>
                <w:sz w:val="18"/>
                <w:szCs w:val="18"/>
                <w:lang w:eastAsia="bg-BG"/>
              </w:rPr>
            </w:pPr>
          </w:p>
        </w:tc>
        <w:tc>
          <w:tcPr>
            <w:tcW w:w="1559" w:type="dxa"/>
            <w:shd w:val="clear" w:color="auto" w:fill="F2F2F2"/>
            <w:noWrap/>
          </w:tcPr>
          <w:p w14:paraId="00A5F0D2" w14:textId="77777777" w:rsidR="00761800" w:rsidRPr="00761800" w:rsidRDefault="00761800" w:rsidP="00761800">
            <w:pPr>
              <w:jc w:val="right"/>
              <w:rPr>
                <w:rFonts w:ascii="Times New Roman" w:hAnsi="Times New Roman"/>
                <w:b/>
                <w:bCs/>
                <w:sz w:val="18"/>
                <w:szCs w:val="18"/>
                <w:lang w:eastAsia="bg-BG"/>
              </w:rPr>
            </w:pPr>
          </w:p>
        </w:tc>
        <w:tc>
          <w:tcPr>
            <w:tcW w:w="1416" w:type="dxa"/>
            <w:shd w:val="clear" w:color="auto" w:fill="F2F2F2"/>
            <w:noWrap/>
          </w:tcPr>
          <w:p w14:paraId="79146A99"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-270,0</w:t>
            </w:r>
          </w:p>
        </w:tc>
        <w:tc>
          <w:tcPr>
            <w:tcW w:w="1500" w:type="dxa"/>
            <w:shd w:val="clear" w:color="auto" w:fill="F2F2F2"/>
            <w:noWrap/>
          </w:tcPr>
          <w:p w14:paraId="1F4A6646"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270,0</w:t>
            </w:r>
          </w:p>
        </w:tc>
        <w:tc>
          <w:tcPr>
            <w:tcW w:w="1768" w:type="dxa"/>
            <w:shd w:val="clear" w:color="auto" w:fill="F2F2F2"/>
            <w:noWrap/>
            <w:vAlign w:val="center"/>
            <w:hideMark/>
          </w:tcPr>
          <w:p w14:paraId="04423FA9" w14:textId="77777777" w:rsidR="00761800" w:rsidRPr="00761800" w:rsidRDefault="00761800" w:rsidP="00761800">
            <w:pPr>
              <w:jc w:val="right"/>
              <w:rPr>
                <w:rFonts w:ascii="Times New Roman" w:hAnsi="Times New Roman"/>
                <w:b/>
                <w:bCs/>
                <w:color w:val="969DAB"/>
                <w:sz w:val="18"/>
                <w:szCs w:val="18"/>
                <w:lang w:val="en-US" w:eastAsia="bg-BG"/>
              </w:rPr>
            </w:pPr>
            <w:r w:rsidRPr="00761800">
              <w:rPr>
                <w:rFonts w:ascii="Times New Roman" w:hAnsi="Times New Roman"/>
                <w:b/>
                <w:bCs/>
                <w:color w:val="969DAB"/>
                <w:sz w:val="18"/>
                <w:szCs w:val="18"/>
                <w:lang w:val="en-US" w:eastAsia="bg-BG"/>
              </w:rPr>
              <w:t> </w:t>
            </w:r>
          </w:p>
        </w:tc>
      </w:tr>
      <w:tr w:rsidR="00761800" w:rsidRPr="00761800" w14:paraId="33775137" w14:textId="77777777" w:rsidTr="00761800">
        <w:trPr>
          <w:trHeight w:val="141"/>
          <w:jc w:val="center"/>
        </w:trPr>
        <w:tc>
          <w:tcPr>
            <w:tcW w:w="6796" w:type="dxa"/>
            <w:tcBorders>
              <w:bottom w:val="single" w:sz="4" w:space="0" w:color="auto"/>
            </w:tcBorders>
            <w:shd w:val="clear" w:color="auto" w:fill="auto"/>
            <w:noWrap/>
            <w:vAlign w:val="center"/>
            <w:hideMark/>
          </w:tcPr>
          <w:p w14:paraId="5C215BEF" w14:textId="77777777" w:rsidR="00761800" w:rsidRPr="00761800" w:rsidRDefault="00761800" w:rsidP="00761800">
            <w:pPr>
              <w:jc w:val="both"/>
              <w:rPr>
                <w:rFonts w:ascii="Times New Roman" w:hAnsi="Times New Roman"/>
                <w:b/>
                <w:bCs/>
                <w:sz w:val="18"/>
                <w:szCs w:val="18"/>
                <w:lang w:val="en-US" w:eastAsia="bg-BG"/>
              </w:rPr>
            </w:pPr>
            <w:r w:rsidRPr="00761800">
              <w:rPr>
                <w:rFonts w:ascii="Times New Roman" w:hAnsi="Times New Roman"/>
                <w:b/>
                <w:bCs/>
                <w:sz w:val="18"/>
                <w:szCs w:val="18"/>
                <w:lang w:eastAsia="bg-BG"/>
              </w:rPr>
              <w:t>БЮДЖЕТНО САЛДО</w:t>
            </w:r>
          </w:p>
        </w:tc>
        <w:tc>
          <w:tcPr>
            <w:tcW w:w="1683" w:type="dxa"/>
            <w:tcBorders>
              <w:bottom w:val="single" w:sz="4" w:space="0" w:color="auto"/>
            </w:tcBorders>
            <w:shd w:val="clear" w:color="auto" w:fill="auto"/>
            <w:noWrap/>
          </w:tcPr>
          <w:p w14:paraId="06D0D83D" w14:textId="77777777" w:rsidR="00761800" w:rsidRPr="00761800" w:rsidRDefault="00761800" w:rsidP="00761800">
            <w:pPr>
              <w:ind w:hanging="110"/>
              <w:jc w:val="right"/>
              <w:rPr>
                <w:rFonts w:ascii="Times New Roman" w:hAnsi="Times New Roman"/>
                <w:b/>
                <w:bCs/>
                <w:sz w:val="18"/>
                <w:szCs w:val="18"/>
                <w:lang w:eastAsia="bg-BG"/>
              </w:rPr>
            </w:pPr>
            <w:r w:rsidRPr="00761800">
              <w:rPr>
                <w:rFonts w:ascii="Times New Roman" w:hAnsi="Times New Roman"/>
                <w:b/>
                <w:bCs/>
                <w:sz w:val="18"/>
                <w:szCs w:val="18"/>
                <w:lang w:eastAsia="bg-BG"/>
              </w:rPr>
              <w:t>-978,7</w:t>
            </w:r>
          </w:p>
        </w:tc>
        <w:tc>
          <w:tcPr>
            <w:tcW w:w="1559" w:type="dxa"/>
            <w:tcBorders>
              <w:bottom w:val="single" w:sz="4" w:space="0" w:color="auto"/>
            </w:tcBorders>
            <w:shd w:val="clear" w:color="auto" w:fill="F2F2F2"/>
            <w:noWrap/>
          </w:tcPr>
          <w:p w14:paraId="15044BAB"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-1 761,1</w:t>
            </w:r>
          </w:p>
        </w:tc>
        <w:tc>
          <w:tcPr>
            <w:tcW w:w="1416" w:type="dxa"/>
            <w:tcBorders>
              <w:bottom w:val="single" w:sz="4" w:space="0" w:color="auto"/>
            </w:tcBorders>
            <w:shd w:val="clear" w:color="auto" w:fill="F2F2F2"/>
            <w:noWrap/>
          </w:tcPr>
          <w:p w14:paraId="60D798BD"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-1 769,7</w:t>
            </w:r>
          </w:p>
        </w:tc>
        <w:tc>
          <w:tcPr>
            <w:tcW w:w="1500" w:type="dxa"/>
            <w:tcBorders>
              <w:bottom w:val="single" w:sz="4" w:space="0" w:color="auto"/>
            </w:tcBorders>
            <w:shd w:val="clear" w:color="auto" w:fill="F2F2F2"/>
            <w:noWrap/>
          </w:tcPr>
          <w:p w14:paraId="4A0B7EA6" w14:textId="77777777" w:rsidR="00761800" w:rsidRPr="00761800" w:rsidRDefault="00761800" w:rsidP="00761800">
            <w:pPr>
              <w:jc w:val="right"/>
              <w:rPr>
                <w:rFonts w:ascii="Times New Roman" w:hAnsi="Times New Roman"/>
                <w:b/>
                <w:bCs/>
                <w:sz w:val="18"/>
                <w:szCs w:val="18"/>
                <w:lang w:eastAsia="bg-BG"/>
              </w:rPr>
            </w:pPr>
            <w:r w:rsidRPr="00761800">
              <w:rPr>
                <w:rFonts w:ascii="Times New Roman" w:hAnsi="Times New Roman"/>
                <w:b/>
                <w:bCs/>
                <w:sz w:val="18"/>
                <w:szCs w:val="18"/>
                <w:lang w:eastAsia="bg-BG"/>
              </w:rPr>
              <w:t>8,5</w:t>
            </w:r>
          </w:p>
        </w:tc>
        <w:tc>
          <w:tcPr>
            <w:tcW w:w="1768" w:type="dxa"/>
            <w:tcBorders>
              <w:bottom w:val="single" w:sz="4" w:space="0" w:color="auto"/>
            </w:tcBorders>
            <w:shd w:val="clear" w:color="auto" w:fill="F2F2F2"/>
            <w:noWrap/>
            <w:vAlign w:val="center"/>
            <w:hideMark/>
          </w:tcPr>
          <w:p w14:paraId="3606870A" w14:textId="77777777" w:rsidR="00761800" w:rsidRPr="00761800" w:rsidRDefault="00761800" w:rsidP="00761800">
            <w:pPr>
              <w:jc w:val="right"/>
              <w:rPr>
                <w:rFonts w:ascii="Times New Roman" w:hAnsi="Times New Roman"/>
                <w:b/>
                <w:bCs/>
                <w:sz w:val="18"/>
                <w:szCs w:val="18"/>
                <w:lang w:val="en-US" w:eastAsia="bg-BG"/>
              </w:rPr>
            </w:pPr>
            <w:r w:rsidRPr="00761800">
              <w:rPr>
                <w:rFonts w:ascii="Times New Roman" w:hAnsi="Times New Roman"/>
                <w:b/>
                <w:bCs/>
                <w:sz w:val="18"/>
                <w:szCs w:val="18"/>
                <w:lang w:val="en-US" w:eastAsia="bg-BG"/>
              </w:rPr>
              <w:t> </w:t>
            </w:r>
          </w:p>
        </w:tc>
      </w:tr>
    </w:tbl>
    <w:p w14:paraId="037388DF" w14:textId="77777777" w:rsidR="00761800" w:rsidRPr="00761800" w:rsidRDefault="00761800" w:rsidP="00761800">
      <w:pPr>
        <w:jc w:val="both"/>
        <w:rPr>
          <w:rFonts w:ascii="Times New Roman" w:eastAsia="Batang" w:hAnsi="Times New Roman"/>
          <w:sz w:val="16"/>
          <w:szCs w:val="16"/>
          <w:lang w:eastAsia="bg-BG"/>
        </w:rPr>
      </w:pPr>
    </w:p>
    <w:p w14:paraId="025676FB" w14:textId="77777777" w:rsidR="00761800" w:rsidRPr="00761800" w:rsidRDefault="00761800" w:rsidP="00761800">
      <w:pPr>
        <w:jc w:val="both"/>
        <w:rPr>
          <w:rFonts w:ascii="Times New Roman" w:eastAsia="Batang" w:hAnsi="Times New Roman"/>
          <w:sz w:val="16"/>
          <w:szCs w:val="16"/>
          <w:lang w:eastAsia="bg-BG"/>
        </w:rPr>
      </w:pPr>
      <w:r w:rsidRPr="00761800">
        <w:rPr>
          <w:rFonts w:ascii="Times New Roman" w:eastAsia="Batang" w:hAnsi="Times New Roman"/>
          <w:sz w:val="16"/>
          <w:szCs w:val="16"/>
          <w:lang w:eastAsia="bg-BG"/>
        </w:rPr>
        <w:t>* Данните са на база на месечните отчети за касовото изпълнение на ПРБ; ** Вкл. нетен прираст на държавния резерв.</w:t>
      </w:r>
    </w:p>
    <w:p w14:paraId="4A1F35DA" w14:textId="77777777" w:rsidR="00761800" w:rsidRPr="00761800" w:rsidRDefault="00761800" w:rsidP="00761800">
      <w:pPr>
        <w:jc w:val="both"/>
        <w:rPr>
          <w:rFonts w:ascii="Times New Roman" w:eastAsia="Batang" w:hAnsi="Times New Roman"/>
          <w:sz w:val="16"/>
          <w:szCs w:val="16"/>
          <w:lang w:eastAsia="bg-BG"/>
        </w:rPr>
      </w:pPr>
    </w:p>
    <w:p w14:paraId="2A61CEA8" w14:textId="77777777" w:rsidR="00761800" w:rsidRPr="00761800" w:rsidRDefault="00761800" w:rsidP="00761800">
      <w:pPr>
        <w:jc w:val="both"/>
        <w:rPr>
          <w:rFonts w:ascii="Times New Roman" w:eastAsia="Batang" w:hAnsi="Times New Roman"/>
          <w:sz w:val="16"/>
          <w:szCs w:val="16"/>
          <w:lang w:eastAsia="bg-BG"/>
        </w:rPr>
      </w:pPr>
    </w:p>
    <w:p w14:paraId="0541C113" w14:textId="77777777" w:rsidR="00761800" w:rsidRPr="00761800" w:rsidRDefault="00761800" w:rsidP="00761800">
      <w:pPr>
        <w:jc w:val="both"/>
        <w:rPr>
          <w:rFonts w:ascii="Times New Roman" w:eastAsia="Batang" w:hAnsi="Times New Roman"/>
          <w:sz w:val="16"/>
          <w:szCs w:val="16"/>
          <w:lang w:eastAsia="bg-BG"/>
        </w:rPr>
      </w:pPr>
    </w:p>
    <w:p w14:paraId="4698B8AA" w14:textId="77777777" w:rsidR="00761800" w:rsidRPr="00761800" w:rsidRDefault="00761800" w:rsidP="00761800">
      <w:pPr>
        <w:jc w:val="both"/>
        <w:rPr>
          <w:rFonts w:ascii="Times New Roman" w:eastAsia="Batang" w:hAnsi="Times New Roman"/>
          <w:sz w:val="16"/>
          <w:szCs w:val="16"/>
          <w:lang w:eastAsia="bg-BG"/>
        </w:rPr>
      </w:pPr>
    </w:p>
    <w:p w14:paraId="6BF12586" w14:textId="77777777" w:rsidR="00761800" w:rsidRPr="00761800" w:rsidRDefault="00761800" w:rsidP="00761800">
      <w:pPr>
        <w:jc w:val="both"/>
        <w:rPr>
          <w:rFonts w:ascii="Times New Roman" w:eastAsia="Batang" w:hAnsi="Times New Roman"/>
          <w:sz w:val="16"/>
          <w:szCs w:val="16"/>
          <w:lang w:eastAsia="bg-BG"/>
        </w:rPr>
      </w:pPr>
    </w:p>
    <w:p w14:paraId="1D3988BB" w14:textId="77777777" w:rsidR="00761800" w:rsidRPr="00761800" w:rsidRDefault="00761800" w:rsidP="00761800">
      <w:pPr>
        <w:jc w:val="both"/>
        <w:rPr>
          <w:rFonts w:ascii="Times New Roman" w:eastAsia="Batang" w:hAnsi="Times New Roman"/>
          <w:bCs/>
          <w:sz w:val="20"/>
          <w:highlight w:val="yellow"/>
          <w:lang w:eastAsia="bg-BG"/>
        </w:rPr>
      </w:pPr>
      <w:r w:rsidRPr="00761800">
        <w:rPr>
          <w:rFonts w:ascii="Times New Roman" w:eastAsia="Batang" w:hAnsi="Times New Roman"/>
          <w:bCs/>
          <w:sz w:val="20"/>
          <w:highlight w:val="yellow"/>
          <w:lang w:eastAsia="bg-BG"/>
        </w:rPr>
        <w:t xml:space="preserve"> </w:t>
      </w:r>
    </w:p>
    <w:p w14:paraId="433F3BEF" w14:textId="77777777" w:rsidR="00761800" w:rsidRPr="00761800" w:rsidRDefault="00761800" w:rsidP="00761800">
      <w:pPr>
        <w:autoSpaceDE w:val="0"/>
        <w:autoSpaceDN w:val="0"/>
        <w:adjustRightInd w:val="0"/>
        <w:spacing w:after="120"/>
        <w:jc w:val="both"/>
        <w:rPr>
          <w:rFonts w:ascii="Times New Roman" w:eastAsia="Batang" w:hAnsi="Times New Roman"/>
          <w:bCs/>
          <w:sz w:val="20"/>
          <w:highlight w:val="yellow"/>
          <w:lang w:eastAsia="bg-BG"/>
        </w:rPr>
        <w:sectPr w:rsidR="00761800" w:rsidRPr="00761800" w:rsidSect="00406B4D">
          <w:type w:val="continuous"/>
          <w:pgSz w:w="16838" w:h="11906" w:orient="landscape" w:code="9"/>
          <w:pgMar w:top="1418" w:right="1134" w:bottom="851" w:left="1134" w:header="709" w:footer="709" w:gutter="0"/>
          <w:cols w:space="708"/>
          <w:titlePg/>
          <w:docGrid w:linePitch="360"/>
        </w:sectPr>
      </w:pPr>
    </w:p>
    <w:p w14:paraId="6BEB1D08" w14:textId="77777777" w:rsidR="00761800" w:rsidRPr="00761800" w:rsidRDefault="00761800" w:rsidP="00761800">
      <w:pPr>
        <w:autoSpaceDE w:val="0"/>
        <w:autoSpaceDN w:val="0"/>
        <w:adjustRightInd w:val="0"/>
        <w:spacing w:after="120"/>
        <w:jc w:val="both"/>
        <w:rPr>
          <w:rFonts w:ascii="Times New Roman" w:eastAsia="Batang" w:hAnsi="Times New Roman"/>
          <w:bCs/>
          <w:sz w:val="20"/>
          <w:highlight w:val="yellow"/>
          <w:lang w:eastAsia="bg-BG"/>
        </w:rPr>
      </w:pPr>
    </w:p>
    <w:p w14:paraId="35C5BA9C" w14:textId="77777777" w:rsidR="00761800" w:rsidRPr="00761800" w:rsidRDefault="00761800" w:rsidP="00761800">
      <w:pPr>
        <w:autoSpaceDE w:val="0"/>
        <w:autoSpaceDN w:val="0"/>
        <w:adjustRightInd w:val="0"/>
        <w:spacing w:after="120"/>
        <w:jc w:val="both"/>
        <w:rPr>
          <w:rFonts w:ascii="Times New Roman" w:eastAsia="Batang" w:hAnsi="Times New Roman"/>
          <w:bCs/>
          <w:sz w:val="20"/>
          <w:highlight w:val="yellow"/>
          <w:lang w:eastAsia="bg-BG"/>
        </w:rPr>
      </w:pPr>
    </w:p>
    <w:p w14:paraId="7D94D280" w14:textId="77777777" w:rsidR="00761800" w:rsidRPr="00761800" w:rsidRDefault="00761800" w:rsidP="00761800">
      <w:pPr>
        <w:suppressAutoHyphens/>
        <w:autoSpaceDE w:val="0"/>
        <w:autoSpaceDN w:val="0"/>
        <w:adjustRightInd w:val="0"/>
        <w:spacing w:after="120" w:line="276" w:lineRule="auto"/>
        <w:jc w:val="both"/>
        <w:rPr>
          <w:rFonts w:ascii="Times New Roman" w:hAnsi="Times New Roman"/>
          <w:b/>
          <w:color w:val="943634"/>
          <w:sz w:val="22"/>
          <w:szCs w:val="22"/>
          <w:lang w:eastAsia="bg-BG"/>
        </w:rPr>
        <w:sectPr w:rsidR="00761800" w:rsidRPr="00761800" w:rsidSect="00406B4D">
          <w:type w:val="continuous"/>
          <w:pgSz w:w="16838" w:h="11906" w:orient="landscape" w:code="9"/>
          <w:pgMar w:top="1418" w:right="1134" w:bottom="851" w:left="1134" w:header="709" w:footer="709" w:gutter="0"/>
          <w:cols w:num="2" w:space="708"/>
          <w:titlePg/>
          <w:docGrid w:linePitch="360"/>
        </w:sectPr>
      </w:pPr>
    </w:p>
    <w:p w14:paraId="515C84EA" w14:textId="77777777" w:rsidR="00761800" w:rsidRPr="00761800" w:rsidRDefault="00761800" w:rsidP="00761800">
      <w:pPr>
        <w:suppressAutoHyphens/>
        <w:autoSpaceDE w:val="0"/>
        <w:autoSpaceDN w:val="0"/>
        <w:adjustRightInd w:val="0"/>
        <w:spacing w:after="120" w:line="276" w:lineRule="auto"/>
        <w:jc w:val="both"/>
        <w:rPr>
          <w:rFonts w:ascii="Times New Roman" w:hAnsi="Times New Roman"/>
          <w:b/>
          <w:color w:val="943634"/>
          <w:sz w:val="22"/>
          <w:szCs w:val="22"/>
          <w:lang w:eastAsia="bg-BG"/>
        </w:rPr>
      </w:pPr>
      <w:r w:rsidRPr="00761800">
        <w:rPr>
          <w:rFonts w:ascii="Times New Roman" w:hAnsi="Times New Roman"/>
          <w:b/>
          <w:color w:val="943634"/>
          <w:sz w:val="22"/>
          <w:szCs w:val="22"/>
          <w:lang w:eastAsia="bg-BG"/>
        </w:rPr>
        <w:t xml:space="preserve">Изпълнение на приходите, </w:t>
      </w:r>
      <w:r w:rsidRPr="00761800">
        <w:rPr>
          <w:rFonts w:ascii="Times New Roman" w:hAnsi="Times New Roman"/>
          <w:b/>
          <w:bCs/>
          <w:color w:val="943634"/>
          <w:sz w:val="22"/>
          <w:szCs w:val="22"/>
          <w:lang w:eastAsia="bg-BG"/>
        </w:rPr>
        <w:t xml:space="preserve">помощите и даренията </w:t>
      </w:r>
      <w:r w:rsidRPr="00761800">
        <w:rPr>
          <w:rFonts w:ascii="Times New Roman" w:hAnsi="Times New Roman"/>
          <w:b/>
          <w:color w:val="943634"/>
          <w:sz w:val="22"/>
          <w:szCs w:val="22"/>
          <w:lang w:eastAsia="bg-BG"/>
        </w:rPr>
        <w:t xml:space="preserve">по КФП </w:t>
      </w:r>
    </w:p>
    <w:p w14:paraId="6563EE21"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Постъпилите </w:t>
      </w:r>
      <w:r w:rsidRPr="00761800">
        <w:rPr>
          <w:rFonts w:ascii="Times New Roman" w:eastAsia="Batang" w:hAnsi="Times New Roman"/>
          <w:b/>
          <w:bCs/>
          <w:i/>
          <w:sz w:val="20"/>
          <w:lang w:eastAsia="bg-BG"/>
        </w:rPr>
        <w:t>приходи, помощи и дарения</w:t>
      </w:r>
      <w:r w:rsidRPr="00761800">
        <w:rPr>
          <w:rFonts w:ascii="Times New Roman" w:eastAsia="Batang" w:hAnsi="Times New Roman"/>
          <w:bCs/>
          <w:sz w:val="20"/>
          <w:lang w:eastAsia="bg-BG"/>
        </w:rPr>
        <w:t xml:space="preserve"> към април 2026 г. са в размер на 14 071,1 млн. евро. Постъпленията нарастват с 12,4% (1 557,5 млн. евро) спрямо същия период на 2025 г., като данъчно-осигурителните приходи нарастват номинално с 14,5% (1 450,0 млн. евро), неданъчните приходи са по-ниски с 306,4 млн. евро (главно поради промяна на срока на вноската от превишение на приходите над разходите на БНБ от 30 април на 30 юни), а постъпленията в частта на помощите и даренията са повече с 413,9 млн. евро. </w:t>
      </w:r>
    </w:p>
    <w:p w14:paraId="45B3621F"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Данъчните приходи</w:t>
      </w:r>
      <w:r w:rsidRPr="00761800">
        <w:rPr>
          <w:rFonts w:ascii="Times New Roman" w:eastAsia="Batang" w:hAnsi="Times New Roman"/>
          <w:bCs/>
          <w:sz w:val="20"/>
          <w:lang w:eastAsia="bg-BG"/>
        </w:rPr>
        <w:t xml:space="preserve"> (вкл. приходите от осигурителни вноски) са в размер на 11 465,9 млн. евро и формират 81,5% от общите постъпления по КФП за периода.</w:t>
      </w:r>
    </w:p>
    <w:p w14:paraId="0DC81BF4"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val="ru-RU" w:eastAsia="bg-BG"/>
        </w:rPr>
      </w:pPr>
      <w:r w:rsidRPr="00761800">
        <w:rPr>
          <w:rFonts w:ascii="Times New Roman" w:eastAsia="Batang" w:hAnsi="Times New Roman"/>
          <w:bCs/>
          <w:sz w:val="20"/>
          <w:lang w:eastAsia="bg-BG"/>
        </w:rPr>
        <w:t xml:space="preserve">Постъпленията в групата на </w:t>
      </w:r>
      <w:r w:rsidRPr="00761800">
        <w:rPr>
          <w:rFonts w:ascii="Times New Roman" w:eastAsia="Batang" w:hAnsi="Times New Roman"/>
          <w:bCs/>
          <w:i/>
          <w:sz w:val="20"/>
          <w:lang w:eastAsia="bg-BG"/>
        </w:rPr>
        <w:t>преките данъци</w:t>
      </w:r>
      <w:r w:rsidRPr="00761800">
        <w:rPr>
          <w:rFonts w:ascii="Times New Roman" w:eastAsia="Batang" w:hAnsi="Times New Roman"/>
          <w:bCs/>
          <w:sz w:val="20"/>
          <w:lang w:eastAsia="bg-BG"/>
        </w:rPr>
        <w:t xml:space="preserve"> са в размер на </w:t>
      </w:r>
      <w:r w:rsidRPr="00761800">
        <w:rPr>
          <w:rFonts w:ascii="Times New Roman" w:eastAsia="Batang" w:hAnsi="Times New Roman"/>
          <w:bCs/>
          <w:sz w:val="20"/>
          <w:lang w:val="ru-RU" w:eastAsia="bg-BG"/>
        </w:rPr>
        <w:t>2 102,6 млн. евро, което представлява ръст от 350,9 млн. евро (20,0%) спрямо отчетените към април 2025 г.</w:t>
      </w:r>
    </w:p>
    <w:p w14:paraId="50E50734"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Постъпленията от </w:t>
      </w:r>
      <w:r w:rsidRPr="00761800">
        <w:rPr>
          <w:rFonts w:ascii="Times New Roman" w:eastAsia="Batang" w:hAnsi="Times New Roman"/>
          <w:bCs/>
          <w:i/>
          <w:sz w:val="20"/>
          <w:lang w:eastAsia="bg-BG"/>
        </w:rPr>
        <w:t>косвени</w:t>
      </w:r>
      <w:r w:rsidRPr="00761800">
        <w:rPr>
          <w:rFonts w:ascii="Times New Roman" w:eastAsia="Batang" w:hAnsi="Times New Roman"/>
          <w:bCs/>
          <w:sz w:val="20"/>
          <w:lang w:eastAsia="bg-BG"/>
        </w:rPr>
        <w:t xml:space="preserve"> </w:t>
      </w:r>
      <w:r w:rsidRPr="00761800">
        <w:rPr>
          <w:rFonts w:ascii="Times New Roman" w:eastAsia="Batang" w:hAnsi="Times New Roman"/>
          <w:bCs/>
          <w:i/>
          <w:sz w:val="20"/>
          <w:lang w:eastAsia="bg-BG"/>
        </w:rPr>
        <w:t>данъци</w:t>
      </w:r>
      <w:r w:rsidRPr="00761800">
        <w:rPr>
          <w:rFonts w:ascii="Times New Roman" w:eastAsia="Batang" w:hAnsi="Times New Roman"/>
          <w:bCs/>
          <w:sz w:val="20"/>
          <w:lang w:eastAsia="bg-BG"/>
        </w:rPr>
        <w:t xml:space="preserve"> са в размер на 5 037,7 млн. евро, което представлява ръст от 607,2 млн. евро (13,7%) спрямо отчетените към април 2025 г. Приходите от ДДС са в размер н</w:t>
      </w:r>
      <w:r w:rsidRPr="00761800">
        <w:rPr>
          <w:rFonts w:ascii="Times New Roman" w:eastAsia="Batang" w:hAnsi="Times New Roman"/>
          <w:bCs/>
          <w:sz w:val="20"/>
          <w:lang w:val="ru-RU" w:eastAsia="bg-BG"/>
        </w:rPr>
        <w:t xml:space="preserve">а 3 848,1 млн. евро и нарастват с 614,5 млн. </w:t>
      </w:r>
      <w:r w:rsidRPr="00761800">
        <w:rPr>
          <w:rFonts w:ascii="Times New Roman" w:eastAsia="Batang" w:hAnsi="Times New Roman"/>
          <w:bCs/>
          <w:sz w:val="20"/>
          <w:lang w:eastAsia="bg-BG"/>
        </w:rPr>
        <w:t>евро</w:t>
      </w:r>
      <w:r w:rsidRPr="00761800">
        <w:rPr>
          <w:rFonts w:ascii="Times New Roman" w:eastAsia="Batang" w:hAnsi="Times New Roman"/>
          <w:bCs/>
          <w:sz w:val="20"/>
          <w:lang w:val="ru-RU" w:eastAsia="bg-BG"/>
        </w:rPr>
        <w:t xml:space="preserve"> (19 на сто) спрямо април 2025 г.</w:t>
      </w:r>
      <w:r w:rsidRPr="00761800">
        <w:rPr>
          <w:rFonts w:ascii="Times New Roman" w:eastAsia="Batang" w:hAnsi="Times New Roman"/>
          <w:bCs/>
          <w:sz w:val="20"/>
          <w:lang w:eastAsia="bg-BG"/>
        </w:rPr>
        <w:t xml:space="preserve"> Приходите от акцизи са в размер на 1 084,6 млн. евро. Съпоставени със същия период на предходната година постъпленията от акцизи са с 30,9 млн. евро (2,8%) по-малко. Митата са в размер на 86,2 млн. евро и нарастват с 22,2 млн. евро (34,6%) спрямо април 2025 г. Приходите от данък върху застрахователните премии са в размер на 18,9 млн. евро и в сравнение с април 2025 г. отчитат ръст от 1,4 млн. евро.</w:t>
      </w:r>
    </w:p>
    <w:p w14:paraId="7D522C21"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Отчетените приходи от </w:t>
      </w:r>
      <w:r w:rsidRPr="00761800">
        <w:rPr>
          <w:rFonts w:ascii="Times New Roman" w:eastAsia="Batang" w:hAnsi="Times New Roman"/>
          <w:bCs/>
          <w:i/>
          <w:sz w:val="20"/>
          <w:lang w:eastAsia="bg-BG"/>
        </w:rPr>
        <w:t>осигурителни вноски на общественото и здравно осигуряване</w:t>
      </w:r>
      <w:r w:rsidRPr="00761800">
        <w:rPr>
          <w:rFonts w:ascii="Times New Roman" w:eastAsia="Batang" w:hAnsi="Times New Roman"/>
          <w:bCs/>
          <w:sz w:val="20"/>
          <w:lang w:eastAsia="bg-BG"/>
        </w:rPr>
        <w:t xml:space="preserve"> към 30.04.2026 г. са в размер на 3 721,0 млн. евро, което представлява ръст от 488,5 млн. евро (15,1%) спрямо отчетените към април 2025 г.</w:t>
      </w:r>
    </w:p>
    <w:p w14:paraId="5473F0D0"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Постъпленията от </w:t>
      </w:r>
      <w:r w:rsidRPr="00761800">
        <w:rPr>
          <w:rFonts w:ascii="Times New Roman" w:eastAsia="Batang" w:hAnsi="Times New Roman"/>
          <w:bCs/>
          <w:i/>
          <w:sz w:val="20"/>
          <w:lang w:eastAsia="bg-BG"/>
        </w:rPr>
        <w:t>други данъци</w:t>
      </w:r>
      <w:r w:rsidRPr="00761800">
        <w:rPr>
          <w:rFonts w:ascii="Times New Roman" w:eastAsia="Batang" w:hAnsi="Times New Roman"/>
          <w:bCs/>
          <w:sz w:val="20"/>
          <w:lang w:eastAsia="bg-BG"/>
        </w:rPr>
        <w:t xml:space="preserve"> (включват други данъци по ЗКПО, имуществени данъци и др.) са в размер на 604,5 млн. евро, което представлява ръст спрямо отчетените към април 2025 г. с 3,4 млн. евро (0,6%).</w:t>
      </w:r>
    </w:p>
    <w:p w14:paraId="7EEA3B18"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Неданъчните постъпления</w:t>
      </w:r>
      <w:r w:rsidRPr="00761800">
        <w:rPr>
          <w:rFonts w:ascii="Times New Roman" w:eastAsia="Batang" w:hAnsi="Times New Roman"/>
          <w:bCs/>
          <w:sz w:val="20"/>
          <w:lang w:eastAsia="bg-BG"/>
        </w:rPr>
        <w:t xml:space="preserve"> по КФП са в размер на 1 701,4 млн. евро, което представлява спад с 306,4 млн. евро, 15,3% спрямо същия период на 2025 г. Тези приходи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p>
    <w:p w14:paraId="7AE9F842"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Постъпилите </w:t>
      </w:r>
      <w:r w:rsidRPr="00761800">
        <w:rPr>
          <w:rFonts w:ascii="Times New Roman" w:eastAsia="Batang" w:hAnsi="Times New Roman"/>
          <w:b/>
          <w:bCs/>
          <w:i/>
          <w:sz w:val="20"/>
          <w:lang w:eastAsia="bg-BG"/>
        </w:rPr>
        <w:t>помощи и дарения</w:t>
      </w:r>
      <w:r w:rsidRPr="00761800">
        <w:rPr>
          <w:rFonts w:ascii="Times New Roman" w:eastAsia="Batang" w:hAnsi="Times New Roman"/>
          <w:bCs/>
          <w:sz w:val="20"/>
          <w:lang w:eastAsia="bg-BG"/>
        </w:rPr>
        <w:t xml:space="preserve"> от страната и чужбина (вкл. помощите от фондовете на ЕС) са в размер на 903,8 млн. евро.</w:t>
      </w:r>
    </w:p>
    <w:p w14:paraId="7CE5F595" w14:textId="77777777" w:rsidR="00761800" w:rsidRPr="00761800" w:rsidRDefault="00761800" w:rsidP="00761800">
      <w:pPr>
        <w:spacing w:after="200"/>
        <w:ind w:left="720" w:hanging="720"/>
        <w:jc w:val="both"/>
        <w:rPr>
          <w:rFonts w:ascii="Times New Roman" w:hAnsi="Times New Roman"/>
          <w:b/>
          <w:bCs/>
          <w:i/>
          <w:sz w:val="20"/>
          <w:lang w:eastAsia="bg-BG"/>
        </w:rPr>
      </w:pPr>
      <w:r w:rsidRPr="00761800">
        <w:rPr>
          <w:rFonts w:ascii="Times New Roman" w:hAnsi="Times New Roman"/>
          <w:b/>
          <w:bCs/>
          <w:sz w:val="20"/>
          <w:lang w:eastAsia="bg-BG"/>
        </w:rPr>
        <w:t>Граф.: Данъчно-осигурителни приходи по КФП към април 2025 г. и април 2026 г.</w:t>
      </w:r>
    </w:p>
    <w:p w14:paraId="1D0B4DD7" w14:textId="77777777" w:rsidR="00761800" w:rsidRPr="00761800" w:rsidRDefault="00761800" w:rsidP="00761800">
      <w:pPr>
        <w:tabs>
          <w:tab w:val="num" w:pos="284"/>
        </w:tabs>
        <w:autoSpaceDE w:val="0"/>
        <w:autoSpaceDN w:val="0"/>
        <w:adjustRightInd w:val="0"/>
        <w:spacing w:after="120"/>
        <w:jc w:val="both"/>
        <w:rPr>
          <w:rFonts w:ascii="Times New Roman" w:eastAsia="Batang" w:hAnsi="Times New Roman"/>
          <w:bCs/>
          <w:sz w:val="20"/>
          <w:highlight w:val="yellow"/>
          <w:lang w:eastAsia="bg-BG"/>
        </w:rPr>
      </w:pPr>
      <w:r w:rsidRPr="00761800">
        <w:rPr>
          <w:rFonts w:ascii="Times New Roman" w:eastAsia="Batang" w:hAnsi="Times New Roman"/>
          <w:bCs/>
          <w:noProof/>
          <w:sz w:val="20"/>
          <w:lang w:eastAsia="bg-BG"/>
        </w:rPr>
        <w:drawing>
          <wp:inline distT="0" distB="0" distL="0" distR="0" wp14:anchorId="206101AC" wp14:editId="4489EBF1">
            <wp:extent cx="4393651" cy="2252900"/>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39046" cy="2276177"/>
                    </a:xfrm>
                    <a:prstGeom prst="rect">
                      <a:avLst/>
                    </a:prstGeom>
                    <a:noFill/>
                  </pic:spPr>
                </pic:pic>
              </a:graphicData>
            </a:graphic>
          </wp:inline>
        </w:drawing>
      </w:r>
    </w:p>
    <w:p w14:paraId="55B5FC8F" w14:textId="77777777" w:rsidR="00761800" w:rsidRPr="00761800" w:rsidRDefault="00761800" w:rsidP="00761800">
      <w:pPr>
        <w:tabs>
          <w:tab w:val="num" w:pos="284"/>
        </w:tabs>
        <w:autoSpaceDE w:val="0"/>
        <w:autoSpaceDN w:val="0"/>
        <w:adjustRightInd w:val="0"/>
        <w:spacing w:after="120"/>
        <w:jc w:val="right"/>
        <w:rPr>
          <w:rFonts w:ascii="Times New Roman" w:eastAsia="Batang" w:hAnsi="Times New Roman"/>
          <w:bCs/>
          <w:sz w:val="16"/>
          <w:szCs w:val="16"/>
          <w:lang w:eastAsia="bg-BG"/>
        </w:rPr>
      </w:pPr>
      <w:r w:rsidRPr="00761800">
        <w:rPr>
          <w:rFonts w:ascii="Times New Roman" w:eastAsia="Batang" w:hAnsi="Times New Roman"/>
          <w:bCs/>
          <w:sz w:val="16"/>
          <w:szCs w:val="16"/>
          <w:lang w:eastAsia="bg-BG"/>
        </w:rPr>
        <w:t>Източник: МФ</w:t>
      </w:r>
    </w:p>
    <w:p w14:paraId="41A6D06B" w14:textId="77777777" w:rsidR="00761800" w:rsidRPr="00761800" w:rsidRDefault="00761800" w:rsidP="00761800">
      <w:pPr>
        <w:autoSpaceDE w:val="0"/>
        <w:autoSpaceDN w:val="0"/>
        <w:adjustRightInd w:val="0"/>
        <w:spacing w:after="120" w:line="276" w:lineRule="auto"/>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Изпълнение на разходите по КФП</w:t>
      </w:r>
    </w:p>
    <w:p w14:paraId="379663E0" w14:textId="77777777" w:rsidR="00761800" w:rsidRPr="00761800" w:rsidRDefault="00761800" w:rsidP="00761800">
      <w:pPr>
        <w:jc w:val="both"/>
        <w:rPr>
          <w:rFonts w:ascii="Times New Roman" w:hAnsi="Times New Roman"/>
          <w:sz w:val="20"/>
          <w:lang w:val="ru-RU" w:eastAsia="bg-BG"/>
        </w:rPr>
      </w:pPr>
      <w:r w:rsidRPr="00761800">
        <w:rPr>
          <w:rFonts w:ascii="Times New Roman" w:eastAsia="Calibri" w:hAnsi="Times New Roman"/>
          <w:b/>
          <w:sz w:val="20"/>
          <w:lang w:eastAsia="bg-BG"/>
        </w:rPr>
        <w:t>Разходите</w:t>
      </w:r>
      <w:r w:rsidRPr="00761800">
        <w:rPr>
          <w:rFonts w:ascii="Times New Roman" w:eastAsia="Calibri" w:hAnsi="Times New Roman"/>
          <w:sz w:val="20"/>
          <w:lang w:eastAsia="bg-BG"/>
        </w:rPr>
        <w:t xml:space="preserve"> по КФП (вкл. вноската на Република България в бюджета на ЕС) ) към април 2026 г. възлизат на 15 832,3 млн. евро. За сравнение, разходите по КФП към април 2025 г. бяха в размер на 13 492,4 млн. евро или ръст на разходите към април 2026 г. от 2 339,9 млн. евро (17,3%). Нарастване на разходите има основно при социалните и здравноосигурителните плащания, включително разходите за пенсии, както и при разходите за персонал, капиталовите разходи и други. Причините за наблюдавания ръст на разходите са, от една страна, базов ефект в разходите за пенсии след тяхната индексация от 1 юли 2025 г. с 8,6 на сто. От друга страна, ЗДБРБ за 2025 г. бе обнародван в държавен вестник в края на месец март 2025 г., като политиката по доходите заложена в него не бе прилагана до влизането му в сила. След приемането на закона, заложеното увеличение на възнагражденията бе приложено след месец април, считано от януари 2025 г., поради което за месеците януари-април 2025 г. възнагражденията са по-ниски от </w:t>
      </w:r>
      <w:r w:rsidRPr="00761800">
        <w:rPr>
          <w:rFonts w:ascii="Times New Roman" w:eastAsia="Calibri" w:hAnsi="Times New Roman"/>
          <w:sz w:val="20"/>
          <w:lang w:eastAsia="bg-BG"/>
        </w:rPr>
        <w:lastRenderedPageBreak/>
        <w:t xml:space="preserve">определените им размери по действащото законодателство. Върху разходите за персонал влияние оказва и увеличението на минималната работна заплата от януари 2026 г., както и допълнителното увеличение на възнагражденията с размера на натрупаната инфлация за 2025 г., считано от януари 2026 г. Не на последно място капиталовите разходи също отчитат значителен ръст, което се дължи на разплатените средства по Общинската инвестиционна програма и изпълнението на инвестициите и проектите по Националния план за възстановяване и устойчивост. </w:t>
      </w:r>
      <w:r w:rsidRPr="00761800">
        <w:rPr>
          <w:rFonts w:ascii="Times New Roman" w:hAnsi="Times New Roman"/>
          <w:sz w:val="20"/>
          <w:lang w:val="ru-RU" w:eastAsia="bg-BG"/>
        </w:rPr>
        <w:t xml:space="preserve"> </w:t>
      </w:r>
    </w:p>
    <w:p w14:paraId="1F825B66" w14:textId="77777777" w:rsidR="00761800" w:rsidRPr="00761800" w:rsidRDefault="00761800" w:rsidP="00761800">
      <w:pPr>
        <w:spacing w:before="120" w:after="120"/>
        <w:jc w:val="both"/>
        <w:rPr>
          <w:rFonts w:ascii="Times New Roman" w:hAnsi="Times New Roman"/>
          <w:sz w:val="20"/>
          <w:lang w:eastAsia="bg-BG"/>
        </w:rPr>
      </w:pPr>
      <w:r w:rsidRPr="00761800">
        <w:rPr>
          <w:rFonts w:ascii="Times New Roman" w:hAnsi="Times New Roman"/>
          <w:b/>
          <w:i/>
          <w:sz w:val="20"/>
          <w:lang w:eastAsia="bg-BG"/>
        </w:rPr>
        <w:t>Нелихвените разходи</w:t>
      </w:r>
      <w:r w:rsidRPr="00761800">
        <w:rPr>
          <w:rFonts w:ascii="Times New Roman" w:hAnsi="Times New Roman"/>
          <w:sz w:val="20"/>
          <w:lang w:eastAsia="bg-BG"/>
        </w:rPr>
        <w:t xml:space="preserve"> към април 2026 г. са в размер на 15 241,3 млн. евро, което представлява ръст от 2 306,6 млн. евро (17,8%) спрямо април 2025 г. Текущите нелихвени разходи са в размер на 13 746,2 млн. евро. Капиталовите разходи (вкл. нетния прираст на държавния резерв) възлизат на 1 481,5 млн. евро. Предоставените текущи и капиталови трансфери за чужбина са в размер на 13,6 млн. евро. </w:t>
      </w:r>
    </w:p>
    <w:p w14:paraId="66F9156B" w14:textId="77777777" w:rsidR="00761800" w:rsidRPr="00761800" w:rsidRDefault="00761800" w:rsidP="00761800">
      <w:pPr>
        <w:spacing w:before="120" w:after="120"/>
        <w:jc w:val="both"/>
        <w:rPr>
          <w:rFonts w:ascii="Times New Roman" w:hAnsi="Times New Roman"/>
          <w:sz w:val="20"/>
          <w:lang w:eastAsia="bg-BG"/>
        </w:rPr>
      </w:pPr>
      <w:r w:rsidRPr="00761800">
        <w:rPr>
          <w:rFonts w:ascii="Times New Roman" w:hAnsi="Times New Roman"/>
          <w:b/>
          <w:i/>
          <w:sz w:val="20"/>
          <w:lang w:eastAsia="bg-BG"/>
        </w:rPr>
        <w:t>Лихвените плащания</w:t>
      </w:r>
      <w:r w:rsidRPr="00761800">
        <w:rPr>
          <w:rFonts w:ascii="Times New Roman" w:hAnsi="Times New Roman"/>
          <w:sz w:val="20"/>
          <w:lang w:eastAsia="bg-BG"/>
        </w:rPr>
        <w:t xml:space="preserve"> са в размер на 239,2 млн. евро (ръст от 20,0 млн. евро спрямо същия период на 2025 г.).</w:t>
      </w:r>
    </w:p>
    <w:p w14:paraId="7CB7A101"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sz w:val="20"/>
          <w:lang w:eastAsia="bg-BG"/>
        </w:rPr>
        <w:t>Частта от вноската на Република България в общия бюджет на ЕС</w:t>
      </w:r>
      <w:r w:rsidRPr="00761800">
        <w:rPr>
          <w:rFonts w:ascii="Times New Roman" w:eastAsia="Batang" w:hAnsi="Times New Roman"/>
          <w:bCs/>
          <w:sz w:val="20"/>
          <w:lang w:eastAsia="bg-BG"/>
        </w:rPr>
        <w:t>, изплатена към 30.04.2026 г. от централния бюджет, възлиза на 351,8 млн. евро, което е в изпълнение на действащото към момента законодателство в областта на собствените ресурси на ЕС.</w:t>
      </w:r>
    </w:p>
    <w:p w14:paraId="2BA89C39" w14:textId="77777777" w:rsidR="00761800" w:rsidRPr="00761800" w:rsidRDefault="00761800" w:rsidP="00761800">
      <w:pPr>
        <w:keepNext/>
        <w:spacing w:before="120"/>
        <w:ind w:left="720" w:hanging="720"/>
        <w:jc w:val="both"/>
        <w:rPr>
          <w:rFonts w:ascii="Times New Roman" w:hAnsi="Times New Roman"/>
          <w:b/>
          <w:bCs/>
          <w:iCs/>
          <w:sz w:val="20"/>
          <w:lang w:eastAsia="bg-BG"/>
        </w:rPr>
      </w:pPr>
      <w:r w:rsidRPr="00761800">
        <w:rPr>
          <w:rFonts w:ascii="Times New Roman" w:hAnsi="Times New Roman"/>
          <w:b/>
          <w:bCs/>
          <w:sz w:val="20"/>
          <w:lang w:eastAsia="bg-BG"/>
        </w:rPr>
        <w:t>Граф.: Основни разходни показатели по КФП към април</w:t>
      </w:r>
      <w:r w:rsidRPr="00761800">
        <w:rPr>
          <w:rFonts w:ascii="Times New Roman" w:hAnsi="Times New Roman"/>
          <w:b/>
          <w:bCs/>
          <w:iCs/>
          <w:sz w:val="20"/>
          <w:lang w:eastAsia="bg-BG"/>
        </w:rPr>
        <w:t xml:space="preserve"> 2025 г. и април 2026 г.</w:t>
      </w:r>
    </w:p>
    <w:p w14:paraId="7E7E1018" w14:textId="77777777" w:rsidR="00761800" w:rsidRPr="00761800" w:rsidRDefault="00761800" w:rsidP="00761800">
      <w:pPr>
        <w:tabs>
          <w:tab w:val="num" w:pos="284"/>
        </w:tabs>
        <w:autoSpaceDE w:val="0"/>
        <w:autoSpaceDN w:val="0"/>
        <w:adjustRightInd w:val="0"/>
        <w:spacing w:after="120"/>
        <w:jc w:val="both"/>
        <w:rPr>
          <w:rFonts w:ascii="Times New Roman" w:eastAsia="Batang" w:hAnsi="Times New Roman"/>
          <w:bCs/>
          <w:sz w:val="20"/>
          <w:highlight w:val="yellow"/>
          <w:lang w:eastAsia="bg-BG"/>
        </w:rPr>
      </w:pPr>
    </w:p>
    <w:p w14:paraId="453C5D4F" w14:textId="77777777" w:rsidR="00761800" w:rsidRPr="00761800" w:rsidRDefault="00761800" w:rsidP="00761800">
      <w:pPr>
        <w:tabs>
          <w:tab w:val="num" w:pos="284"/>
        </w:tabs>
        <w:autoSpaceDE w:val="0"/>
        <w:autoSpaceDN w:val="0"/>
        <w:adjustRightInd w:val="0"/>
        <w:spacing w:after="120"/>
        <w:jc w:val="both"/>
        <w:rPr>
          <w:rFonts w:ascii="Times New Roman" w:eastAsia="Batang" w:hAnsi="Times New Roman"/>
          <w:bCs/>
          <w:sz w:val="20"/>
          <w:highlight w:val="yellow"/>
          <w:lang w:eastAsia="bg-BG"/>
        </w:rPr>
      </w:pPr>
      <w:r w:rsidRPr="00761800">
        <w:rPr>
          <w:rFonts w:ascii="Times New Roman" w:eastAsia="Batang" w:hAnsi="Times New Roman"/>
          <w:bCs/>
          <w:noProof/>
          <w:sz w:val="20"/>
          <w:lang w:eastAsia="bg-BG"/>
        </w:rPr>
        <w:drawing>
          <wp:inline distT="0" distB="0" distL="0" distR="0" wp14:anchorId="7A2D48D3" wp14:editId="364FC369">
            <wp:extent cx="4326000" cy="1992573"/>
            <wp:effectExtent l="0" t="0" r="0"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377378" cy="2016238"/>
                    </a:xfrm>
                    <a:prstGeom prst="rect">
                      <a:avLst/>
                    </a:prstGeom>
                    <a:noFill/>
                  </pic:spPr>
                </pic:pic>
              </a:graphicData>
            </a:graphic>
          </wp:inline>
        </w:drawing>
      </w:r>
    </w:p>
    <w:p w14:paraId="37D46B74" w14:textId="77777777" w:rsidR="00761800" w:rsidRPr="00761800" w:rsidRDefault="00761800" w:rsidP="00761800">
      <w:pPr>
        <w:jc w:val="both"/>
        <w:rPr>
          <w:rFonts w:ascii="Times New Roman" w:hAnsi="Times New Roman"/>
          <w:bCs/>
          <w:iCs/>
          <w:color w:val="000000"/>
          <w:sz w:val="16"/>
          <w:szCs w:val="16"/>
          <w:lang w:eastAsia="bg-BG"/>
        </w:rPr>
      </w:pPr>
      <w:r w:rsidRPr="00761800">
        <w:rPr>
          <w:rFonts w:ascii="Times New Roman" w:hAnsi="Times New Roman"/>
          <w:bCs/>
          <w:iCs/>
          <w:color w:val="000000"/>
          <w:sz w:val="16"/>
          <w:szCs w:val="16"/>
          <w:lang w:eastAsia="bg-BG"/>
        </w:rPr>
        <w:t>* Вкл. Предоставени текущи и капиталови трансфери за чужбина</w:t>
      </w:r>
    </w:p>
    <w:p w14:paraId="6B2B0D1E" w14:textId="77777777" w:rsidR="00761800" w:rsidRPr="00761800" w:rsidRDefault="00761800" w:rsidP="00761800">
      <w:pPr>
        <w:jc w:val="both"/>
        <w:rPr>
          <w:rFonts w:ascii="Times New Roman" w:hAnsi="Times New Roman"/>
          <w:bCs/>
          <w:iCs/>
          <w:color w:val="000000"/>
          <w:sz w:val="16"/>
          <w:szCs w:val="16"/>
          <w:lang w:eastAsia="bg-BG"/>
        </w:rPr>
      </w:pPr>
      <w:r w:rsidRPr="00761800">
        <w:rPr>
          <w:rFonts w:ascii="Times New Roman" w:hAnsi="Times New Roman"/>
          <w:bCs/>
          <w:iCs/>
          <w:color w:val="000000"/>
          <w:sz w:val="16"/>
          <w:szCs w:val="16"/>
          <w:lang w:eastAsia="bg-BG"/>
        </w:rPr>
        <w:t>** Вкл. Нетен прираст на държавния резерв</w:t>
      </w:r>
    </w:p>
    <w:p w14:paraId="6DA318C7" w14:textId="77777777" w:rsidR="00761800" w:rsidRPr="00761800" w:rsidRDefault="00761800" w:rsidP="00761800">
      <w:pPr>
        <w:autoSpaceDE w:val="0"/>
        <w:autoSpaceDN w:val="0"/>
        <w:adjustRightInd w:val="0"/>
        <w:spacing w:before="60"/>
        <w:ind w:right="202" w:firstLine="5098"/>
        <w:jc w:val="right"/>
        <w:rPr>
          <w:rFonts w:ascii="Times New Roman" w:eastAsia="Batang" w:hAnsi="Times New Roman"/>
          <w:bCs/>
          <w:sz w:val="16"/>
          <w:szCs w:val="16"/>
          <w:lang w:eastAsia="bg-BG"/>
        </w:rPr>
      </w:pPr>
      <w:r w:rsidRPr="00761800">
        <w:rPr>
          <w:rFonts w:ascii="Times New Roman" w:eastAsia="Batang" w:hAnsi="Times New Roman"/>
          <w:bCs/>
          <w:sz w:val="16"/>
          <w:szCs w:val="16"/>
          <w:lang w:eastAsia="bg-BG"/>
        </w:rPr>
        <w:t>Източник: МФ</w:t>
      </w:r>
    </w:p>
    <w:p w14:paraId="24FA8541"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39D6C4F0" w14:textId="77777777" w:rsidR="00761800" w:rsidRPr="00761800" w:rsidRDefault="00761800" w:rsidP="00761800">
      <w:pPr>
        <w:autoSpaceDE w:val="0"/>
        <w:autoSpaceDN w:val="0"/>
        <w:adjustRightInd w:val="0"/>
        <w:spacing w:after="120" w:line="276" w:lineRule="auto"/>
        <w:rPr>
          <w:rFonts w:ascii="Times New Roman" w:eastAsia="Batang" w:hAnsi="Times New Roman"/>
          <w:b/>
          <w:bCs/>
          <w:i/>
          <w:color w:val="943634"/>
          <w:sz w:val="22"/>
          <w:szCs w:val="22"/>
          <w:lang w:eastAsia="bg-BG"/>
        </w:rPr>
      </w:pPr>
      <w:r w:rsidRPr="00761800">
        <w:rPr>
          <w:rFonts w:ascii="Times New Roman" w:eastAsia="Batang" w:hAnsi="Times New Roman"/>
          <w:b/>
          <w:bCs/>
          <w:i/>
          <w:color w:val="943634"/>
          <w:sz w:val="22"/>
          <w:szCs w:val="22"/>
          <w:lang w:eastAsia="bg-BG"/>
        </w:rPr>
        <w:t>Разходи по държавния бюджет, бюджетите на социалноосигурителните фондове и бюджетите на общините</w:t>
      </w:r>
    </w:p>
    <w:p w14:paraId="7F4DF91C" w14:textId="77777777" w:rsidR="00761800" w:rsidRPr="00761800" w:rsidRDefault="00761800" w:rsidP="00F64909">
      <w:pPr>
        <w:numPr>
          <w:ilvl w:val="0"/>
          <w:numId w:val="5"/>
        </w:numPr>
        <w:autoSpaceDE w:val="0"/>
        <w:autoSpaceDN w:val="0"/>
        <w:adjustRightInd w:val="0"/>
        <w:spacing w:after="120" w:line="276" w:lineRule="auto"/>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Държавен бюджет</w:t>
      </w:r>
    </w:p>
    <w:p w14:paraId="6D5AA3C6"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Общият размер на </w:t>
      </w:r>
      <w:r w:rsidRPr="00761800">
        <w:rPr>
          <w:rFonts w:ascii="Times New Roman" w:eastAsia="Batang" w:hAnsi="Times New Roman"/>
          <w:b/>
          <w:bCs/>
          <w:i/>
          <w:sz w:val="20"/>
          <w:lang w:eastAsia="bg-BG"/>
        </w:rPr>
        <w:t>разходите по държавния бюджет</w:t>
      </w:r>
      <w:r w:rsidRPr="00761800">
        <w:rPr>
          <w:rFonts w:ascii="Times New Roman" w:eastAsia="Batang" w:hAnsi="Times New Roman"/>
          <w:bCs/>
          <w:sz w:val="20"/>
          <w:lang w:eastAsia="bg-BG"/>
        </w:rPr>
        <w:t xml:space="preserve"> (вкл. и трансферите за др. бюджети и вноската в бюджета на ЕС) към април 2026 г. са в размер на е 9 882,2 млн. евро. </w:t>
      </w:r>
    </w:p>
    <w:p w14:paraId="4949E5D4"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Нелихвените разходи по държавния бюджет</w:t>
      </w:r>
      <w:r w:rsidRPr="00761800">
        <w:rPr>
          <w:rFonts w:ascii="Times New Roman" w:eastAsia="Batang" w:hAnsi="Times New Roman"/>
          <w:bCs/>
          <w:sz w:val="20"/>
          <w:lang w:eastAsia="bg-BG"/>
        </w:rPr>
        <w:t xml:space="preserve"> (без трансферите за др. бюджети)  към април 2026 г. са в размер на 3 756,0 млн. евро и нарастват номинално с 528,5 млн. евро (16,4 на сто), сравнени със същия период на предходната година.</w:t>
      </w:r>
    </w:p>
    <w:p w14:paraId="3302DC72" w14:textId="77777777" w:rsidR="00761800" w:rsidRPr="00761800" w:rsidRDefault="00761800" w:rsidP="00761800">
      <w:pPr>
        <w:jc w:val="both"/>
        <w:rPr>
          <w:rFonts w:ascii="Times New Roman" w:hAnsi="Times New Roman"/>
          <w:bCs/>
          <w:sz w:val="20"/>
          <w:lang w:eastAsia="bg-BG"/>
        </w:rPr>
      </w:pPr>
      <w:r w:rsidRPr="00761800">
        <w:rPr>
          <w:rFonts w:ascii="Times New Roman" w:hAnsi="Times New Roman"/>
          <w:bCs/>
          <w:sz w:val="20"/>
          <w:lang w:eastAsia="bg-BG"/>
        </w:rPr>
        <w:t xml:space="preserve">Разходите за персонал (заплати и възнаграждения, други възнаграждения и плащания за персонала и осигурителни вноски) са в общ размер на 2 202,0 млн. евро и нарастват с 354,6 млн. евро (19,2%) спрямо същия период на предходната година.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640,0 млн. евро и нарастват със 162,3 млн. евро (34,0%) спрямо същия период на предходната година. Социалните разходи (вкл. разходите за стипендии) са в размер на 341,7 млн. евро, като нарастват с 47,9 млн. евро (16,3%) спрямо същия период на предходната година. Част от социалните разходи по държавния бюджет се предоставят като трансфери за общинските бюджети. Разходите за субсидии са в размер на 303,2 млн. евро. Към април 2026 г. субсидиите за „БДЖ – Пътнически превози” ЕООД са в размер на 44,4 млн. евро (в т. ч. 5,8 млн. евро субсидия за изпълнението на обществена превозна услуга по РМС № 217/13.03.2026 г.), субсидиите за Национална компания „Железопътна инфраструктура” са 69,3 млн. евро (в т. ч. 9,0 млн. евро субсидия за текущо поддържане и експлоатация на железопътната инфраструктура по РМС № 217/13.03.2026 г.) и 18,1 млн. евро (в т. ч. 5,0 млн. евро субсидия по РМС № 219/13.03.2026 г.) са за „Български пощи” ЕАД, от които 4,9 млн. евро за извършване на универсална пощенска услуга, 4,8 млн. евро за разпространение на периодични печатни издания - вестници и списания и 3,4 млн. евро за административни услуги. За отчетния период субсидиите за „България Хели Мед Сървиз“ (център за спешна медицинска помощ по въздуха) са в размер на 1,0 млн. евро. Към месец април 2026 г. ДФ „Земеделие“ e изплатил субсидии в общ размер на 42,3 млн. евро, от които 7,6 млн. евро държавна помощ; 31,8 млн. евро </w:t>
      </w:r>
      <w:r w:rsidRPr="00761800">
        <w:rPr>
          <w:rFonts w:ascii="Times New Roman" w:hAnsi="Times New Roman"/>
          <w:bCs/>
          <w:sz w:val="20"/>
          <w:lang w:eastAsia="bg-BG"/>
        </w:rPr>
        <w:lastRenderedPageBreak/>
        <w:t xml:space="preserve">преходна национална помощ за тютюн и 2,9 млн. евро средства за ДДС по схеми „Училищен плод“ и „Училищно мляко“. </w:t>
      </w:r>
    </w:p>
    <w:p w14:paraId="0FCFC082" w14:textId="77777777" w:rsidR="00761800" w:rsidRPr="00761800" w:rsidRDefault="00761800" w:rsidP="00761800">
      <w:pPr>
        <w:autoSpaceDE w:val="0"/>
        <w:autoSpaceDN w:val="0"/>
        <w:adjustRightInd w:val="0"/>
        <w:spacing w:before="120" w:after="120"/>
        <w:jc w:val="both"/>
        <w:rPr>
          <w:rFonts w:ascii="Times New Roman" w:hAnsi="Times New Roman"/>
          <w:bCs/>
          <w:sz w:val="20"/>
          <w:lang w:eastAsia="bg-BG"/>
        </w:rPr>
      </w:pPr>
      <w:r w:rsidRPr="00761800">
        <w:rPr>
          <w:rFonts w:ascii="Times New Roman" w:hAnsi="Times New Roman"/>
          <w:bCs/>
          <w:i/>
          <w:sz w:val="20"/>
          <w:lang w:eastAsia="bg-BG"/>
        </w:rPr>
        <w:t>Капиталовите разходи</w:t>
      </w:r>
      <w:r w:rsidRPr="00761800">
        <w:rPr>
          <w:rFonts w:ascii="Times New Roman" w:hAnsi="Times New Roman"/>
          <w:bCs/>
          <w:sz w:val="20"/>
          <w:lang w:eastAsia="bg-BG"/>
        </w:rPr>
        <w:t xml:space="preserve"> (вкл. нетния прираст на държавния резерв) по държавния бюджет възлизат на 267,6 млн. евро.</w:t>
      </w:r>
    </w:p>
    <w:p w14:paraId="3018EC75" w14:textId="77777777" w:rsidR="00761800" w:rsidRPr="00761800" w:rsidRDefault="00761800" w:rsidP="00761800">
      <w:pPr>
        <w:autoSpaceDE w:val="0"/>
        <w:autoSpaceDN w:val="0"/>
        <w:adjustRightInd w:val="0"/>
        <w:spacing w:before="120" w:after="120"/>
        <w:jc w:val="both"/>
        <w:rPr>
          <w:rFonts w:ascii="Times New Roman" w:eastAsia="Batang" w:hAnsi="Times New Roman"/>
          <w:bCs/>
          <w:sz w:val="20"/>
          <w:lang w:eastAsia="bg-BG"/>
        </w:rPr>
      </w:pPr>
      <w:r w:rsidRPr="00761800">
        <w:rPr>
          <w:rFonts w:ascii="Times New Roman" w:eastAsia="Batang" w:hAnsi="Times New Roman"/>
          <w:b/>
          <w:bCs/>
          <w:i/>
          <w:sz w:val="20"/>
          <w:lang w:eastAsia="bg-BG"/>
        </w:rPr>
        <w:t>Лихвените плащания по държавния бюджет</w:t>
      </w:r>
      <w:r w:rsidRPr="00761800">
        <w:rPr>
          <w:rFonts w:ascii="Times New Roman" w:eastAsia="Batang" w:hAnsi="Times New Roman"/>
          <w:bCs/>
          <w:sz w:val="20"/>
          <w:lang w:eastAsia="bg-BG"/>
        </w:rPr>
        <w:t xml:space="preserve"> към 30.04.2026 г. са в общ размер на 229,6 млн. евро.</w:t>
      </w:r>
    </w:p>
    <w:p w14:paraId="473404F1"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Нетният размер на </w:t>
      </w:r>
      <w:r w:rsidRPr="00761800">
        <w:rPr>
          <w:rFonts w:ascii="Times New Roman" w:eastAsia="Batang" w:hAnsi="Times New Roman"/>
          <w:b/>
          <w:bCs/>
          <w:i/>
          <w:sz w:val="20"/>
          <w:lang w:eastAsia="bg-BG"/>
        </w:rPr>
        <w:t>трансферите по държавния бюджет</w:t>
      </w:r>
      <w:r w:rsidRPr="00761800">
        <w:rPr>
          <w:rFonts w:ascii="Times New Roman" w:eastAsia="Batang" w:hAnsi="Times New Roman"/>
          <w:bCs/>
          <w:sz w:val="20"/>
          <w:lang w:eastAsia="bg-BG"/>
        </w:rPr>
        <w:t xml:space="preserve"> е 5 544,9 млн. евро.</w:t>
      </w:r>
    </w:p>
    <w:p w14:paraId="31AE737C" w14:textId="77777777" w:rsidR="00761800" w:rsidRPr="00761800" w:rsidRDefault="00761800" w:rsidP="00F64909">
      <w:pPr>
        <w:numPr>
          <w:ilvl w:val="0"/>
          <w:numId w:val="5"/>
        </w:numPr>
        <w:autoSpaceDE w:val="0"/>
        <w:autoSpaceDN w:val="0"/>
        <w:adjustRightInd w:val="0"/>
        <w:spacing w:after="120"/>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Разходи по бюджетите на социалноосигурителните фондове</w:t>
      </w:r>
    </w:p>
    <w:p w14:paraId="0C911F09"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Извършените разходи по бюджетите на социалноосигурителните фондове към април 2026 г. са в размер на 6 614,4 млн. евро (ръст от 684,8 млн. евро, 11,5% спрямо същия период на 2025 г.), в т. ч. пенсии, помощи и обезщетения по КСО в размер на 4 886,4 млн. евро и здравноосигурителни плащания в размер на 1 673,9 млн. евро.</w:t>
      </w:r>
    </w:p>
    <w:p w14:paraId="36605E95" w14:textId="77777777" w:rsidR="00761800" w:rsidRPr="00761800" w:rsidRDefault="00761800" w:rsidP="00F64909">
      <w:pPr>
        <w:numPr>
          <w:ilvl w:val="0"/>
          <w:numId w:val="5"/>
        </w:numPr>
        <w:autoSpaceDE w:val="0"/>
        <w:autoSpaceDN w:val="0"/>
        <w:adjustRightInd w:val="0"/>
        <w:spacing w:after="120"/>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Разходи по бюджетите на общините</w:t>
      </w:r>
    </w:p>
    <w:p w14:paraId="2A194A74"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Извършените разходи по общинските бюджети, включително и за сметка на предоставените трансфери от други бюджети, са в размер на 2 795,6 млн. евро, като нарастват с 34,7% спрямо същия период на предходната година. Текущите нелихвени разходи възлизат на 2 302,5 млн. евро (ръст от 20,2% спрямо същия период на 2025 г.), а капиталовите разходи са в размер на 483,6 млн. евро (ръст от 332,2 млн. евро спрямо отчетените към април 2025 г.). Лихвените плащания са в размер на 9,5 млн. евро (ръст от 15,3% спрямо същия период на 2025 г.).</w:t>
      </w:r>
    </w:p>
    <w:p w14:paraId="274A1331" w14:textId="77777777" w:rsidR="00761800" w:rsidRPr="00761800" w:rsidRDefault="00761800" w:rsidP="00F64909">
      <w:pPr>
        <w:numPr>
          <w:ilvl w:val="0"/>
          <w:numId w:val="5"/>
        </w:numPr>
        <w:autoSpaceDE w:val="0"/>
        <w:autoSpaceDN w:val="0"/>
        <w:adjustRightInd w:val="0"/>
        <w:spacing w:after="120"/>
        <w:ind w:left="426" w:hanging="426"/>
        <w:jc w:val="both"/>
        <w:rPr>
          <w:rFonts w:ascii="Times New Roman" w:eastAsia="Batang" w:hAnsi="Times New Roman"/>
          <w:b/>
          <w:bCs/>
          <w:color w:val="943634"/>
          <w:sz w:val="22"/>
          <w:szCs w:val="22"/>
          <w:lang w:eastAsia="bg-BG"/>
        </w:rPr>
      </w:pPr>
      <w:r w:rsidRPr="00761800">
        <w:rPr>
          <w:rFonts w:ascii="Times New Roman" w:eastAsia="Batang" w:hAnsi="Times New Roman"/>
          <w:b/>
          <w:bCs/>
          <w:color w:val="943634"/>
          <w:sz w:val="22"/>
          <w:szCs w:val="22"/>
          <w:lang w:eastAsia="bg-BG"/>
        </w:rPr>
        <w:t>Бюджетно салдо по консолидираната фискална програма към 30.04.2026 г.</w:t>
      </w:r>
    </w:p>
    <w:p w14:paraId="5FCF0A7A"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
          <w:bCs/>
          <w:sz w:val="20"/>
          <w:lang w:eastAsia="bg-BG"/>
        </w:rPr>
        <w:t>Бюджетното салдо по КФП</w:t>
      </w:r>
      <w:r w:rsidRPr="00761800">
        <w:rPr>
          <w:rFonts w:ascii="Times New Roman" w:eastAsia="Batang" w:hAnsi="Times New Roman"/>
          <w:bCs/>
          <w:sz w:val="20"/>
          <w:lang w:eastAsia="bg-BG"/>
        </w:rPr>
        <w:t xml:space="preserve"> към април 2026 г. е отрицателно в размер на 1 761,1 млн. евро (1,4% от прогнозния БВП). </w:t>
      </w:r>
    </w:p>
    <w:p w14:paraId="24D1D5B2"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Общият размер на </w:t>
      </w:r>
      <w:r w:rsidRPr="00761800">
        <w:rPr>
          <w:rFonts w:ascii="Times New Roman" w:eastAsia="Batang" w:hAnsi="Times New Roman"/>
          <w:b/>
          <w:bCs/>
          <w:sz w:val="20"/>
          <w:lang w:eastAsia="bg-BG"/>
        </w:rPr>
        <w:t>касовите постъпления от ЕС</w:t>
      </w:r>
      <w:r w:rsidRPr="00761800">
        <w:rPr>
          <w:rFonts w:ascii="Times New Roman" w:eastAsia="Batang" w:hAnsi="Times New Roman"/>
          <w:bCs/>
          <w:sz w:val="20"/>
          <w:lang w:eastAsia="bg-BG"/>
        </w:rPr>
        <w:t xml:space="preserve"> (от Структурните и Кохезионния фондове, от ЕЗФРСР и ЕФР, от средства за директни плащания към земеделските производители и плащания по пазарни мерки и др.) към април 2026 г. е 1 273,6 млн. евро. Нетните постъпления от ЕС към 30.04.2026 г. (касови постъпления от ЕС, намалени с вноската в общия бюджет на ЕС) са положителни в размер на 921,8 млн. евро.</w:t>
      </w:r>
    </w:p>
    <w:p w14:paraId="20FFCC4E"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r w:rsidRPr="00761800">
        <w:rPr>
          <w:rFonts w:ascii="Times New Roman" w:eastAsia="Batang" w:hAnsi="Times New Roman"/>
          <w:bCs/>
          <w:sz w:val="20"/>
          <w:lang w:eastAsia="bg-BG"/>
        </w:rPr>
        <w:t xml:space="preserve">Размерът на </w:t>
      </w:r>
      <w:r w:rsidRPr="00761800">
        <w:rPr>
          <w:rFonts w:ascii="Times New Roman" w:eastAsia="Batang" w:hAnsi="Times New Roman"/>
          <w:b/>
          <w:bCs/>
          <w:sz w:val="20"/>
          <w:lang w:eastAsia="bg-BG"/>
        </w:rPr>
        <w:t>фискалния резерв</w:t>
      </w:r>
      <w:r w:rsidRPr="00761800">
        <w:rPr>
          <w:rFonts w:ascii="Times New Roman" w:eastAsia="Batang" w:hAnsi="Times New Roman"/>
          <w:b/>
          <w:bCs/>
          <w:position w:val="2"/>
          <w:sz w:val="20"/>
          <w:vertAlign w:val="superscript"/>
          <w:lang w:eastAsia="bg-BG"/>
        </w:rPr>
        <w:footnoteReference w:id="94"/>
      </w:r>
      <w:r w:rsidRPr="00761800">
        <w:rPr>
          <w:rFonts w:ascii="Times New Roman" w:eastAsia="Batang" w:hAnsi="Times New Roman"/>
          <w:b/>
          <w:bCs/>
          <w:position w:val="2"/>
          <w:sz w:val="20"/>
          <w:vertAlign w:val="superscript"/>
          <w:lang w:eastAsia="bg-BG"/>
        </w:rPr>
        <w:t xml:space="preserve"> </w:t>
      </w:r>
      <w:r w:rsidRPr="00761800">
        <w:rPr>
          <w:rFonts w:ascii="Times New Roman" w:eastAsia="Batang" w:hAnsi="Times New Roman"/>
          <w:bCs/>
          <w:sz w:val="20"/>
          <w:lang w:eastAsia="bg-BG"/>
        </w:rPr>
        <w:t>към 30.04.2026 г. е 6 803,5 млн. евро, в т. ч. 5 282,6 млн. евро депозити на фискалния резерв в БНБ и банки и 1 520,9 млн. евро вземания от фондовете на Европейския съюз за сертифицирани разходи, аванси и други.</w:t>
      </w:r>
    </w:p>
    <w:p w14:paraId="104DA07C"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0D1267DA"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1626CF85"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pPr>
    </w:p>
    <w:p w14:paraId="69F3D311" w14:textId="77777777" w:rsidR="00761800" w:rsidRPr="00761800" w:rsidRDefault="00761800" w:rsidP="00761800">
      <w:pPr>
        <w:autoSpaceDE w:val="0"/>
        <w:autoSpaceDN w:val="0"/>
        <w:adjustRightInd w:val="0"/>
        <w:spacing w:after="120"/>
        <w:jc w:val="both"/>
        <w:rPr>
          <w:rFonts w:ascii="Times New Roman" w:eastAsia="Batang" w:hAnsi="Times New Roman"/>
          <w:bCs/>
          <w:sz w:val="20"/>
          <w:lang w:eastAsia="bg-BG"/>
        </w:rPr>
        <w:sectPr w:rsidR="00761800" w:rsidRPr="00761800" w:rsidSect="00406B4D">
          <w:type w:val="continuous"/>
          <w:pgSz w:w="16838" w:h="11906" w:orient="landscape" w:code="9"/>
          <w:pgMar w:top="1418" w:right="1134" w:bottom="851" w:left="1134" w:header="709" w:footer="709" w:gutter="0"/>
          <w:cols w:num="2" w:space="708"/>
          <w:titlePg/>
          <w:docGrid w:linePitch="360"/>
        </w:sectPr>
      </w:pPr>
    </w:p>
    <w:p w14:paraId="49F52464" w14:textId="77777777" w:rsidR="00761800" w:rsidRPr="00761800" w:rsidRDefault="00761800" w:rsidP="00761800">
      <w:pPr>
        <w:keepNext/>
        <w:keepLines/>
        <w:tabs>
          <w:tab w:val="left" w:pos="426"/>
        </w:tabs>
        <w:spacing w:before="480" w:after="360"/>
        <w:outlineLvl w:val="1"/>
        <w:rPr>
          <w:rFonts w:ascii="Times New Roman" w:hAnsi="Times New Roman"/>
          <w:b/>
          <w:bCs/>
          <w:caps/>
          <w:color w:val="852010"/>
          <w:spacing w:val="10"/>
          <w:w w:val="90"/>
          <w:sz w:val="28"/>
          <w:szCs w:val="26"/>
          <w:lang w:eastAsia="bg-BG"/>
        </w:rPr>
      </w:pPr>
      <w:bookmarkStart w:id="550" w:name="_Toc464224824"/>
      <w:bookmarkStart w:id="551" w:name="_Toc464225474"/>
      <w:bookmarkStart w:id="552" w:name="_Toc464459021"/>
      <w:bookmarkStart w:id="553" w:name="_Toc464459769"/>
      <w:bookmarkStart w:id="554" w:name="_Toc464460722"/>
      <w:bookmarkStart w:id="555" w:name="_Toc464463121"/>
      <w:bookmarkStart w:id="556" w:name="_Toc464464950"/>
      <w:bookmarkStart w:id="557" w:name="_Toc464465457"/>
      <w:bookmarkStart w:id="558" w:name="_Toc464465645"/>
      <w:bookmarkStart w:id="559" w:name="_Toc464466469"/>
      <w:bookmarkStart w:id="560" w:name="_Toc464466712"/>
      <w:bookmarkStart w:id="561" w:name="_Toc464645033"/>
      <w:bookmarkStart w:id="562" w:name="_Toc465205587"/>
      <w:bookmarkStart w:id="563" w:name="_Toc233717504"/>
      <w:r w:rsidRPr="00761800">
        <w:rPr>
          <w:rFonts w:ascii="Times New Roman" w:hAnsi="Times New Roman"/>
          <w:b/>
          <w:bCs/>
          <w:caps/>
          <w:color w:val="852010"/>
          <w:spacing w:val="10"/>
          <w:w w:val="90"/>
          <w:sz w:val="28"/>
          <w:szCs w:val="26"/>
          <w:lang w:eastAsia="bg-BG"/>
        </w:rPr>
        <w:lastRenderedPageBreak/>
        <w:t xml:space="preserve">Приложение № 2: </w:t>
      </w:r>
      <w:r w:rsidRPr="00761800">
        <w:rPr>
          <w:rFonts w:ascii="Times New Roman" w:hAnsi="Times New Roman"/>
          <w:b/>
          <w:bCs/>
          <w:caps/>
          <w:color w:val="852010"/>
          <w:spacing w:val="10"/>
          <w:w w:val="90"/>
          <w:sz w:val="28"/>
          <w:szCs w:val="26"/>
          <w:lang w:eastAsia="bg-BG"/>
        </w:rPr>
        <w:br/>
        <w:t>Основни допускания по Актуализираната средносрочна бюджетна прогноза за периода 2026-2028 г.</w:t>
      </w:r>
      <w:bookmarkStart w:id="564" w:name="_Toc464224825"/>
      <w:bookmarkStart w:id="565" w:name="_Toc464225475"/>
      <w:bookmarkStart w:id="566" w:name="_Toc464459022"/>
      <w:bookmarkStart w:id="567" w:name="_Toc464459770"/>
      <w:bookmarkStart w:id="568" w:name="_Toc464460723"/>
      <w:bookmarkStart w:id="569" w:name="_Toc464463122"/>
      <w:bookmarkStart w:id="570" w:name="_Toc464464951"/>
      <w:bookmarkStart w:id="571" w:name="_Toc464465458"/>
      <w:bookmarkStart w:id="572" w:name="_Toc464465646"/>
      <w:bookmarkStart w:id="573" w:name="_Toc464466470"/>
      <w:bookmarkStart w:id="574" w:name="_Toc464466713"/>
      <w:bookmarkStart w:id="575" w:name="_Toc464645034"/>
      <w:bookmarkStart w:id="576" w:name="_Toc465205588"/>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5C81FBC6" w14:textId="77777777" w:rsidR="00761800" w:rsidRPr="00761800" w:rsidRDefault="00761800" w:rsidP="00761800">
      <w:pPr>
        <w:tabs>
          <w:tab w:val="left" w:pos="610"/>
          <w:tab w:val="left" w:pos="26077"/>
          <w:tab w:val="left" w:pos="27968"/>
          <w:tab w:val="left" w:pos="29859"/>
        </w:tabs>
        <w:rPr>
          <w:rFonts w:ascii="Times New Roman" w:hAnsi="Times New Roman"/>
          <w:b/>
          <w:bCs/>
          <w:caps/>
          <w:spacing w:val="10"/>
          <w:w w:val="90"/>
          <w:sz w:val="28"/>
          <w:szCs w:val="26"/>
          <w:lang w:eastAsia="bg-BG"/>
        </w:rPr>
      </w:pPr>
    </w:p>
    <w:tbl>
      <w:tblPr>
        <w:tblW w:w="5000" w:type="pct"/>
        <w:tblCellMar>
          <w:left w:w="70" w:type="dxa"/>
          <w:right w:w="70" w:type="dxa"/>
        </w:tblCellMar>
        <w:tblLook w:val="04A0" w:firstRow="1" w:lastRow="0" w:firstColumn="1" w:lastColumn="0" w:noHBand="0" w:noVBand="1"/>
      </w:tblPr>
      <w:tblGrid>
        <w:gridCol w:w="540"/>
        <w:gridCol w:w="4877"/>
        <w:gridCol w:w="1550"/>
        <w:gridCol w:w="1879"/>
        <w:gridCol w:w="1906"/>
        <w:gridCol w:w="1906"/>
        <w:gridCol w:w="1912"/>
      </w:tblGrid>
      <w:tr w:rsidR="00761800" w:rsidRPr="00761800" w14:paraId="65275BC8" w14:textId="77777777" w:rsidTr="00406B4D">
        <w:trPr>
          <w:trHeight w:val="600"/>
          <w:tblHeader/>
        </w:trPr>
        <w:tc>
          <w:tcPr>
            <w:tcW w:w="185" w:type="pct"/>
            <w:tcBorders>
              <w:top w:val="single" w:sz="4" w:space="0" w:color="auto"/>
            </w:tcBorders>
            <w:shd w:val="clear" w:color="auto" w:fill="FBE4D5"/>
            <w:vAlign w:val="center"/>
            <w:hideMark/>
          </w:tcPr>
          <w:p w14:paraId="01A4C6E8" w14:textId="77777777" w:rsidR="00761800" w:rsidRPr="00761800" w:rsidRDefault="00761800" w:rsidP="00761800">
            <w:pPr>
              <w:jc w:val="center"/>
              <w:rPr>
                <w:rFonts w:ascii="Times New Roman" w:hAnsi="Times New Roman"/>
                <w:b/>
                <w:bCs/>
                <w:color w:val="000000"/>
                <w:sz w:val="22"/>
                <w:szCs w:val="22"/>
                <w:lang w:eastAsia="bg-BG"/>
              </w:rPr>
            </w:pPr>
          </w:p>
        </w:tc>
        <w:tc>
          <w:tcPr>
            <w:tcW w:w="1673" w:type="pct"/>
            <w:tcBorders>
              <w:top w:val="single" w:sz="4" w:space="0" w:color="auto"/>
            </w:tcBorders>
            <w:shd w:val="clear" w:color="auto" w:fill="FBE4D5"/>
            <w:vAlign w:val="center"/>
            <w:hideMark/>
          </w:tcPr>
          <w:p w14:paraId="296F5BF1" w14:textId="77777777" w:rsidR="00761800" w:rsidRPr="00761800" w:rsidRDefault="00761800" w:rsidP="00761800">
            <w:pPr>
              <w:jc w:val="center"/>
              <w:rPr>
                <w:rFonts w:ascii="Times New Roman" w:hAnsi="Times New Roman"/>
                <w:b/>
                <w:bCs/>
                <w:color w:val="000000"/>
                <w:sz w:val="22"/>
                <w:szCs w:val="22"/>
                <w:lang w:eastAsia="bg-BG"/>
              </w:rPr>
            </w:pPr>
            <w:r w:rsidRPr="00761800">
              <w:rPr>
                <w:rFonts w:ascii="Times New Roman" w:hAnsi="Times New Roman"/>
                <w:b/>
                <w:bCs/>
                <w:color w:val="000000"/>
                <w:sz w:val="22"/>
                <w:szCs w:val="22"/>
                <w:lang w:eastAsia="bg-BG"/>
              </w:rPr>
              <w:t>ОСНОВНИ ДОПУСКАНИЯ</w:t>
            </w:r>
          </w:p>
        </w:tc>
        <w:tc>
          <w:tcPr>
            <w:tcW w:w="532" w:type="pct"/>
            <w:tcBorders>
              <w:top w:val="single" w:sz="4" w:space="0" w:color="auto"/>
            </w:tcBorders>
            <w:shd w:val="clear" w:color="auto" w:fill="FBE4D5"/>
            <w:vAlign w:val="center"/>
            <w:hideMark/>
          </w:tcPr>
          <w:p w14:paraId="30270618" w14:textId="77777777" w:rsidR="00761800" w:rsidRPr="00761800" w:rsidRDefault="00761800" w:rsidP="00761800">
            <w:pPr>
              <w:jc w:val="center"/>
              <w:rPr>
                <w:rFonts w:ascii="Times New Roman" w:hAnsi="Times New Roman"/>
                <w:b/>
                <w:bCs/>
                <w:color w:val="000000"/>
                <w:sz w:val="22"/>
                <w:szCs w:val="22"/>
                <w:lang w:eastAsia="bg-BG"/>
              </w:rPr>
            </w:pPr>
            <w:r w:rsidRPr="00761800">
              <w:rPr>
                <w:rFonts w:ascii="Times New Roman" w:hAnsi="Times New Roman"/>
                <w:b/>
                <w:bCs/>
                <w:color w:val="000000"/>
                <w:sz w:val="22"/>
                <w:szCs w:val="22"/>
                <w:lang w:eastAsia="bg-BG"/>
              </w:rPr>
              <w:t>Мерна</w:t>
            </w:r>
            <w:r w:rsidRPr="00761800">
              <w:rPr>
                <w:rFonts w:ascii="Times New Roman" w:hAnsi="Times New Roman"/>
                <w:b/>
                <w:bCs/>
                <w:color w:val="000000"/>
                <w:sz w:val="22"/>
                <w:szCs w:val="22"/>
                <w:lang w:eastAsia="bg-BG"/>
              </w:rPr>
              <w:br/>
              <w:t xml:space="preserve"> единица</w:t>
            </w:r>
          </w:p>
        </w:tc>
        <w:tc>
          <w:tcPr>
            <w:tcW w:w="645" w:type="pct"/>
            <w:tcBorders>
              <w:top w:val="single" w:sz="4" w:space="0" w:color="auto"/>
            </w:tcBorders>
            <w:shd w:val="clear" w:color="auto" w:fill="FBE4D5"/>
            <w:vAlign w:val="center"/>
            <w:hideMark/>
          </w:tcPr>
          <w:p w14:paraId="64218804" w14:textId="77777777" w:rsidR="00761800" w:rsidRPr="00761800" w:rsidRDefault="00761800" w:rsidP="00761800">
            <w:pPr>
              <w:jc w:val="center"/>
              <w:rPr>
                <w:rFonts w:ascii="Times New Roman" w:hAnsi="Times New Roman"/>
                <w:b/>
                <w:bCs/>
                <w:iCs/>
                <w:sz w:val="22"/>
                <w:szCs w:val="22"/>
                <w:lang w:eastAsia="bg-BG"/>
              </w:rPr>
            </w:pPr>
            <w:r w:rsidRPr="00761800">
              <w:rPr>
                <w:rFonts w:ascii="Times New Roman" w:hAnsi="Times New Roman"/>
                <w:b/>
                <w:bCs/>
                <w:iCs/>
                <w:sz w:val="22"/>
                <w:szCs w:val="22"/>
                <w:lang w:eastAsia="bg-BG"/>
              </w:rPr>
              <w:t>2025 г.</w:t>
            </w:r>
          </w:p>
        </w:tc>
        <w:tc>
          <w:tcPr>
            <w:tcW w:w="654" w:type="pct"/>
            <w:tcBorders>
              <w:top w:val="single" w:sz="4" w:space="0" w:color="auto"/>
            </w:tcBorders>
            <w:shd w:val="clear" w:color="auto" w:fill="FBE4D5"/>
            <w:vAlign w:val="center"/>
            <w:hideMark/>
          </w:tcPr>
          <w:p w14:paraId="756BF9F9"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2026 г.</w:t>
            </w:r>
          </w:p>
        </w:tc>
        <w:tc>
          <w:tcPr>
            <w:tcW w:w="654" w:type="pct"/>
            <w:tcBorders>
              <w:top w:val="single" w:sz="4" w:space="0" w:color="auto"/>
            </w:tcBorders>
            <w:shd w:val="clear" w:color="auto" w:fill="FBE4D5"/>
            <w:vAlign w:val="center"/>
            <w:hideMark/>
          </w:tcPr>
          <w:p w14:paraId="4A61B8FF"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2027 г.</w:t>
            </w:r>
          </w:p>
        </w:tc>
        <w:tc>
          <w:tcPr>
            <w:tcW w:w="656" w:type="pct"/>
            <w:tcBorders>
              <w:top w:val="single" w:sz="4" w:space="0" w:color="auto"/>
            </w:tcBorders>
            <w:shd w:val="clear" w:color="auto" w:fill="FBE4D5"/>
            <w:vAlign w:val="center"/>
            <w:hideMark/>
          </w:tcPr>
          <w:p w14:paraId="2202EC13"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2028 г.</w:t>
            </w:r>
          </w:p>
        </w:tc>
      </w:tr>
      <w:tr w:rsidR="00761800" w:rsidRPr="00761800" w14:paraId="3F869F11" w14:textId="77777777" w:rsidTr="00406B4D">
        <w:trPr>
          <w:trHeight w:val="300"/>
          <w:tblHeader/>
        </w:trPr>
        <w:tc>
          <w:tcPr>
            <w:tcW w:w="185" w:type="pct"/>
            <w:tcBorders>
              <w:bottom w:val="single" w:sz="4" w:space="0" w:color="auto"/>
            </w:tcBorders>
            <w:shd w:val="clear" w:color="auto" w:fill="FBE4D5"/>
            <w:vAlign w:val="center"/>
            <w:hideMark/>
          </w:tcPr>
          <w:p w14:paraId="31F9016A"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w:t>
            </w:r>
          </w:p>
        </w:tc>
        <w:tc>
          <w:tcPr>
            <w:tcW w:w="1673" w:type="pct"/>
            <w:tcBorders>
              <w:bottom w:val="single" w:sz="4" w:space="0" w:color="auto"/>
            </w:tcBorders>
            <w:shd w:val="clear" w:color="auto" w:fill="FBE4D5"/>
            <w:vAlign w:val="center"/>
            <w:hideMark/>
          </w:tcPr>
          <w:p w14:paraId="38B81FB7"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А</w:t>
            </w:r>
          </w:p>
        </w:tc>
        <w:tc>
          <w:tcPr>
            <w:tcW w:w="532" w:type="pct"/>
            <w:tcBorders>
              <w:bottom w:val="single" w:sz="4" w:space="0" w:color="auto"/>
            </w:tcBorders>
            <w:shd w:val="clear" w:color="auto" w:fill="FBE4D5"/>
            <w:vAlign w:val="center"/>
            <w:hideMark/>
          </w:tcPr>
          <w:p w14:paraId="0AA59204"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Б</w:t>
            </w:r>
          </w:p>
        </w:tc>
        <w:tc>
          <w:tcPr>
            <w:tcW w:w="645" w:type="pct"/>
            <w:tcBorders>
              <w:bottom w:val="single" w:sz="4" w:space="0" w:color="auto"/>
            </w:tcBorders>
            <w:shd w:val="clear" w:color="auto" w:fill="FBE4D5"/>
            <w:vAlign w:val="center"/>
            <w:hideMark/>
          </w:tcPr>
          <w:p w14:paraId="0CDF5176" w14:textId="77777777" w:rsidR="00761800" w:rsidRPr="00761800" w:rsidRDefault="00761800" w:rsidP="00761800">
            <w:pPr>
              <w:jc w:val="center"/>
              <w:rPr>
                <w:rFonts w:ascii="Times New Roman" w:hAnsi="Times New Roman"/>
                <w:b/>
                <w:bCs/>
                <w:iCs/>
                <w:sz w:val="22"/>
                <w:szCs w:val="22"/>
                <w:lang w:eastAsia="bg-BG"/>
              </w:rPr>
            </w:pPr>
            <w:r w:rsidRPr="00761800">
              <w:rPr>
                <w:rFonts w:ascii="Times New Roman" w:hAnsi="Times New Roman"/>
                <w:b/>
                <w:bCs/>
                <w:iCs/>
                <w:sz w:val="22"/>
                <w:szCs w:val="22"/>
                <w:lang w:eastAsia="bg-BG"/>
              </w:rPr>
              <w:t>1</w:t>
            </w:r>
          </w:p>
        </w:tc>
        <w:tc>
          <w:tcPr>
            <w:tcW w:w="654" w:type="pct"/>
            <w:tcBorders>
              <w:bottom w:val="single" w:sz="4" w:space="0" w:color="auto"/>
            </w:tcBorders>
            <w:shd w:val="clear" w:color="auto" w:fill="FBE4D5"/>
            <w:vAlign w:val="center"/>
            <w:hideMark/>
          </w:tcPr>
          <w:p w14:paraId="6E44E392"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2</w:t>
            </w:r>
          </w:p>
        </w:tc>
        <w:tc>
          <w:tcPr>
            <w:tcW w:w="654" w:type="pct"/>
            <w:tcBorders>
              <w:bottom w:val="single" w:sz="4" w:space="0" w:color="auto"/>
            </w:tcBorders>
            <w:shd w:val="clear" w:color="auto" w:fill="FBE4D5"/>
            <w:vAlign w:val="center"/>
            <w:hideMark/>
          </w:tcPr>
          <w:p w14:paraId="63DB51B9"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3</w:t>
            </w:r>
          </w:p>
        </w:tc>
        <w:tc>
          <w:tcPr>
            <w:tcW w:w="656" w:type="pct"/>
            <w:tcBorders>
              <w:bottom w:val="single" w:sz="4" w:space="0" w:color="auto"/>
            </w:tcBorders>
            <w:shd w:val="clear" w:color="auto" w:fill="FBE4D5"/>
            <w:vAlign w:val="center"/>
            <w:hideMark/>
          </w:tcPr>
          <w:p w14:paraId="6FDAFF72" w14:textId="77777777" w:rsidR="00761800" w:rsidRPr="00761800" w:rsidRDefault="00761800" w:rsidP="00761800">
            <w:pPr>
              <w:jc w:val="center"/>
              <w:rPr>
                <w:rFonts w:ascii="Times New Roman" w:hAnsi="Times New Roman"/>
                <w:b/>
                <w:bCs/>
                <w:sz w:val="22"/>
                <w:szCs w:val="22"/>
                <w:lang w:eastAsia="bg-BG"/>
              </w:rPr>
            </w:pPr>
            <w:r w:rsidRPr="00761800">
              <w:rPr>
                <w:rFonts w:ascii="Times New Roman" w:hAnsi="Times New Roman"/>
                <w:b/>
                <w:bCs/>
                <w:sz w:val="22"/>
                <w:szCs w:val="22"/>
                <w:lang w:eastAsia="bg-BG"/>
              </w:rPr>
              <w:t>4</w:t>
            </w:r>
          </w:p>
        </w:tc>
      </w:tr>
      <w:tr w:rsidR="00761800" w:rsidRPr="00761800" w14:paraId="00D97095" w14:textId="77777777" w:rsidTr="00406B4D">
        <w:trPr>
          <w:trHeight w:val="300"/>
        </w:trPr>
        <w:tc>
          <w:tcPr>
            <w:tcW w:w="185" w:type="pct"/>
            <w:vMerge w:val="restart"/>
            <w:tcBorders>
              <w:top w:val="single" w:sz="4" w:space="0" w:color="auto"/>
            </w:tcBorders>
            <w:shd w:val="clear" w:color="auto" w:fill="auto"/>
            <w:hideMark/>
          </w:tcPr>
          <w:p w14:paraId="2A912352"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w:t>
            </w:r>
          </w:p>
        </w:tc>
        <w:tc>
          <w:tcPr>
            <w:tcW w:w="1673" w:type="pct"/>
            <w:tcBorders>
              <w:top w:val="single" w:sz="4" w:space="0" w:color="auto"/>
            </w:tcBorders>
            <w:shd w:val="clear" w:color="auto" w:fill="auto"/>
            <w:hideMark/>
          </w:tcPr>
          <w:p w14:paraId="1D04D9F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данъчната ставка за облагане с ДДС</w:t>
            </w:r>
          </w:p>
        </w:tc>
        <w:tc>
          <w:tcPr>
            <w:tcW w:w="532" w:type="pct"/>
            <w:vMerge w:val="restart"/>
            <w:tcBorders>
              <w:top w:val="single" w:sz="4" w:space="0" w:color="auto"/>
            </w:tcBorders>
            <w:shd w:val="clear" w:color="auto" w:fill="FBE4D5"/>
            <w:vAlign w:val="center"/>
            <w:hideMark/>
          </w:tcPr>
          <w:p w14:paraId="5E2A4553"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w:t>
            </w:r>
          </w:p>
        </w:tc>
        <w:tc>
          <w:tcPr>
            <w:tcW w:w="645" w:type="pct"/>
            <w:tcBorders>
              <w:top w:val="single" w:sz="4" w:space="0" w:color="auto"/>
            </w:tcBorders>
            <w:shd w:val="clear" w:color="auto" w:fill="auto"/>
            <w:vAlign w:val="center"/>
            <w:hideMark/>
          </w:tcPr>
          <w:p w14:paraId="16B2594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20</w:t>
            </w:r>
          </w:p>
        </w:tc>
        <w:tc>
          <w:tcPr>
            <w:tcW w:w="654" w:type="pct"/>
            <w:tcBorders>
              <w:top w:val="single" w:sz="4" w:space="0" w:color="auto"/>
            </w:tcBorders>
            <w:shd w:val="clear" w:color="auto" w:fill="auto"/>
            <w:vAlign w:val="center"/>
            <w:hideMark/>
          </w:tcPr>
          <w:p w14:paraId="531776E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20</w:t>
            </w:r>
          </w:p>
        </w:tc>
        <w:tc>
          <w:tcPr>
            <w:tcW w:w="654" w:type="pct"/>
            <w:tcBorders>
              <w:top w:val="single" w:sz="4" w:space="0" w:color="auto"/>
            </w:tcBorders>
            <w:shd w:val="clear" w:color="auto" w:fill="auto"/>
            <w:vAlign w:val="center"/>
            <w:hideMark/>
          </w:tcPr>
          <w:p w14:paraId="463A00D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20</w:t>
            </w:r>
          </w:p>
        </w:tc>
        <w:tc>
          <w:tcPr>
            <w:tcW w:w="656" w:type="pct"/>
            <w:tcBorders>
              <w:top w:val="single" w:sz="4" w:space="0" w:color="auto"/>
            </w:tcBorders>
            <w:shd w:val="clear" w:color="auto" w:fill="auto"/>
            <w:vAlign w:val="center"/>
            <w:hideMark/>
          </w:tcPr>
          <w:p w14:paraId="3A3E3DE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20</w:t>
            </w:r>
          </w:p>
        </w:tc>
      </w:tr>
      <w:tr w:rsidR="00761800" w:rsidRPr="00761800" w14:paraId="39EBBFC5" w14:textId="77777777" w:rsidTr="00406B4D">
        <w:trPr>
          <w:trHeight w:val="300"/>
        </w:trPr>
        <w:tc>
          <w:tcPr>
            <w:tcW w:w="185" w:type="pct"/>
            <w:vMerge/>
            <w:vAlign w:val="center"/>
            <w:hideMark/>
          </w:tcPr>
          <w:p w14:paraId="30C0B74E" w14:textId="77777777" w:rsidR="00761800" w:rsidRPr="00761800" w:rsidRDefault="00761800" w:rsidP="00761800">
            <w:pPr>
              <w:rPr>
                <w:rFonts w:ascii="Times New Roman" w:hAnsi="Times New Roman"/>
                <w:b/>
                <w:bCs/>
                <w:sz w:val="20"/>
                <w:lang w:eastAsia="bg-BG"/>
              </w:rPr>
            </w:pPr>
          </w:p>
        </w:tc>
        <w:tc>
          <w:tcPr>
            <w:tcW w:w="1673" w:type="pct"/>
            <w:shd w:val="clear" w:color="auto" w:fill="auto"/>
            <w:hideMark/>
          </w:tcPr>
          <w:p w14:paraId="6C45077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w:t>
            </w:r>
          </w:p>
        </w:tc>
        <w:tc>
          <w:tcPr>
            <w:tcW w:w="532" w:type="pct"/>
            <w:vMerge/>
            <w:shd w:val="clear" w:color="auto" w:fill="FBE4D5"/>
            <w:vAlign w:val="center"/>
            <w:hideMark/>
          </w:tcPr>
          <w:p w14:paraId="2F3D8883"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66AAE513"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452301C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6B086DD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3D6A813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1C1763A2" w14:textId="77777777" w:rsidTr="00406B4D">
        <w:trPr>
          <w:trHeight w:val="510"/>
        </w:trPr>
        <w:tc>
          <w:tcPr>
            <w:tcW w:w="185" w:type="pct"/>
            <w:vMerge/>
            <w:vAlign w:val="center"/>
            <w:hideMark/>
          </w:tcPr>
          <w:p w14:paraId="2428C987" w14:textId="77777777" w:rsidR="00761800" w:rsidRPr="00761800" w:rsidRDefault="00761800" w:rsidP="00761800">
            <w:pPr>
              <w:rPr>
                <w:rFonts w:ascii="Times New Roman" w:hAnsi="Times New Roman"/>
                <w:b/>
                <w:bCs/>
                <w:sz w:val="20"/>
                <w:lang w:eastAsia="bg-BG"/>
              </w:rPr>
            </w:pPr>
          </w:p>
        </w:tc>
        <w:tc>
          <w:tcPr>
            <w:tcW w:w="1673" w:type="pct"/>
            <w:shd w:val="clear" w:color="auto" w:fill="auto"/>
            <w:hideMark/>
          </w:tcPr>
          <w:p w14:paraId="4BC7F52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Данъчна ставка за настаняване, предоставяно в хотели и подобни заведения</w:t>
            </w:r>
          </w:p>
        </w:tc>
        <w:tc>
          <w:tcPr>
            <w:tcW w:w="532" w:type="pct"/>
            <w:vMerge/>
            <w:shd w:val="clear" w:color="auto" w:fill="FBE4D5"/>
            <w:vAlign w:val="center"/>
            <w:hideMark/>
          </w:tcPr>
          <w:p w14:paraId="51154424"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37E40AE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9</w:t>
            </w:r>
          </w:p>
        </w:tc>
        <w:tc>
          <w:tcPr>
            <w:tcW w:w="654" w:type="pct"/>
            <w:shd w:val="clear" w:color="auto" w:fill="auto"/>
            <w:vAlign w:val="center"/>
            <w:hideMark/>
          </w:tcPr>
          <w:p w14:paraId="4282C9A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c>
          <w:tcPr>
            <w:tcW w:w="654" w:type="pct"/>
            <w:shd w:val="clear" w:color="auto" w:fill="auto"/>
            <w:vAlign w:val="center"/>
            <w:hideMark/>
          </w:tcPr>
          <w:p w14:paraId="2E7F236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c>
          <w:tcPr>
            <w:tcW w:w="656" w:type="pct"/>
            <w:shd w:val="clear" w:color="auto" w:fill="auto"/>
            <w:vAlign w:val="center"/>
            <w:hideMark/>
          </w:tcPr>
          <w:p w14:paraId="5E7DD31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r>
      <w:tr w:rsidR="00761800" w:rsidRPr="00761800" w14:paraId="1167023C" w14:textId="77777777" w:rsidTr="00406B4D">
        <w:trPr>
          <w:trHeight w:val="1020"/>
        </w:trPr>
        <w:tc>
          <w:tcPr>
            <w:tcW w:w="185" w:type="pct"/>
            <w:shd w:val="clear" w:color="auto" w:fill="auto"/>
            <w:hideMark/>
          </w:tcPr>
          <w:p w14:paraId="48560EA0"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hideMark/>
          </w:tcPr>
          <w:p w14:paraId="287BE29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Данъчна ставка за доставка на книги на физически носители или извършвана по електронен път или и двете, периодични печатни произведения – вестници и списания</w:t>
            </w:r>
          </w:p>
        </w:tc>
        <w:tc>
          <w:tcPr>
            <w:tcW w:w="532" w:type="pct"/>
            <w:vMerge/>
            <w:shd w:val="clear" w:color="auto" w:fill="FBE4D5"/>
            <w:vAlign w:val="center"/>
            <w:hideMark/>
          </w:tcPr>
          <w:p w14:paraId="33B1C714"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462F118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9</w:t>
            </w:r>
          </w:p>
        </w:tc>
        <w:tc>
          <w:tcPr>
            <w:tcW w:w="654" w:type="pct"/>
            <w:shd w:val="clear" w:color="auto" w:fill="auto"/>
            <w:vAlign w:val="center"/>
            <w:hideMark/>
          </w:tcPr>
          <w:p w14:paraId="16C0118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c>
          <w:tcPr>
            <w:tcW w:w="654" w:type="pct"/>
            <w:shd w:val="clear" w:color="auto" w:fill="auto"/>
            <w:vAlign w:val="center"/>
            <w:hideMark/>
          </w:tcPr>
          <w:p w14:paraId="616E403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c>
          <w:tcPr>
            <w:tcW w:w="656" w:type="pct"/>
            <w:shd w:val="clear" w:color="auto" w:fill="auto"/>
            <w:vAlign w:val="center"/>
            <w:hideMark/>
          </w:tcPr>
          <w:p w14:paraId="5DA155D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r>
      <w:tr w:rsidR="00761800" w:rsidRPr="00761800" w14:paraId="6AEEDD60" w14:textId="77777777" w:rsidTr="00406B4D">
        <w:trPr>
          <w:trHeight w:val="510"/>
        </w:trPr>
        <w:tc>
          <w:tcPr>
            <w:tcW w:w="185" w:type="pct"/>
            <w:shd w:val="clear" w:color="auto" w:fill="auto"/>
            <w:hideMark/>
          </w:tcPr>
          <w:p w14:paraId="37CD653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hideMark/>
          </w:tcPr>
          <w:p w14:paraId="5DB0589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Данъчна ставка за доставка на храни, подходящи за бебета или за малки деца по приложение № 4 от ЗДДС</w:t>
            </w:r>
          </w:p>
        </w:tc>
        <w:tc>
          <w:tcPr>
            <w:tcW w:w="532" w:type="pct"/>
            <w:vMerge/>
            <w:shd w:val="clear" w:color="auto" w:fill="FBE4D5"/>
            <w:vAlign w:val="center"/>
            <w:hideMark/>
          </w:tcPr>
          <w:p w14:paraId="5142F3B1"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108BA38C"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9</w:t>
            </w:r>
          </w:p>
        </w:tc>
        <w:tc>
          <w:tcPr>
            <w:tcW w:w="654" w:type="pct"/>
            <w:shd w:val="clear" w:color="auto" w:fill="auto"/>
            <w:vAlign w:val="center"/>
            <w:hideMark/>
          </w:tcPr>
          <w:p w14:paraId="580DE7F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c>
          <w:tcPr>
            <w:tcW w:w="654" w:type="pct"/>
            <w:shd w:val="clear" w:color="auto" w:fill="auto"/>
            <w:vAlign w:val="center"/>
            <w:hideMark/>
          </w:tcPr>
          <w:p w14:paraId="2888816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c>
          <w:tcPr>
            <w:tcW w:w="656" w:type="pct"/>
            <w:shd w:val="clear" w:color="auto" w:fill="auto"/>
            <w:vAlign w:val="center"/>
            <w:hideMark/>
          </w:tcPr>
          <w:p w14:paraId="17D8959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r>
      <w:tr w:rsidR="00761800" w:rsidRPr="00761800" w14:paraId="456D5932" w14:textId="77777777" w:rsidTr="00406B4D">
        <w:trPr>
          <w:trHeight w:val="765"/>
        </w:trPr>
        <w:tc>
          <w:tcPr>
            <w:tcW w:w="185" w:type="pct"/>
            <w:tcBorders>
              <w:bottom w:val="single" w:sz="4" w:space="0" w:color="auto"/>
            </w:tcBorders>
            <w:shd w:val="clear" w:color="auto" w:fill="auto"/>
            <w:hideMark/>
          </w:tcPr>
          <w:p w14:paraId="68AF95D2"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tcBorders>
              <w:bottom w:val="single" w:sz="4" w:space="0" w:color="auto"/>
            </w:tcBorders>
            <w:shd w:val="clear" w:color="auto" w:fill="auto"/>
            <w:hideMark/>
          </w:tcPr>
          <w:p w14:paraId="3313938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Данъчна ставка за доставка на бебешки пелени и подобни бебешки хигиенни артикули по приложение № 4 от ЗДДС</w:t>
            </w:r>
          </w:p>
        </w:tc>
        <w:tc>
          <w:tcPr>
            <w:tcW w:w="532" w:type="pct"/>
            <w:vMerge/>
            <w:tcBorders>
              <w:bottom w:val="single" w:sz="4" w:space="0" w:color="auto"/>
            </w:tcBorders>
            <w:shd w:val="clear" w:color="auto" w:fill="FBE4D5"/>
            <w:vAlign w:val="center"/>
            <w:hideMark/>
          </w:tcPr>
          <w:p w14:paraId="110E52CB" w14:textId="77777777" w:rsidR="00761800" w:rsidRPr="00761800" w:rsidRDefault="00761800" w:rsidP="00761800">
            <w:pPr>
              <w:rPr>
                <w:rFonts w:ascii="Times New Roman" w:hAnsi="Times New Roman"/>
                <w:color w:val="000000"/>
                <w:sz w:val="20"/>
                <w:lang w:eastAsia="bg-BG"/>
              </w:rPr>
            </w:pPr>
          </w:p>
        </w:tc>
        <w:tc>
          <w:tcPr>
            <w:tcW w:w="645" w:type="pct"/>
            <w:tcBorders>
              <w:bottom w:val="single" w:sz="4" w:space="0" w:color="auto"/>
            </w:tcBorders>
            <w:shd w:val="clear" w:color="auto" w:fill="auto"/>
            <w:vAlign w:val="center"/>
            <w:hideMark/>
          </w:tcPr>
          <w:p w14:paraId="6D8AFF8C"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9</w:t>
            </w:r>
          </w:p>
        </w:tc>
        <w:tc>
          <w:tcPr>
            <w:tcW w:w="654" w:type="pct"/>
            <w:tcBorders>
              <w:bottom w:val="single" w:sz="4" w:space="0" w:color="auto"/>
            </w:tcBorders>
            <w:shd w:val="clear" w:color="auto" w:fill="auto"/>
            <w:vAlign w:val="center"/>
            <w:hideMark/>
          </w:tcPr>
          <w:p w14:paraId="087A9AD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c>
          <w:tcPr>
            <w:tcW w:w="654" w:type="pct"/>
            <w:tcBorders>
              <w:bottom w:val="single" w:sz="4" w:space="0" w:color="auto"/>
            </w:tcBorders>
            <w:shd w:val="clear" w:color="auto" w:fill="auto"/>
            <w:vAlign w:val="center"/>
            <w:hideMark/>
          </w:tcPr>
          <w:p w14:paraId="6293030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c>
          <w:tcPr>
            <w:tcW w:w="656" w:type="pct"/>
            <w:tcBorders>
              <w:bottom w:val="single" w:sz="4" w:space="0" w:color="auto"/>
            </w:tcBorders>
            <w:shd w:val="clear" w:color="auto" w:fill="auto"/>
            <w:vAlign w:val="center"/>
            <w:hideMark/>
          </w:tcPr>
          <w:p w14:paraId="3CE8AE2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w:t>
            </w:r>
          </w:p>
        </w:tc>
      </w:tr>
      <w:tr w:rsidR="00761800" w:rsidRPr="00761800" w14:paraId="56F67305" w14:textId="77777777" w:rsidTr="00406B4D">
        <w:trPr>
          <w:trHeight w:val="510"/>
        </w:trPr>
        <w:tc>
          <w:tcPr>
            <w:tcW w:w="185" w:type="pct"/>
            <w:tcBorders>
              <w:top w:val="single" w:sz="4" w:space="0" w:color="auto"/>
            </w:tcBorders>
            <w:shd w:val="clear" w:color="auto" w:fill="auto"/>
            <w:hideMark/>
          </w:tcPr>
          <w:p w14:paraId="0F039CE6"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w:t>
            </w:r>
          </w:p>
        </w:tc>
        <w:tc>
          <w:tcPr>
            <w:tcW w:w="1673" w:type="pct"/>
            <w:tcBorders>
              <w:top w:val="single" w:sz="4" w:space="0" w:color="auto"/>
            </w:tcBorders>
            <w:shd w:val="clear" w:color="auto" w:fill="auto"/>
            <w:hideMark/>
          </w:tcPr>
          <w:p w14:paraId="18A6CCD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основната данъчна ставка на корпоративния данък</w:t>
            </w:r>
          </w:p>
        </w:tc>
        <w:tc>
          <w:tcPr>
            <w:tcW w:w="532" w:type="pct"/>
            <w:vMerge w:val="restart"/>
            <w:tcBorders>
              <w:top w:val="single" w:sz="4" w:space="0" w:color="auto"/>
            </w:tcBorders>
            <w:shd w:val="clear" w:color="auto" w:fill="FBE4D5"/>
            <w:vAlign w:val="center"/>
            <w:hideMark/>
          </w:tcPr>
          <w:p w14:paraId="520D312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w:t>
            </w:r>
          </w:p>
        </w:tc>
        <w:tc>
          <w:tcPr>
            <w:tcW w:w="645" w:type="pct"/>
            <w:tcBorders>
              <w:top w:val="single" w:sz="4" w:space="0" w:color="auto"/>
            </w:tcBorders>
            <w:shd w:val="clear" w:color="auto" w:fill="auto"/>
            <w:vAlign w:val="center"/>
            <w:hideMark/>
          </w:tcPr>
          <w:p w14:paraId="5F24090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10</w:t>
            </w:r>
          </w:p>
        </w:tc>
        <w:tc>
          <w:tcPr>
            <w:tcW w:w="654" w:type="pct"/>
            <w:tcBorders>
              <w:top w:val="single" w:sz="4" w:space="0" w:color="auto"/>
            </w:tcBorders>
            <w:shd w:val="clear" w:color="auto" w:fill="auto"/>
            <w:vAlign w:val="center"/>
            <w:hideMark/>
          </w:tcPr>
          <w:p w14:paraId="047B132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c>
          <w:tcPr>
            <w:tcW w:w="654" w:type="pct"/>
            <w:tcBorders>
              <w:top w:val="single" w:sz="4" w:space="0" w:color="auto"/>
            </w:tcBorders>
            <w:shd w:val="clear" w:color="auto" w:fill="auto"/>
            <w:vAlign w:val="center"/>
            <w:hideMark/>
          </w:tcPr>
          <w:p w14:paraId="009BAA0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c>
          <w:tcPr>
            <w:tcW w:w="656" w:type="pct"/>
            <w:tcBorders>
              <w:top w:val="single" w:sz="4" w:space="0" w:color="auto"/>
            </w:tcBorders>
            <w:shd w:val="clear" w:color="auto" w:fill="auto"/>
            <w:vAlign w:val="center"/>
            <w:hideMark/>
          </w:tcPr>
          <w:p w14:paraId="6ED75C2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r>
      <w:tr w:rsidR="00761800" w:rsidRPr="00761800" w14:paraId="1A7E6F7D" w14:textId="77777777" w:rsidTr="00406B4D">
        <w:trPr>
          <w:trHeight w:val="300"/>
        </w:trPr>
        <w:tc>
          <w:tcPr>
            <w:tcW w:w="185" w:type="pct"/>
            <w:tcBorders>
              <w:bottom w:val="single" w:sz="4" w:space="0" w:color="auto"/>
            </w:tcBorders>
            <w:shd w:val="clear" w:color="auto" w:fill="auto"/>
            <w:hideMark/>
          </w:tcPr>
          <w:p w14:paraId="47A77722"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tcBorders>
              <w:bottom w:val="single" w:sz="4" w:space="0" w:color="auto"/>
            </w:tcBorders>
            <w:shd w:val="clear" w:color="auto" w:fill="auto"/>
            <w:noWrap/>
            <w:vAlign w:val="bottom"/>
            <w:hideMark/>
          </w:tcPr>
          <w:p w14:paraId="7E9237E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национален допълнителен данък (domestic top-up tax)</w:t>
            </w:r>
          </w:p>
        </w:tc>
        <w:tc>
          <w:tcPr>
            <w:tcW w:w="532" w:type="pct"/>
            <w:vMerge/>
            <w:tcBorders>
              <w:bottom w:val="single" w:sz="4" w:space="0" w:color="auto"/>
            </w:tcBorders>
            <w:shd w:val="clear" w:color="auto" w:fill="FBE4D5"/>
            <w:vAlign w:val="center"/>
            <w:hideMark/>
          </w:tcPr>
          <w:p w14:paraId="4A778FFB" w14:textId="77777777" w:rsidR="00761800" w:rsidRPr="00761800" w:rsidRDefault="00761800" w:rsidP="00761800">
            <w:pPr>
              <w:rPr>
                <w:rFonts w:ascii="Times New Roman" w:hAnsi="Times New Roman"/>
                <w:sz w:val="20"/>
                <w:lang w:eastAsia="bg-BG"/>
              </w:rPr>
            </w:pPr>
          </w:p>
        </w:tc>
        <w:tc>
          <w:tcPr>
            <w:tcW w:w="645" w:type="pct"/>
            <w:tcBorders>
              <w:bottom w:val="single" w:sz="4" w:space="0" w:color="auto"/>
            </w:tcBorders>
            <w:shd w:val="clear" w:color="auto" w:fill="auto"/>
            <w:vAlign w:val="center"/>
            <w:hideMark/>
          </w:tcPr>
          <w:p w14:paraId="67DB5BC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15</w:t>
            </w:r>
          </w:p>
        </w:tc>
        <w:tc>
          <w:tcPr>
            <w:tcW w:w="654" w:type="pct"/>
            <w:tcBorders>
              <w:bottom w:val="single" w:sz="4" w:space="0" w:color="auto"/>
            </w:tcBorders>
            <w:shd w:val="clear" w:color="auto" w:fill="auto"/>
            <w:vAlign w:val="center"/>
            <w:hideMark/>
          </w:tcPr>
          <w:p w14:paraId="655D126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w:t>
            </w:r>
          </w:p>
        </w:tc>
        <w:tc>
          <w:tcPr>
            <w:tcW w:w="654" w:type="pct"/>
            <w:tcBorders>
              <w:bottom w:val="single" w:sz="4" w:space="0" w:color="auto"/>
            </w:tcBorders>
            <w:shd w:val="clear" w:color="auto" w:fill="auto"/>
            <w:vAlign w:val="center"/>
            <w:hideMark/>
          </w:tcPr>
          <w:p w14:paraId="3E98A25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w:t>
            </w:r>
          </w:p>
        </w:tc>
        <w:tc>
          <w:tcPr>
            <w:tcW w:w="656" w:type="pct"/>
            <w:tcBorders>
              <w:bottom w:val="single" w:sz="4" w:space="0" w:color="auto"/>
            </w:tcBorders>
            <w:shd w:val="clear" w:color="auto" w:fill="auto"/>
            <w:vAlign w:val="center"/>
            <w:hideMark/>
          </w:tcPr>
          <w:p w14:paraId="0099773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w:t>
            </w:r>
          </w:p>
        </w:tc>
      </w:tr>
      <w:tr w:rsidR="00761800" w:rsidRPr="00761800" w14:paraId="3D47FC2A" w14:textId="77777777" w:rsidTr="00406B4D">
        <w:trPr>
          <w:trHeight w:val="510"/>
        </w:trPr>
        <w:tc>
          <w:tcPr>
            <w:tcW w:w="185" w:type="pct"/>
            <w:vMerge w:val="restart"/>
            <w:tcBorders>
              <w:top w:val="single" w:sz="4" w:space="0" w:color="auto"/>
            </w:tcBorders>
            <w:shd w:val="clear" w:color="auto" w:fill="auto"/>
            <w:hideMark/>
          </w:tcPr>
          <w:p w14:paraId="7F87DC55"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w:t>
            </w:r>
          </w:p>
        </w:tc>
        <w:tc>
          <w:tcPr>
            <w:tcW w:w="1673" w:type="pct"/>
            <w:tcBorders>
              <w:top w:val="single" w:sz="4" w:space="0" w:color="auto"/>
            </w:tcBorders>
            <w:shd w:val="clear" w:color="auto" w:fill="auto"/>
            <w:hideMark/>
          </w:tcPr>
          <w:p w14:paraId="1A1CB0F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Данък върху доходите на физическите лица, основна ставка</w:t>
            </w:r>
          </w:p>
        </w:tc>
        <w:tc>
          <w:tcPr>
            <w:tcW w:w="532" w:type="pct"/>
            <w:vMerge w:val="restart"/>
            <w:tcBorders>
              <w:top w:val="single" w:sz="4" w:space="0" w:color="auto"/>
            </w:tcBorders>
            <w:shd w:val="clear" w:color="auto" w:fill="FBE4D5"/>
            <w:vAlign w:val="center"/>
            <w:hideMark/>
          </w:tcPr>
          <w:p w14:paraId="59BE9EC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w:t>
            </w:r>
          </w:p>
        </w:tc>
        <w:tc>
          <w:tcPr>
            <w:tcW w:w="645" w:type="pct"/>
            <w:tcBorders>
              <w:top w:val="single" w:sz="4" w:space="0" w:color="auto"/>
            </w:tcBorders>
            <w:shd w:val="clear" w:color="auto" w:fill="auto"/>
            <w:vAlign w:val="center"/>
            <w:hideMark/>
          </w:tcPr>
          <w:p w14:paraId="00DDC2A3"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10</w:t>
            </w:r>
          </w:p>
        </w:tc>
        <w:tc>
          <w:tcPr>
            <w:tcW w:w="654" w:type="pct"/>
            <w:tcBorders>
              <w:top w:val="single" w:sz="4" w:space="0" w:color="auto"/>
            </w:tcBorders>
            <w:shd w:val="clear" w:color="auto" w:fill="auto"/>
            <w:vAlign w:val="center"/>
            <w:hideMark/>
          </w:tcPr>
          <w:p w14:paraId="56809D3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c>
          <w:tcPr>
            <w:tcW w:w="654" w:type="pct"/>
            <w:tcBorders>
              <w:top w:val="single" w:sz="4" w:space="0" w:color="auto"/>
            </w:tcBorders>
            <w:shd w:val="clear" w:color="auto" w:fill="auto"/>
            <w:vAlign w:val="center"/>
            <w:hideMark/>
          </w:tcPr>
          <w:p w14:paraId="1F1D059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c>
          <w:tcPr>
            <w:tcW w:w="656" w:type="pct"/>
            <w:tcBorders>
              <w:top w:val="single" w:sz="4" w:space="0" w:color="auto"/>
            </w:tcBorders>
            <w:shd w:val="clear" w:color="auto" w:fill="auto"/>
            <w:vAlign w:val="center"/>
            <w:hideMark/>
          </w:tcPr>
          <w:p w14:paraId="376BCA9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r>
      <w:tr w:rsidR="00761800" w:rsidRPr="00761800" w14:paraId="5ABDC375" w14:textId="77777777" w:rsidTr="00406B4D">
        <w:trPr>
          <w:trHeight w:val="300"/>
        </w:trPr>
        <w:tc>
          <w:tcPr>
            <w:tcW w:w="185" w:type="pct"/>
            <w:vMerge/>
            <w:vAlign w:val="center"/>
            <w:hideMark/>
          </w:tcPr>
          <w:p w14:paraId="0DA1B406" w14:textId="77777777" w:rsidR="00761800" w:rsidRPr="00761800" w:rsidRDefault="00761800" w:rsidP="00761800">
            <w:pPr>
              <w:rPr>
                <w:rFonts w:ascii="Times New Roman" w:hAnsi="Times New Roman"/>
                <w:b/>
                <w:bCs/>
                <w:sz w:val="20"/>
                <w:lang w:eastAsia="bg-BG"/>
              </w:rPr>
            </w:pPr>
          </w:p>
        </w:tc>
        <w:tc>
          <w:tcPr>
            <w:tcW w:w="1673" w:type="pct"/>
            <w:shd w:val="clear" w:color="auto" w:fill="auto"/>
            <w:hideMark/>
          </w:tcPr>
          <w:p w14:paraId="0F83F8B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 </w:t>
            </w:r>
          </w:p>
        </w:tc>
        <w:tc>
          <w:tcPr>
            <w:tcW w:w="532" w:type="pct"/>
            <w:vMerge/>
            <w:shd w:val="clear" w:color="auto" w:fill="FBE4D5"/>
            <w:vAlign w:val="center"/>
            <w:hideMark/>
          </w:tcPr>
          <w:p w14:paraId="54E9303D"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10EC7100"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59B7C27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79AD767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0EA7E9B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5DC9B6C0" w14:textId="77777777" w:rsidTr="00406B4D">
        <w:trPr>
          <w:trHeight w:val="510"/>
        </w:trPr>
        <w:tc>
          <w:tcPr>
            <w:tcW w:w="185" w:type="pct"/>
            <w:vMerge/>
            <w:tcBorders>
              <w:bottom w:val="single" w:sz="4" w:space="0" w:color="auto"/>
            </w:tcBorders>
            <w:vAlign w:val="center"/>
            <w:hideMark/>
          </w:tcPr>
          <w:p w14:paraId="3D003F43" w14:textId="77777777" w:rsidR="00761800" w:rsidRPr="00761800" w:rsidRDefault="00761800" w:rsidP="00761800">
            <w:pPr>
              <w:rPr>
                <w:rFonts w:ascii="Times New Roman" w:hAnsi="Times New Roman"/>
                <w:b/>
                <w:bCs/>
                <w:sz w:val="20"/>
                <w:lang w:eastAsia="bg-BG"/>
              </w:rPr>
            </w:pPr>
          </w:p>
        </w:tc>
        <w:tc>
          <w:tcPr>
            <w:tcW w:w="1673" w:type="pct"/>
            <w:tcBorders>
              <w:bottom w:val="single" w:sz="4" w:space="0" w:color="auto"/>
            </w:tcBorders>
            <w:shd w:val="clear" w:color="auto" w:fill="auto"/>
            <w:hideMark/>
          </w:tcPr>
          <w:p w14:paraId="4D87CC6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Данъчна ставка за данъка върху доходите от стопанска дейност на едноличните търговци</w:t>
            </w:r>
          </w:p>
        </w:tc>
        <w:tc>
          <w:tcPr>
            <w:tcW w:w="532" w:type="pct"/>
            <w:vMerge/>
            <w:tcBorders>
              <w:bottom w:val="single" w:sz="4" w:space="0" w:color="auto"/>
            </w:tcBorders>
            <w:shd w:val="clear" w:color="auto" w:fill="FBE4D5"/>
            <w:vAlign w:val="center"/>
            <w:hideMark/>
          </w:tcPr>
          <w:p w14:paraId="6DBA3854" w14:textId="77777777" w:rsidR="00761800" w:rsidRPr="00761800" w:rsidRDefault="00761800" w:rsidP="00761800">
            <w:pPr>
              <w:rPr>
                <w:rFonts w:ascii="Times New Roman" w:hAnsi="Times New Roman"/>
                <w:sz w:val="20"/>
                <w:lang w:eastAsia="bg-BG"/>
              </w:rPr>
            </w:pPr>
          </w:p>
        </w:tc>
        <w:tc>
          <w:tcPr>
            <w:tcW w:w="645" w:type="pct"/>
            <w:tcBorders>
              <w:bottom w:val="single" w:sz="4" w:space="0" w:color="auto"/>
            </w:tcBorders>
            <w:shd w:val="clear" w:color="auto" w:fill="auto"/>
            <w:vAlign w:val="center"/>
            <w:hideMark/>
          </w:tcPr>
          <w:p w14:paraId="1C0FDA57"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15</w:t>
            </w:r>
          </w:p>
        </w:tc>
        <w:tc>
          <w:tcPr>
            <w:tcW w:w="654" w:type="pct"/>
            <w:tcBorders>
              <w:bottom w:val="single" w:sz="4" w:space="0" w:color="auto"/>
            </w:tcBorders>
            <w:shd w:val="clear" w:color="auto" w:fill="auto"/>
            <w:vAlign w:val="center"/>
            <w:hideMark/>
          </w:tcPr>
          <w:p w14:paraId="2737FDC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w:t>
            </w:r>
          </w:p>
        </w:tc>
        <w:tc>
          <w:tcPr>
            <w:tcW w:w="654" w:type="pct"/>
            <w:tcBorders>
              <w:bottom w:val="single" w:sz="4" w:space="0" w:color="auto"/>
            </w:tcBorders>
            <w:shd w:val="clear" w:color="auto" w:fill="auto"/>
            <w:vAlign w:val="center"/>
            <w:hideMark/>
          </w:tcPr>
          <w:p w14:paraId="2A0F30F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w:t>
            </w:r>
          </w:p>
        </w:tc>
        <w:tc>
          <w:tcPr>
            <w:tcW w:w="656" w:type="pct"/>
            <w:tcBorders>
              <w:bottom w:val="single" w:sz="4" w:space="0" w:color="auto"/>
            </w:tcBorders>
            <w:shd w:val="clear" w:color="auto" w:fill="auto"/>
            <w:vAlign w:val="center"/>
            <w:hideMark/>
          </w:tcPr>
          <w:p w14:paraId="23D5D7E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w:t>
            </w:r>
          </w:p>
        </w:tc>
      </w:tr>
      <w:tr w:rsidR="00761800" w:rsidRPr="00761800" w14:paraId="7B1F10D1" w14:textId="77777777" w:rsidTr="00406B4D">
        <w:trPr>
          <w:trHeight w:val="300"/>
        </w:trPr>
        <w:tc>
          <w:tcPr>
            <w:tcW w:w="185" w:type="pct"/>
            <w:tcBorders>
              <w:top w:val="single" w:sz="4" w:space="0" w:color="auto"/>
            </w:tcBorders>
            <w:shd w:val="clear" w:color="auto" w:fill="auto"/>
            <w:hideMark/>
          </w:tcPr>
          <w:p w14:paraId="1E74D62B"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4.</w:t>
            </w:r>
          </w:p>
        </w:tc>
        <w:tc>
          <w:tcPr>
            <w:tcW w:w="1673" w:type="pct"/>
            <w:tcBorders>
              <w:top w:val="single" w:sz="4" w:space="0" w:color="auto"/>
            </w:tcBorders>
            <w:shd w:val="clear" w:color="auto" w:fill="auto"/>
            <w:hideMark/>
          </w:tcPr>
          <w:p w14:paraId="0348F11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Данъци, удържани при източника</w:t>
            </w:r>
          </w:p>
        </w:tc>
        <w:tc>
          <w:tcPr>
            <w:tcW w:w="532" w:type="pct"/>
            <w:tcBorders>
              <w:top w:val="single" w:sz="4" w:space="0" w:color="auto"/>
            </w:tcBorders>
            <w:shd w:val="clear" w:color="auto" w:fill="FBE4D5"/>
            <w:vAlign w:val="center"/>
            <w:hideMark/>
          </w:tcPr>
          <w:p w14:paraId="20568F9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45" w:type="pct"/>
            <w:tcBorders>
              <w:top w:val="single" w:sz="4" w:space="0" w:color="auto"/>
            </w:tcBorders>
            <w:shd w:val="clear" w:color="auto" w:fill="auto"/>
            <w:vAlign w:val="center"/>
            <w:hideMark/>
          </w:tcPr>
          <w:p w14:paraId="33CEAA0F"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tcBorders>
              <w:top w:val="single" w:sz="4" w:space="0" w:color="auto"/>
            </w:tcBorders>
            <w:shd w:val="clear" w:color="auto" w:fill="auto"/>
            <w:vAlign w:val="center"/>
            <w:hideMark/>
          </w:tcPr>
          <w:p w14:paraId="1A5EE00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tcBorders>
              <w:top w:val="single" w:sz="4" w:space="0" w:color="auto"/>
            </w:tcBorders>
            <w:shd w:val="clear" w:color="auto" w:fill="auto"/>
            <w:vAlign w:val="center"/>
            <w:hideMark/>
          </w:tcPr>
          <w:p w14:paraId="44C48F6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tcBorders>
              <w:top w:val="single" w:sz="4" w:space="0" w:color="auto"/>
            </w:tcBorders>
            <w:shd w:val="clear" w:color="auto" w:fill="auto"/>
            <w:vAlign w:val="center"/>
            <w:hideMark/>
          </w:tcPr>
          <w:p w14:paraId="43BE6B1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19856778" w14:textId="77777777" w:rsidTr="00406B4D">
        <w:trPr>
          <w:trHeight w:val="300"/>
        </w:trPr>
        <w:tc>
          <w:tcPr>
            <w:tcW w:w="185" w:type="pct"/>
            <w:tcBorders>
              <w:bottom w:val="single" w:sz="4" w:space="0" w:color="auto"/>
            </w:tcBorders>
            <w:shd w:val="clear" w:color="auto" w:fill="auto"/>
            <w:hideMark/>
          </w:tcPr>
          <w:p w14:paraId="71D51C5B"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tcBorders>
              <w:bottom w:val="single" w:sz="4" w:space="0" w:color="auto"/>
            </w:tcBorders>
            <w:shd w:val="clear" w:color="auto" w:fill="auto"/>
            <w:hideMark/>
          </w:tcPr>
          <w:p w14:paraId="17ADC7C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w:t>
            </w:r>
          </w:p>
        </w:tc>
        <w:tc>
          <w:tcPr>
            <w:tcW w:w="532" w:type="pct"/>
            <w:tcBorders>
              <w:bottom w:val="single" w:sz="4" w:space="0" w:color="auto"/>
            </w:tcBorders>
            <w:shd w:val="clear" w:color="auto" w:fill="FBE4D5"/>
            <w:vAlign w:val="center"/>
            <w:hideMark/>
          </w:tcPr>
          <w:p w14:paraId="00D59C0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45" w:type="pct"/>
            <w:tcBorders>
              <w:bottom w:val="single" w:sz="4" w:space="0" w:color="auto"/>
            </w:tcBorders>
            <w:shd w:val="clear" w:color="auto" w:fill="auto"/>
            <w:vAlign w:val="center"/>
            <w:hideMark/>
          </w:tcPr>
          <w:p w14:paraId="1DCF424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tcBorders>
              <w:bottom w:val="single" w:sz="4" w:space="0" w:color="auto"/>
            </w:tcBorders>
            <w:shd w:val="clear" w:color="auto" w:fill="auto"/>
            <w:vAlign w:val="center"/>
            <w:hideMark/>
          </w:tcPr>
          <w:p w14:paraId="332EB58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tcBorders>
              <w:bottom w:val="single" w:sz="4" w:space="0" w:color="auto"/>
            </w:tcBorders>
            <w:shd w:val="clear" w:color="auto" w:fill="auto"/>
            <w:vAlign w:val="center"/>
            <w:hideMark/>
          </w:tcPr>
          <w:p w14:paraId="21F6B43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tcBorders>
              <w:bottom w:val="single" w:sz="4" w:space="0" w:color="auto"/>
            </w:tcBorders>
            <w:shd w:val="clear" w:color="auto" w:fill="auto"/>
            <w:vAlign w:val="center"/>
            <w:hideMark/>
          </w:tcPr>
          <w:p w14:paraId="106BFAE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52BE2DF4" w14:textId="77777777" w:rsidTr="00406B4D">
        <w:trPr>
          <w:trHeight w:val="510"/>
        </w:trPr>
        <w:tc>
          <w:tcPr>
            <w:tcW w:w="185" w:type="pct"/>
            <w:tcBorders>
              <w:top w:val="single" w:sz="4" w:space="0" w:color="auto"/>
            </w:tcBorders>
            <w:shd w:val="clear" w:color="auto" w:fill="auto"/>
            <w:hideMark/>
          </w:tcPr>
          <w:p w14:paraId="2DDF25DF"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lastRenderedPageBreak/>
              <w:t>4.1.</w:t>
            </w:r>
          </w:p>
        </w:tc>
        <w:tc>
          <w:tcPr>
            <w:tcW w:w="1673" w:type="pct"/>
            <w:tcBorders>
              <w:top w:val="single" w:sz="4" w:space="0" w:color="auto"/>
            </w:tcBorders>
            <w:shd w:val="clear" w:color="auto" w:fill="auto"/>
            <w:hideMark/>
          </w:tcPr>
          <w:p w14:paraId="64BCB1D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Данък, удържан при доходи от дивидентите и ликвидационните дялове</w:t>
            </w:r>
          </w:p>
        </w:tc>
        <w:tc>
          <w:tcPr>
            <w:tcW w:w="532" w:type="pct"/>
            <w:vMerge w:val="restart"/>
            <w:tcBorders>
              <w:top w:val="single" w:sz="4" w:space="0" w:color="auto"/>
            </w:tcBorders>
            <w:shd w:val="clear" w:color="auto" w:fill="FBE4D5"/>
            <w:vAlign w:val="center"/>
            <w:hideMark/>
          </w:tcPr>
          <w:p w14:paraId="35FF74C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w:t>
            </w:r>
          </w:p>
        </w:tc>
        <w:tc>
          <w:tcPr>
            <w:tcW w:w="645" w:type="pct"/>
            <w:tcBorders>
              <w:top w:val="single" w:sz="4" w:space="0" w:color="auto"/>
            </w:tcBorders>
            <w:shd w:val="clear" w:color="auto" w:fill="auto"/>
            <w:vAlign w:val="center"/>
            <w:hideMark/>
          </w:tcPr>
          <w:p w14:paraId="243025ED"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5</w:t>
            </w:r>
          </w:p>
        </w:tc>
        <w:tc>
          <w:tcPr>
            <w:tcW w:w="654" w:type="pct"/>
            <w:tcBorders>
              <w:top w:val="single" w:sz="4" w:space="0" w:color="auto"/>
            </w:tcBorders>
            <w:shd w:val="clear" w:color="auto" w:fill="auto"/>
            <w:vAlign w:val="center"/>
            <w:hideMark/>
          </w:tcPr>
          <w:p w14:paraId="662BC5F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w:t>
            </w:r>
          </w:p>
        </w:tc>
        <w:tc>
          <w:tcPr>
            <w:tcW w:w="654" w:type="pct"/>
            <w:tcBorders>
              <w:top w:val="single" w:sz="4" w:space="0" w:color="auto"/>
            </w:tcBorders>
            <w:shd w:val="clear" w:color="auto" w:fill="auto"/>
            <w:vAlign w:val="center"/>
            <w:hideMark/>
          </w:tcPr>
          <w:p w14:paraId="3855AE6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w:t>
            </w:r>
          </w:p>
        </w:tc>
        <w:tc>
          <w:tcPr>
            <w:tcW w:w="656" w:type="pct"/>
            <w:tcBorders>
              <w:top w:val="single" w:sz="4" w:space="0" w:color="auto"/>
            </w:tcBorders>
            <w:shd w:val="clear" w:color="auto" w:fill="auto"/>
            <w:vAlign w:val="center"/>
            <w:hideMark/>
          </w:tcPr>
          <w:p w14:paraId="4A0F946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w:t>
            </w:r>
          </w:p>
        </w:tc>
      </w:tr>
      <w:tr w:rsidR="00761800" w:rsidRPr="00761800" w14:paraId="3086D7DC" w14:textId="77777777" w:rsidTr="00406B4D">
        <w:trPr>
          <w:trHeight w:val="300"/>
        </w:trPr>
        <w:tc>
          <w:tcPr>
            <w:tcW w:w="185" w:type="pct"/>
            <w:shd w:val="clear" w:color="auto" w:fill="auto"/>
            <w:hideMark/>
          </w:tcPr>
          <w:p w14:paraId="64F5DC5B"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hideMark/>
          </w:tcPr>
          <w:p w14:paraId="47136C6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 </w:t>
            </w:r>
          </w:p>
        </w:tc>
        <w:tc>
          <w:tcPr>
            <w:tcW w:w="532" w:type="pct"/>
            <w:vMerge/>
            <w:shd w:val="clear" w:color="auto" w:fill="FBE4D5"/>
            <w:vAlign w:val="center"/>
            <w:hideMark/>
          </w:tcPr>
          <w:p w14:paraId="4F332B26"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790B2851"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3C16B19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4DA906E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687A226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1B2A26E2" w14:textId="77777777" w:rsidTr="00406B4D">
        <w:trPr>
          <w:trHeight w:val="1785"/>
        </w:trPr>
        <w:tc>
          <w:tcPr>
            <w:tcW w:w="185" w:type="pct"/>
            <w:shd w:val="clear" w:color="auto" w:fill="auto"/>
            <w:hideMark/>
          </w:tcPr>
          <w:p w14:paraId="4013D1D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hideMark/>
          </w:tcPr>
          <w:p w14:paraId="5366D4F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от дивидентите и ликвидационните дялове, разпределени в полза на чуждестранно юридическо лице, което е местно лице за данъчни цели на държава – членка на Европейския съюз, или на друга държава – страна по Споразумението за Европейското икономическо пространство и другите лица по чл. 194, ал. 3 от ЗКПО</w:t>
            </w:r>
          </w:p>
        </w:tc>
        <w:tc>
          <w:tcPr>
            <w:tcW w:w="532" w:type="pct"/>
            <w:vMerge/>
            <w:shd w:val="clear" w:color="auto" w:fill="FBE4D5"/>
            <w:vAlign w:val="center"/>
            <w:hideMark/>
          </w:tcPr>
          <w:p w14:paraId="2B03EA3C"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503DBA9D"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w:t>
            </w:r>
          </w:p>
        </w:tc>
        <w:tc>
          <w:tcPr>
            <w:tcW w:w="654" w:type="pct"/>
            <w:shd w:val="clear" w:color="auto" w:fill="auto"/>
            <w:vAlign w:val="center"/>
            <w:hideMark/>
          </w:tcPr>
          <w:p w14:paraId="6B2D096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w:t>
            </w:r>
          </w:p>
        </w:tc>
        <w:tc>
          <w:tcPr>
            <w:tcW w:w="654" w:type="pct"/>
            <w:shd w:val="clear" w:color="auto" w:fill="auto"/>
            <w:vAlign w:val="center"/>
            <w:hideMark/>
          </w:tcPr>
          <w:p w14:paraId="39CF861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w:t>
            </w:r>
          </w:p>
        </w:tc>
        <w:tc>
          <w:tcPr>
            <w:tcW w:w="656" w:type="pct"/>
            <w:shd w:val="clear" w:color="auto" w:fill="auto"/>
            <w:vAlign w:val="center"/>
            <w:hideMark/>
          </w:tcPr>
          <w:p w14:paraId="69591FE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w:t>
            </w:r>
          </w:p>
        </w:tc>
      </w:tr>
      <w:tr w:rsidR="00761800" w:rsidRPr="00761800" w14:paraId="77F236B2" w14:textId="77777777" w:rsidTr="00406B4D">
        <w:trPr>
          <w:trHeight w:val="510"/>
        </w:trPr>
        <w:tc>
          <w:tcPr>
            <w:tcW w:w="185" w:type="pct"/>
            <w:shd w:val="clear" w:color="auto" w:fill="auto"/>
            <w:hideMark/>
          </w:tcPr>
          <w:p w14:paraId="3B225B88"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4.2.</w:t>
            </w:r>
          </w:p>
        </w:tc>
        <w:tc>
          <w:tcPr>
            <w:tcW w:w="1673" w:type="pct"/>
            <w:shd w:val="clear" w:color="auto" w:fill="auto"/>
            <w:hideMark/>
          </w:tcPr>
          <w:p w14:paraId="301E496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Данък върху доходите на чуждестранни юридически лица</w:t>
            </w:r>
          </w:p>
        </w:tc>
        <w:tc>
          <w:tcPr>
            <w:tcW w:w="532" w:type="pct"/>
            <w:vMerge w:val="restart"/>
            <w:shd w:val="clear" w:color="auto" w:fill="FBE4D5"/>
            <w:vAlign w:val="center"/>
            <w:hideMark/>
          </w:tcPr>
          <w:p w14:paraId="14F385F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w:t>
            </w:r>
          </w:p>
        </w:tc>
        <w:tc>
          <w:tcPr>
            <w:tcW w:w="645" w:type="pct"/>
            <w:vMerge w:val="restart"/>
            <w:shd w:val="clear" w:color="auto" w:fill="auto"/>
            <w:vAlign w:val="center"/>
            <w:hideMark/>
          </w:tcPr>
          <w:p w14:paraId="5D67CE8A"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10</w:t>
            </w:r>
          </w:p>
        </w:tc>
        <w:tc>
          <w:tcPr>
            <w:tcW w:w="654" w:type="pct"/>
            <w:vMerge w:val="restart"/>
            <w:shd w:val="clear" w:color="auto" w:fill="auto"/>
            <w:vAlign w:val="center"/>
            <w:hideMark/>
          </w:tcPr>
          <w:p w14:paraId="726B749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c>
          <w:tcPr>
            <w:tcW w:w="654" w:type="pct"/>
            <w:vMerge w:val="restart"/>
            <w:shd w:val="clear" w:color="auto" w:fill="auto"/>
            <w:vAlign w:val="center"/>
            <w:hideMark/>
          </w:tcPr>
          <w:p w14:paraId="1F65041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c>
          <w:tcPr>
            <w:tcW w:w="656" w:type="pct"/>
            <w:vMerge w:val="restart"/>
            <w:shd w:val="clear" w:color="auto" w:fill="auto"/>
            <w:vAlign w:val="center"/>
            <w:hideMark/>
          </w:tcPr>
          <w:p w14:paraId="015A155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r>
      <w:tr w:rsidR="00761800" w:rsidRPr="00761800" w14:paraId="6B2D1918" w14:textId="77777777" w:rsidTr="00406B4D">
        <w:trPr>
          <w:trHeight w:val="300"/>
        </w:trPr>
        <w:tc>
          <w:tcPr>
            <w:tcW w:w="185" w:type="pct"/>
            <w:shd w:val="clear" w:color="auto" w:fill="auto"/>
            <w:hideMark/>
          </w:tcPr>
          <w:p w14:paraId="2229476C"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hideMark/>
          </w:tcPr>
          <w:p w14:paraId="24A5C9E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w:t>
            </w:r>
          </w:p>
        </w:tc>
        <w:tc>
          <w:tcPr>
            <w:tcW w:w="532" w:type="pct"/>
            <w:vMerge/>
            <w:shd w:val="clear" w:color="auto" w:fill="FBE4D5"/>
            <w:vAlign w:val="center"/>
            <w:hideMark/>
          </w:tcPr>
          <w:p w14:paraId="073EC02B" w14:textId="77777777" w:rsidR="00761800" w:rsidRPr="00761800" w:rsidRDefault="00761800" w:rsidP="00761800">
            <w:pPr>
              <w:rPr>
                <w:rFonts w:ascii="Times New Roman" w:hAnsi="Times New Roman"/>
                <w:sz w:val="20"/>
                <w:lang w:eastAsia="bg-BG"/>
              </w:rPr>
            </w:pPr>
          </w:p>
        </w:tc>
        <w:tc>
          <w:tcPr>
            <w:tcW w:w="645" w:type="pct"/>
            <w:vMerge/>
            <w:vAlign w:val="center"/>
            <w:hideMark/>
          </w:tcPr>
          <w:p w14:paraId="0D5ED5AA" w14:textId="77777777" w:rsidR="00761800" w:rsidRPr="00761800" w:rsidRDefault="00761800" w:rsidP="00761800">
            <w:pPr>
              <w:rPr>
                <w:rFonts w:ascii="Times New Roman" w:hAnsi="Times New Roman"/>
                <w:i/>
                <w:iCs/>
                <w:sz w:val="20"/>
                <w:lang w:eastAsia="bg-BG"/>
              </w:rPr>
            </w:pPr>
          </w:p>
        </w:tc>
        <w:tc>
          <w:tcPr>
            <w:tcW w:w="654" w:type="pct"/>
            <w:vMerge/>
            <w:vAlign w:val="center"/>
            <w:hideMark/>
          </w:tcPr>
          <w:p w14:paraId="0A379C66" w14:textId="77777777" w:rsidR="00761800" w:rsidRPr="00761800" w:rsidRDefault="00761800" w:rsidP="00761800">
            <w:pPr>
              <w:rPr>
                <w:rFonts w:ascii="Times New Roman" w:hAnsi="Times New Roman"/>
                <w:sz w:val="20"/>
                <w:lang w:eastAsia="bg-BG"/>
              </w:rPr>
            </w:pPr>
          </w:p>
        </w:tc>
        <w:tc>
          <w:tcPr>
            <w:tcW w:w="654" w:type="pct"/>
            <w:vMerge/>
            <w:vAlign w:val="center"/>
            <w:hideMark/>
          </w:tcPr>
          <w:p w14:paraId="1277AD07" w14:textId="77777777" w:rsidR="00761800" w:rsidRPr="00761800" w:rsidRDefault="00761800" w:rsidP="00761800">
            <w:pPr>
              <w:rPr>
                <w:rFonts w:ascii="Times New Roman" w:hAnsi="Times New Roman"/>
                <w:sz w:val="20"/>
                <w:lang w:eastAsia="bg-BG"/>
              </w:rPr>
            </w:pPr>
          </w:p>
        </w:tc>
        <w:tc>
          <w:tcPr>
            <w:tcW w:w="656" w:type="pct"/>
            <w:vMerge/>
            <w:vAlign w:val="center"/>
            <w:hideMark/>
          </w:tcPr>
          <w:p w14:paraId="1435B352" w14:textId="77777777" w:rsidR="00761800" w:rsidRPr="00761800" w:rsidRDefault="00761800" w:rsidP="00761800">
            <w:pPr>
              <w:rPr>
                <w:rFonts w:ascii="Times New Roman" w:hAnsi="Times New Roman"/>
                <w:sz w:val="20"/>
                <w:lang w:eastAsia="bg-BG"/>
              </w:rPr>
            </w:pPr>
          </w:p>
        </w:tc>
      </w:tr>
      <w:tr w:rsidR="00761800" w:rsidRPr="00761800" w14:paraId="674AC160" w14:textId="77777777" w:rsidTr="00406B4D">
        <w:trPr>
          <w:trHeight w:val="1020"/>
        </w:trPr>
        <w:tc>
          <w:tcPr>
            <w:tcW w:w="185" w:type="pct"/>
            <w:tcBorders>
              <w:bottom w:val="single" w:sz="4" w:space="0" w:color="auto"/>
            </w:tcBorders>
            <w:shd w:val="clear" w:color="auto" w:fill="auto"/>
            <w:hideMark/>
          </w:tcPr>
          <w:p w14:paraId="3C28926C"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tcBorders>
              <w:bottom w:val="single" w:sz="4" w:space="0" w:color="auto"/>
            </w:tcBorders>
            <w:shd w:val="clear" w:color="auto" w:fill="auto"/>
            <w:hideMark/>
          </w:tcPr>
          <w:p w14:paraId="7B8617D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Данъчна ставка за данъка върху доходите от лихви, авторски и лицензионни възнаграждения, когато са изпълнени допълнителните условия по чл. 195, ал. 7-12 от Закона за корпоративното подоходно облагане</w:t>
            </w:r>
          </w:p>
        </w:tc>
        <w:tc>
          <w:tcPr>
            <w:tcW w:w="532" w:type="pct"/>
            <w:vMerge/>
            <w:tcBorders>
              <w:bottom w:val="single" w:sz="4" w:space="0" w:color="auto"/>
            </w:tcBorders>
            <w:shd w:val="clear" w:color="auto" w:fill="FBE4D5"/>
            <w:vAlign w:val="center"/>
            <w:hideMark/>
          </w:tcPr>
          <w:p w14:paraId="624E894C" w14:textId="77777777" w:rsidR="00761800" w:rsidRPr="00761800" w:rsidRDefault="00761800" w:rsidP="00761800">
            <w:pPr>
              <w:rPr>
                <w:rFonts w:ascii="Times New Roman" w:hAnsi="Times New Roman"/>
                <w:sz w:val="20"/>
                <w:lang w:eastAsia="bg-BG"/>
              </w:rPr>
            </w:pPr>
          </w:p>
        </w:tc>
        <w:tc>
          <w:tcPr>
            <w:tcW w:w="645" w:type="pct"/>
            <w:tcBorders>
              <w:bottom w:val="single" w:sz="4" w:space="0" w:color="auto"/>
            </w:tcBorders>
            <w:shd w:val="clear" w:color="auto" w:fill="auto"/>
            <w:vAlign w:val="center"/>
            <w:hideMark/>
          </w:tcPr>
          <w:p w14:paraId="79F606F1"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w:t>
            </w:r>
          </w:p>
        </w:tc>
        <w:tc>
          <w:tcPr>
            <w:tcW w:w="654" w:type="pct"/>
            <w:tcBorders>
              <w:bottom w:val="single" w:sz="4" w:space="0" w:color="auto"/>
            </w:tcBorders>
            <w:shd w:val="clear" w:color="auto" w:fill="auto"/>
            <w:vAlign w:val="center"/>
            <w:hideMark/>
          </w:tcPr>
          <w:p w14:paraId="6E753FB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w:t>
            </w:r>
          </w:p>
        </w:tc>
        <w:tc>
          <w:tcPr>
            <w:tcW w:w="654" w:type="pct"/>
            <w:tcBorders>
              <w:bottom w:val="single" w:sz="4" w:space="0" w:color="auto"/>
            </w:tcBorders>
            <w:shd w:val="clear" w:color="auto" w:fill="auto"/>
            <w:vAlign w:val="center"/>
            <w:hideMark/>
          </w:tcPr>
          <w:p w14:paraId="231931C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w:t>
            </w:r>
          </w:p>
        </w:tc>
        <w:tc>
          <w:tcPr>
            <w:tcW w:w="656" w:type="pct"/>
            <w:tcBorders>
              <w:bottom w:val="single" w:sz="4" w:space="0" w:color="auto"/>
            </w:tcBorders>
            <w:shd w:val="clear" w:color="auto" w:fill="auto"/>
            <w:vAlign w:val="center"/>
            <w:hideMark/>
          </w:tcPr>
          <w:p w14:paraId="1896ABD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w:t>
            </w:r>
          </w:p>
        </w:tc>
      </w:tr>
      <w:tr w:rsidR="00761800" w:rsidRPr="00761800" w14:paraId="61B48D8B" w14:textId="77777777" w:rsidTr="00406B4D">
        <w:trPr>
          <w:trHeight w:val="300"/>
        </w:trPr>
        <w:tc>
          <w:tcPr>
            <w:tcW w:w="185" w:type="pct"/>
            <w:tcBorders>
              <w:top w:val="single" w:sz="4" w:space="0" w:color="auto"/>
            </w:tcBorders>
            <w:shd w:val="clear" w:color="auto" w:fill="auto"/>
            <w:hideMark/>
          </w:tcPr>
          <w:p w14:paraId="39E96627"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5.</w:t>
            </w:r>
          </w:p>
        </w:tc>
        <w:tc>
          <w:tcPr>
            <w:tcW w:w="1673" w:type="pct"/>
            <w:tcBorders>
              <w:top w:val="single" w:sz="4" w:space="0" w:color="auto"/>
            </w:tcBorders>
            <w:shd w:val="clear" w:color="auto" w:fill="auto"/>
            <w:hideMark/>
          </w:tcPr>
          <w:p w14:paraId="4A00BDA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Данък върху разходите</w:t>
            </w:r>
          </w:p>
        </w:tc>
        <w:tc>
          <w:tcPr>
            <w:tcW w:w="532" w:type="pct"/>
            <w:vMerge w:val="restart"/>
            <w:tcBorders>
              <w:top w:val="single" w:sz="4" w:space="0" w:color="auto"/>
            </w:tcBorders>
            <w:shd w:val="clear" w:color="auto" w:fill="FBE4D5"/>
            <w:vAlign w:val="center"/>
            <w:hideMark/>
          </w:tcPr>
          <w:p w14:paraId="1979C26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w:t>
            </w:r>
          </w:p>
        </w:tc>
        <w:tc>
          <w:tcPr>
            <w:tcW w:w="645" w:type="pct"/>
            <w:tcBorders>
              <w:top w:val="single" w:sz="4" w:space="0" w:color="auto"/>
            </w:tcBorders>
            <w:shd w:val="clear" w:color="auto" w:fill="auto"/>
            <w:vAlign w:val="center"/>
            <w:hideMark/>
          </w:tcPr>
          <w:p w14:paraId="6F23F5D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10</w:t>
            </w:r>
          </w:p>
        </w:tc>
        <w:tc>
          <w:tcPr>
            <w:tcW w:w="654" w:type="pct"/>
            <w:tcBorders>
              <w:top w:val="single" w:sz="4" w:space="0" w:color="auto"/>
            </w:tcBorders>
            <w:shd w:val="clear" w:color="auto" w:fill="auto"/>
            <w:vAlign w:val="center"/>
            <w:hideMark/>
          </w:tcPr>
          <w:p w14:paraId="519AD55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c>
          <w:tcPr>
            <w:tcW w:w="654" w:type="pct"/>
            <w:tcBorders>
              <w:top w:val="single" w:sz="4" w:space="0" w:color="auto"/>
            </w:tcBorders>
            <w:shd w:val="clear" w:color="auto" w:fill="auto"/>
            <w:vAlign w:val="center"/>
            <w:hideMark/>
          </w:tcPr>
          <w:p w14:paraId="3BF7C9F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c>
          <w:tcPr>
            <w:tcW w:w="656" w:type="pct"/>
            <w:tcBorders>
              <w:top w:val="single" w:sz="4" w:space="0" w:color="auto"/>
            </w:tcBorders>
            <w:shd w:val="clear" w:color="auto" w:fill="auto"/>
            <w:vAlign w:val="center"/>
            <w:hideMark/>
          </w:tcPr>
          <w:p w14:paraId="2C0BF4A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w:t>
            </w:r>
          </w:p>
        </w:tc>
      </w:tr>
      <w:tr w:rsidR="00761800" w:rsidRPr="00761800" w14:paraId="2C24248A" w14:textId="77777777" w:rsidTr="00406B4D">
        <w:trPr>
          <w:trHeight w:val="300"/>
        </w:trPr>
        <w:tc>
          <w:tcPr>
            <w:tcW w:w="185" w:type="pct"/>
            <w:shd w:val="clear" w:color="auto" w:fill="auto"/>
            <w:hideMark/>
          </w:tcPr>
          <w:p w14:paraId="66A6EB28"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hideMark/>
          </w:tcPr>
          <w:p w14:paraId="2C98395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 </w:t>
            </w:r>
          </w:p>
        </w:tc>
        <w:tc>
          <w:tcPr>
            <w:tcW w:w="532" w:type="pct"/>
            <w:vMerge/>
            <w:shd w:val="clear" w:color="auto" w:fill="FBE4D5"/>
            <w:vAlign w:val="center"/>
            <w:hideMark/>
          </w:tcPr>
          <w:p w14:paraId="66DBC5D2"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1840EAA0"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0D75ADB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76969BD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0AE5C78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784ABFDF" w14:textId="77777777" w:rsidTr="00406B4D">
        <w:trPr>
          <w:trHeight w:val="300"/>
        </w:trPr>
        <w:tc>
          <w:tcPr>
            <w:tcW w:w="185" w:type="pct"/>
            <w:tcBorders>
              <w:bottom w:val="single" w:sz="4" w:space="0" w:color="auto"/>
            </w:tcBorders>
            <w:shd w:val="clear" w:color="auto" w:fill="auto"/>
            <w:hideMark/>
          </w:tcPr>
          <w:p w14:paraId="019A993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tcBorders>
              <w:bottom w:val="single" w:sz="4" w:space="0" w:color="auto"/>
            </w:tcBorders>
            <w:shd w:val="clear" w:color="auto" w:fill="auto"/>
            <w:noWrap/>
            <w:vAlign w:val="bottom"/>
            <w:hideMark/>
          </w:tcPr>
          <w:p w14:paraId="22F415E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Данък върху разходите в натура</w:t>
            </w:r>
          </w:p>
        </w:tc>
        <w:tc>
          <w:tcPr>
            <w:tcW w:w="532" w:type="pct"/>
            <w:vMerge/>
            <w:tcBorders>
              <w:bottom w:val="single" w:sz="4" w:space="0" w:color="auto"/>
            </w:tcBorders>
            <w:shd w:val="clear" w:color="auto" w:fill="FBE4D5"/>
            <w:vAlign w:val="center"/>
            <w:hideMark/>
          </w:tcPr>
          <w:p w14:paraId="08F98A6E" w14:textId="77777777" w:rsidR="00761800" w:rsidRPr="00761800" w:rsidRDefault="00761800" w:rsidP="00761800">
            <w:pPr>
              <w:rPr>
                <w:rFonts w:ascii="Times New Roman" w:hAnsi="Times New Roman"/>
                <w:sz w:val="20"/>
                <w:lang w:eastAsia="bg-BG"/>
              </w:rPr>
            </w:pPr>
          </w:p>
        </w:tc>
        <w:tc>
          <w:tcPr>
            <w:tcW w:w="645" w:type="pct"/>
            <w:tcBorders>
              <w:bottom w:val="single" w:sz="4" w:space="0" w:color="auto"/>
            </w:tcBorders>
            <w:shd w:val="clear" w:color="auto" w:fill="auto"/>
            <w:vAlign w:val="center"/>
            <w:hideMark/>
          </w:tcPr>
          <w:p w14:paraId="6840437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3</w:t>
            </w:r>
          </w:p>
        </w:tc>
        <w:tc>
          <w:tcPr>
            <w:tcW w:w="654" w:type="pct"/>
            <w:tcBorders>
              <w:bottom w:val="single" w:sz="4" w:space="0" w:color="auto"/>
            </w:tcBorders>
            <w:shd w:val="clear" w:color="auto" w:fill="auto"/>
            <w:vAlign w:val="center"/>
            <w:hideMark/>
          </w:tcPr>
          <w:p w14:paraId="0468EF7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w:t>
            </w:r>
          </w:p>
        </w:tc>
        <w:tc>
          <w:tcPr>
            <w:tcW w:w="654" w:type="pct"/>
            <w:tcBorders>
              <w:bottom w:val="single" w:sz="4" w:space="0" w:color="auto"/>
            </w:tcBorders>
            <w:shd w:val="clear" w:color="auto" w:fill="auto"/>
            <w:vAlign w:val="center"/>
            <w:hideMark/>
          </w:tcPr>
          <w:p w14:paraId="48B8092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w:t>
            </w:r>
          </w:p>
        </w:tc>
        <w:tc>
          <w:tcPr>
            <w:tcW w:w="656" w:type="pct"/>
            <w:tcBorders>
              <w:bottom w:val="single" w:sz="4" w:space="0" w:color="auto"/>
            </w:tcBorders>
            <w:shd w:val="clear" w:color="auto" w:fill="auto"/>
            <w:vAlign w:val="center"/>
            <w:hideMark/>
          </w:tcPr>
          <w:p w14:paraId="5744750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w:t>
            </w:r>
          </w:p>
        </w:tc>
      </w:tr>
      <w:tr w:rsidR="00761800" w:rsidRPr="00761800" w14:paraId="53B87488" w14:textId="77777777" w:rsidTr="00406B4D">
        <w:trPr>
          <w:trHeight w:val="765"/>
        </w:trPr>
        <w:tc>
          <w:tcPr>
            <w:tcW w:w="185" w:type="pct"/>
            <w:tcBorders>
              <w:top w:val="single" w:sz="4" w:space="0" w:color="auto"/>
              <w:bottom w:val="single" w:sz="4" w:space="0" w:color="auto"/>
            </w:tcBorders>
            <w:shd w:val="clear" w:color="auto" w:fill="auto"/>
            <w:hideMark/>
          </w:tcPr>
          <w:p w14:paraId="66AFB38A"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6.</w:t>
            </w:r>
          </w:p>
        </w:tc>
        <w:tc>
          <w:tcPr>
            <w:tcW w:w="1673" w:type="pct"/>
            <w:tcBorders>
              <w:top w:val="single" w:sz="4" w:space="0" w:color="auto"/>
              <w:bottom w:val="single" w:sz="4" w:space="0" w:color="auto"/>
            </w:tcBorders>
            <w:shd w:val="clear" w:color="auto" w:fill="auto"/>
            <w:hideMark/>
          </w:tcPr>
          <w:p w14:paraId="7D8793C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Данък върху хазартната дейност от игри, при които залогът за участие е чрез цената на телефонна или друга електронна съобщителна услуга (основна ставка)</w:t>
            </w:r>
          </w:p>
        </w:tc>
        <w:tc>
          <w:tcPr>
            <w:tcW w:w="532" w:type="pct"/>
            <w:tcBorders>
              <w:top w:val="single" w:sz="4" w:space="0" w:color="auto"/>
              <w:bottom w:val="single" w:sz="4" w:space="0" w:color="auto"/>
            </w:tcBorders>
            <w:shd w:val="clear" w:color="auto" w:fill="FBE4D5"/>
            <w:vAlign w:val="center"/>
            <w:hideMark/>
          </w:tcPr>
          <w:p w14:paraId="553CAFD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w:t>
            </w:r>
          </w:p>
        </w:tc>
        <w:tc>
          <w:tcPr>
            <w:tcW w:w="645" w:type="pct"/>
            <w:tcBorders>
              <w:top w:val="single" w:sz="4" w:space="0" w:color="auto"/>
              <w:bottom w:val="single" w:sz="4" w:space="0" w:color="auto"/>
            </w:tcBorders>
            <w:shd w:val="clear" w:color="auto" w:fill="auto"/>
            <w:vAlign w:val="center"/>
            <w:hideMark/>
          </w:tcPr>
          <w:p w14:paraId="14331C88"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15</w:t>
            </w:r>
          </w:p>
        </w:tc>
        <w:tc>
          <w:tcPr>
            <w:tcW w:w="654" w:type="pct"/>
            <w:tcBorders>
              <w:top w:val="single" w:sz="4" w:space="0" w:color="auto"/>
              <w:bottom w:val="single" w:sz="4" w:space="0" w:color="auto"/>
            </w:tcBorders>
            <w:shd w:val="clear" w:color="auto" w:fill="auto"/>
            <w:vAlign w:val="center"/>
            <w:hideMark/>
          </w:tcPr>
          <w:p w14:paraId="07DA5B30"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15 </w:t>
            </w:r>
          </w:p>
          <w:p w14:paraId="5EE8E261"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(от 1 януари 2026 г.) </w:t>
            </w:r>
          </w:p>
          <w:p w14:paraId="274187F2"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20 </w:t>
            </w:r>
          </w:p>
          <w:p w14:paraId="18090730"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(ДВ, бр. 30/2026 г., в сила от 27 март 2026 г.)</w:t>
            </w:r>
          </w:p>
        </w:tc>
        <w:tc>
          <w:tcPr>
            <w:tcW w:w="654" w:type="pct"/>
            <w:tcBorders>
              <w:top w:val="single" w:sz="4" w:space="0" w:color="auto"/>
              <w:bottom w:val="single" w:sz="4" w:space="0" w:color="auto"/>
            </w:tcBorders>
            <w:shd w:val="clear" w:color="auto" w:fill="auto"/>
            <w:vAlign w:val="center"/>
            <w:hideMark/>
          </w:tcPr>
          <w:p w14:paraId="2D657FB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20</w:t>
            </w:r>
          </w:p>
        </w:tc>
        <w:tc>
          <w:tcPr>
            <w:tcW w:w="656" w:type="pct"/>
            <w:tcBorders>
              <w:top w:val="single" w:sz="4" w:space="0" w:color="auto"/>
              <w:bottom w:val="single" w:sz="4" w:space="0" w:color="auto"/>
            </w:tcBorders>
            <w:shd w:val="clear" w:color="auto" w:fill="auto"/>
            <w:vAlign w:val="center"/>
            <w:hideMark/>
          </w:tcPr>
          <w:p w14:paraId="29E1BA6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20</w:t>
            </w:r>
          </w:p>
        </w:tc>
      </w:tr>
      <w:tr w:rsidR="00761800" w:rsidRPr="00761800" w14:paraId="4CBBAC1C" w14:textId="77777777" w:rsidTr="00406B4D">
        <w:trPr>
          <w:trHeight w:val="300"/>
        </w:trPr>
        <w:tc>
          <w:tcPr>
            <w:tcW w:w="185" w:type="pct"/>
            <w:tcBorders>
              <w:top w:val="single" w:sz="4" w:space="0" w:color="auto"/>
            </w:tcBorders>
            <w:shd w:val="clear" w:color="auto" w:fill="auto"/>
            <w:hideMark/>
          </w:tcPr>
          <w:p w14:paraId="665B55F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7.</w:t>
            </w:r>
          </w:p>
        </w:tc>
        <w:tc>
          <w:tcPr>
            <w:tcW w:w="1673" w:type="pct"/>
            <w:tcBorders>
              <w:top w:val="single" w:sz="4" w:space="0" w:color="auto"/>
            </w:tcBorders>
            <w:shd w:val="clear" w:color="auto" w:fill="auto"/>
            <w:hideMark/>
          </w:tcPr>
          <w:p w14:paraId="58FD559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Данък върху приходите на бюджетни предприятия</w:t>
            </w:r>
          </w:p>
        </w:tc>
        <w:tc>
          <w:tcPr>
            <w:tcW w:w="532" w:type="pct"/>
            <w:vMerge w:val="restart"/>
            <w:tcBorders>
              <w:top w:val="single" w:sz="4" w:space="0" w:color="auto"/>
            </w:tcBorders>
            <w:shd w:val="clear" w:color="auto" w:fill="FBE4D5"/>
            <w:vAlign w:val="center"/>
            <w:hideMark/>
          </w:tcPr>
          <w:p w14:paraId="09C98DE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w:t>
            </w:r>
          </w:p>
        </w:tc>
        <w:tc>
          <w:tcPr>
            <w:tcW w:w="645" w:type="pct"/>
            <w:tcBorders>
              <w:top w:val="single" w:sz="4" w:space="0" w:color="auto"/>
            </w:tcBorders>
            <w:shd w:val="clear" w:color="auto" w:fill="auto"/>
            <w:vAlign w:val="center"/>
            <w:hideMark/>
          </w:tcPr>
          <w:p w14:paraId="145576B1"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3</w:t>
            </w:r>
          </w:p>
        </w:tc>
        <w:tc>
          <w:tcPr>
            <w:tcW w:w="654" w:type="pct"/>
            <w:tcBorders>
              <w:top w:val="single" w:sz="4" w:space="0" w:color="auto"/>
            </w:tcBorders>
            <w:shd w:val="clear" w:color="auto" w:fill="auto"/>
            <w:vAlign w:val="center"/>
            <w:hideMark/>
          </w:tcPr>
          <w:p w14:paraId="2DB7186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w:t>
            </w:r>
          </w:p>
        </w:tc>
        <w:tc>
          <w:tcPr>
            <w:tcW w:w="654" w:type="pct"/>
            <w:tcBorders>
              <w:top w:val="single" w:sz="4" w:space="0" w:color="auto"/>
            </w:tcBorders>
            <w:shd w:val="clear" w:color="auto" w:fill="auto"/>
            <w:vAlign w:val="center"/>
            <w:hideMark/>
          </w:tcPr>
          <w:p w14:paraId="642EFDE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w:t>
            </w:r>
          </w:p>
        </w:tc>
        <w:tc>
          <w:tcPr>
            <w:tcW w:w="656" w:type="pct"/>
            <w:tcBorders>
              <w:top w:val="single" w:sz="4" w:space="0" w:color="auto"/>
            </w:tcBorders>
            <w:shd w:val="clear" w:color="auto" w:fill="auto"/>
            <w:vAlign w:val="center"/>
            <w:hideMark/>
          </w:tcPr>
          <w:p w14:paraId="79D0723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w:t>
            </w:r>
          </w:p>
        </w:tc>
      </w:tr>
      <w:tr w:rsidR="00761800" w:rsidRPr="00761800" w14:paraId="798322B9" w14:textId="77777777" w:rsidTr="00406B4D">
        <w:trPr>
          <w:trHeight w:val="300"/>
        </w:trPr>
        <w:tc>
          <w:tcPr>
            <w:tcW w:w="185" w:type="pct"/>
            <w:shd w:val="clear" w:color="auto" w:fill="auto"/>
            <w:hideMark/>
          </w:tcPr>
          <w:p w14:paraId="56C6841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hideMark/>
          </w:tcPr>
          <w:p w14:paraId="18C7337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w:t>
            </w:r>
          </w:p>
        </w:tc>
        <w:tc>
          <w:tcPr>
            <w:tcW w:w="532" w:type="pct"/>
            <w:vMerge/>
            <w:shd w:val="clear" w:color="auto" w:fill="FBE4D5"/>
            <w:vAlign w:val="center"/>
            <w:hideMark/>
          </w:tcPr>
          <w:p w14:paraId="2D0F0BEB"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3548F11E"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4A56CEF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7F4E7CA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0110B88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29E12BCE" w14:textId="77777777" w:rsidTr="00406B4D">
        <w:trPr>
          <w:trHeight w:val="300"/>
        </w:trPr>
        <w:tc>
          <w:tcPr>
            <w:tcW w:w="185" w:type="pct"/>
            <w:tcBorders>
              <w:bottom w:val="single" w:sz="4" w:space="0" w:color="auto"/>
            </w:tcBorders>
            <w:shd w:val="clear" w:color="auto" w:fill="auto"/>
            <w:hideMark/>
          </w:tcPr>
          <w:p w14:paraId="36D808B2"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tcBorders>
              <w:bottom w:val="single" w:sz="4" w:space="0" w:color="auto"/>
            </w:tcBorders>
            <w:shd w:val="clear" w:color="auto" w:fill="auto"/>
            <w:hideMark/>
          </w:tcPr>
          <w:p w14:paraId="18D272D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на общините</w:t>
            </w:r>
          </w:p>
        </w:tc>
        <w:tc>
          <w:tcPr>
            <w:tcW w:w="532" w:type="pct"/>
            <w:vMerge/>
            <w:tcBorders>
              <w:bottom w:val="single" w:sz="4" w:space="0" w:color="auto"/>
            </w:tcBorders>
            <w:shd w:val="clear" w:color="auto" w:fill="FBE4D5"/>
            <w:vAlign w:val="center"/>
            <w:hideMark/>
          </w:tcPr>
          <w:p w14:paraId="5C8CD508" w14:textId="77777777" w:rsidR="00761800" w:rsidRPr="00761800" w:rsidRDefault="00761800" w:rsidP="00761800">
            <w:pPr>
              <w:rPr>
                <w:rFonts w:ascii="Times New Roman" w:hAnsi="Times New Roman"/>
                <w:sz w:val="20"/>
                <w:lang w:eastAsia="bg-BG"/>
              </w:rPr>
            </w:pPr>
          </w:p>
        </w:tc>
        <w:tc>
          <w:tcPr>
            <w:tcW w:w="645" w:type="pct"/>
            <w:tcBorders>
              <w:bottom w:val="single" w:sz="4" w:space="0" w:color="auto"/>
            </w:tcBorders>
            <w:shd w:val="clear" w:color="auto" w:fill="auto"/>
            <w:vAlign w:val="center"/>
            <w:hideMark/>
          </w:tcPr>
          <w:p w14:paraId="21D58AD2"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w:t>
            </w:r>
          </w:p>
        </w:tc>
        <w:tc>
          <w:tcPr>
            <w:tcW w:w="654" w:type="pct"/>
            <w:tcBorders>
              <w:bottom w:val="single" w:sz="4" w:space="0" w:color="auto"/>
            </w:tcBorders>
            <w:shd w:val="clear" w:color="auto" w:fill="auto"/>
            <w:vAlign w:val="center"/>
            <w:hideMark/>
          </w:tcPr>
          <w:p w14:paraId="183B57E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w:t>
            </w:r>
          </w:p>
        </w:tc>
        <w:tc>
          <w:tcPr>
            <w:tcW w:w="654" w:type="pct"/>
            <w:tcBorders>
              <w:bottom w:val="single" w:sz="4" w:space="0" w:color="auto"/>
            </w:tcBorders>
            <w:shd w:val="clear" w:color="auto" w:fill="auto"/>
            <w:vAlign w:val="center"/>
            <w:hideMark/>
          </w:tcPr>
          <w:p w14:paraId="37A7386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w:t>
            </w:r>
          </w:p>
        </w:tc>
        <w:tc>
          <w:tcPr>
            <w:tcW w:w="656" w:type="pct"/>
            <w:tcBorders>
              <w:bottom w:val="single" w:sz="4" w:space="0" w:color="auto"/>
            </w:tcBorders>
            <w:shd w:val="clear" w:color="auto" w:fill="auto"/>
            <w:vAlign w:val="center"/>
            <w:hideMark/>
          </w:tcPr>
          <w:p w14:paraId="252C270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w:t>
            </w:r>
          </w:p>
        </w:tc>
      </w:tr>
      <w:tr w:rsidR="00761800" w:rsidRPr="00761800" w14:paraId="31A2D271" w14:textId="77777777" w:rsidTr="00406B4D">
        <w:trPr>
          <w:trHeight w:val="300"/>
        </w:trPr>
        <w:tc>
          <w:tcPr>
            <w:tcW w:w="185" w:type="pct"/>
            <w:tcBorders>
              <w:top w:val="single" w:sz="4" w:space="0" w:color="auto"/>
            </w:tcBorders>
            <w:shd w:val="clear" w:color="auto" w:fill="auto"/>
            <w:hideMark/>
          </w:tcPr>
          <w:p w14:paraId="3E5A3A87"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w:t>
            </w:r>
          </w:p>
        </w:tc>
        <w:tc>
          <w:tcPr>
            <w:tcW w:w="1673" w:type="pct"/>
            <w:tcBorders>
              <w:top w:val="single" w:sz="4" w:space="0" w:color="auto"/>
            </w:tcBorders>
            <w:shd w:val="clear" w:color="auto" w:fill="auto"/>
            <w:hideMark/>
          </w:tcPr>
          <w:p w14:paraId="26842BD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Акцизи</w:t>
            </w:r>
          </w:p>
        </w:tc>
        <w:tc>
          <w:tcPr>
            <w:tcW w:w="532" w:type="pct"/>
            <w:tcBorders>
              <w:top w:val="single" w:sz="4" w:space="0" w:color="auto"/>
            </w:tcBorders>
            <w:shd w:val="clear" w:color="auto" w:fill="FBE4D5"/>
            <w:vAlign w:val="center"/>
            <w:hideMark/>
          </w:tcPr>
          <w:p w14:paraId="3792353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645" w:type="pct"/>
            <w:tcBorders>
              <w:top w:val="single" w:sz="4" w:space="0" w:color="auto"/>
            </w:tcBorders>
            <w:shd w:val="clear" w:color="auto" w:fill="auto"/>
            <w:vAlign w:val="center"/>
            <w:hideMark/>
          </w:tcPr>
          <w:p w14:paraId="7F113B1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tcBorders>
              <w:top w:val="single" w:sz="4" w:space="0" w:color="auto"/>
            </w:tcBorders>
            <w:shd w:val="clear" w:color="auto" w:fill="auto"/>
            <w:vAlign w:val="center"/>
            <w:hideMark/>
          </w:tcPr>
          <w:p w14:paraId="53153B6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tcBorders>
              <w:top w:val="single" w:sz="4" w:space="0" w:color="auto"/>
            </w:tcBorders>
            <w:shd w:val="clear" w:color="auto" w:fill="auto"/>
            <w:vAlign w:val="center"/>
            <w:hideMark/>
          </w:tcPr>
          <w:p w14:paraId="709481B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tcBorders>
              <w:top w:val="single" w:sz="4" w:space="0" w:color="auto"/>
            </w:tcBorders>
            <w:shd w:val="clear" w:color="auto" w:fill="auto"/>
            <w:vAlign w:val="center"/>
            <w:hideMark/>
          </w:tcPr>
          <w:p w14:paraId="0C40EBC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03BA8350" w14:textId="77777777" w:rsidTr="00406B4D">
        <w:trPr>
          <w:trHeight w:val="300"/>
        </w:trPr>
        <w:tc>
          <w:tcPr>
            <w:tcW w:w="185" w:type="pct"/>
            <w:shd w:val="clear" w:color="auto" w:fill="auto"/>
            <w:hideMark/>
          </w:tcPr>
          <w:p w14:paraId="4E70110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hideMark/>
          </w:tcPr>
          <w:p w14:paraId="3C49A9B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w:t>
            </w:r>
          </w:p>
        </w:tc>
        <w:tc>
          <w:tcPr>
            <w:tcW w:w="532" w:type="pct"/>
            <w:shd w:val="clear" w:color="auto" w:fill="FBE4D5"/>
            <w:vAlign w:val="center"/>
            <w:hideMark/>
          </w:tcPr>
          <w:p w14:paraId="71015E9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645" w:type="pct"/>
            <w:shd w:val="clear" w:color="auto" w:fill="auto"/>
            <w:vAlign w:val="center"/>
            <w:hideMark/>
          </w:tcPr>
          <w:p w14:paraId="5C97E4FC"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4A386EB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71FB394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4DD1C68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424664A5" w14:textId="77777777" w:rsidTr="00406B4D">
        <w:trPr>
          <w:trHeight w:val="300"/>
        </w:trPr>
        <w:tc>
          <w:tcPr>
            <w:tcW w:w="185" w:type="pct"/>
            <w:tcBorders>
              <w:bottom w:val="single" w:sz="4" w:space="0" w:color="auto"/>
            </w:tcBorders>
            <w:shd w:val="clear" w:color="auto" w:fill="auto"/>
            <w:hideMark/>
          </w:tcPr>
          <w:p w14:paraId="254C4C1C"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8.1.</w:t>
            </w:r>
          </w:p>
        </w:tc>
        <w:tc>
          <w:tcPr>
            <w:tcW w:w="1673" w:type="pct"/>
            <w:tcBorders>
              <w:bottom w:val="single" w:sz="4" w:space="0" w:color="auto"/>
            </w:tcBorders>
            <w:shd w:val="clear" w:color="auto" w:fill="auto"/>
            <w:hideMark/>
          </w:tcPr>
          <w:p w14:paraId="7B10A2E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безоловен бензин</w:t>
            </w:r>
          </w:p>
        </w:tc>
        <w:tc>
          <w:tcPr>
            <w:tcW w:w="532" w:type="pct"/>
            <w:tcBorders>
              <w:bottom w:val="single" w:sz="4" w:space="0" w:color="auto"/>
            </w:tcBorders>
            <w:shd w:val="clear" w:color="auto" w:fill="FBE4D5"/>
            <w:vAlign w:val="center"/>
            <w:hideMark/>
          </w:tcPr>
          <w:p w14:paraId="4846D58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евро/1000 л.</w:t>
            </w:r>
          </w:p>
        </w:tc>
        <w:tc>
          <w:tcPr>
            <w:tcW w:w="645" w:type="pct"/>
            <w:tcBorders>
              <w:bottom w:val="single" w:sz="4" w:space="0" w:color="auto"/>
            </w:tcBorders>
            <w:shd w:val="clear" w:color="auto" w:fill="auto"/>
            <w:vAlign w:val="center"/>
            <w:hideMark/>
          </w:tcPr>
          <w:p w14:paraId="607B8DD0"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363,02 евро/1000 л.</w:t>
            </w:r>
          </w:p>
        </w:tc>
        <w:tc>
          <w:tcPr>
            <w:tcW w:w="654" w:type="pct"/>
            <w:tcBorders>
              <w:bottom w:val="single" w:sz="4" w:space="0" w:color="auto"/>
            </w:tcBorders>
            <w:shd w:val="clear" w:color="auto" w:fill="auto"/>
            <w:vAlign w:val="center"/>
            <w:hideMark/>
          </w:tcPr>
          <w:p w14:paraId="7EFC4D9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363,02 евро/1000 л.</w:t>
            </w:r>
          </w:p>
        </w:tc>
        <w:tc>
          <w:tcPr>
            <w:tcW w:w="654" w:type="pct"/>
            <w:tcBorders>
              <w:bottom w:val="single" w:sz="4" w:space="0" w:color="auto"/>
            </w:tcBorders>
            <w:shd w:val="clear" w:color="auto" w:fill="auto"/>
            <w:vAlign w:val="center"/>
            <w:hideMark/>
          </w:tcPr>
          <w:p w14:paraId="303A4CD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363,02 евро/1000 л.</w:t>
            </w:r>
          </w:p>
        </w:tc>
        <w:tc>
          <w:tcPr>
            <w:tcW w:w="656" w:type="pct"/>
            <w:tcBorders>
              <w:bottom w:val="single" w:sz="4" w:space="0" w:color="auto"/>
            </w:tcBorders>
            <w:shd w:val="clear" w:color="auto" w:fill="auto"/>
            <w:vAlign w:val="center"/>
            <w:hideMark/>
          </w:tcPr>
          <w:p w14:paraId="47A28EA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363,02 евро/1000 л.</w:t>
            </w:r>
          </w:p>
        </w:tc>
      </w:tr>
      <w:tr w:rsidR="00761800" w:rsidRPr="00761800" w14:paraId="03D7151F" w14:textId="77777777" w:rsidTr="00406B4D">
        <w:trPr>
          <w:trHeight w:val="510"/>
        </w:trPr>
        <w:tc>
          <w:tcPr>
            <w:tcW w:w="185" w:type="pct"/>
            <w:tcBorders>
              <w:top w:val="single" w:sz="4" w:space="0" w:color="auto"/>
            </w:tcBorders>
            <w:shd w:val="clear" w:color="auto" w:fill="auto"/>
            <w:hideMark/>
          </w:tcPr>
          <w:p w14:paraId="218FE396"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lastRenderedPageBreak/>
              <w:t>8.2.</w:t>
            </w:r>
          </w:p>
        </w:tc>
        <w:tc>
          <w:tcPr>
            <w:tcW w:w="1673" w:type="pct"/>
            <w:tcBorders>
              <w:top w:val="single" w:sz="4" w:space="0" w:color="auto"/>
            </w:tcBorders>
            <w:shd w:val="clear" w:color="auto" w:fill="auto"/>
            <w:hideMark/>
          </w:tcPr>
          <w:p w14:paraId="281ABC9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газьол (в т.ч. използван и като гориво за отопление)</w:t>
            </w:r>
          </w:p>
        </w:tc>
        <w:tc>
          <w:tcPr>
            <w:tcW w:w="532" w:type="pct"/>
            <w:tcBorders>
              <w:top w:val="single" w:sz="4" w:space="0" w:color="auto"/>
            </w:tcBorders>
            <w:shd w:val="clear" w:color="auto" w:fill="FBE4D5"/>
            <w:vAlign w:val="center"/>
            <w:hideMark/>
          </w:tcPr>
          <w:p w14:paraId="24C1070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евро/1000 л.</w:t>
            </w:r>
          </w:p>
        </w:tc>
        <w:tc>
          <w:tcPr>
            <w:tcW w:w="645" w:type="pct"/>
            <w:tcBorders>
              <w:top w:val="single" w:sz="4" w:space="0" w:color="auto"/>
            </w:tcBorders>
            <w:shd w:val="clear" w:color="auto" w:fill="auto"/>
            <w:vAlign w:val="center"/>
            <w:hideMark/>
          </w:tcPr>
          <w:p w14:paraId="1C377727"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330,29 евро/1000 л.</w:t>
            </w:r>
          </w:p>
        </w:tc>
        <w:tc>
          <w:tcPr>
            <w:tcW w:w="654" w:type="pct"/>
            <w:tcBorders>
              <w:top w:val="single" w:sz="4" w:space="0" w:color="auto"/>
            </w:tcBorders>
            <w:shd w:val="clear" w:color="auto" w:fill="auto"/>
            <w:vAlign w:val="center"/>
            <w:hideMark/>
          </w:tcPr>
          <w:p w14:paraId="16E2E45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330,29 евро/1000 л.</w:t>
            </w:r>
          </w:p>
        </w:tc>
        <w:tc>
          <w:tcPr>
            <w:tcW w:w="654" w:type="pct"/>
            <w:tcBorders>
              <w:top w:val="single" w:sz="4" w:space="0" w:color="auto"/>
            </w:tcBorders>
            <w:shd w:val="clear" w:color="auto" w:fill="auto"/>
            <w:vAlign w:val="center"/>
            <w:hideMark/>
          </w:tcPr>
          <w:p w14:paraId="195DC66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330,29 евро/1000 л.</w:t>
            </w:r>
          </w:p>
        </w:tc>
        <w:tc>
          <w:tcPr>
            <w:tcW w:w="656" w:type="pct"/>
            <w:tcBorders>
              <w:top w:val="single" w:sz="4" w:space="0" w:color="auto"/>
            </w:tcBorders>
            <w:shd w:val="clear" w:color="auto" w:fill="auto"/>
            <w:vAlign w:val="center"/>
            <w:hideMark/>
          </w:tcPr>
          <w:p w14:paraId="3D91222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330,29 евро/1000 л.</w:t>
            </w:r>
          </w:p>
        </w:tc>
      </w:tr>
      <w:tr w:rsidR="00761800" w:rsidRPr="00761800" w14:paraId="11799F06" w14:textId="77777777" w:rsidTr="00406B4D">
        <w:trPr>
          <w:trHeight w:val="300"/>
        </w:trPr>
        <w:tc>
          <w:tcPr>
            <w:tcW w:w="185" w:type="pct"/>
            <w:vMerge w:val="restart"/>
            <w:shd w:val="clear" w:color="auto" w:fill="auto"/>
            <w:hideMark/>
          </w:tcPr>
          <w:p w14:paraId="6D520486"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8.3.</w:t>
            </w:r>
          </w:p>
        </w:tc>
        <w:tc>
          <w:tcPr>
            <w:tcW w:w="1673" w:type="pct"/>
            <w:shd w:val="clear" w:color="auto" w:fill="auto"/>
            <w:hideMark/>
          </w:tcPr>
          <w:p w14:paraId="7E8486B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втечнен нефтен газ (LPG)</w:t>
            </w:r>
          </w:p>
        </w:tc>
        <w:tc>
          <w:tcPr>
            <w:tcW w:w="532" w:type="pct"/>
            <w:vMerge w:val="restart"/>
            <w:shd w:val="clear" w:color="auto" w:fill="FBE4D5"/>
            <w:vAlign w:val="center"/>
            <w:hideMark/>
          </w:tcPr>
          <w:p w14:paraId="3D30BBA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евро/1000 л.</w:t>
            </w:r>
          </w:p>
        </w:tc>
        <w:tc>
          <w:tcPr>
            <w:tcW w:w="645" w:type="pct"/>
            <w:shd w:val="clear" w:color="auto" w:fill="auto"/>
            <w:vAlign w:val="center"/>
            <w:hideMark/>
          </w:tcPr>
          <w:p w14:paraId="119CA14F"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40E515C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2F81A1C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1B2910E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313ABB27" w14:textId="77777777" w:rsidTr="00406B4D">
        <w:trPr>
          <w:trHeight w:val="300"/>
        </w:trPr>
        <w:tc>
          <w:tcPr>
            <w:tcW w:w="185" w:type="pct"/>
            <w:vMerge/>
            <w:vAlign w:val="center"/>
            <w:hideMark/>
          </w:tcPr>
          <w:p w14:paraId="01D65265" w14:textId="77777777" w:rsidR="00761800" w:rsidRPr="00761800" w:rsidRDefault="00761800" w:rsidP="00761800">
            <w:pPr>
              <w:rPr>
                <w:rFonts w:ascii="Times New Roman" w:hAnsi="Times New Roman"/>
                <w:b/>
                <w:bCs/>
                <w:sz w:val="20"/>
                <w:lang w:eastAsia="bg-BG"/>
              </w:rPr>
            </w:pPr>
          </w:p>
        </w:tc>
        <w:tc>
          <w:tcPr>
            <w:tcW w:w="1673" w:type="pct"/>
            <w:shd w:val="clear" w:color="auto" w:fill="auto"/>
            <w:noWrap/>
            <w:hideMark/>
          </w:tcPr>
          <w:p w14:paraId="16239C6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използван като моторно гориво</w:t>
            </w:r>
          </w:p>
        </w:tc>
        <w:tc>
          <w:tcPr>
            <w:tcW w:w="532" w:type="pct"/>
            <w:vMerge/>
            <w:shd w:val="clear" w:color="auto" w:fill="FBE4D5"/>
            <w:vAlign w:val="center"/>
            <w:hideMark/>
          </w:tcPr>
          <w:p w14:paraId="6F34A9C2"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5261761B"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173,84 евро/1000 л.</w:t>
            </w:r>
          </w:p>
        </w:tc>
        <w:tc>
          <w:tcPr>
            <w:tcW w:w="654" w:type="pct"/>
            <w:shd w:val="clear" w:color="auto" w:fill="auto"/>
            <w:vAlign w:val="center"/>
            <w:hideMark/>
          </w:tcPr>
          <w:p w14:paraId="7FFCC2B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173,84 евро/1000 л.</w:t>
            </w:r>
          </w:p>
        </w:tc>
        <w:tc>
          <w:tcPr>
            <w:tcW w:w="654" w:type="pct"/>
            <w:shd w:val="clear" w:color="auto" w:fill="auto"/>
            <w:vAlign w:val="center"/>
            <w:hideMark/>
          </w:tcPr>
          <w:p w14:paraId="1EC80A8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173,84 евро/1000 л.</w:t>
            </w:r>
          </w:p>
        </w:tc>
        <w:tc>
          <w:tcPr>
            <w:tcW w:w="656" w:type="pct"/>
            <w:shd w:val="clear" w:color="auto" w:fill="auto"/>
            <w:vAlign w:val="center"/>
            <w:hideMark/>
          </w:tcPr>
          <w:p w14:paraId="7B48C1A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173,84 евро/1000 л.</w:t>
            </w:r>
          </w:p>
        </w:tc>
      </w:tr>
      <w:tr w:rsidR="00761800" w:rsidRPr="00761800" w14:paraId="262E2F56" w14:textId="77777777" w:rsidTr="00406B4D">
        <w:trPr>
          <w:trHeight w:val="300"/>
        </w:trPr>
        <w:tc>
          <w:tcPr>
            <w:tcW w:w="185" w:type="pct"/>
            <w:vMerge/>
            <w:vAlign w:val="center"/>
            <w:hideMark/>
          </w:tcPr>
          <w:p w14:paraId="352A8EBA" w14:textId="77777777" w:rsidR="00761800" w:rsidRPr="00761800" w:rsidRDefault="00761800" w:rsidP="00761800">
            <w:pPr>
              <w:rPr>
                <w:rFonts w:ascii="Times New Roman" w:hAnsi="Times New Roman"/>
                <w:b/>
                <w:bCs/>
                <w:sz w:val="20"/>
                <w:lang w:eastAsia="bg-BG"/>
              </w:rPr>
            </w:pPr>
          </w:p>
        </w:tc>
        <w:tc>
          <w:tcPr>
            <w:tcW w:w="1673" w:type="pct"/>
            <w:shd w:val="clear" w:color="auto" w:fill="auto"/>
            <w:noWrap/>
            <w:hideMark/>
          </w:tcPr>
          <w:p w14:paraId="3CB23AF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използван като гориво за отопление</w:t>
            </w:r>
          </w:p>
        </w:tc>
        <w:tc>
          <w:tcPr>
            <w:tcW w:w="532" w:type="pct"/>
            <w:vMerge/>
            <w:shd w:val="clear" w:color="auto" w:fill="FBE4D5"/>
            <w:vAlign w:val="center"/>
            <w:hideMark/>
          </w:tcPr>
          <w:p w14:paraId="1C8C8420"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55B57F2A"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0,00 евро/1000 кг.</w:t>
            </w:r>
          </w:p>
        </w:tc>
        <w:tc>
          <w:tcPr>
            <w:tcW w:w="654" w:type="pct"/>
            <w:shd w:val="clear" w:color="auto" w:fill="auto"/>
            <w:vAlign w:val="center"/>
            <w:hideMark/>
          </w:tcPr>
          <w:p w14:paraId="2EDC494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0,00 евро/1000 кг.</w:t>
            </w:r>
          </w:p>
        </w:tc>
        <w:tc>
          <w:tcPr>
            <w:tcW w:w="654" w:type="pct"/>
            <w:shd w:val="clear" w:color="auto" w:fill="auto"/>
            <w:vAlign w:val="center"/>
            <w:hideMark/>
          </w:tcPr>
          <w:p w14:paraId="53F4B6A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0,00 евро/1000 кг.</w:t>
            </w:r>
          </w:p>
        </w:tc>
        <w:tc>
          <w:tcPr>
            <w:tcW w:w="656" w:type="pct"/>
            <w:shd w:val="clear" w:color="auto" w:fill="auto"/>
            <w:vAlign w:val="center"/>
            <w:hideMark/>
          </w:tcPr>
          <w:p w14:paraId="6E113BC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0,00 евро/1000 кг.</w:t>
            </w:r>
          </w:p>
        </w:tc>
      </w:tr>
      <w:tr w:rsidR="00761800" w:rsidRPr="00761800" w14:paraId="3F649F0A" w14:textId="77777777" w:rsidTr="00406B4D">
        <w:trPr>
          <w:trHeight w:val="285"/>
        </w:trPr>
        <w:tc>
          <w:tcPr>
            <w:tcW w:w="185" w:type="pct"/>
            <w:shd w:val="clear" w:color="auto" w:fill="auto"/>
            <w:hideMark/>
          </w:tcPr>
          <w:p w14:paraId="54DAB003"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8.4.</w:t>
            </w:r>
          </w:p>
        </w:tc>
        <w:tc>
          <w:tcPr>
            <w:tcW w:w="1673" w:type="pct"/>
            <w:shd w:val="clear" w:color="auto" w:fill="auto"/>
            <w:hideMark/>
          </w:tcPr>
          <w:p w14:paraId="649F3EA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керосин</w:t>
            </w:r>
          </w:p>
        </w:tc>
        <w:tc>
          <w:tcPr>
            <w:tcW w:w="532" w:type="pct"/>
            <w:shd w:val="clear" w:color="auto" w:fill="FBE4D5"/>
            <w:vAlign w:val="center"/>
            <w:hideMark/>
          </w:tcPr>
          <w:p w14:paraId="4C33652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евро/1000 л.</w:t>
            </w:r>
          </w:p>
        </w:tc>
        <w:tc>
          <w:tcPr>
            <w:tcW w:w="645" w:type="pct"/>
            <w:shd w:val="clear" w:color="auto" w:fill="auto"/>
            <w:vAlign w:val="center"/>
            <w:hideMark/>
          </w:tcPr>
          <w:p w14:paraId="6ABC9D3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330,29 евро/1000 л.</w:t>
            </w:r>
          </w:p>
        </w:tc>
        <w:tc>
          <w:tcPr>
            <w:tcW w:w="654" w:type="pct"/>
            <w:shd w:val="clear" w:color="auto" w:fill="auto"/>
            <w:vAlign w:val="center"/>
            <w:hideMark/>
          </w:tcPr>
          <w:p w14:paraId="60E890E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330,29 евро/1000 л.</w:t>
            </w:r>
          </w:p>
        </w:tc>
        <w:tc>
          <w:tcPr>
            <w:tcW w:w="654" w:type="pct"/>
            <w:shd w:val="clear" w:color="auto" w:fill="auto"/>
            <w:vAlign w:val="center"/>
            <w:hideMark/>
          </w:tcPr>
          <w:p w14:paraId="550C287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330,29 евро/1000 л.</w:t>
            </w:r>
          </w:p>
        </w:tc>
        <w:tc>
          <w:tcPr>
            <w:tcW w:w="656" w:type="pct"/>
            <w:shd w:val="clear" w:color="auto" w:fill="auto"/>
            <w:vAlign w:val="center"/>
            <w:hideMark/>
          </w:tcPr>
          <w:p w14:paraId="4E7A283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330,29 евро/1000 л.</w:t>
            </w:r>
          </w:p>
        </w:tc>
      </w:tr>
      <w:tr w:rsidR="00761800" w:rsidRPr="00761800" w14:paraId="663CFA13" w14:textId="77777777" w:rsidTr="00406B4D">
        <w:trPr>
          <w:trHeight w:val="300"/>
        </w:trPr>
        <w:tc>
          <w:tcPr>
            <w:tcW w:w="185" w:type="pct"/>
            <w:shd w:val="clear" w:color="auto" w:fill="auto"/>
            <w:hideMark/>
          </w:tcPr>
          <w:p w14:paraId="1236282A"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8.5.</w:t>
            </w:r>
          </w:p>
        </w:tc>
        <w:tc>
          <w:tcPr>
            <w:tcW w:w="1673" w:type="pct"/>
            <w:shd w:val="clear" w:color="auto" w:fill="auto"/>
            <w:hideMark/>
          </w:tcPr>
          <w:p w14:paraId="42AF8B7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кокс и въглища</w:t>
            </w:r>
          </w:p>
        </w:tc>
        <w:tc>
          <w:tcPr>
            <w:tcW w:w="532" w:type="pct"/>
            <w:shd w:val="clear" w:color="auto" w:fill="FBE4D5"/>
            <w:vAlign w:val="center"/>
            <w:hideMark/>
          </w:tcPr>
          <w:p w14:paraId="6385C3D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евро/гигаджаул</w:t>
            </w:r>
          </w:p>
        </w:tc>
        <w:tc>
          <w:tcPr>
            <w:tcW w:w="645" w:type="pct"/>
            <w:shd w:val="clear" w:color="auto" w:fill="auto"/>
            <w:vAlign w:val="center"/>
            <w:hideMark/>
          </w:tcPr>
          <w:p w14:paraId="1DB6319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0,31/гигаджаул</w:t>
            </w:r>
          </w:p>
        </w:tc>
        <w:tc>
          <w:tcPr>
            <w:tcW w:w="654" w:type="pct"/>
            <w:shd w:val="clear" w:color="auto" w:fill="auto"/>
            <w:vAlign w:val="center"/>
            <w:hideMark/>
          </w:tcPr>
          <w:p w14:paraId="71997A0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0,31/гигаджаул</w:t>
            </w:r>
          </w:p>
        </w:tc>
        <w:tc>
          <w:tcPr>
            <w:tcW w:w="654" w:type="pct"/>
            <w:shd w:val="clear" w:color="auto" w:fill="auto"/>
            <w:vAlign w:val="center"/>
            <w:hideMark/>
          </w:tcPr>
          <w:p w14:paraId="27EBF26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0,31/гигаджаул</w:t>
            </w:r>
          </w:p>
        </w:tc>
        <w:tc>
          <w:tcPr>
            <w:tcW w:w="656" w:type="pct"/>
            <w:shd w:val="clear" w:color="auto" w:fill="auto"/>
            <w:vAlign w:val="center"/>
            <w:hideMark/>
          </w:tcPr>
          <w:p w14:paraId="21C0384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0,31/гигаджаул</w:t>
            </w:r>
          </w:p>
        </w:tc>
      </w:tr>
      <w:tr w:rsidR="00761800" w:rsidRPr="00761800" w14:paraId="77D8BE1F" w14:textId="77777777" w:rsidTr="00406B4D">
        <w:trPr>
          <w:trHeight w:val="300"/>
        </w:trPr>
        <w:tc>
          <w:tcPr>
            <w:tcW w:w="185" w:type="pct"/>
            <w:vMerge w:val="restart"/>
            <w:shd w:val="clear" w:color="auto" w:fill="auto"/>
            <w:hideMark/>
          </w:tcPr>
          <w:p w14:paraId="4C52A0C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8.6.</w:t>
            </w:r>
          </w:p>
        </w:tc>
        <w:tc>
          <w:tcPr>
            <w:tcW w:w="1673" w:type="pct"/>
            <w:shd w:val="clear" w:color="auto" w:fill="auto"/>
            <w:hideMark/>
          </w:tcPr>
          <w:p w14:paraId="18EE4E5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електрическа енергия</w:t>
            </w:r>
          </w:p>
        </w:tc>
        <w:tc>
          <w:tcPr>
            <w:tcW w:w="532" w:type="pct"/>
            <w:vMerge w:val="restart"/>
            <w:shd w:val="clear" w:color="auto" w:fill="FBE4D5"/>
            <w:vAlign w:val="center"/>
            <w:hideMark/>
          </w:tcPr>
          <w:p w14:paraId="093FBF2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евро/мегаватчас</w:t>
            </w:r>
          </w:p>
        </w:tc>
        <w:tc>
          <w:tcPr>
            <w:tcW w:w="645" w:type="pct"/>
            <w:shd w:val="clear" w:color="auto" w:fill="auto"/>
            <w:vAlign w:val="center"/>
            <w:hideMark/>
          </w:tcPr>
          <w:p w14:paraId="6D956F2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18D5C3D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5BC61FF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5AC5F87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74F1B90A" w14:textId="77777777" w:rsidTr="00406B4D">
        <w:trPr>
          <w:trHeight w:val="300"/>
        </w:trPr>
        <w:tc>
          <w:tcPr>
            <w:tcW w:w="185" w:type="pct"/>
            <w:vMerge/>
            <w:vAlign w:val="center"/>
            <w:hideMark/>
          </w:tcPr>
          <w:p w14:paraId="51029882" w14:textId="77777777" w:rsidR="00761800" w:rsidRPr="00761800" w:rsidRDefault="00761800" w:rsidP="00761800">
            <w:pPr>
              <w:rPr>
                <w:rFonts w:ascii="Times New Roman" w:hAnsi="Times New Roman"/>
                <w:b/>
                <w:bCs/>
                <w:sz w:val="20"/>
                <w:lang w:eastAsia="bg-BG"/>
              </w:rPr>
            </w:pPr>
          </w:p>
        </w:tc>
        <w:tc>
          <w:tcPr>
            <w:tcW w:w="1673" w:type="pct"/>
            <w:shd w:val="clear" w:color="auto" w:fill="auto"/>
            <w:noWrap/>
            <w:hideMark/>
          </w:tcPr>
          <w:p w14:paraId="6BA186C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използвана за стопански нужди</w:t>
            </w:r>
          </w:p>
        </w:tc>
        <w:tc>
          <w:tcPr>
            <w:tcW w:w="532" w:type="pct"/>
            <w:vMerge/>
            <w:shd w:val="clear" w:color="auto" w:fill="FBE4D5"/>
            <w:vAlign w:val="center"/>
            <w:hideMark/>
          </w:tcPr>
          <w:p w14:paraId="2EBC21B6"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02661D8F"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1,02/мегаватчас</w:t>
            </w:r>
          </w:p>
        </w:tc>
        <w:tc>
          <w:tcPr>
            <w:tcW w:w="654" w:type="pct"/>
            <w:shd w:val="clear" w:color="auto" w:fill="auto"/>
            <w:vAlign w:val="center"/>
            <w:hideMark/>
          </w:tcPr>
          <w:p w14:paraId="2288B3A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1,02/мегаватчас</w:t>
            </w:r>
          </w:p>
        </w:tc>
        <w:tc>
          <w:tcPr>
            <w:tcW w:w="654" w:type="pct"/>
            <w:shd w:val="clear" w:color="auto" w:fill="auto"/>
            <w:vAlign w:val="center"/>
            <w:hideMark/>
          </w:tcPr>
          <w:p w14:paraId="7160795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1,02/мегаватчас</w:t>
            </w:r>
          </w:p>
        </w:tc>
        <w:tc>
          <w:tcPr>
            <w:tcW w:w="656" w:type="pct"/>
            <w:shd w:val="clear" w:color="auto" w:fill="auto"/>
            <w:vAlign w:val="center"/>
            <w:hideMark/>
          </w:tcPr>
          <w:p w14:paraId="1D1CCD0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1,02/мегаватчас</w:t>
            </w:r>
          </w:p>
        </w:tc>
      </w:tr>
      <w:tr w:rsidR="00761800" w:rsidRPr="00761800" w14:paraId="7AFC6D17" w14:textId="77777777" w:rsidTr="00406B4D">
        <w:trPr>
          <w:trHeight w:val="300"/>
        </w:trPr>
        <w:tc>
          <w:tcPr>
            <w:tcW w:w="185" w:type="pct"/>
            <w:vMerge/>
            <w:vAlign w:val="center"/>
            <w:hideMark/>
          </w:tcPr>
          <w:p w14:paraId="7854A360" w14:textId="77777777" w:rsidR="00761800" w:rsidRPr="00761800" w:rsidRDefault="00761800" w:rsidP="00761800">
            <w:pPr>
              <w:rPr>
                <w:rFonts w:ascii="Times New Roman" w:hAnsi="Times New Roman"/>
                <w:b/>
                <w:bCs/>
                <w:sz w:val="20"/>
                <w:lang w:eastAsia="bg-BG"/>
              </w:rPr>
            </w:pPr>
          </w:p>
        </w:tc>
        <w:tc>
          <w:tcPr>
            <w:tcW w:w="1673" w:type="pct"/>
            <w:shd w:val="clear" w:color="auto" w:fill="auto"/>
            <w:noWrap/>
            <w:hideMark/>
          </w:tcPr>
          <w:p w14:paraId="620C85B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използвана за битови нужди</w:t>
            </w:r>
          </w:p>
        </w:tc>
        <w:tc>
          <w:tcPr>
            <w:tcW w:w="532" w:type="pct"/>
            <w:vMerge/>
            <w:shd w:val="clear" w:color="auto" w:fill="FBE4D5"/>
            <w:vAlign w:val="center"/>
            <w:hideMark/>
          </w:tcPr>
          <w:p w14:paraId="1571E631"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4D98A830"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0,00/мегаватчас</w:t>
            </w:r>
          </w:p>
        </w:tc>
        <w:tc>
          <w:tcPr>
            <w:tcW w:w="654" w:type="pct"/>
            <w:shd w:val="clear" w:color="auto" w:fill="auto"/>
            <w:vAlign w:val="center"/>
            <w:hideMark/>
          </w:tcPr>
          <w:p w14:paraId="747910B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0,00/мегаватчас</w:t>
            </w:r>
          </w:p>
        </w:tc>
        <w:tc>
          <w:tcPr>
            <w:tcW w:w="654" w:type="pct"/>
            <w:shd w:val="clear" w:color="auto" w:fill="auto"/>
            <w:vAlign w:val="center"/>
            <w:hideMark/>
          </w:tcPr>
          <w:p w14:paraId="6383A0D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0,00/мегаватчас</w:t>
            </w:r>
          </w:p>
        </w:tc>
        <w:tc>
          <w:tcPr>
            <w:tcW w:w="656" w:type="pct"/>
            <w:shd w:val="clear" w:color="auto" w:fill="auto"/>
            <w:vAlign w:val="center"/>
            <w:hideMark/>
          </w:tcPr>
          <w:p w14:paraId="4BBF0A5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0,00/мегаватчас</w:t>
            </w:r>
          </w:p>
        </w:tc>
      </w:tr>
      <w:tr w:rsidR="00761800" w:rsidRPr="00761800" w14:paraId="1739E4FC" w14:textId="77777777" w:rsidTr="00406B4D">
        <w:trPr>
          <w:trHeight w:val="1427"/>
        </w:trPr>
        <w:tc>
          <w:tcPr>
            <w:tcW w:w="185" w:type="pct"/>
            <w:shd w:val="clear" w:color="auto" w:fill="auto"/>
            <w:hideMark/>
          </w:tcPr>
          <w:p w14:paraId="40F2021E"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8.7.</w:t>
            </w:r>
          </w:p>
        </w:tc>
        <w:tc>
          <w:tcPr>
            <w:tcW w:w="1673" w:type="pct"/>
            <w:shd w:val="clear" w:color="auto" w:fill="auto"/>
            <w:hideMark/>
          </w:tcPr>
          <w:p w14:paraId="1F480EF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цигари - общ (не по-малък от)</w:t>
            </w:r>
          </w:p>
        </w:tc>
        <w:tc>
          <w:tcPr>
            <w:tcW w:w="532" w:type="pct"/>
            <w:shd w:val="clear" w:color="auto" w:fill="FBE4D5"/>
            <w:vAlign w:val="center"/>
            <w:hideMark/>
          </w:tcPr>
          <w:p w14:paraId="2A73F4C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евро/1000 къса</w:t>
            </w:r>
          </w:p>
        </w:tc>
        <w:tc>
          <w:tcPr>
            <w:tcW w:w="645" w:type="pct"/>
            <w:shd w:val="clear" w:color="auto" w:fill="auto"/>
            <w:vAlign w:val="center"/>
            <w:hideMark/>
          </w:tcPr>
          <w:p w14:paraId="3D831DBC"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107,37 евро/1000 къса</w:t>
            </w:r>
          </w:p>
        </w:tc>
        <w:tc>
          <w:tcPr>
            <w:tcW w:w="654" w:type="pct"/>
            <w:shd w:val="clear" w:color="auto" w:fill="auto"/>
            <w:vAlign w:val="center"/>
            <w:hideMark/>
          </w:tcPr>
          <w:p w14:paraId="6A189727"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113,51 евро/1000 къса </w:t>
            </w:r>
            <w:r w:rsidRPr="00761800">
              <w:rPr>
                <w:rFonts w:ascii="Times New Roman" w:hAnsi="Times New Roman"/>
                <w:color w:val="000000"/>
                <w:sz w:val="20"/>
                <w:lang w:eastAsia="bg-BG"/>
              </w:rPr>
              <w:br/>
              <w:t xml:space="preserve">(от 1 януари 2026 г.) / </w:t>
            </w:r>
            <w:r w:rsidRPr="00761800">
              <w:rPr>
                <w:rFonts w:ascii="Times New Roman" w:hAnsi="Times New Roman"/>
                <w:color w:val="000000"/>
                <w:sz w:val="20"/>
                <w:lang w:eastAsia="bg-BG"/>
              </w:rPr>
              <w:br/>
              <w:t xml:space="preserve">120 евро/1000 къса </w:t>
            </w:r>
            <w:r w:rsidRPr="00761800">
              <w:rPr>
                <w:rFonts w:ascii="Times New Roman" w:hAnsi="Times New Roman"/>
                <w:color w:val="000000"/>
                <w:sz w:val="20"/>
                <w:lang w:eastAsia="bg-BG"/>
              </w:rPr>
              <w:br/>
              <w:t>(от 1 август 2026 г.)</w:t>
            </w:r>
          </w:p>
        </w:tc>
        <w:tc>
          <w:tcPr>
            <w:tcW w:w="654" w:type="pct"/>
            <w:shd w:val="clear" w:color="auto" w:fill="auto"/>
            <w:vAlign w:val="center"/>
            <w:hideMark/>
          </w:tcPr>
          <w:p w14:paraId="4C6B958C"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126 евро/1000 къса </w:t>
            </w:r>
            <w:r w:rsidRPr="00761800">
              <w:rPr>
                <w:rFonts w:ascii="Times New Roman" w:hAnsi="Times New Roman"/>
                <w:color w:val="000000"/>
                <w:sz w:val="20"/>
                <w:lang w:eastAsia="bg-BG"/>
              </w:rPr>
              <w:br/>
              <w:t>(от 1 март 2027 г.)</w:t>
            </w:r>
          </w:p>
        </w:tc>
        <w:tc>
          <w:tcPr>
            <w:tcW w:w="656" w:type="pct"/>
            <w:shd w:val="clear" w:color="auto" w:fill="auto"/>
            <w:vAlign w:val="center"/>
            <w:hideMark/>
          </w:tcPr>
          <w:p w14:paraId="565508A7"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132 евро/1000 къса </w:t>
            </w:r>
            <w:r w:rsidRPr="00761800">
              <w:rPr>
                <w:rFonts w:ascii="Times New Roman" w:hAnsi="Times New Roman"/>
                <w:color w:val="000000"/>
                <w:sz w:val="20"/>
                <w:lang w:eastAsia="bg-BG"/>
              </w:rPr>
              <w:br/>
              <w:t>(от 1 януари 2028 г.)</w:t>
            </w:r>
          </w:p>
        </w:tc>
      </w:tr>
      <w:tr w:rsidR="00761800" w:rsidRPr="00761800" w14:paraId="67A6A95B" w14:textId="77777777" w:rsidTr="00406B4D">
        <w:trPr>
          <w:trHeight w:val="1020"/>
        </w:trPr>
        <w:tc>
          <w:tcPr>
            <w:tcW w:w="185" w:type="pct"/>
            <w:shd w:val="clear" w:color="auto" w:fill="auto"/>
            <w:hideMark/>
          </w:tcPr>
          <w:p w14:paraId="231243C2"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8.8.</w:t>
            </w:r>
          </w:p>
        </w:tc>
        <w:tc>
          <w:tcPr>
            <w:tcW w:w="1673" w:type="pct"/>
            <w:shd w:val="clear" w:color="auto" w:fill="auto"/>
            <w:hideMark/>
          </w:tcPr>
          <w:p w14:paraId="0EBE236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тютюн за пушене (за лула и цигари)</w:t>
            </w:r>
          </w:p>
        </w:tc>
        <w:tc>
          <w:tcPr>
            <w:tcW w:w="532" w:type="pct"/>
            <w:shd w:val="clear" w:color="auto" w:fill="FBE4D5"/>
            <w:vAlign w:val="center"/>
            <w:hideMark/>
          </w:tcPr>
          <w:p w14:paraId="2F60C33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евро/кг.</w:t>
            </w:r>
          </w:p>
        </w:tc>
        <w:tc>
          <w:tcPr>
            <w:tcW w:w="645" w:type="pct"/>
            <w:shd w:val="clear" w:color="auto" w:fill="auto"/>
            <w:vAlign w:val="center"/>
            <w:hideMark/>
          </w:tcPr>
          <w:p w14:paraId="2E2CFF0D"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113,51 евро/кг.</w:t>
            </w:r>
          </w:p>
        </w:tc>
        <w:tc>
          <w:tcPr>
            <w:tcW w:w="654" w:type="pct"/>
            <w:shd w:val="clear" w:color="auto" w:fill="auto"/>
            <w:vAlign w:val="center"/>
            <w:hideMark/>
          </w:tcPr>
          <w:p w14:paraId="0F415DCF"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121,69 евро/кг. </w:t>
            </w:r>
            <w:r w:rsidRPr="00761800">
              <w:rPr>
                <w:rFonts w:ascii="Times New Roman" w:hAnsi="Times New Roman"/>
                <w:color w:val="000000"/>
                <w:sz w:val="20"/>
                <w:lang w:eastAsia="bg-BG"/>
              </w:rPr>
              <w:br/>
              <w:t xml:space="preserve">(от 1 януари 2026 г.) / </w:t>
            </w:r>
            <w:r w:rsidRPr="00761800">
              <w:rPr>
                <w:rFonts w:ascii="Times New Roman" w:hAnsi="Times New Roman"/>
                <w:color w:val="000000"/>
                <w:sz w:val="20"/>
                <w:lang w:eastAsia="bg-BG"/>
              </w:rPr>
              <w:br/>
              <w:t xml:space="preserve">130 евро/кг. </w:t>
            </w:r>
            <w:r w:rsidRPr="00761800">
              <w:rPr>
                <w:rFonts w:ascii="Times New Roman" w:hAnsi="Times New Roman"/>
                <w:color w:val="000000"/>
                <w:sz w:val="20"/>
                <w:lang w:eastAsia="bg-BG"/>
              </w:rPr>
              <w:br/>
              <w:t>(от 1 август 2026 г.)</w:t>
            </w:r>
          </w:p>
        </w:tc>
        <w:tc>
          <w:tcPr>
            <w:tcW w:w="654" w:type="pct"/>
            <w:shd w:val="clear" w:color="auto" w:fill="auto"/>
            <w:vAlign w:val="center"/>
            <w:hideMark/>
          </w:tcPr>
          <w:p w14:paraId="59B877A2"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138 евро/кг. </w:t>
            </w:r>
            <w:r w:rsidRPr="00761800">
              <w:rPr>
                <w:rFonts w:ascii="Times New Roman" w:hAnsi="Times New Roman"/>
                <w:color w:val="000000"/>
                <w:sz w:val="20"/>
                <w:lang w:eastAsia="bg-BG"/>
              </w:rPr>
              <w:br/>
              <w:t>(от 1 март 2027 г.)</w:t>
            </w:r>
          </w:p>
        </w:tc>
        <w:tc>
          <w:tcPr>
            <w:tcW w:w="656" w:type="pct"/>
            <w:shd w:val="clear" w:color="auto" w:fill="auto"/>
            <w:vAlign w:val="center"/>
            <w:hideMark/>
          </w:tcPr>
          <w:p w14:paraId="14D26CD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146 евро/кг. </w:t>
            </w:r>
            <w:r w:rsidRPr="00761800">
              <w:rPr>
                <w:rFonts w:ascii="Times New Roman" w:hAnsi="Times New Roman"/>
                <w:color w:val="000000"/>
                <w:sz w:val="20"/>
                <w:lang w:eastAsia="bg-BG"/>
              </w:rPr>
              <w:br/>
              <w:t>(от 1 януари 2028 г.)</w:t>
            </w:r>
          </w:p>
        </w:tc>
      </w:tr>
      <w:tr w:rsidR="00761800" w:rsidRPr="00761800" w14:paraId="39A55DE1" w14:textId="77777777" w:rsidTr="00406B4D">
        <w:trPr>
          <w:trHeight w:val="1020"/>
        </w:trPr>
        <w:tc>
          <w:tcPr>
            <w:tcW w:w="1859" w:type="pct"/>
            <w:gridSpan w:val="2"/>
            <w:shd w:val="clear" w:color="auto" w:fill="auto"/>
            <w:hideMark/>
          </w:tcPr>
          <w:p w14:paraId="7FBBF0CE"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8.9.</w:t>
            </w:r>
            <w:r w:rsidRPr="00761800">
              <w:rPr>
                <w:rFonts w:ascii="Times New Roman" w:hAnsi="Times New Roman"/>
                <w:sz w:val="20"/>
                <w:lang w:eastAsia="bg-BG"/>
              </w:rPr>
              <w:t xml:space="preserve">      Акциз на нагреваемо тютюнево изделие</w:t>
            </w:r>
          </w:p>
          <w:p w14:paraId="68120C7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w:t>
            </w:r>
          </w:p>
        </w:tc>
        <w:tc>
          <w:tcPr>
            <w:tcW w:w="532" w:type="pct"/>
            <w:shd w:val="clear" w:color="auto" w:fill="FBE4D5"/>
            <w:vAlign w:val="center"/>
            <w:hideMark/>
          </w:tcPr>
          <w:p w14:paraId="177608C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евро/кг.</w:t>
            </w:r>
          </w:p>
        </w:tc>
        <w:tc>
          <w:tcPr>
            <w:tcW w:w="645" w:type="pct"/>
            <w:shd w:val="clear" w:color="auto" w:fill="auto"/>
            <w:vAlign w:val="center"/>
            <w:hideMark/>
          </w:tcPr>
          <w:p w14:paraId="263B8D51"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204,52 евро/кг.</w:t>
            </w:r>
          </w:p>
        </w:tc>
        <w:tc>
          <w:tcPr>
            <w:tcW w:w="654" w:type="pct"/>
            <w:shd w:val="clear" w:color="auto" w:fill="auto"/>
            <w:vAlign w:val="center"/>
            <w:hideMark/>
          </w:tcPr>
          <w:p w14:paraId="55A919CB"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214,74 евро/кг. </w:t>
            </w:r>
            <w:r w:rsidRPr="00761800">
              <w:rPr>
                <w:rFonts w:ascii="Times New Roman" w:hAnsi="Times New Roman"/>
                <w:color w:val="000000"/>
                <w:sz w:val="20"/>
                <w:lang w:eastAsia="bg-BG"/>
              </w:rPr>
              <w:br/>
              <w:t xml:space="preserve">(от 1 януари 2026 г.) / </w:t>
            </w:r>
            <w:r w:rsidRPr="00761800">
              <w:rPr>
                <w:rFonts w:ascii="Times New Roman" w:hAnsi="Times New Roman"/>
                <w:color w:val="000000"/>
                <w:sz w:val="20"/>
                <w:lang w:eastAsia="bg-BG"/>
              </w:rPr>
              <w:br/>
              <w:t xml:space="preserve">225 евро/кг. </w:t>
            </w:r>
            <w:r w:rsidRPr="00761800">
              <w:rPr>
                <w:rFonts w:ascii="Times New Roman" w:hAnsi="Times New Roman"/>
                <w:color w:val="000000"/>
                <w:sz w:val="20"/>
                <w:lang w:eastAsia="bg-BG"/>
              </w:rPr>
              <w:br/>
              <w:t>(от 1 август 2026 г.)</w:t>
            </w:r>
          </w:p>
        </w:tc>
        <w:tc>
          <w:tcPr>
            <w:tcW w:w="654" w:type="pct"/>
            <w:shd w:val="clear" w:color="auto" w:fill="auto"/>
            <w:vAlign w:val="center"/>
            <w:hideMark/>
          </w:tcPr>
          <w:p w14:paraId="534F5185"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235 евро/кг. </w:t>
            </w:r>
            <w:r w:rsidRPr="00761800">
              <w:rPr>
                <w:rFonts w:ascii="Times New Roman" w:hAnsi="Times New Roman"/>
                <w:color w:val="000000"/>
                <w:sz w:val="20"/>
                <w:lang w:eastAsia="bg-BG"/>
              </w:rPr>
              <w:br/>
              <w:t>(от 1 март 2027 г.)</w:t>
            </w:r>
          </w:p>
        </w:tc>
        <w:tc>
          <w:tcPr>
            <w:tcW w:w="656" w:type="pct"/>
            <w:shd w:val="clear" w:color="auto" w:fill="auto"/>
            <w:vAlign w:val="center"/>
            <w:hideMark/>
          </w:tcPr>
          <w:p w14:paraId="24F72DD0"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251 евро/кг. </w:t>
            </w:r>
            <w:r w:rsidRPr="00761800">
              <w:rPr>
                <w:rFonts w:ascii="Times New Roman" w:hAnsi="Times New Roman"/>
                <w:color w:val="000000"/>
                <w:sz w:val="20"/>
                <w:lang w:eastAsia="bg-BG"/>
              </w:rPr>
              <w:br/>
              <w:t>(от 1 януари 2028 г.)</w:t>
            </w:r>
          </w:p>
        </w:tc>
      </w:tr>
      <w:tr w:rsidR="00761800" w:rsidRPr="00761800" w14:paraId="16E82658" w14:textId="77777777" w:rsidTr="00406B4D">
        <w:trPr>
          <w:trHeight w:val="1020"/>
        </w:trPr>
        <w:tc>
          <w:tcPr>
            <w:tcW w:w="185" w:type="pct"/>
            <w:tcBorders>
              <w:bottom w:val="single" w:sz="4" w:space="0" w:color="auto"/>
            </w:tcBorders>
            <w:shd w:val="clear" w:color="auto" w:fill="auto"/>
            <w:vAlign w:val="center"/>
            <w:hideMark/>
          </w:tcPr>
          <w:p w14:paraId="180F47FF"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8.10.</w:t>
            </w:r>
          </w:p>
        </w:tc>
        <w:tc>
          <w:tcPr>
            <w:tcW w:w="1673" w:type="pct"/>
            <w:tcBorders>
              <w:bottom w:val="single" w:sz="4" w:space="0" w:color="auto"/>
            </w:tcBorders>
            <w:shd w:val="clear" w:color="auto" w:fill="auto"/>
            <w:hideMark/>
          </w:tcPr>
          <w:p w14:paraId="1D49D18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w:t>
            </w:r>
          </w:p>
          <w:p w14:paraId="33F75A32" w14:textId="77777777" w:rsidR="00761800" w:rsidRPr="00761800" w:rsidRDefault="00761800" w:rsidP="00761800">
            <w:pPr>
              <w:rPr>
                <w:rFonts w:ascii="Times New Roman" w:hAnsi="Times New Roman"/>
                <w:sz w:val="20"/>
                <w:lang w:eastAsia="bg-BG"/>
              </w:rPr>
            </w:pPr>
          </w:p>
          <w:p w14:paraId="334BEE35" w14:textId="77777777" w:rsidR="00761800" w:rsidRPr="00761800" w:rsidRDefault="00761800" w:rsidP="00761800">
            <w:pPr>
              <w:rPr>
                <w:rFonts w:ascii="Times New Roman" w:hAnsi="Times New Roman"/>
                <w:sz w:val="20"/>
                <w:lang w:eastAsia="bg-BG"/>
              </w:rPr>
            </w:pPr>
          </w:p>
          <w:p w14:paraId="02FE2A0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течност за електронни цигари, независимо дали съдържа никотин</w:t>
            </w:r>
          </w:p>
        </w:tc>
        <w:tc>
          <w:tcPr>
            <w:tcW w:w="532" w:type="pct"/>
            <w:tcBorders>
              <w:bottom w:val="single" w:sz="4" w:space="0" w:color="auto"/>
            </w:tcBorders>
            <w:shd w:val="clear" w:color="auto" w:fill="FBE4D5"/>
            <w:vAlign w:val="center"/>
            <w:hideMark/>
          </w:tcPr>
          <w:p w14:paraId="6B9EAF3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евро/милилитри</w:t>
            </w:r>
          </w:p>
        </w:tc>
        <w:tc>
          <w:tcPr>
            <w:tcW w:w="645" w:type="pct"/>
            <w:tcBorders>
              <w:bottom w:val="single" w:sz="4" w:space="0" w:color="auto"/>
            </w:tcBorders>
            <w:shd w:val="clear" w:color="auto" w:fill="auto"/>
            <w:vAlign w:val="center"/>
            <w:hideMark/>
          </w:tcPr>
          <w:p w14:paraId="41B4FA6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0,23 евро/милилитър</w:t>
            </w:r>
          </w:p>
        </w:tc>
        <w:tc>
          <w:tcPr>
            <w:tcW w:w="654" w:type="pct"/>
            <w:tcBorders>
              <w:bottom w:val="single" w:sz="4" w:space="0" w:color="auto"/>
            </w:tcBorders>
            <w:shd w:val="clear" w:color="auto" w:fill="auto"/>
            <w:vAlign w:val="center"/>
            <w:hideMark/>
          </w:tcPr>
          <w:p w14:paraId="56F6D99E" w14:textId="77777777" w:rsidR="00761800" w:rsidRPr="00761800" w:rsidRDefault="00761800" w:rsidP="00761800">
            <w:pPr>
              <w:jc w:val="center"/>
              <w:rPr>
                <w:rFonts w:ascii="Times New Roman" w:hAnsi="Times New Roman"/>
                <w:color w:val="000000"/>
                <w:sz w:val="20"/>
                <w:lang w:eastAsia="bg-BG"/>
              </w:rPr>
            </w:pPr>
          </w:p>
          <w:p w14:paraId="570775F0"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0,25 евро/милилитър </w:t>
            </w:r>
            <w:r w:rsidRPr="00761800">
              <w:rPr>
                <w:rFonts w:ascii="Times New Roman" w:hAnsi="Times New Roman"/>
                <w:color w:val="000000"/>
                <w:sz w:val="20"/>
                <w:lang w:eastAsia="bg-BG"/>
              </w:rPr>
              <w:br/>
              <w:t xml:space="preserve">(от 1 януари 2026 г.) / </w:t>
            </w:r>
            <w:r w:rsidRPr="00761800">
              <w:rPr>
                <w:rFonts w:ascii="Times New Roman" w:hAnsi="Times New Roman"/>
                <w:color w:val="000000"/>
                <w:sz w:val="20"/>
                <w:lang w:eastAsia="bg-BG"/>
              </w:rPr>
              <w:br/>
              <w:t xml:space="preserve">0,28 евро/милилитър </w:t>
            </w:r>
            <w:r w:rsidRPr="00761800">
              <w:rPr>
                <w:rFonts w:ascii="Times New Roman" w:hAnsi="Times New Roman"/>
                <w:color w:val="000000"/>
                <w:sz w:val="20"/>
                <w:lang w:eastAsia="bg-BG"/>
              </w:rPr>
              <w:br/>
              <w:t>(от 1 август 2026 г.)</w:t>
            </w:r>
          </w:p>
        </w:tc>
        <w:tc>
          <w:tcPr>
            <w:tcW w:w="654" w:type="pct"/>
            <w:tcBorders>
              <w:bottom w:val="single" w:sz="4" w:space="0" w:color="auto"/>
            </w:tcBorders>
            <w:shd w:val="clear" w:color="auto" w:fill="auto"/>
            <w:vAlign w:val="center"/>
            <w:hideMark/>
          </w:tcPr>
          <w:p w14:paraId="54445579"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0,31 евро/милилитър </w:t>
            </w:r>
            <w:r w:rsidRPr="00761800">
              <w:rPr>
                <w:rFonts w:ascii="Times New Roman" w:hAnsi="Times New Roman"/>
                <w:color w:val="000000"/>
                <w:sz w:val="20"/>
                <w:lang w:eastAsia="bg-BG"/>
              </w:rPr>
              <w:br/>
              <w:t>(от 1 март 2027 г.)</w:t>
            </w:r>
          </w:p>
        </w:tc>
        <w:tc>
          <w:tcPr>
            <w:tcW w:w="656" w:type="pct"/>
            <w:tcBorders>
              <w:bottom w:val="single" w:sz="4" w:space="0" w:color="auto"/>
            </w:tcBorders>
            <w:shd w:val="clear" w:color="auto" w:fill="auto"/>
            <w:vAlign w:val="center"/>
            <w:hideMark/>
          </w:tcPr>
          <w:p w14:paraId="5C8FE244"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0,34 евро/милилитър </w:t>
            </w:r>
            <w:r w:rsidRPr="00761800">
              <w:rPr>
                <w:rFonts w:ascii="Times New Roman" w:hAnsi="Times New Roman"/>
                <w:color w:val="000000"/>
                <w:sz w:val="20"/>
                <w:lang w:eastAsia="bg-BG"/>
              </w:rPr>
              <w:br/>
              <w:t>(от 1 януари 2028 г.)</w:t>
            </w:r>
          </w:p>
        </w:tc>
      </w:tr>
      <w:tr w:rsidR="00761800" w:rsidRPr="00761800" w14:paraId="06EA72DD" w14:textId="77777777" w:rsidTr="00406B4D">
        <w:trPr>
          <w:trHeight w:val="300"/>
        </w:trPr>
        <w:tc>
          <w:tcPr>
            <w:tcW w:w="185" w:type="pct"/>
            <w:tcBorders>
              <w:top w:val="single" w:sz="4" w:space="0" w:color="auto"/>
            </w:tcBorders>
            <w:shd w:val="clear" w:color="auto" w:fill="auto"/>
            <w:vAlign w:val="center"/>
            <w:hideMark/>
          </w:tcPr>
          <w:p w14:paraId="6313B710"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8.11.</w:t>
            </w:r>
          </w:p>
        </w:tc>
        <w:tc>
          <w:tcPr>
            <w:tcW w:w="1673" w:type="pct"/>
            <w:tcBorders>
              <w:top w:val="single" w:sz="4" w:space="0" w:color="auto"/>
            </w:tcBorders>
            <w:shd w:val="clear" w:color="auto" w:fill="auto"/>
            <w:vAlign w:val="center"/>
            <w:hideMark/>
          </w:tcPr>
          <w:p w14:paraId="0662CA6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заместители на тютюна</w:t>
            </w:r>
          </w:p>
        </w:tc>
        <w:tc>
          <w:tcPr>
            <w:tcW w:w="532" w:type="pct"/>
            <w:tcBorders>
              <w:top w:val="single" w:sz="4" w:space="0" w:color="auto"/>
            </w:tcBorders>
            <w:shd w:val="clear" w:color="auto" w:fill="FBE4D5"/>
            <w:vAlign w:val="center"/>
            <w:hideMark/>
          </w:tcPr>
          <w:p w14:paraId="16FB0F2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евро/кг.</w:t>
            </w:r>
          </w:p>
        </w:tc>
        <w:tc>
          <w:tcPr>
            <w:tcW w:w="645" w:type="pct"/>
            <w:tcBorders>
              <w:top w:val="single" w:sz="4" w:space="0" w:color="auto"/>
            </w:tcBorders>
            <w:shd w:val="clear" w:color="auto" w:fill="auto"/>
            <w:vAlign w:val="center"/>
            <w:hideMark/>
          </w:tcPr>
          <w:p w14:paraId="3882420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tcBorders>
              <w:top w:val="single" w:sz="4" w:space="0" w:color="auto"/>
            </w:tcBorders>
            <w:shd w:val="clear" w:color="auto" w:fill="auto"/>
            <w:vAlign w:val="center"/>
            <w:hideMark/>
          </w:tcPr>
          <w:p w14:paraId="782C2371"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w:t>
            </w:r>
          </w:p>
        </w:tc>
        <w:tc>
          <w:tcPr>
            <w:tcW w:w="654" w:type="pct"/>
            <w:tcBorders>
              <w:top w:val="single" w:sz="4" w:space="0" w:color="auto"/>
            </w:tcBorders>
            <w:shd w:val="clear" w:color="auto" w:fill="auto"/>
            <w:vAlign w:val="center"/>
            <w:hideMark/>
          </w:tcPr>
          <w:p w14:paraId="50588D87"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w:t>
            </w:r>
          </w:p>
        </w:tc>
        <w:tc>
          <w:tcPr>
            <w:tcW w:w="656" w:type="pct"/>
            <w:tcBorders>
              <w:top w:val="single" w:sz="4" w:space="0" w:color="auto"/>
            </w:tcBorders>
            <w:shd w:val="clear" w:color="auto" w:fill="auto"/>
            <w:vAlign w:val="center"/>
            <w:hideMark/>
          </w:tcPr>
          <w:p w14:paraId="703A4809"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w:t>
            </w:r>
          </w:p>
        </w:tc>
      </w:tr>
      <w:tr w:rsidR="00761800" w:rsidRPr="00761800" w14:paraId="50DEC4C2" w14:textId="77777777" w:rsidTr="00406B4D">
        <w:trPr>
          <w:trHeight w:val="1125"/>
        </w:trPr>
        <w:tc>
          <w:tcPr>
            <w:tcW w:w="185" w:type="pct"/>
            <w:shd w:val="clear" w:color="auto" w:fill="auto"/>
            <w:vAlign w:val="center"/>
            <w:hideMark/>
          </w:tcPr>
          <w:p w14:paraId="6B4549D8"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lastRenderedPageBreak/>
              <w:t> </w:t>
            </w:r>
          </w:p>
        </w:tc>
        <w:tc>
          <w:tcPr>
            <w:tcW w:w="1673" w:type="pct"/>
            <w:shd w:val="clear" w:color="auto" w:fill="auto"/>
            <w:vAlign w:val="center"/>
            <w:hideMark/>
          </w:tcPr>
          <w:p w14:paraId="5C2EE13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съдържащ никотин до 20 мг. на единица продукт</w:t>
            </w:r>
          </w:p>
        </w:tc>
        <w:tc>
          <w:tcPr>
            <w:tcW w:w="532" w:type="pct"/>
            <w:shd w:val="clear" w:color="auto" w:fill="FBE4D5"/>
            <w:vAlign w:val="center"/>
            <w:hideMark/>
          </w:tcPr>
          <w:p w14:paraId="0D82339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евро/кг.</w:t>
            </w:r>
          </w:p>
        </w:tc>
        <w:tc>
          <w:tcPr>
            <w:tcW w:w="645" w:type="pct"/>
            <w:shd w:val="clear" w:color="auto" w:fill="auto"/>
            <w:vAlign w:val="center"/>
            <w:hideMark/>
          </w:tcPr>
          <w:p w14:paraId="5701644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15,34 евро/кг.</w:t>
            </w:r>
          </w:p>
        </w:tc>
        <w:tc>
          <w:tcPr>
            <w:tcW w:w="654" w:type="pct"/>
            <w:shd w:val="clear" w:color="auto" w:fill="auto"/>
            <w:vAlign w:val="center"/>
            <w:hideMark/>
          </w:tcPr>
          <w:p w14:paraId="6B708B0C"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16,87 евро/кг. </w:t>
            </w:r>
            <w:r w:rsidRPr="00761800">
              <w:rPr>
                <w:rFonts w:ascii="Times New Roman" w:hAnsi="Times New Roman"/>
                <w:color w:val="000000"/>
                <w:sz w:val="20"/>
                <w:lang w:eastAsia="bg-BG"/>
              </w:rPr>
              <w:br/>
              <w:t xml:space="preserve">(от 1 януари 2026 г.) / </w:t>
            </w:r>
            <w:r w:rsidRPr="00761800">
              <w:rPr>
                <w:rFonts w:ascii="Times New Roman" w:hAnsi="Times New Roman"/>
                <w:color w:val="000000"/>
                <w:sz w:val="20"/>
                <w:lang w:eastAsia="bg-BG"/>
              </w:rPr>
              <w:br/>
              <w:t xml:space="preserve">20 евро/кг. </w:t>
            </w:r>
            <w:r w:rsidRPr="00761800">
              <w:rPr>
                <w:rFonts w:ascii="Times New Roman" w:hAnsi="Times New Roman"/>
                <w:color w:val="000000"/>
                <w:sz w:val="20"/>
                <w:lang w:eastAsia="bg-BG"/>
              </w:rPr>
              <w:br/>
              <w:t>(от 1 август 2026 г.)</w:t>
            </w:r>
          </w:p>
        </w:tc>
        <w:tc>
          <w:tcPr>
            <w:tcW w:w="654" w:type="pct"/>
            <w:shd w:val="clear" w:color="auto" w:fill="auto"/>
            <w:vAlign w:val="center"/>
            <w:hideMark/>
          </w:tcPr>
          <w:p w14:paraId="57933F59"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23 евро/кг. </w:t>
            </w:r>
            <w:r w:rsidRPr="00761800">
              <w:rPr>
                <w:rFonts w:ascii="Times New Roman" w:hAnsi="Times New Roman"/>
                <w:color w:val="000000"/>
                <w:sz w:val="20"/>
                <w:lang w:eastAsia="bg-BG"/>
              </w:rPr>
              <w:br/>
              <w:t>(от 1 март 2027 г.)</w:t>
            </w:r>
          </w:p>
        </w:tc>
        <w:tc>
          <w:tcPr>
            <w:tcW w:w="656" w:type="pct"/>
            <w:shd w:val="clear" w:color="auto" w:fill="auto"/>
            <w:vAlign w:val="center"/>
            <w:hideMark/>
          </w:tcPr>
          <w:p w14:paraId="46F21A10"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28 евро/кг </w:t>
            </w:r>
            <w:r w:rsidRPr="00761800">
              <w:rPr>
                <w:rFonts w:ascii="Times New Roman" w:hAnsi="Times New Roman"/>
                <w:color w:val="000000"/>
                <w:sz w:val="20"/>
                <w:lang w:eastAsia="bg-BG"/>
              </w:rPr>
              <w:br/>
              <w:t>(от 1 януари 2028 г.)</w:t>
            </w:r>
          </w:p>
        </w:tc>
      </w:tr>
      <w:tr w:rsidR="00761800" w:rsidRPr="00761800" w14:paraId="772DED60" w14:textId="77777777" w:rsidTr="00406B4D">
        <w:trPr>
          <w:trHeight w:val="1140"/>
        </w:trPr>
        <w:tc>
          <w:tcPr>
            <w:tcW w:w="185" w:type="pct"/>
            <w:shd w:val="clear" w:color="auto" w:fill="auto"/>
            <w:vAlign w:val="center"/>
            <w:hideMark/>
          </w:tcPr>
          <w:p w14:paraId="0D2F245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vAlign w:val="center"/>
            <w:hideMark/>
          </w:tcPr>
          <w:p w14:paraId="6492CE1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съдържащ никотин над 20 мг. на единица продукт</w:t>
            </w:r>
          </w:p>
        </w:tc>
        <w:tc>
          <w:tcPr>
            <w:tcW w:w="532" w:type="pct"/>
            <w:shd w:val="clear" w:color="auto" w:fill="FBE4D5"/>
            <w:vAlign w:val="center"/>
            <w:hideMark/>
          </w:tcPr>
          <w:p w14:paraId="6EFA0F9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евро/кг.</w:t>
            </w:r>
          </w:p>
        </w:tc>
        <w:tc>
          <w:tcPr>
            <w:tcW w:w="645" w:type="pct"/>
            <w:shd w:val="clear" w:color="auto" w:fill="auto"/>
            <w:vAlign w:val="center"/>
            <w:hideMark/>
          </w:tcPr>
          <w:p w14:paraId="0A341023"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58,80 евро/кг.</w:t>
            </w:r>
          </w:p>
        </w:tc>
        <w:tc>
          <w:tcPr>
            <w:tcW w:w="654" w:type="pct"/>
            <w:shd w:val="clear" w:color="auto" w:fill="auto"/>
            <w:vAlign w:val="center"/>
            <w:hideMark/>
          </w:tcPr>
          <w:p w14:paraId="0A5BB5E8"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60,33 евро/кг. </w:t>
            </w:r>
            <w:r w:rsidRPr="00761800">
              <w:rPr>
                <w:rFonts w:ascii="Times New Roman" w:hAnsi="Times New Roman"/>
                <w:color w:val="000000"/>
                <w:sz w:val="20"/>
                <w:lang w:eastAsia="bg-BG"/>
              </w:rPr>
              <w:br/>
              <w:t xml:space="preserve">(от 1 януари 2026 г.) / </w:t>
            </w:r>
            <w:r w:rsidRPr="00761800">
              <w:rPr>
                <w:rFonts w:ascii="Times New Roman" w:hAnsi="Times New Roman"/>
                <w:color w:val="000000"/>
                <w:sz w:val="20"/>
                <w:lang w:eastAsia="bg-BG"/>
              </w:rPr>
              <w:br/>
              <w:t xml:space="preserve">64 евро/кг. </w:t>
            </w:r>
            <w:r w:rsidRPr="00761800">
              <w:rPr>
                <w:rFonts w:ascii="Times New Roman" w:hAnsi="Times New Roman"/>
                <w:color w:val="000000"/>
                <w:sz w:val="20"/>
                <w:lang w:eastAsia="bg-BG"/>
              </w:rPr>
              <w:br/>
              <w:t>(от 1 август 2026 г.)</w:t>
            </w:r>
          </w:p>
        </w:tc>
        <w:tc>
          <w:tcPr>
            <w:tcW w:w="654" w:type="pct"/>
            <w:shd w:val="clear" w:color="auto" w:fill="auto"/>
            <w:vAlign w:val="center"/>
            <w:hideMark/>
          </w:tcPr>
          <w:p w14:paraId="7B5E38AE"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69 евро/кг. </w:t>
            </w:r>
            <w:r w:rsidRPr="00761800">
              <w:rPr>
                <w:rFonts w:ascii="Times New Roman" w:hAnsi="Times New Roman"/>
                <w:color w:val="000000"/>
                <w:sz w:val="20"/>
                <w:lang w:eastAsia="bg-BG"/>
              </w:rPr>
              <w:br/>
              <w:t>(от 1 март 2027 г.)</w:t>
            </w:r>
          </w:p>
        </w:tc>
        <w:tc>
          <w:tcPr>
            <w:tcW w:w="656" w:type="pct"/>
            <w:shd w:val="clear" w:color="auto" w:fill="auto"/>
            <w:vAlign w:val="center"/>
            <w:hideMark/>
          </w:tcPr>
          <w:p w14:paraId="68B15C47"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73 евро/кг. </w:t>
            </w:r>
            <w:r w:rsidRPr="00761800">
              <w:rPr>
                <w:rFonts w:ascii="Times New Roman" w:hAnsi="Times New Roman"/>
                <w:color w:val="000000"/>
                <w:sz w:val="20"/>
                <w:lang w:eastAsia="bg-BG"/>
              </w:rPr>
              <w:br/>
              <w:t>от 1 януари 2028 г.)</w:t>
            </w:r>
          </w:p>
        </w:tc>
      </w:tr>
      <w:tr w:rsidR="00761800" w:rsidRPr="00761800" w14:paraId="38852512" w14:textId="77777777" w:rsidTr="00406B4D">
        <w:trPr>
          <w:trHeight w:val="1020"/>
        </w:trPr>
        <w:tc>
          <w:tcPr>
            <w:tcW w:w="185" w:type="pct"/>
            <w:shd w:val="clear" w:color="auto" w:fill="auto"/>
            <w:vAlign w:val="center"/>
            <w:hideMark/>
          </w:tcPr>
          <w:p w14:paraId="37F8770F"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8.12.</w:t>
            </w:r>
          </w:p>
        </w:tc>
        <w:tc>
          <w:tcPr>
            <w:tcW w:w="1673" w:type="pct"/>
            <w:shd w:val="clear" w:color="auto" w:fill="auto"/>
            <w:vAlign w:val="center"/>
            <w:hideMark/>
          </w:tcPr>
          <w:p w14:paraId="51FC459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нагреваемо изделие със съдържание, различно от тютюн</w:t>
            </w:r>
          </w:p>
        </w:tc>
        <w:tc>
          <w:tcPr>
            <w:tcW w:w="532" w:type="pct"/>
            <w:shd w:val="clear" w:color="auto" w:fill="FBE4D5"/>
            <w:vAlign w:val="center"/>
            <w:hideMark/>
          </w:tcPr>
          <w:p w14:paraId="560705E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евро/кг.</w:t>
            </w:r>
          </w:p>
        </w:tc>
        <w:tc>
          <w:tcPr>
            <w:tcW w:w="645" w:type="pct"/>
            <w:shd w:val="clear" w:color="auto" w:fill="auto"/>
            <w:vAlign w:val="center"/>
            <w:hideMark/>
          </w:tcPr>
          <w:p w14:paraId="667A4A67"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204,52 евро/кг.</w:t>
            </w:r>
          </w:p>
        </w:tc>
        <w:tc>
          <w:tcPr>
            <w:tcW w:w="654" w:type="pct"/>
            <w:shd w:val="clear" w:color="auto" w:fill="auto"/>
            <w:vAlign w:val="center"/>
            <w:hideMark/>
          </w:tcPr>
          <w:p w14:paraId="7C85494D"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214,74 евро/кг. </w:t>
            </w:r>
            <w:r w:rsidRPr="00761800">
              <w:rPr>
                <w:rFonts w:ascii="Times New Roman" w:hAnsi="Times New Roman"/>
                <w:color w:val="000000"/>
                <w:sz w:val="20"/>
                <w:lang w:eastAsia="bg-BG"/>
              </w:rPr>
              <w:br/>
              <w:t xml:space="preserve">(от 1 януари 2026 г.) / </w:t>
            </w:r>
            <w:r w:rsidRPr="00761800">
              <w:rPr>
                <w:rFonts w:ascii="Times New Roman" w:hAnsi="Times New Roman"/>
                <w:color w:val="000000"/>
                <w:sz w:val="20"/>
                <w:lang w:eastAsia="bg-BG"/>
              </w:rPr>
              <w:br/>
              <w:t xml:space="preserve">225 евро/кг. </w:t>
            </w:r>
            <w:r w:rsidRPr="00761800">
              <w:rPr>
                <w:rFonts w:ascii="Times New Roman" w:hAnsi="Times New Roman"/>
                <w:color w:val="000000"/>
                <w:sz w:val="20"/>
                <w:lang w:eastAsia="bg-BG"/>
              </w:rPr>
              <w:br/>
              <w:t>(от 1 август 2026 г.)</w:t>
            </w:r>
          </w:p>
        </w:tc>
        <w:tc>
          <w:tcPr>
            <w:tcW w:w="654" w:type="pct"/>
            <w:shd w:val="clear" w:color="auto" w:fill="auto"/>
            <w:vAlign w:val="center"/>
            <w:hideMark/>
          </w:tcPr>
          <w:p w14:paraId="205A00C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235 евро/кг. </w:t>
            </w:r>
            <w:r w:rsidRPr="00761800">
              <w:rPr>
                <w:rFonts w:ascii="Times New Roman" w:hAnsi="Times New Roman"/>
                <w:color w:val="000000"/>
                <w:sz w:val="20"/>
                <w:lang w:eastAsia="bg-BG"/>
              </w:rPr>
              <w:br/>
              <w:t>(от 1 март 2027 г.)</w:t>
            </w:r>
          </w:p>
        </w:tc>
        <w:tc>
          <w:tcPr>
            <w:tcW w:w="656" w:type="pct"/>
            <w:shd w:val="clear" w:color="auto" w:fill="auto"/>
            <w:vAlign w:val="center"/>
            <w:hideMark/>
          </w:tcPr>
          <w:p w14:paraId="37DD1BED"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251 евро/кг. </w:t>
            </w:r>
            <w:r w:rsidRPr="00761800">
              <w:rPr>
                <w:rFonts w:ascii="Times New Roman" w:hAnsi="Times New Roman"/>
                <w:color w:val="000000"/>
                <w:sz w:val="20"/>
                <w:lang w:eastAsia="bg-BG"/>
              </w:rPr>
              <w:br/>
              <w:t xml:space="preserve">(от 1 януари 2028 г.) </w:t>
            </w:r>
          </w:p>
        </w:tc>
      </w:tr>
      <w:tr w:rsidR="00761800" w:rsidRPr="00761800" w14:paraId="0FA4E700" w14:textId="77777777" w:rsidTr="00406B4D">
        <w:trPr>
          <w:trHeight w:val="1020"/>
        </w:trPr>
        <w:tc>
          <w:tcPr>
            <w:tcW w:w="185" w:type="pct"/>
            <w:shd w:val="clear" w:color="auto" w:fill="auto"/>
            <w:hideMark/>
          </w:tcPr>
          <w:p w14:paraId="66EBF270"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8.13.</w:t>
            </w:r>
          </w:p>
        </w:tc>
        <w:tc>
          <w:tcPr>
            <w:tcW w:w="1673" w:type="pct"/>
            <w:shd w:val="clear" w:color="auto" w:fill="auto"/>
            <w:hideMark/>
          </w:tcPr>
          <w:p w14:paraId="04C096C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пури и пурети</w:t>
            </w:r>
          </w:p>
        </w:tc>
        <w:tc>
          <w:tcPr>
            <w:tcW w:w="532" w:type="pct"/>
            <w:shd w:val="clear" w:color="auto" w:fill="FBE4D5"/>
            <w:vAlign w:val="center"/>
            <w:hideMark/>
          </w:tcPr>
          <w:p w14:paraId="6B65B6F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евро/1000 къса</w:t>
            </w:r>
          </w:p>
        </w:tc>
        <w:tc>
          <w:tcPr>
            <w:tcW w:w="645" w:type="pct"/>
            <w:shd w:val="clear" w:color="auto" w:fill="auto"/>
            <w:vAlign w:val="center"/>
            <w:hideMark/>
          </w:tcPr>
          <w:p w14:paraId="382A38E4"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202,47 евро/1000 къса</w:t>
            </w:r>
          </w:p>
        </w:tc>
        <w:tc>
          <w:tcPr>
            <w:tcW w:w="654" w:type="pct"/>
            <w:shd w:val="clear" w:color="auto" w:fill="auto"/>
            <w:vAlign w:val="center"/>
            <w:hideMark/>
          </w:tcPr>
          <w:p w14:paraId="46D55E2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212,70 евро/1000 къса </w:t>
            </w:r>
            <w:r w:rsidRPr="00761800">
              <w:rPr>
                <w:rFonts w:ascii="Times New Roman" w:hAnsi="Times New Roman"/>
                <w:color w:val="000000"/>
                <w:sz w:val="20"/>
                <w:lang w:eastAsia="bg-BG"/>
              </w:rPr>
              <w:br/>
              <w:t xml:space="preserve">(от 1 януари 2026 г.) / </w:t>
            </w:r>
            <w:r w:rsidRPr="00761800">
              <w:rPr>
                <w:rFonts w:ascii="Times New Roman" w:hAnsi="Times New Roman"/>
                <w:color w:val="000000"/>
                <w:sz w:val="20"/>
                <w:lang w:eastAsia="bg-BG"/>
              </w:rPr>
              <w:br/>
              <w:t xml:space="preserve">223 евро/1000 къса </w:t>
            </w:r>
            <w:r w:rsidRPr="00761800">
              <w:rPr>
                <w:rFonts w:ascii="Times New Roman" w:hAnsi="Times New Roman"/>
                <w:color w:val="000000"/>
                <w:sz w:val="20"/>
                <w:lang w:eastAsia="bg-BG"/>
              </w:rPr>
              <w:br/>
              <w:t>(от 1 август 2026 г.)</w:t>
            </w:r>
          </w:p>
        </w:tc>
        <w:tc>
          <w:tcPr>
            <w:tcW w:w="654" w:type="pct"/>
            <w:shd w:val="clear" w:color="auto" w:fill="auto"/>
            <w:vAlign w:val="center"/>
            <w:hideMark/>
          </w:tcPr>
          <w:p w14:paraId="028A5B36"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235 евро/1000 къса </w:t>
            </w:r>
            <w:r w:rsidRPr="00761800">
              <w:rPr>
                <w:rFonts w:ascii="Times New Roman" w:hAnsi="Times New Roman"/>
                <w:color w:val="000000"/>
                <w:sz w:val="20"/>
                <w:lang w:eastAsia="bg-BG"/>
              </w:rPr>
              <w:br/>
              <w:t>(от 1 март 2027 г.)</w:t>
            </w:r>
          </w:p>
        </w:tc>
        <w:tc>
          <w:tcPr>
            <w:tcW w:w="656" w:type="pct"/>
            <w:shd w:val="clear" w:color="auto" w:fill="auto"/>
            <w:vAlign w:val="center"/>
            <w:hideMark/>
          </w:tcPr>
          <w:p w14:paraId="10D9D3F4"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xml:space="preserve">246 евро/1000 къса </w:t>
            </w:r>
            <w:r w:rsidRPr="00761800">
              <w:rPr>
                <w:rFonts w:ascii="Times New Roman" w:hAnsi="Times New Roman"/>
                <w:color w:val="000000"/>
                <w:sz w:val="20"/>
                <w:lang w:eastAsia="bg-BG"/>
              </w:rPr>
              <w:br/>
              <w:t>(от 1 януари 2028 г.)</w:t>
            </w:r>
          </w:p>
        </w:tc>
      </w:tr>
      <w:tr w:rsidR="00761800" w:rsidRPr="00761800" w14:paraId="1268F2CF" w14:textId="77777777" w:rsidTr="00406B4D">
        <w:trPr>
          <w:trHeight w:val="300"/>
        </w:trPr>
        <w:tc>
          <w:tcPr>
            <w:tcW w:w="185" w:type="pct"/>
            <w:shd w:val="clear" w:color="auto" w:fill="auto"/>
            <w:hideMark/>
          </w:tcPr>
          <w:p w14:paraId="443EADB0"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8.14.</w:t>
            </w:r>
          </w:p>
        </w:tc>
        <w:tc>
          <w:tcPr>
            <w:tcW w:w="1673" w:type="pct"/>
            <w:shd w:val="clear" w:color="auto" w:fill="auto"/>
            <w:hideMark/>
          </w:tcPr>
          <w:p w14:paraId="339A05B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спиртни напитки (етилов алкохол)</w:t>
            </w:r>
          </w:p>
        </w:tc>
        <w:tc>
          <w:tcPr>
            <w:tcW w:w="532" w:type="pct"/>
            <w:vMerge w:val="restart"/>
            <w:shd w:val="clear" w:color="auto" w:fill="FBE4D5"/>
            <w:vAlign w:val="center"/>
            <w:hideMark/>
          </w:tcPr>
          <w:p w14:paraId="36DB047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евро/хектолитър</w:t>
            </w:r>
          </w:p>
        </w:tc>
        <w:tc>
          <w:tcPr>
            <w:tcW w:w="645" w:type="pct"/>
            <w:shd w:val="clear" w:color="auto" w:fill="auto"/>
            <w:vAlign w:val="center"/>
            <w:hideMark/>
          </w:tcPr>
          <w:p w14:paraId="0B473D2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562,42 евро/хектолитър</w:t>
            </w:r>
          </w:p>
        </w:tc>
        <w:tc>
          <w:tcPr>
            <w:tcW w:w="654" w:type="pct"/>
            <w:shd w:val="clear" w:color="auto" w:fill="auto"/>
            <w:vAlign w:val="center"/>
            <w:hideMark/>
          </w:tcPr>
          <w:p w14:paraId="47018E3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562,42 евро/хектолитър</w:t>
            </w:r>
          </w:p>
        </w:tc>
        <w:tc>
          <w:tcPr>
            <w:tcW w:w="654" w:type="pct"/>
            <w:shd w:val="clear" w:color="auto" w:fill="auto"/>
            <w:vAlign w:val="center"/>
            <w:hideMark/>
          </w:tcPr>
          <w:p w14:paraId="21B951F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562,42 евро/хектолитър</w:t>
            </w:r>
          </w:p>
        </w:tc>
        <w:tc>
          <w:tcPr>
            <w:tcW w:w="656" w:type="pct"/>
            <w:shd w:val="clear" w:color="auto" w:fill="auto"/>
            <w:vAlign w:val="center"/>
            <w:hideMark/>
          </w:tcPr>
          <w:p w14:paraId="5D8A018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562,42 евро/хектолитър</w:t>
            </w:r>
          </w:p>
        </w:tc>
      </w:tr>
      <w:tr w:rsidR="00761800" w:rsidRPr="00761800" w14:paraId="08948A64" w14:textId="77777777" w:rsidTr="00406B4D">
        <w:trPr>
          <w:trHeight w:val="300"/>
        </w:trPr>
        <w:tc>
          <w:tcPr>
            <w:tcW w:w="185" w:type="pct"/>
            <w:shd w:val="clear" w:color="auto" w:fill="auto"/>
            <w:hideMark/>
          </w:tcPr>
          <w:p w14:paraId="5F37981C"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hideMark/>
          </w:tcPr>
          <w:p w14:paraId="72D34AC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Акциз на етилов алкохол (ракия) - намалена ставка</w:t>
            </w:r>
          </w:p>
        </w:tc>
        <w:tc>
          <w:tcPr>
            <w:tcW w:w="532" w:type="pct"/>
            <w:vMerge/>
            <w:shd w:val="clear" w:color="auto" w:fill="FBE4D5"/>
            <w:vAlign w:val="center"/>
            <w:hideMark/>
          </w:tcPr>
          <w:p w14:paraId="2EE7AD20"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08E9646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281,21 евро/хектолитър</w:t>
            </w:r>
          </w:p>
        </w:tc>
        <w:tc>
          <w:tcPr>
            <w:tcW w:w="654" w:type="pct"/>
            <w:shd w:val="clear" w:color="auto" w:fill="auto"/>
            <w:vAlign w:val="center"/>
            <w:hideMark/>
          </w:tcPr>
          <w:p w14:paraId="7CBD19E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281,21 евро/хектолитър</w:t>
            </w:r>
          </w:p>
        </w:tc>
        <w:tc>
          <w:tcPr>
            <w:tcW w:w="654" w:type="pct"/>
            <w:shd w:val="clear" w:color="auto" w:fill="auto"/>
            <w:vAlign w:val="center"/>
            <w:hideMark/>
          </w:tcPr>
          <w:p w14:paraId="7D97C15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281,21 евро/хектолитър</w:t>
            </w:r>
          </w:p>
        </w:tc>
        <w:tc>
          <w:tcPr>
            <w:tcW w:w="656" w:type="pct"/>
            <w:shd w:val="clear" w:color="auto" w:fill="auto"/>
            <w:vAlign w:val="center"/>
            <w:hideMark/>
          </w:tcPr>
          <w:p w14:paraId="41E1A57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281,21 евро/хектолитър</w:t>
            </w:r>
          </w:p>
        </w:tc>
      </w:tr>
      <w:tr w:rsidR="00761800" w:rsidRPr="00761800" w14:paraId="39EB4132" w14:textId="77777777" w:rsidTr="00406B4D">
        <w:trPr>
          <w:trHeight w:val="300"/>
        </w:trPr>
        <w:tc>
          <w:tcPr>
            <w:tcW w:w="185" w:type="pct"/>
            <w:shd w:val="clear" w:color="auto" w:fill="auto"/>
            <w:hideMark/>
          </w:tcPr>
          <w:p w14:paraId="458DC37E"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8.15.</w:t>
            </w:r>
          </w:p>
        </w:tc>
        <w:tc>
          <w:tcPr>
            <w:tcW w:w="1673" w:type="pct"/>
            <w:shd w:val="clear" w:color="auto" w:fill="auto"/>
            <w:hideMark/>
          </w:tcPr>
          <w:p w14:paraId="6A91963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междинни продукти</w:t>
            </w:r>
          </w:p>
        </w:tc>
        <w:tc>
          <w:tcPr>
            <w:tcW w:w="532" w:type="pct"/>
            <w:shd w:val="clear" w:color="auto" w:fill="FBE4D5"/>
            <w:vAlign w:val="center"/>
            <w:hideMark/>
          </w:tcPr>
          <w:p w14:paraId="6E3C5C7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евро/хектолитър</w:t>
            </w:r>
          </w:p>
        </w:tc>
        <w:tc>
          <w:tcPr>
            <w:tcW w:w="645" w:type="pct"/>
            <w:shd w:val="clear" w:color="auto" w:fill="auto"/>
            <w:vAlign w:val="center"/>
            <w:hideMark/>
          </w:tcPr>
          <w:p w14:paraId="1CB56DE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46,01 евро/хектолитър</w:t>
            </w:r>
          </w:p>
        </w:tc>
        <w:tc>
          <w:tcPr>
            <w:tcW w:w="654" w:type="pct"/>
            <w:shd w:val="clear" w:color="auto" w:fill="auto"/>
            <w:vAlign w:val="center"/>
            <w:hideMark/>
          </w:tcPr>
          <w:p w14:paraId="7745CA7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46,01 евро/хектолитър</w:t>
            </w:r>
          </w:p>
        </w:tc>
        <w:tc>
          <w:tcPr>
            <w:tcW w:w="654" w:type="pct"/>
            <w:shd w:val="clear" w:color="auto" w:fill="auto"/>
            <w:vAlign w:val="center"/>
            <w:hideMark/>
          </w:tcPr>
          <w:p w14:paraId="4B756D7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46,01 евро/хектолитър</w:t>
            </w:r>
          </w:p>
        </w:tc>
        <w:tc>
          <w:tcPr>
            <w:tcW w:w="656" w:type="pct"/>
            <w:shd w:val="clear" w:color="auto" w:fill="auto"/>
            <w:vAlign w:val="center"/>
            <w:hideMark/>
          </w:tcPr>
          <w:p w14:paraId="72F4F1C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46,01 евро/хектолитър</w:t>
            </w:r>
          </w:p>
        </w:tc>
      </w:tr>
      <w:tr w:rsidR="00761800" w:rsidRPr="00761800" w14:paraId="53FA6BA3" w14:textId="77777777" w:rsidTr="00406B4D">
        <w:trPr>
          <w:trHeight w:val="510"/>
        </w:trPr>
        <w:tc>
          <w:tcPr>
            <w:tcW w:w="185" w:type="pct"/>
            <w:vMerge w:val="restart"/>
            <w:shd w:val="clear" w:color="auto" w:fill="auto"/>
            <w:hideMark/>
          </w:tcPr>
          <w:p w14:paraId="1130EB1E"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8.16.</w:t>
            </w:r>
          </w:p>
        </w:tc>
        <w:tc>
          <w:tcPr>
            <w:tcW w:w="1673" w:type="pct"/>
            <w:shd w:val="clear" w:color="auto" w:fill="auto"/>
            <w:hideMark/>
          </w:tcPr>
          <w:p w14:paraId="1CB88A1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бира - основна ставка</w:t>
            </w:r>
          </w:p>
        </w:tc>
        <w:tc>
          <w:tcPr>
            <w:tcW w:w="532" w:type="pct"/>
            <w:vMerge w:val="restart"/>
            <w:shd w:val="clear" w:color="auto" w:fill="FBE4D5"/>
            <w:vAlign w:val="center"/>
            <w:hideMark/>
          </w:tcPr>
          <w:p w14:paraId="6E970E1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евро/хектолитър на градус Плато</w:t>
            </w:r>
          </w:p>
        </w:tc>
        <w:tc>
          <w:tcPr>
            <w:tcW w:w="645" w:type="pct"/>
            <w:shd w:val="clear" w:color="auto" w:fill="auto"/>
            <w:vAlign w:val="center"/>
            <w:hideMark/>
          </w:tcPr>
          <w:p w14:paraId="340471DB"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0,77 евро/хектолитър на градус Плато</w:t>
            </w:r>
          </w:p>
        </w:tc>
        <w:tc>
          <w:tcPr>
            <w:tcW w:w="654" w:type="pct"/>
            <w:shd w:val="clear" w:color="auto" w:fill="auto"/>
            <w:vAlign w:val="center"/>
            <w:hideMark/>
          </w:tcPr>
          <w:p w14:paraId="2990AEC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0,77 евро/хектолитър на градус Плато</w:t>
            </w:r>
          </w:p>
        </w:tc>
        <w:tc>
          <w:tcPr>
            <w:tcW w:w="654" w:type="pct"/>
            <w:shd w:val="clear" w:color="auto" w:fill="auto"/>
            <w:vAlign w:val="center"/>
            <w:hideMark/>
          </w:tcPr>
          <w:p w14:paraId="2E8F034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0,77 евро/хектолитър на градус Плато</w:t>
            </w:r>
          </w:p>
        </w:tc>
        <w:tc>
          <w:tcPr>
            <w:tcW w:w="656" w:type="pct"/>
            <w:shd w:val="clear" w:color="auto" w:fill="auto"/>
            <w:vAlign w:val="center"/>
            <w:hideMark/>
          </w:tcPr>
          <w:p w14:paraId="3F7DB0F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0,77 евро/хектолитър на градус Плато</w:t>
            </w:r>
          </w:p>
        </w:tc>
      </w:tr>
      <w:tr w:rsidR="00761800" w:rsidRPr="00761800" w14:paraId="0DFB4D3F" w14:textId="77777777" w:rsidTr="00406B4D">
        <w:trPr>
          <w:trHeight w:val="510"/>
        </w:trPr>
        <w:tc>
          <w:tcPr>
            <w:tcW w:w="185" w:type="pct"/>
            <w:vMerge/>
            <w:vAlign w:val="center"/>
            <w:hideMark/>
          </w:tcPr>
          <w:p w14:paraId="490034BD" w14:textId="77777777" w:rsidR="00761800" w:rsidRPr="00761800" w:rsidRDefault="00761800" w:rsidP="00761800">
            <w:pPr>
              <w:rPr>
                <w:rFonts w:ascii="Times New Roman" w:hAnsi="Times New Roman"/>
                <w:b/>
                <w:bCs/>
                <w:sz w:val="20"/>
                <w:lang w:eastAsia="bg-BG"/>
              </w:rPr>
            </w:pPr>
          </w:p>
        </w:tc>
        <w:tc>
          <w:tcPr>
            <w:tcW w:w="1673" w:type="pct"/>
            <w:shd w:val="clear" w:color="auto" w:fill="auto"/>
            <w:hideMark/>
          </w:tcPr>
          <w:p w14:paraId="27F41F6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намалена ставка за бира, произведена от независими малки пивоварни </w:t>
            </w:r>
          </w:p>
        </w:tc>
        <w:tc>
          <w:tcPr>
            <w:tcW w:w="532" w:type="pct"/>
            <w:vMerge/>
            <w:shd w:val="clear" w:color="auto" w:fill="FBE4D5"/>
            <w:vAlign w:val="center"/>
            <w:hideMark/>
          </w:tcPr>
          <w:p w14:paraId="5B65D66F"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6CE0519D"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0,38 евро/хектолитър на градус Плато</w:t>
            </w:r>
          </w:p>
        </w:tc>
        <w:tc>
          <w:tcPr>
            <w:tcW w:w="654" w:type="pct"/>
            <w:shd w:val="clear" w:color="auto" w:fill="auto"/>
            <w:vAlign w:val="center"/>
            <w:hideMark/>
          </w:tcPr>
          <w:p w14:paraId="74A7E67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0,38 евро/хектолитър на градус Плато</w:t>
            </w:r>
          </w:p>
        </w:tc>
        <w:tc>
          <w:tcPr>
            <w:tcW w:w="654" w:type="pct"/>
            <w:shd w:val="clear" w:color="auto" w:fill="auto"/>
            <w:vAlign w:val="center"/>
            <w:hideMark/>
          </w:tcPr>
          <w:p w14:paraId="6840B1B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0,38 евро/хектолитър на градус Плато</w:t>
            </w:r>
          </w:p>
        </w:tc>
        <w:tc>
          <w:tcPr>
            <w:tcW w:w="656" w:type="pct"/>
            <w:shd w:val="clear" w:color="auto" w:fill="auto"/>
            <w:vAlign w:val="center"/>
            <w:hideMark/>
          </w:tcPr>
          <w:p w14:paraId="14EE1DD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0,38 евро/хектолитър на градус Плато</w:t>
            </w:r>
          </w:p>
        </w:tc>
      </w:tr>
      <w:tr w:rsidR="00761800" w:rsidRPr="00761800" w14:paraId="6E1CF429" w14:textId="77777777" w:rsidTr="00406B4D">
        <w:trPr>
          <w:trHeight w:val="300"/>
        </w:trPr>
        <w:tc>
          <w:tcPr>
            <w:tcW w:w="185" w:type="pct"/>
            <w:vMerge w:val="restart"/>
            <w:tcBorders>
              <w:bottom w:val="single" w:sz="4" w:space="0" w:color="auto"/>
            </w:tcBorders>
            <w:shd w:val="clear" w:color="auto" w:fill="auto"/>
            <w:hideMark/>
          </w:tcPr>
          <w:p w14:paraId="7CCF2DB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8.17.</w:t>
            </w:r>
          </w:p>
        </w:tc>
        <w:tc>
          <w:tcPr>
            <w:tcW w:w="1673" w:type="pct"/>
            <w:shd w:val="clear" w:color="auto" w:fill="auto"/>
            <w:hideMark/>
          </w:tcPr>
          <w:p w14:paraId="3318EE4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природния газ:</w:t>
            </w:r>
          </w:p>
        </w:tc>
        <w:tc>
          <w:tcPr>
            <w:tcW w:w="532" w:type="pct"/>
            <w:vMerge w:val="restart"/>
            <w:shd w:val="clear" w:color="auto" w:fill="FBE4D5"/>
            <w:vAlign w:val="center"/>
            <w:hideMark/>
          </w:tcPr>
          <w:p w14:paraId="5E79700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евро/гигаджаул</w:t>
            </w:r>
          </w:p>
        </w:tc>
        <w:tc>
          <w:tcPr>
            <w:tcW w:w="645" w:type="pct"/>
            <w:shd w:val="clear" w:color="auto" w:fill="auto"/>
            <w:vAlign w:val="center"/>
            <w:hideMark/>
          </w:tcPr>
          <w:p w14:paraId="73CCC29E"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1153191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3BF569C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50E7F7D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1C7F1460" w14:textId="77777777" w:rsidTr="00406B4D">
        <w:trPr>
          <w:trHeight w:val="300"/>
        </w:trPr>
        <w:tc>
          <w:tcPr>
            <w:tcW w:w="185" w:type="pct"/>
            <w:vMerge/>
            <w:tcBorders>
              <w:bottom w:val="single" w:sz="4" w:space="0" w:color="auto"/>
            </w:tcBorders>
            <w:vAlign w:val="center"/>
            <w:hideMark/>
          </w:tcPr>
          <w:p w14:paraId="67CFB40A" w14:textId="77777777" w:rsidR="00761800" w:rsidRPr="00761800" w:rsidRDefault="00761800" w:rsidP="00761800">
            <w:pPr>
              <w:rPr>
                <w:rFonts w:ascii="Times New Roman" w:hAnsi="Times New Roman"/>
                <w:b/>
                <w:bCs/>
                <w:sz w:val="20"/>
                <w:lang w:eastAsia="bg-BG"/>
              </w:rPr>
            </w:pPr>
          </w:p>
        </w:tc>
        <w:tc>
          <w:tcPr>
            <w:tcW w:w="1673" w:type="pct"/>
            <w:tcBorders>
              <w:bottom w:val="single" w:sz="4" w:space="0" w:color="auto"/>
            </w:tcBorders>
            <w:shd w:val="clear" w:color="auto" w:fill="auto"/>
            <w:hideMark/>
          </w:tcPr>
          <w:p w14:paraId="263ADA3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използван като моторно гориво</w:t>
            </w:r>
          </w:p>
        </w:tc>
        <w:tc>
          <w:tcPr>
            <w:tcW w:w="532" w:type="pct"/>
            <w:vMerge/>
            <w:tcBorders>
              <w:bottom w:val="single" w:sz="4" w:space="0" w:color="auto"/>
            </w:tcBorders>
            <w:shd w:val="clear" w:color="auto" w:fill="FBE4D5"/>
            <w:vAlign w:val="center"/>
            <w:hideMark/>
          </w:tcPr>
          <w:p w14:paraId="3AD36AF8" w14:textId="77777777" w:rsidR="00761800" w:rsidRPr="00761800" w:rsidRDefault="00761800" w:rsidP="00761800">
            <w:pPr>
              <w:rPr>
                <w:rFonts w:ascii="Times New Roman" w:hAnsi="Times New Roman"/>
                <w:sz w:val="20"/>
                <w:lang w:eastAsia="bg-BG"/>
              </w:rPr>
            </w:pPr>
          </w:p>
        </w:tc>
        <w:tc>
          <w:tcPr>
            <w:tcW w:w="645" w:type="pct"/>
            <w:tcBorders>
              <w:bottom w:val="single" w:sz="4" w:space="0" w:color="auto"/>
            </w:tcBorders>
            <w:shd w:val="clear" w:color="auto" w:fill="auto"/>
            <w:vAlign w:val="center"/>
            <w:hideMark/>
          </w:tcPr>
          <w:p w14:paraId="5BBB7BE4"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0,43 евро/гигаджаул</w:t>
            </w:r>
          </w:p>
        </w:tc>
        <w:tc>
          <w:tcPr>
            <w:tcW w:w="654" w:type="pct"/>
            <w:tcBorders>
              <w:bottom w:val="single" w:sz="4" w:space="0" w:color="auto"/>
            </w:tcBorders>
            <w:shd w:val="clear" w:color="auto" w:fill="auto"/>
            <w:vAlign w:val="center"/>
            <w:hideMark/>
          </w:tcPr>
          <w:p w14:paraId="428CC4D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0,43 евро/гигаджаул</w:t>
            </w:r>
          </w:p>
        </w:tc>
        <w:tc>
          <w:tcPr>
            <w:tcW w:w="654" w:type="pct"/>
            <w:tcBorders>
              <w:bottom w:val="single" w:sz="4" w:space="0" w:color="auto"/>
            </w:tcBorders>
            <w:shd w:val="clear" w:color="auto" w:fill="auto"/>
            <w:vAlign w:val="center"/>
            <w:hideMark/>
          </w:tcPr>
          <w:p w14:paraId="2D67BB2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0,43 евро/гигаджаул</w:t>
            </w:r>
          </w:p>
        </w:tc>
        <w:tc>
          <w:tcPr>
            <w:tcW w:w="656" w:type="pct"/>
            <w:tcBorders>
              <w:bottom w:val="single" w:sz="4" w:space="0" w:color="auto"/>
            </w:tcBorders>
            <w:shd w:val="clear" w:color="auto" w:fill="auto"/>
            <w:vAlign w:val="center"/>
            <w:hideMark/>
          </w:tcPr>
          <w:p w14:paraId="7F84961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0,43 евро/гигаджаул</w:t>
            </w:r>
          </w:p>
        </w:tc>
      </w:tr>
      <w:tr w:rsidR="00761800" w:rsidRPr="00761800" w14:paraId="301476A5" w14:textId="77777777" w:rsidTr="00406B4D">
        <w:trPr>
          <w:trHeight w:val="300"/>
        </w:trPr>
        <w:tc>
          <w:tcPr>
            <w:tcW w:w="185" w:type="pct"/>
            <w:vMerge/>
            <w:tcBorders>
              <w:top w:val="single" w:sz="4" w:space="0" w:color="auto"/>
            </w:tcBorders>
            <w:vAlign w:val="center"/>
            <w:hideMark/>
          </w:tcPr>
          <w:p w14:paraId="523D71E1" w14:textId="77777777" w:rsidR="00761800" w:rsidRPr="00761800" w:rsidRDefault="00761800" w:rsidP="00761800">
            <w:pPr>
              <w:rPr>
                <w:rFonts w:ascii="Times New Roman" w:hAnsi="Times New Roman"/>
                <w:b/>
                <w:bCs/>
                <w:sz w:val="20"/>
                <w:lang w:eastAsia="bg-BG"/>
              </w:rPr>
            </w:pPr>
          </w:p>
        </w:tc>
        <w:tc>
          <w:tcPr>
            <w:tcW w:w="1673" w:type="pct"/>
            <w:tcBorders>
              <w:top w:val="single" w:sz="4" w:space="0" w:color="auto"/>
            </w:tcBorders>
            <w:shd w:val="clear" w:color="auto" w:fill="auto"/>
            <w:hideMark/>
          </w:tcPr>
          <w:p w14:paraId="1A4697C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използван като гориво за отопление</w:t>
            </w:r>
          </w:p>
        </w:tc>
        <w:tc>
          <w:tcPr>
            <w:tcW w:w="532" w:type="pct"/>
            <w:vMerge/>
            <w:tcBorders>
              <w:top w:val="single" w:sz="4" w:space="0" w:color="auto"/>
            </w:tcBorders>
            <w:shd w:val="clear" w:color="auto" w:fill="FBE4D5"/>
            <w:vAlign w:val="center"/>
            <w:hideMark/>
          </w:tcPr>
          <w:p w14:paraId="2138D135" w14:textId="77777777" w:rsidR="00761800" w:rsidRPr="00761800" w:rsidRDefault="00761800" w:rsidP="00761800">
            <w:pPr>
              <w:rPr>
                <w:rFonts w:ascii="Times New Roman" w:hAnsi="Times New Roman"/>
                <w:sz w:val="20"/>
                <w:lang w:eastAsia="bg-BG"/>
              </w:rPr>
            </w:pPr>
          </w:p>
        </w:tc>
        <w:tc>
          <w:tcPr>
            <w:tcW w:w="645" w:type="pct"/>
            <w:tcBorders>
              <w:top w:val="single" w:sz="4" w:space="0" w:color="auto"/>
            </w:tcBorders>
            <w:shd w:val="clear" w:color="auto" w:fill="auto"/>
            <w:vAlign w:val="center"/>
            <w:hideMark/>
          </w:tcPr>
          <w:p w14:paraId="1BBEAF07"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0,00 евро/гигаджаул</w:t>
            </w:r>
          </w:p>
        </w:tc>
        <w:tc>
          <w:tcPr>
            <w:tcW w:w="654" w:type="pct"/>
            <w:tcBorders>
              <w:top w:val="single" w:sz="4" w:space="0" w:color="auto"/>
            </w:tcBorders>
            <w:shd w:val="clear" w:color="auto" w:fill="auto"/>
            <w:vAlign w:val="center"/>
            <w:hideMark/>
          </w:tcPr>
          <w:p w14:paraId="7D4D720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0,00 евро/гигаджаул</w:t>
            </w:r>
          </w:p>
        </w:tc>
        <w:tc>
          <w:tcPr>
            <w:tcW w:w="654" w:type="pct"/>
            <w:tcBorders>
              <w:top w:val="single" w:sz="4" w:space="0" w:color="auto"/>
            </w:tcBorders>
            <w:shd w:val="clear" w:color="auto" w:fill="auto"/>
            <w:vAlign w:val="center"/>
            <w:hideMark/>
          </w:tcPr>
          <w:p w14:paraId="1F1CC2F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0,00 евро/гигаджаул</w:t>
            </w:r>
          </w:p>
        </w:tc>
        <w:tc>
          <w:tcPr>
            <w:tcW w:w="656" w:type="pct"/>
            <w:tcBorders>
              <w:top w:val="single" w:sz="4" w:space="0" w:color="auto"/>
            </w:tcBorders>
            <w:shd w:val="clear" w:color="auto" w:fill="auto"/>
            <w:vAlign w:val="center"/>
            <w:hideMark/>
          </w:tcPr>
          <w:p w14:paraId="2D6FAB8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0,00 евро/гигаджаул</w:t>
            </w:r>
          </w:p>
        </w:tc>
      </w:tr>
      <w:tr w:rsidR="00761800" w:rsidRPr="00761800" w14:paraId="700CBACA" w14:textId="77777777" w:rsidTr="00406B4D">
        <w:trPr>
          <w:trHeight w:val="300"/>
        </w:trPr>
        <w:tc>
          <w:tcPr>
            <w:tcW w:w="185" w:type="pct"/>
            <w:vMerge w:val="restart"/>
            <w:tcBorders>
              <w:bottom w:val="single" w:sz="4" w:space="0" w:color="auto"/>
            </w:tcBorders>
            <w:shd w:val="clear" w:color="auto" w:fill="auto"/>
            <w:hideMark/>
          </w:tcPr>
          <w:p w14:paraId="1C18638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lastRenderedPageBreak/>
              <w:t>8.18.</w:t>
            </w:r>
          </w:p>
        </w:tc>
        <w:tc>
          <w:tcPr>
            <w:tcW w:w="1673" w:type="pct"/>
            <w:shd w:val="clear" w:color="auto" w:fill="auto"/>
            <w:hideMark/>
          </w:tcPr>
          <w:p w14:paraId="6EAFAFE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Акциз на тежки горива:</w:t>
            </w:r>
          </w:p>
        </w:tc>
        <w:tc>
          <w:tcPr>
            <w:tcW w:w="532" w:type="pct"/>
            <w:vMerge w:val="restart"/>
            <w:shd w:val="clear" w:color="auto" w:fill="FBE4D5"/>
            <w:vAlign w:val="center"/>
            <w:hideMark/>
          </w:tcPr>
          <w:p w14:paraId="64FBF3A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евро/1000 кг.</w:t>
            </w:r>
          </w:p>
        </w:tc>
        <w:tc>
          <w:tcPr>
            <w:tcW w:w="645" w:type="pct"/>
            <w:shd w:val="clear" w:color="auto" w:fill="auto"/>
            <w:noWrap/>
            <w:vAlign w:val="bottom"/>
            <w:hideMark/>
          </w:tcPr>
          <w:p w14:paraId="30C02E0F" w14:textId="77777777" w:rsidR="00761800" w:rsidRPr="00761800" w:rsidRDefault="00761800" w:rsidP="00761800">
            <w:pPr>
              <w:rPr>
                <w:rFonts w:ascii="Calibri" w:hAnsi="Calibri"/>
                <w:sz w:val="22"/>
                <w:szCs w:val="22"/>
                <w:lang w:eastAsia="bg-BG"/>
              </w:rPr>
            </w:pPr>
            <w:r w:rsidRPr="00761800">
              <w:rPr>
                <w:rFonts w:ascii="Calibri" w:hAnsi="Calibri"/>
                <w:sz w:val="22"/>
                <w:szCs w:val="22"/>
                <w:lang w:eastAsia="bg-BG"/>
              </w:rPr>
              <w:t> </w:t>
            </w:r>
          </w:p>
        </w:tc>
        <w:tc>
          <w:tcPr>
            <w:tcW w:w="654" w:type="pct"/>
            <w:shd w:val="clear" w:color="auto" w:fill="auto"/>
            <w:noWrap/>
            <w:vAlign w:val="bottom"/>
            <w:hideMark/>
          </w:tcPr>
          <w:p w14:paraId="57B3B2BD" w14:textId="77777777" w:rsidR="00761800" w:rsidRPr="00761800" w:rsidRDefault="00761800" w:rsidP="00761800">
            <w:pPr>
              <w:rPr>
                <w:rFonts w:ascii="Calibri" w:hAnsi="Calibri"/>
                <w:sz w:val="22"/>
                <w:szCs w:val="22"/>
                <w:lang w:eastAsia="bg-BG"/>
              </w:rPr>
            </w:pPr>
            <w:r w:rsidRPr="00761800">
              <w:rPr>
                <w:rFonts w:ascii="Calibri" w:hAnsi="Calibri"/>
                <w:sz w:val="22"/>
                <w:szCs w:val="22"/>
                <w:lang w:eastAsia="bg-BG"/>
              </w:rPr>
              <w:t> </w:t>
            </w:r>
          </w:p>
        </w:tc>
        <w:tc>
          <w:tcPr>
            <w:tcW w:w="654" w:type="pct"/>
            <w:shd w:val="clear" w:color="auto" w:fill="auto"/>
            <w:noWrap/>
            <w:vAlign w:val="bottom"/>
            <w:hideMark/>
          </w:tcPr>
          <w:p w14:paraId="23DCECD4" w14:textId="77777777" w:rsidR="00761800" w:rsidRPr="00761800" w:rsidRDefault="00761800" w:rsidP="00761800">
            <w:pPr>
              <w:rPr>
                <w:rFonts w:ascii="Calibri" w:hAnsi="Calibri"/>
                <w:sz w:val="22"/>
                <w:szCs w:val="22"/>
                <w:lang w:eastAsia="bg-BG"/>
              </w:rPr>
            </w:pPr>
            <w:r w:rsidRPr="00761800">
              <w:rPr>
                <w:rFonts w:ascii="Calibri" w:hAnsi="Calibri"/>
                <w:sz w:val="22"/>
                <w:szCs w:val="22"/>
                <w:lang w:eastAsia="bg-BG"/>
              </w:rPr>
              <w:t> </w:t>
            </w:r>
          </w:p>
        </w:tc>
        <w:tc>
          <w:tcPr>
            <w:tcW w:w="656" w:type="pct"/>
            <w:shd w:val="clear" w:color="auto" w:fill="auto"/>
            <w:noWrap/>
            <w:vAlign w:val="bottom"/>
            <w:hideMark/>
          </w:tcPr>
          <w:p w14:paraId="6D7657A1" w14:textId="77777777" w:rsidR="00761800" w:rsidRPr="00761800" w:rsidRDefault="00761800" w:rsidP="00761800">
            <w:pPr>
              <w:rPr>
                <w:rFonts w:ascii="Calibri" w:hAnsi="Calibri"/>
                <w:sz w:val="22"/>
                <w:szCs w:val="22"/>
                <w:lang w:eastAsia="bg-BG"/>
              </w:rPr>
            </w:pPr>
            <w:r w:rsidRPr="00761800">
              <w:rPr>
                <w:rFonts w:ascii="Calibri" w:hAnsi="Calibri"/>
                <w:sz w:val="22"/>
                <w:szCs w:val="22"/>
                <w:lang w:eastAsia="bg-BG"/>
              </w:rPr>
              <w:t> </w:t>
            </w:r>
          </w:p>
        </w:tc>
      </w:tr>
      <w:tr w:rsidR="00761800" w:rsidRPr="00761800" w14:paraId="75BCCE3E" w14:textId="77777777" w:rsidTr="00406B4D">
        <w:trPr>
          <w:trHeight w:val="300"/>
        </w:trPr>
        <w:tc>
          <w:tcPr>
            <w:tcW w:w="185" w:type="pct"/>
            <w:vMerge/>
            <w:tcBorders>
              <w:bottom w:val="single" w:sz="4" w:space="0" w:color="auto"/>
            </w:tcBorders>
            <w:vAlign w:val="center"/>
            <w:hideMark/>
          </w:tcPr>
          <w:p w14:paraId="3366C89A" w14:textId="77777777" w:rsidR="00761800" w:rsidRPr="00761800" w:rsidRDefault="00761800" w:rsidP="00761800">
            <w:pPr>
              <w:rPr>
                <w:rFonts w:ascii="Times New Roman" w:hAnsi="Times New Roman"/>
                <w:b/>
                <w:bCs/>
                <w:sz w:val="20"/>
                <w:lang w:eastAsia="bg-BG"/>
              </w:rPr>
            </w:pPr>
          </w:p>
        </w:tc>
        <w:tc>
          <w:tcPr>
            <w:tcW w:w="1673" w:type="pct"/>
            <w:shd w:val="clear" w:color="auto" w:fill="auto"/>
            <w:hideMark/>
          </w:tcPr>
          <w:p w14:paraId="092A811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използвани като моторно гориво</w:t>
            </w:r>
          </w:p>
        </w:tc>
        <w:tc>
          <w:tcPr>
            <w:tcW w:w="532" w:type="pct"/>
            <w:vMerge/>
            <w:shd w:val="clear" w:color="auto" w:fill="FBE4D5"/>
            <w:vAlign w:val="center"/>
            <w:hideMark/>
          </w:tcPr>
          <w:p w14:paraId="3EA7B563" w14:textId="77777777" w:rsidR="00761800" w:rsidRPr="00761800" w:rsidRDefault="00761800" w:rsidP="00761800">
            <w:pPr>
              <w:rPr>
                <w:rFonts w:ascii="Times New Roman" w:hAnsi="Times New Roman"/>
                <w:sz w:val="20"/>
                <w:lang w:eastAsia="bg-BG"/>
              </w:rPr>
            </w:pPr>
          </w:p>
        </w:tc>
        <w:tc>
          <w:tcPr>
            <w:tcW w:w="645" w:type="pct"/>
            <w:shd w:val="clear" w:color="auto" w:fill="auto"/>
            <w:vAlign w:val="center"/>
            <w:hideMark/>
          </w:tcPr>
          <w:p w14:paraId="42E662DE"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330,29 евро/1000 кг.</w:t>
            </w:r>
          </w:p>
        </w:tc>
        <w:tc>
          <w:tcPr>
            <w:tcW w:w="654" w:type="pct"/>
            <w:shd w:val="clear" w:color="auto" w:fill="auto"/>
            <w:vAlign w:val="center"/>
            <w:hideMark/>
          </w:tcPr>
          <w:p w14:paraId="1B6BB89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330,29 евро/1000 кг.</w:t>
            </w:r>
          </w:p>
        </w:tc>
        <w:tc>
          <w:tcPr>
            <w:tcW w:w="654" w:type="pct"/>
            <w:shd w:val="clear" w:color="auto" w:fill="auto"/>
            <w:vAlign w:val="center"/>
            <w:hideMark/>
          </w:tcPr>
          <w:p w14:paraId="0E9444F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330,29 евро/1000 кг.</w:t>
            </w:r>
          </w:p>
        </w:tc>
        <w:tc>
          <w:tcPr>
            <w:tcW w:w="656" w:type="pct"/>
            <w:shd w:val="clear" w:color="auto" w:fill="auto"/>
            <w:vAlign w:val="center"/>
            <w:hideMark/>
          </w:tcPr>
          <w:p w14:paraId="692619E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330,29 евро/1000 кг.</w:t>
            </w:r>
          </w:p>
        </w:tc>
      </w:tr>
      <w:tr w:rsidR="00761800" w:rsidRPr="00761800" w14:paraId="2B00659B" w14:textId="77777777" w:rsidTr="00406B4D">
        <w:trPr>
          <w:trHeight w:val="300"/>
        </w:trPr>
        <w:tc>
          <w:tcPr>
            <w:tcW w:w="185" w:type="pct"/>
            <w:vMerge/>
            <w:tcBorders>
              <w:bottom w:val="single" w:sz="4" w:space="0" w:color="auto"/>
            </w:tcBorders>
            <w:vAlign w:val="center"/>
            <w:hideMark/>
          </w:tcPr>
          <w:p w14:paraId="67410F1E" w14:textId="77777777" w:rsidR="00761800" w:rsidRPr="00761800" w:rsidRDefault="00761800" w:rsidP="00761800">
            <w:pPr>
              <w:rPr>
                <w:rFonts w:ascii="Times New Roman" w:hAnsi="Times New Roman"/>
                <w:b/>
                <w:bCs/>
                <w:sz w:val="20"/>
                <w:lang w:eastAsia="bg-BG"/>
              </w:rPr>
            </w:pPr>
          </w:p>
        </w:tc>
        <w:tc>
          <w:tcPr>
            <w:tcW w:w="1673" w:type="pct"/>
            <w:tcBorders>
              <w:bottom w:val="single" w:sz="4" w:space="0" w:color="auto"/>
            </w:tcBorders>
            <w:shd w:val="clear" w:color="auto" w:fill="auto"/>
            <w:hideMark/>
          </w:tcPr>
          <w:p w14:paraId="45EDCFA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използвани като гориво за отопление</w:t>
            </w:r>
          </w:p>
        </w:tc>
        <w:tc>
          <w:tcPr>
            <w:tcW w:w="532" w:type="pct"/>
            <w:vMerge/>
            <w:tcBorders>
              <w:bottom w:val="single" w:sz="4" w:space="0" w:color="auto"/>
            </w:tcBorders>
            <w:shd w:val="clear" w:color="auto" w:fill="FBE4D5"/>
            <w:vAlign w:val="center"/>
            <w:hideMark/>
          </w:tcPr>
          <w:p w14:paraId="4F435C9B" w14:textId="77777777" w:rsidR="00761800" w:rsidRPr="00761800" w:rsidRDefault="00761800" w:rsidP="00761800">
            <w:pPr>
              <w:rPr>
                <w:rFonts w:ascii="Times New Roman" w:hAnsi="Times New Roman"/>
                <w:sz w:val="20"/>
                <w:lang w:eastAsia="bg-BG"/>
              </w:rPr>
            </w:pPr>
          </w:p>
        </w:tc>
        <w:tc>
          <w:tcPr>
            <w:tcW w:w="645" w:type="pct"/>
            <w:tcBorders>
              <w:bottom w:val="single" w:sz="4" w:space="0" w:color="auto"/>
            </w:tcBorders>
            <w:shd w:val="clear" w:color="auto" w:fill="auto"/>
            <w:vAlign w:val="center"/>
            <w:hideMark/>
          </w:tcPr>
          <w:p w14:paraId="66448F9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204,52 евро/1000 кг.</w:t>
            </w:r>
          </w:p>
        </w:tc>
        <w:tc>
          <w:tcPr>
            <w:tcW w:w="654" w:type="pct"/>
            <w:tcBorders>
              <w:bottom w:val="single" w:sz="4" w:space="0" w:color="auto"/>
            </w:tcBorders>
            <w:shd w:val="clear" w:color="auto" w:fill="auto"/>
            <w:vAlign w:val="center"/>
            <w:hideMark/>
          </w:tcPr>
          <w:p w14:paraId="6F4528D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204,52 евро/1000 кг.</w:t>
            </w:r>
          </w:p>
        </w:tc>
        <w:tc>
          <w:tcPr>
            <w:tcW w:w="654" w:type="pct"/>
            <w:tcBorders>
              <w:bottom w:val="single" w:sz="4" w:space="0" w:color="auto"/>
            </w:tcBorders>
            <w:shd w:val="clear" w:color="auto" w:fill="auto"/>
            <w:vAlign w:val="center"/>
            <w:hideMark/>
          </w:tcPr>
          <w:p w14:paraId="4B3C6E3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204,52 евро/1000 кг.</w:t>
            </w:r>
          </w:p>
        </w:tc>
        <w:tc>
          <w:tcPr>
            <w:tcW w:w="656" w:type="pct"/>
            <w:tcBorders>
              <w:bottom w:val="single" w:sz="4" w:space="0" w:color="auto"/>
            </w:tcBorders>
            <w:shd w:val="clear" w:color="auto" w:fill="auto"/>
            <w:vAlign w:val="center"/>
            <w:hideMark/>
          </w:tcPr>
          <w:p w14:paraId="685BF62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204,52 евро/1000 кг.</w:t>
            </w:r>
          </w:p>
        </w:tc>
      </w:tr>
      <w:tr w:rsidR="00761800" w:rsidRPr="00761800" w14:paraId="61A08676" w14:textId="77777777" w:rsidTr="00406B4D">
        <w:trPr>
          <w:trHeight w:val="300"/>
        </w:trPr>
        <w:tc>
          <w:tcPr>
            <w:tcW w:w="185" w:type="pct"/>
            <w:tcBorders>
              <w:top w:val="single" w:sz="4" w:space="0" w:color="auto"/>
              <w:bottom w:val="single" w:sz="4" w:space="0" w:color="auto"/>
            </w:tcBorders>
            <w:shd w:val="clear" w:color="auto" w:fill="auto"/>
            <w:hideMark/>
          </w:tcPr>
          <w:p w14:paraId="4946C0C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9.</w:t>
            </w:r>
          </w:p>
        </w:tc>
        <w:tc>
          <w:tcPr>
            <w:tcW w:w="1673" w:type="pct"/>
            <w:tcBorders>
              <w:top w:val="single" w:sz="4" w:space="0" w:color="auto"/>
              <w:bottom w:val="single" w:sz="4" w:space="0" w:color="auto"/>
            </w:tcBorders>
            <w:shd w:val="clear" w:color="auto" w:fill="auto"/>
            <w:hideMark/>
          </w:tcPr>
          <w:p w14:paraId="3A5F5BF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Данък върху застрахователните премии</w:t>
            </w:r>
          </w:p>
        </w:tc>
        <w:tc>
          <w:tcPr>
            <w:tcW w:w="532" w:type="pct"/>
            <w:tcBorders>
              <w:top w:val="single" w:sz="4" w:space="0" w:color="auto"/>
              <w:bottom w:val="single" w:sz="4" w:space="0" w:color="auto"/>
            </w:tcBorders>
            <w:shd w:val="clear" w:color="auto" w:fill="FBE4D5"/>
            <w:vAlign w:val="center"/>
            <w:hideMark/>
          </w:tcPr>
          <w:p w14:paraId="7758680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w:t>
            </w:r>
          </w:p>
        </w:tc>
        <w:tc>
          <w:tcPr>
            <w:tcW w:w="645" w:type="pct"/>
            <w:tcBorders>
              <w:top w:val="single" w:sz="4" w:space="0" w:color="auto"/>
              <w:bottom w:val="single" w:sz="4" w:space="0" w:color="auto"/>
            </w:tcBorders>
            <w:shd w:val="clear" w:color="auto" w:fill="auto"/>
            <w:vAlign w:val="center"/>
            <w:hideMark/>
          </w:tcPr>
          <w:p w14:paraId="159C999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w:t>
            </w:r>
          </w:p>
        </w:tc>
        <w:tc>
          <w:tcPr>
            <w:tcW w:w="654" w:type="pct"/>
            <w:tcBorders>
              <w:top w:val="single" w:sz="4" w:space="0" w:color="auto"/>
              <w:bottom w:val="single" w:sz="4" w:space="0" w:color="auto"/>
            </w:tcBorders>
            <w:shd w:val="clear" w:color="auto" w:fill="auto"/>
            <w:vAlign w:val="center"/>
            <w:hideMark/>
          </w:tcPr>
          <w:p w14:paraId="33BCC17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w:t>
            </w:r>
          </w:p>
        </w:tc>
        <w:tc>
          <w:tcPr>
            <w:tcW w:w="654" w:type="pct"/>
            <w:tcBorders>
              <w:top w:val="single" w:sz="4" w:space="0" w:color="auto"/>
              <w:bottom w:val="single" w:sz="4" w:space="0" w:color="auto"/>
            </w:tcBorders>
            <w:shd w:val="clear" w:color="auto" w:fill="auto"/>
            <w:vAlign w:val="center"/>
            <w:hideMark/>
          </w:tcPr>
          <w:p w14:paraId="6B56F85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w:t>
            </w:r>
          </w:p>
        </w:tc>
        <w:tc>
          <w:tcPr>
            <w:tcW w:w="656" w:type="pct"/>
            <w:tcBorders>
              <w:top w:val="single" w:sz="4" w:space="0" w:color="auto"/>
              <w:bottom w:val="single" w:sz="4" w:space="0" w:color="auto"/>
            </w:tcBorders>
            <w:shd w:val="clear" w:color="auto" w:fill="auto"/>
            <w:vAlign w:val="center"/>
            <w:hideMark/>
          </w:tcPr>
          <w:p w14:paraId="028273C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w:t>
            </w:r>
          </w:p>
        </w:tc>
      </w:tr>
      <w:tr w:rsidR="00761800" w:rsidRPr="00761800" w14:paraId="6FB24E1A" w14:textId="77777777" w:rsidTr="00406B4D">
        <w:trPr>
          <w:trHeight w:val="510"/>
        </w:trPr>
        <w:tc>
          <w:tcPr>
            <w:tcW w:w="185" w:type="pct"/>
            <w:tcBorders>
              <w:top w:val="single" w:sz="4" w:space="0" w:color="auto"/>
              <w:bottom w:val="single" w:sz="4" w:space="0" w:color="auto"/>
            </w:tcBorders>
            <w:shd w:val="clear" w:color="auto" w:fill="auto"/>
            <w:hideMark/>
          </w:tcPr>
          <w:p w14:paraId="66534FA8"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10.</w:t>
            </w:r>
          </w:p>
        </w:tc>
        <w:tc>
          <w:tcPr>
            <w:tcW w:w="1673" w:type="pct"/>
            <w:tcBorders>
              <w:top w:val="single" w:sz="4" w:space="0" w:color="auto"/>
              <w:bottom w:val="single" w:sz="4" w:space="0" w:color="auto"/>
            </w:tcBorders>
            <w:shd w:val="clear" w:color="auto" w:fill="auto"/>
            <w:hideMark/>
          </w:tcPr>
          <w:p w14:paraId="2523DB5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минималната работна заплата</w:t>
            </w:r>
          </w:p>
        </w:tc>
        <w:tc>
          <w:tcPr>
            <w:tcW w:w="532" w:type="pct"/>
            <w:tcBorders>
              <w:top w:val="single" w:sz="4" w:space="0" w:color="auto"/>
              <w:bottom w:val="single" w:sz="4" w:space="0" w:color="auto"/>
            </w:tcBorders>
            <w:shd w:val="clear" w:color="auto" w:fill="FBE4D5"/>
            <w:vAlign w:val="center"/>
            <w:hideMark/>
          </w:tcPr>
          <w:p w14:paraId="6BA357DF"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746F051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xml:space="preserve">550,66 </w:t>
            </w:r>
          </w:p>
        </w:tc>
        <w:tc>
          <w:tcPr>
            <w:tcW w:w="654" w:type="pct"/>
            <w:tcBorders>
              <w:top w:val="single" w:sz="4" w:space="0" w:color="auto"/>
              <w:bottom w:val="single" w:sz="4" w:space="0" w:color="auto"/>
            </w:tcBorders>
            <w:shd w:val="clear" w:color="auto" w:fill="auto"/>
            <w:vAlign w:val="center"/>
            <w:hideMark/>
          </w:tcPr>
          <w:p w14:paraId="62231F9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xml:space="preserve">620,20 </w:t>
            </w:r>
          </w:p>
        </w:tc>
        <w:tc>
          <w:tcPr>
            <w:tcW w:w="654" w:type="pct"/>
            <w:tcBorders>
              <w:top w:val="single" w:sz="4" w:space="0" w:color="auto"/>
              <w:bottom w:val="single" w:sz="4" w:space="0" w:color="auto"/>
            </w:tcBorders>
            <w:shd w:val="clear" w:color="auto" w:fill="auto"/>
            <w:vAlign w:val="center"/>
            <w:hideMark/>
          </w:tcPr>
          <w:p w14:paraId="787FD4C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Съгласно нов механизъм за определяне на МРЗ</w:t>
            </w:r>
          </w:p>
        </w:tc>
        <w:tc>
          <w:tcPr>
            <w:tcW w:w="656" w:type="pct"/>
            <w:tcBorders>
              <w:top w:val="single" w:sz="4" w:space="0" w:color="auto"/>
              <w:bottom w:val="single" w:sz="4" w:space="0" w:color="auto"/>
            </w:tcBorders>
            <w:shd w:val="clear" w:color="auto" w:fill="auto"/>
            <w:vAlign w:val="center"/>
            <w:hideMark/>
          </w:tcPr>
          <w:p w14:paraId="5B127F8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Съгласно нов механизъм за определяне на МРЗ</w:t>
            </w:r>
          </w:p>
        </w:tc>
      </w:tr>
      <w:tr w:rsidR="00761800" w:rsidRPr="00761800" w14:paraId="4B006F95" w14:textId="77777777" w:rsidTr="00406B4D">
        <w:trPr>
          <w:trHeight w:val="510"/>
        </w:trPr>
        <w:tc>
          <w:tcPr>
            <w:tcW w:w="185" w:type="pct"/>
            <w:tcBorders>
              <w:top w:val="single" w:sz="4" w:space="0" w:color="auto"/>
            </w:tcBorders>
            <w:shd w:val="clear" w:color="auto" w:fill="auto"/>
            <w:hideMark/>
          </w:tcPr>
          <w:p w14:paraId="266B3E46"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11.</w:t>
            </w:r>
          </w:p>
        </w:tc>
        <w:tc>
          <w:tcPr>
            <w:tcW w:w="1673" w:type="pct"/>
            <w:tcBorders>
              <w:top w:val="single" w:sz="4" w:space="0" w:color="auto"/>
            </w:tcBorders>
            <w:shd w:val="clear" w:color="auto" w:fill="auto"/>
            <w:hideMark/>
          </w:tcPr>
          <w:p w14:paraId="7B40BC9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осигурителните вноски за държавното обществено осигуряване</w:t>
            </w:r>
          </w:p>
        </w:tc>
        <w:tc>
          <w:tcPr>
            <w:tcW w:w="532" w:type="pct"/>
            <w:vMerge w:val="restart"/>
            <w:tcBorders>
              <w:top w:val="single" w:sz="4" w:space="0" w:color="auto"/>
            </w:tcBorders>
            <w:shd w:val="clear" w:color="auto" w:fill="FBE4D5"/>
            <w:vAlign w:val="center"/>
            <w:hideMark/>
          </w:tcPr>
          <w:p w14:paraId="7D902A1F"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w:t>
            </w:r>
          </w:p>
        </w:tc>
        <w:tc>
          <w:tcPr>
            <w:tcW w:w="645" w:type="pct"/>
            <w:tcBorders>
              <w:top w:val="single" w:sz="4" w:space="0" w:color="auto"/>
            </w:tcBorders>
            <w:shd w:val="clear" w:color="auto" w:fill="auto"/>
            <w:vAlign w:val="center"/>
            <w:hideMark/>
          </w:tcPr>
          <w:p w14:paraId="1EACE0DF"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tcBorders>
              <w:top w:val="single" w:sz="4" w:space="0" w:color="auto"/>
            </w:tcBorders>
            <w:shd w:val="clear" w:color="auto" w:fill="auto"/>
            <w:vAlign w:val="center"/>
            <w:hideMark/>
          </w:tcPr>
          <w:p w14:paraId="693B9D5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tcBorders>
              <w:top w:val="single" w:sz="4" w:space="0" w:color="auto"/>
            </w:tcBorders>
            <w:shd w:val="clear" w:color="auto" w:fill="auto"/>
            <w:vAlign w:val="center"/>
            <w:hideMark/>
          </w:tcPr>
          <w:p w14:paraId="2F109DC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tcBorders>
              <w:top w:val="single" w:sz="4" w:space="0" w:color="auto"/>
            </w:tcBorders>
            <w:shd w:val="clear" w:color="auto" w:fill="auto"/>
            <w:vAlign w:val="center"/>
            <w:hideMark/>
          </w:tcPr>
          <w:p w14:paraId="2B8290F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2DDBF6F2" w14:textId="77777777" w:rsidTr="00406B4D">
        <w:trPr>
          <w:trHeight w:val="300"/>
        </w:trPr>
        <w:tc>
          <w:tcPr>
            <w:tcW w:w="185" w:type="pct"/>
            <w:shd w:val="clear" w:color="auto" w:fill="auto"/>
            <w:hideMark/>
          </w:tcPr>
          <w:p w14:paraId="6AC579C6"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hideMark/>
          </w:tcPr>
          <w:p w14:paraId="34DD882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w:t>
            </w:r>
          </w:p>
        </w:tc>
        <w:tc>
          <w:tcPr>
            <w:tcW w:w="532" w:type="pct"/>
            <w:vMerge/>
            <w:shd w:val="clear" w:color="auto" w:fill="FBE4D5"/>
            <w:vAlign w:val="center"/>
            <w:hideMark/>
          </w:tcPr>
          <w:p w14:paraId="31BE323D"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689A2CB8"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7DB2718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41BA03F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1837C06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19E59D90" w14:textId="77777777" w:rsidTr="00406B4D">
        <w:trPr>
          <w:trHeight w:val="510"/>
        </w:trPr>
        <w:tc>
          <w:tcPr>
            <w:tcW w:w="185" w:type="pct"/>
            <w:vMerge w:val="restart"/>
            <w:shd w:val="clear" w:color="auto" w:fill="auto"/>
            <w:hideMark/>
          </w:tcPr>
          <w:p w14:paraId="6A9D741C"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11.1.</w:t>
            </w:r>
          </w:p>
        </w:tc>
        <w:tc>
          <w:tcPr>
            <w:tcW w:w="1673" w:type="pct"/>
            <w:vMerge w:val="restart"/>
            <w:shd w:val="clear" w:color="auto" w:fill="auto"/>
            <w:hideMark/>
          </w:tcPr>
          <w:p w14:paraId="357C39F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 фонд „Пенсии”</w:t>
            </w:r>
            <w:r w:rsidRPr="00761800">
              <w:rPr>
                <w:rFonts w:ascii="Times New Roman" w:hAnsi="Times New Roman"/>
                <w:sz w:val="20"/>
                <w:lang w:eastAsia="bg-BG"/>
              </w:rPr>
              <w:br/>
              <w:t>(посочените размери за осигурителната вноска за лицата, родени след 31 декември 1959 г. са за лицата, които се осигуряват и за допълнително задължително пенсионно осигуряване в универсален пенсионен фонд)</w:t>
            </w:r>
          </w:p>
        </w:tc>
        <w:tc>
          <w:tcPr>
            <w:tcW w:w="532" w:type="pct"/>
            <w:vMerge w:val="restart"/>
            <w:shd w:val="clear" w:color="auto" w:fill="FBE4D5"/>
            <w:vAlign w:val="center"/>
            <w:hideMark/>
          </w:tcPr>
          <w:p w14:paraId="79C9038F"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w:t>
            </w:r>
          </w:p>
        </w:tc>
        <w:tc>
          <w:tcPr>
            <w:tcW w:w="645" w:type="pct"/>
            <w:shd w:val="clear" w:color="auto" w:fill="auto"/>
            <w:vAlign w:val="center"/>
            <w:hideMark/>
          </w:tcPr>
          <w:p w14:paraId="2F9A79B0"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19,8 за родените преди 1 януари 1960 г.;</w:t>
            </w:r>
          </w:p>
        </w:tc>
        <w:tc>
          <w:tcPr>
            <w:tcW w:w="654" w:type="pct"/>
            <w:shd w:val="clear" w:color="auto" w:fill="auto"/>
            <w:vAlign w:val="center"/>
            <w:hideMark/>
          </w:tcPr>
          <w:p w14:paraId="543B2EC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19,8 за родените преди 1 януари 1960 г.;</w:t>
            </w:r>
          </w:p>
        </w:tc>
        <w:tc>
          <w:tcPr>
            <w:tcW w:w="654" w:type="pct"/>
            <w:shd w:val="clear" w:color="auto" w:fill="auto"/>
            <w:vAlign w:val="center"/>
            <w:hideMark/>
          </w:tcPr>
          <w:p w14:paraId="7D7E59F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19,8 за родените преди 1 януари 1960 г.;</w:t>
            </w:r>
          </w:p>
        </w:tc>
        <w:tc>
          <w:tcPr>
            <w:tcW w:w="656" w:type="pct"/>
            <w:shd w:val="clear" w:color="auto" w:fill="auto"/>
            <w:vAlign w:val="center"/>
            <w:hideMark/>
          </w:tcPr>
          <w:p w14:paraId="734E321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19,8 за родените преди 1 януари 1960 г.;</w:t>
            </w:r>
          </w:p>
        </w:tc>
      </w:tr>
      <w:tr w:rsidR="00761800" w:rsidRPr="00761800" w14:paraId="115F94D7" w14:textId="77777777" w:rsidTr="00406B4D">
        <w:trPr>
          <w:trHeight w:val="1140"/>
        </w:trPr>
        <w:tc>
          <w:tcPr>
            <w:tcW w:w="185" w:type="pct"/>
            <w:vMerge/>
            <w:vAlign w:val="center"/>
            <w:hideMark/>
          </w:tcPr>
          <w:p w14:paraId="18DA701C" w14:textId="77777777" w:rsidR="00761800" w:rsidRPr="00761800" w:rsidRDefault="00761800" w:rsidP="00761800">
            <w:pPr>
              <w:rPr>
                <w:rFonts w:ascii="Times New Roman" w:hAnsi="Times New Roman"/>
                <w:b/>
                <w:bCs/>
                <w:sz w:val="20"/>
                <w:lang w:eastAsia="bg-BG"/>
              </w:rPr>
            </w:pPr>
          </w:p>
        </w:tc>
        <w:tc>
          <w:tcPr>
            <w:tcW w:w="1673" w:type="pct"/>
            <w:vMerge/>
            <w:vAlign w:val="center"/>
            <w:hideMark/>
          </w:tcPr>
          <w:p w14:paraId="0F0BB100" w14:textId="77777777" w:rsidR="00761800" w:rsidRPr="00761800" w:rsidRDefault="00761800" w:rsidP="00761800">
            <w:pPr>
              <w:rPr>
                <w:rFonts w:ascii="Times New Roman" w:hAnsi="Times New Roman"/>
                <w:sz w:val="20"/>
                <w:lang w:eastAsia="bg-BG"/>
              </w:rPr>
            </w:pPr>
          </w:p>
        </w:tc>
        <w:tc>
          <w:tcPr>
            <w:tcW w:w="532" w:type="pct"/>
            <w:vMerge/>
            <w:shd w:val="clear" w:color="auto" w:fill="FBE4D5"/>
            <w:vAlign w:val="center"/>
            <w:hideMark/>
          </w:tcPr>
          <w:p w14:paraId="4E9203C6"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52A7944D"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14,8 за родените след 31 декември 1959 г.</w:t>
            </w:r>
          </w:p>
        </w:tc>
        <w:tc>
          <w:tcPr>
            <w:tcW w:w="654" w:type="pct"/>
            <w:shd w:val="clear" w:color="auto" w:fill="auto"/>
            <w:vAlign w:val="center"/>
            <w:hideMark/>
          </w:tcPr>
          <w:p w14:paraId="01F131D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14,8 за родените след 31 декември 1959 г.</w:t>
            </w:r>
          </w:p>
        </w:tc>
        <w:tc>
          <w:tcPr>
            <w:tcW w:w="654" w:type="pct"/>
            <w:shd w:val="clear" w:color="auto" w:fill="auto"/>
            <w:vAlign w:val="center"/>
            <w:hideMark/>
          </w:tcPr>
          <w:p w14:paraId="1D1256E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14,8 за родените след 31 декември 1959 г.</w:t>
            </w:r>
          </w:p>
        </w:tc>
        <w:tc>
          <w:tcPr>
            <w:tcW w:w="656" w:type="pct"/>
            <w:shd w:val="clear" w:color="auto" w:fill="auto"/>
            <w:vAlign w:val="center"/>
            <w:hideMark/>
          </w:tcPr>
          <w:p w14:paraId="639CCC8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14,8 за родените след 31 декември 1959 г.</w:t>
            </w:r>
          </w:p>
        </w:tc>
      </w:tr>
      <w:tr w:rsidR="00761800" w:rsidRPr="00761800" w14:paraId="7CCEA8DB" w14:textId="77777777" w:rsidTr="00406B4D">
        <w:trPr>
          <w:trHeight w:val="510"/>
        </w:trPr>
        <w:tc>
          <w:tcPr>
            <w:tcW w:w="185" w:type="pct"/>
            <w:vMerge w:val="restart"/>
            <w:shd w:val="clear" w:color="auto" w:fill="auto"/>
            <w:hideMark/>
          </w:tcPr>
          <w:p w14:paraId="1ADDB341"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11.2.</w:t>
            </w:r>
          </w:p>
        </w:tc>
        <w:tc>
          <w:tcPr>
            <w:tcW w:w="1673" w:type="pct"/>
            <w:vMerge w:val="restart"/>
            <w:shd w:val="clear" w:color="auto" w:fill="auto"/>
            <w:hideMark/>
          </w:tcPr>
          <w:p w14:paraId="4632927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 фонд „Пенсии за лицата по чл. 69“</w:t>
            </w:r>
            <w:r w:rsidRPr="00761800">
              <w:rPr>
                <w:rFonts w:ascii="Times New Roman" w:hAnsi="Times New Roman"/>
                <w:sz w:val="20"/>
                <w:lang w:eastAsia="bg-BG"/>
              </w:rPr>
              <w:br/>
              <w:t>(посочените размери за осигурителната вноска за лицата, родени след 31 декември 1959 г. са за лицата, които се осигуряват и за допълнително задължително пенсионно осигуряване в универсален пенсионен фонд)</w:t>
            </w:r>
          </w:p>
        </w:tc>
        <w:tc>
          <w:tcPr>
            <w:tcW w:w="532" w:type="pct"/>
            <w:vMerge/>
            <w:shd w:val="clear" w:color="auto" w:fill="FBE4D5"/>
            <w:vAlign w:val="center"/>
            <w:hideMark/>
          </w:tcPr>
          <w:p w14:paraId="1D29AE82"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63186B72"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60,8 за родените преди 1 януари 1960 г.;</w:t>
            </w:r>
          </w:p>
        </w:tc>
        <w:tc>
          <w:tcPr>
            <w:tcW w:w="654" w:type="pct"/>
            <w:shd w:val="clear" w:color="auto" w:fill="auto"/>
            <w:vAlign w:val="center"/>
            <w:hideMark/>
          </w:tcPr>
          <w:p w14:paraId="3ADED36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60,8 за родените преди 1 януари 1960 г.;</w:t>
            </w:r>
          </w:p>
        </w:tc>
        <w:tc>
          <w:tcPr>
            <w:tcW w:w="654" w:type="pct"/>
            <w:shd w:val="clear" w:color="auto" w:fill="auto"/>
            <w:vAlign w:val="center"/>
            <w:hideMark/>
          </w:tcPr>
          <w:p w14:paraId="1161BC5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60,8 за родените преди 1 януари 1960 г.;</w:t>
            </w:r>
          </w:p>
        </w:tc>
        <w:tc>
          <w:tcPr>
            <w:tcW w:w="656" w:type="pct"/>
            <w:shd w:val="clear" w:color="auto" w:fill="auto"/>
            <w:vAlign w:val="center"/>
            <w:hideMark/>
          </w:tcPr>
          <w:p w14:paraId="6D84055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60,8 за родените преди 1 януари 1960 г.;</w:t>
            </w:r>
          </w:p>
        </w:tc>
      </w:tr>
      <w:tr w:rsidR="00761800" w:rsidRPr="00761800" w14:paraId="7998FA25" w14:textId="77777777" w:rsidTr="00406B4D">
        <w:trPr>
          <w:trHeight w:val="1080"/>
        </w:trPr>
        <w:tc>
          <w:tcPr>
            <w:tcW w:w="185" w:type="pct"/>
            <w:vMerge/>
            <w:vAlign w:val="center"/>
            <w:hideMark/>
          </w:tcPr>
          <w:p w14:paraId="1F30E54D" w14:textId="77777777" w:rsidR="00761800" w:rsidRPr="00761800" w:rsidRDefault="00761800" w:rsidP="00761800">
            <w:pPr>
              <w:rPr>
                <w:rFonts w:ascii="Times New Roman" w:hAnsi="Times New Roman"/>
                <w:b/>
                <w:bCs/>
                <w:sz w:val="20"/>
                <w:lang w:eastAsia="bg-BG"/>
              </w:rPr>
            </w:pPr>
          </w:p>
        </w:tc>
        <w:tc>
          <w:tcPr>
            <w:tcW w:w="1673" w:type="pct"/>
            <w:vMerge/>
            <w:vAlign w:val="center"/>
            <w:hideMark/>
          </w:tcPr>
          <w:p w14:paraId="31D98BAC" w14:textId="77777777" w:rsidR="00761800" w:rsidRPr="00761800" w:rsidRDefault="00761800" w:rsidP="00761800">
            <w:pPr>
              <w:rPr>
                <w:rFonts w:ascii="Times New Roman" w:hAnsi="Times New Roman"/>
                <w:sz w:val="20"/>
                <w:lang w:eastAsia="bg-BG"/>
              </w:rPr>
            </w:pPr>
          </w:p>
        </w:tc>
        <w:tc>
          <w:tcPr>
            <w:tcW w:w="532" w:type="pct"/>
            <w:vMerge/>
            <w:shd w:val="clear" w:color="auto" w:fill="FBE4D5"/>
            <w:vAlign w:val="center"/>
            <w:hideMark/>
          </w:tcPr>
          <w:p w14:paraId="01D01104"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26297D87"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55,8 за родените след 31 декември 1959 г.</w:t>
            </w:r>
          </w:p>
        </w:tc>
        <w:tc>
          <w:tcPr>
            <w:tcW w:w="654" w:type="pct"/>
            <w:shd w:val="clear" w:color="auto" w:fill="auto"/>
            <w:vAlign w:val="center"/>
            <w:hideMark/>
          </w:tcPr>
          <w:p w14:paraId="20C16AE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55,8 за родените след 31 декември 1959 г.</w:t>
            </w:r>
          </w:p>
        </w:tc>
        <w:tc>
          <w:tcPr>
            <w:tcW w:w="654" w:type="pct"/>
            <w:shd w:val="clear" w:color="auto" w:fill="auto"/>
            <w:vAlign w:val="center"/>
            <w:hideMark/>
          </w:tcPr>
          <w:p w14:paraId="372FF07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55,8 за родените след 31 декември 1959 г.</w:t>
            </w:r>
          </w:p>
        </w:tc>
        <w:tc>
          <w:tcPr>
            <w:tcW w:w="656" w:type="pct"/>
            <w:shd w:val="clear" w:color="auto" w:fill="auto"/>
            <w:vAlign w:val="center"/>
            <w:hideMark/>
          </w:tcPr>
          <w:p w14:paraId="452A0F4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55,8 за родените след 31 декември 1959 г.</w:t>
            </w:r>
          </w:p>
        </w:tc>
      </w:tr>
      <w:tr w:rsidR="00761800" w:rsidRPr="00761800" w14:paraId="1225CDB2" w14:textId="77777777" w:rsidTr="00406B4D">
        <w:trPr>
          <w:trHeight w:val="300"/>
        </w:trPr>
        <w:tc>
          <w:tcPr>
            <w:tcW w:w="185" w:type="pct"/>
            <w:shd w:val="clear" w:color="auto" w:fill="auto"/>
            <w:hideMark/>
          </w:tcPr>
          <w:p w14:paraId="7CC15818"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11.3.</w:t>
            </w:r>
          </w:p>
        </w:tc>
        <w:tc>
          <w:tcPr>
            <w:tcW w:w="1673" w:type="pct"/>
            <w:shd w:val="clear" w:color="auto" w:fill="auto"/>
            <w:hideMark/>
          </w:tcPr>
          <w:p w14:paraId="205D9E4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 фонд „Общо заболяване и майчинство”</w:t>
            </w:r>
          </w:p>
        </w:tc>
        <w:tc>
          <w:tcPr>
            <w:tcW w:w="532" w:type="pct"/>
            <w:vMerge/>
            <w:shd w:val="clear" w:color="auto" w:fill="FBE4D5"/>
            <w:vAlign w:val="center"/>
            <w:hideMark/>
          </w:tcPr>
          <w:p w14:paraId="428D2876"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3C561294"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3,5</w:t>
            </w:r>
          </w:p>
        </w:tc>
        <w:tc>
          <w:tcPr>
            <w:tcW w:w="654" w:type="pct"/>
            <w:shd w:val="clear" w:color="auto" w:fill="auto"/>
            <w:vAlign w:val="center"/>
            <w:hideMark/>
          </w:tcPr>
          <w:p w14:paraId="4D139E3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3,5</w:t>
            </w:r>
          </w:p>
        </w:tc>
        <w:tc>
          <w:tcPr>
            <w:tcW w:w="654" w:type="pct"/>
            <w:shd w:val="clear" w:color="auto" w:fill="auto"/>
            <w:vAlign w:val="center"/>
            <w:hideMark/>
          </w:tcPr>
          <w:p w14:paraId="04A8A34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3,5</w:t>
            </w:r>
          </w:p>
        </w:tc>
        <w:tc>
          <w:tcPr>
            <w:tcW w:w="656" w:type="pct"/>
            <w:shd w:val="clear" w:color="auto" w:fill="auto"/>
            <w:vAlign w:val="center"/>
            <w:hideMark/>
          </w:tcPr>
          <w:p w14:paraId="548BCC3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3,5</w:t>
            </w:r>
          </w:p>
        </w:tc>
      </w:tr>
      <w:tr w:rsidR="00761800" w:rsidRPr="00761800" w14:paraId="55D1E46C" w14:textId="77777777" w:rsidTr="00406B4D">
        <w:trPr>
          <w:trHeight w:val="300"/>
        </w:trPr>
        <w:tc>
          <w:tcPr>
            <w:tcW w:w="185" w:type="pct"/>
            <w:vMerge w:val="restart"/>
            <w:shd w:val="clear" w:color="auto" w:fill="auto"/>
            <w:hideMark/>
          </w:tcPr>
          <w:p w14:paraId="4F50E13B"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11.4.</w:t>
            </w:r>
          </w:p>
        </w:tc>
        <w:tc>
          <w:tcPr>
            <w:tcW w:w="1673" w:type="pct"/>
            <w:vMerge w:val="restart"/>
            <w:shd w:val="clear" w:color="auto" w:fill="auto"/>
            <w:hideMark/>
          </w:tcPr>
          <w:p w14:paraId="6CDD7DC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 фонд „Трудова злополука и професионална болест”</w:t>
            </w:r>
          </w:p>
        </w:tc>
        <w:tc>
          <w:tcPr>
            <w:tcW w:w="532" w:type="pct"/>
            <w:vMerge/>
            <w:shd w:val="clear" w:color="auto" w:fill="FBE4D5"/>
            <w:vAlign w:val="center"/>
            <w:hideMark/>
          </w:tcPr>
          <w:p w14:paraId="082F4A56"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19436F48"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0,7</w:t>
            </w:r>
          </w:p>
        </w:tc>
        <w:tc>
          <w:tcPr>
            <w:tcW w:w="654" w:type="pct"/>
            <w:shd w:val="clear" w:color="auto" w:fill="auto"/>
            <w:vAlign w:val="center"/>
            <w:hideMark/>
          </w:tcPr>
          <w:p w14:paraId="4B10CCC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0,7</w:t>
            </w:r>
          </w:p>
        </w:tc>
        <w:tc>
          <w:tcPr>
            <w:tcW w:w="654" w:type="pct"/>
            <w:shd w:val="clear" w:color="auto" w:fill="auto"/>
            <w:vAlign w:val="center"/>
            <w:hideMark/>
          </w:tcPr>
          <w:p w14:paraId="5E8E0F1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0,7</w:t>
            </w:r>
          </w:p>
        </w:tc>
        <w:tc>
          <w:tcPr>
            <w:tcW w:w="656" w:type="pct"/>
            <w:shd w:val="clear" w:color="auto" w:fill="auto"/>
            <w:vAlign w:val="center"/>
            <w:hideMark/>
          </w:tcPr>
          <w:p w14:paraId="0AE6DDA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0,7</w:t>
            </w:r>
          </w:p>
        </w:tc>
      </w:tr>
      <w:tr w:rsidR="00761800" w:rsidRPr="00761800" w14:paraId="71FA6CA3" w14:textId="77777777" w:rsidTr="00406B4D">
        <w:trPr>
          <w:trHeight w:val="765"/>
        </w:trPr>
        <w:tc>
          <w:tcPr>
            <w:tcW w:w="185" w:type="pct"/>
            <w:vMerge/>
            <w:vAlign w:val="center"/>
            <w:hideMark/>
          </w:tcPr>
          <w:p w14:paraId="7034E922" w14:textId="77777777" w:rsidR="00761800" w:rsidRPr="00761800" w:rsidRDefault="00761800" w:rsidP="00761800">
            <w:pPr>
              <w:rPr>
                <w:rFonts w:ascii="Times New Roman" w:hAnsi="Times New Roman"/>
                <w:b/>
                <w:bCs/>
                <w:sz w:val="20"/>
                <w:lang w:eastAsia="bg-BG"/>
              </w:rPr>
            </w:pPr>
          </w:p>
        </w:tc>
        <w:tc>
          <w:tcPr>
            <w:tcW w:w="1673" w:type="pct"/>
            <w:vMerge/>
            <w:vAlign w:val="center"/>
            <w:hideMark/>
          </w:tcPr>
          <w:p w14:paraId="38E0BEC1" w14:textId="77777777" w:rsidR="00761800" w:rsidRPr="00761800" w:rsidRDefault="00761800" w:rsidP="00761800">
            <w:pPr>
              <w:rPr>
                <w:rFonts w:ascii="Times New Roman" w:hAnsi="Times New Roman"/>
                <w:sz w:val="20"/>
                <w:lang w:eastAsia="bg-BG"/>
              </w:rPr>
            </w:pPr>
          </w:p>
        </w:tc>
        <w:tc>
          <w:tcPr>
            <w:tcW w:w="532" w:type="pct"/>
            <w:vMerge/>
            <w:shd w:val="clear" w:color="auto" w:fill="FBE4D5"/>
            <w:vAlign w:val="center"/>
            <w:hideMark/>
          </w:tcPr>
          <w:p w14:paraId="2102C044"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0196B57E"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(от 0,4 до 1,1 на сто в зависимост от степента на риска)</w:t>
            </w:r>
          </w:p>
        </w:tc>
        <w:tc>
          <w:tcPr>
            <w:tcW w:w="654" w:type="pct"/>
            <w:shd w:val="clear" w:color="auto" w:fill="auto"/>
            <w:vAlign w:val="center"/>
            <w:hideMark/>
          </w:tcPr>
          <w:p w14:paraId="0DBD4C8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(от 0,4 до 1,1 на сто в зависимост от степента на риска)</w:t>
            </w:r>
          </w:p>
        </w:tc>
        <w:tc>
          <w:tcPr>
            <w:tcW w:w="654" w:type="pct"/>
            <w:shd w:val="clear" w:color="auto" w:fill="auto"/>
            <w:vAlign w:val="center"/>
            <w:hideMark/>
          </w:tcPr>
          <w:p w14:paraId="322CF7B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(от 0,4 до 1,1 на сто в зависимост от степента на риска)</w:t>
            </w:r>
          </w:p>
        </w:tc>
        <w:tc>
          <w:tcPr>
            <w:tcW w:w="656" w:type="pct"/>
            <w:shd w:val="clear" w:color="auto" w:fill="auto"/>
            <w:vAlign w:val="center"/>
            <w:hideMark/>
          </w:tcPr>
          <w:p w14:paraId="0228CAD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(от 0,4 до 1,1 на сто в зависимост от степента на риска)</w:t>
            </w:r>
          </w:p>
        </w:tc>
      </w:tr>
      <w:tr w:rsidR="00761800" w:rsidRPr="00761800" w14:paraId="28D0D891" w14:textId="77777777" w:rsidTr="00406B4D">
        <w:trPr>
          <w:trHeight w:val="300"/>
        </w:trPr>
        <w:tc>
          <w:tcPr>
            <w:tcW w:w="185" w:type="pct"/>
            <w:tcBorders>
              <w:bottom w:val="single" w:sz="4" w:space="0" w:color="auto"/>
            </w:tcBorders>
            <w:shd w:val="clear" w:color="auto" w:fill="auto"/>
            <w:hideMark/>
          </w:tcPr>
          <w:p w14:paraId="2F269933"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11.5.</w:t>
            </w:r>
          </w:p>
        </w:tc>
        <w:tc>
          <w:tcPr>
            <w:tcW w:w="1673" w:type="pct"/>
            <w:tcBorders>
              <w:bottom w:val="single" w:sz="4" w:space="0" w:color="auto"/>
            </w:tcBorders>
            <w:shd w:val="clear" w:color="auto" w:fill="auto"/>
            <w:hideMark/>
          </w:tcPr>
          <w:p w14:paraId="76D0029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за фонд „Безработица”</w:t>
            </w:r>
          </w:p>
        </w:tc>
        <w:tc>
          <w:tcPr>
            <w:tcW w:w="532" w:type="pct"/>
            <w:tcBorders>
              <w:bottom w:val="single" w:sz="4" w:space="0" w:color="auto"/>
            </w:tcBorders>
            <w:shd w:val="clear" w:color="auto" w:fill="FBE4D5"/>
            <w:vAlign w:val="center"/>
            <w:hideMark/>
          </w:tcPr>
          <w:p w14:paraId="24FFEBCB" w14:textId="77777777" w:rsidR="00761800" w:rsidRPr="00761800" w:rsidRDefault="00761800" w:rsidP="00761800">
            <w:pPr>
              <w:jc w:val="center"/>
              <w:rPr>
                <w:rFonts w:ascii="Times New Roman" w:hAnsi="Times New Roman"/>
                <w:color w:val="000000"/>
                <w:sz w:val="20"/>
                <w:lang w:eastAsia="bg-BG"/>
              </w:rPr>
            </w:pPr>
          </w:p>
        </w:tc>
        <w:tc>
          <w:tcPr>
            <w:tcW w:w="645" w:type="pct"/>
            <w:tcBorders>
              <w:bottom w:val="single" w:sz="4" w:space="0" w:color="auto"/>
            </w:tcBorders>
            <w:shd w:val="clear" w:color="auto" w:fill="auto"/>
            <w:vAlign w:val="center"/>
            <w:hideMark/>
          </w:tcPr>
          <w:p w14:paraId="09058053"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w:t>
            </w:r>
          </w:p>
        </w:tc>
        <w:tc>
          <w:tcPr>
            <w:tcW w:w="654" w:type="pct"/>
            <w:tcBorders>
              <w:bottom w:val="single" w:sz="4" w:space="0" w:color="auto"/>
            </w:tcBorders>
            <w:shd w:val="clear" w:color="auto" w:fill="auto"/>
            <w:vAlign w:val="center"/>
            <w:hideMark/>
          </w:tcPr>
          <w:p w14:paraId="33189EC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w:t>
            </w:r>
          </w:p>
        </w:tc>
        <w:tc>
          <w:tcPr>
            <w:tcW w:w="654" w:type="pct"/>
            <w:tcBorders>
              <w:bottom w:val="single" w:sz="4" w:space="0" w:color="auto"/>
            </w:tcBorders>
            <w:shd w:val="clear" w:color="auto" w:fill="auto"/>
            <w:vAlign w:val="center"/>
            <w:hideMark/>
          </w:tcPr>
          <w:p w14:paraId="528F519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w:t>
            </w:r>
          </w:p>
        </w:tc>
        <w:tc>
          <w:tcPr>
            <w:tcW w:w="656" w:type="pct"/>
            <w:tcBorders>
              <w:bottom w:val="single" w:sz="4" w:space="0" w:color="auto"/>
            </w:tcBorders>
            <w:shd w:val="clear" w:color="auto" w:fill="auto"/>
            <w:vAlign w:val="center"/>
            <w:hideMark/>
          </w:tcPr>
          <w:p w14:paraId="5F39006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w:t>
            </w:r>
          </w:p>
        </w:tc>
      </w:tr>
      <w:tr w:rsidR="00761800" w:rsidRPr="00761800" w14:paraId="52AF7125" w14:textId="77777777" w:rsidTr="00406B4D">
        <w:trPr>
          <w:trHeight w:val="510"/>
        </w:trPr>
        <w:tc>
          <w:tcPr>
            <w:tcW w:w="185" w:type="pct"/>
            <w:tcBorders>
              <w:top w:val="single" w:sz="4" w:space="0" w:color="auto"/>
              <w:bottom w:val="single" w:sz="4" w:space="0" w:color="auto"/>
            </w:tcBorders>
            <w:shd w:val="clear" w:color="auto" w:fill="auto"/>
            <w:hideMark/>
          </w:tcPr>
          <w:p w14:paraId="6F10FD27"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12.</w:t>
            </w:r>
          </w:p>
        </w:tc>
        <w:tc>
          <w:tcPr>
            <w:tcW w:w="1673" w:type="pct"/>
            <w:tcBorders>
              <w:top w:val="single" w:sz="4" w:space="0" w:color="auto"/>
              <w:bottom w:val="single" w:sz="4" w:space="0" w:color="auto"/>
            </w:tcBorders>
            <w:shd w:val="clear" w:color="auto" w:fill="auto"/>
            <w:hideMark/>
          </w:tcPr>
          <w:p w14:paraId="79CCB02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осигурителната вноска за здравно осигуряване</w:t>
            </w:r>
          </w:p>
        </w:tc>
        <w:tc>
          <w:tcPr>
            <w:tcW w:w="532" w:type="pct"/>
            <w:tcBorders>
              <w:top w:val="single" w:sz="4" w:space="0" w:color="auto"/>
              <w:bottom w:val="single" w:sz="4" w:space="0" w:color="auto"/>
            </w:tcBorders>
            <w:shd w:val="clear" w:color="auto" w:fill="FBE4D5"/>
            <w:vAlign w:val="center"/>
            <w:hideMark/>
          </w:tcPr>
          <w:p w14:paraId="3C8E0901"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w:t>
            </w:r>
          </w:p>
        </w:tc>
        <w:tc>
          <w:tcPr>
            <w:tcW w:w="645" w:type="pct"/>
            <w:tcBorders>
              <w:top w:val="single" w:sz="4" w:space="0" w:color="auto"/>
              <w:bottom w:val="single" w:sz="4" w:space="0" w:color="auto"/>
            </w:tcBorders>
            <w:shd w:val="clear" w:color="auto" w:fill="auto"/>
            <w:vAlign w:val="center"/>
            <w:hideMark/>
          </w:tcPr>
          <w:p w14:paraId="2FFC408F"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8</w:t>
            </w:r>
          </w:p>
        </w:tc>
        <w:tc>
          <w:tcPr>
            <w:tcW w:w="654" w:type="pct"/>
            <w:tcBorders>
              <w:top w:val="single" w:sz="4" w:space="0" w:color="auto"/>
              <w:bottom w:val="single" w:sz="4" w:space="0" w:color="auto"/>
            </w:tcBorders>
            <w:shd w:val="clear" w:color="auto" w:fill="auto"/>
            <w:vAlign w:val="center"/>
            <w:hideMark/>
          </w:tcPr>
          <w:p w14:paraId="7B45759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w:t>
            </w:r>
          </w:p>
        </w:tc>
        <w:tc>
          <w:tcPr>
            <w:tcW w:w="654" w:type="pct"/>
            <w:tcBorders>
              <w:top w:val="single" w:sz="4" w:space="0" w:color="auto"/>
              <w:bottom w:val="single" w:sz="4" w:space="0" w:color="auto"/>
            </w:tcBorders>
            <w:shd w:val="clear" w:color="auto" w:fill="auto"/>
            <w:vAlign w:val="center"/>
            <w:hideMark/>
          </w:tcPr>
          <w:p w14:paraId="32BCA17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w:t>
            </w:r>
          </w:p>
        </w:tc>
        <w:tc>
          <w:tcPr>
            <w:tcW w:w="656" w:type="pct"/>
            <w:tcBorders>
              <w:top w:val="single" w:sz="4" w:space="0" w:color="auto"/>
              <w:bottom w:val="single" w:sz="4" w:space="0" w:color="auto"/>
            </w:tcBorders>
            <w:shd w:val="clear" w:color="auto" w:fill="auto"/>
            <w:vAlign w:val="center"/>
            <w:hideMark/>
          </w:tcPr>
          <w:p w14:paraId="098BC91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w:t>
            </w:r>
          </w:p>
        </w:tc>
      </w:tr>
      <w:tr w:rsidR="00761800" w:rsidRPr="00761800" w14:paraId="0BBE854C" w14:textId="77777777" w:rsidTr="00406B4D">
        <w:trPr>
          <w:trHeight w:val="765"/>
        </w:trPr>
        <w:tc>
          <w:tcPr>
            <w:tcW w:w="185" w:type="pct"/>
            <w:tcBorders>
              <w:top w:val="single" w:sz="4" w:space="0" w:color="auto"/>
              <w:bottom w:val="single" w:sz="4" w:space="0" w:color="auto"/>
            </w:tcBorders>
            <w:shd w:val="clear" w:color="auto" w:fill="auto"/>
            <w:hideMark/>
          </w:tcPr>
          <w:p w14:paraId="2F946BD7"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lastRenderedPageBreak/>
              <w:t>13.</w:t>
            </w:r>
          </w:p>
        </w:tc>
        <w:tc>
          <w:tcPr>
            <w:tcW w:w="1673" w:type="pct"/>
            <w:tcBorders>
              <w:top w:val="single" w:sz="4" w:space="0" w:color="auto"/>
              <w:bottom w:val="single" w:sz="4" w:space="0" w:color="auto"/>
            </w:tcBorders>
            <w:shd w:val="clear" w:color="auto" w:fill="auto"/>
            <w:hideMark/>
          </w:tcPr>
          <w:p w14:paraId="6BF9D0F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осигурителните вноски за допълнително задължително пенсионно осигуряване – универсални пенсионни фондове</w:t>
            </w:r>
          </w:p>
        </w:tc>
        <w:tc>
          <w:tcPr>
            <w:tcW w:w="532" w:type="pct"/>
            <w:tcBorders>
              <w:top w:val="single" w:sz="4" w:space="0" w:color="auto"/>
              <w:bottom w:val="single" w:sz="4" w:space="0" w:color="auto"/>
            </w:tcBorders>
            <w:shd w:val="clear" w:color="auto" w:fill="FBE4D5"/>
            <w:vAlign w:val="center"/>
            <w:hideMark/>
          </w:tcPr>
          <w:p w14:paraId="69D1DCCE"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w:t>
            </w:r>
          </w:p>
        </w:tc>
        <w:tc>
          <w:tcPr>
            <w:tcW w:w="645" w:type="pct"/>
            <w:tcBorders>
              <w:top w:val="single" w:sz="4" w:space="0" w:color="auto"/>
              <w:bottom w:val="single" w:sz="4" w:space="0" w:color="auto"/>
            </w:tcBorders>
            <w:shd w:val="clear" w:color="auto" w:fill="auto"/>
            <w:vAlign w:val="center"/>
            <w:hideMark/>
          </w:tcPr>
          <w:p w14:paraId="3310C5A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5</w:t>
            </w:r>
          </w:p>
        </w:tc>
        <w:tc>
          <w:tcPr>
            <w:tcW w:w="654" w:type="pct"/>
            <w:tcBorders>
              <w:top w:val="single" w:sz="4" w:space="0" w:color="auto"/>
              <w:bottom w:val="single" w:sz="4" w:space="0" w:color="auto"/>
            </w:tcBorders>
            <w:shd w:val="clear" w:color="auto" w:fill="auto"/>
            <w:vAlign w:val="center"/>
            <w:hideMark/>
          </w:tcPr>
          <w:p w14:paraId="257B199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w:t>
            </w:r>
          </w:p>
        </w:tc>
        <w:tc>
          <w:tcPr>
            <w:tcW w:w="654" w:type="pct"/>
            <w:tcBorders>
              <w:top w:val="single" w:sz="4" w:space="0" w:color="auto"/>
              <w:bottom w:val="single" w:sz="4" w:space="0" w:color="auto"/>
            </w:tcBorders>
            <w:shd w:val="clear" w:color="auto" w:fill="auto"/>
            <w:vAlign w:val="center"/>
            <w:hideMark/>
          </w:tcPr>
          <w:p w14:paraId="7E92919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w:t>
            </w:r>
          </w:p>
        </w:tc>
        <w:tc>
          <w:tcPr>
            <w:tcW w:w="656" w:type="pct"/>
            <w:tcBorders>
              <w:top w:val="single" w:sz="4" w:space="0" w:color="auto"/>
              <w:bottom w:val="single" w:sz="4" w:space="0" w:color="auto"/>
            </w:tcBorders>
            <w:shd w:val="clear" w:color="auto" w:fill="auto"/>
            <w:vAlign w:val="center"/>
            <w:hideMark/>
          </w:tcPr>
          <w:p w14:paraId="57E8743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w:t>
            </w:r>
          </w:p>
        </w:tc>
      </w:tr>
      <w:tr w:rsidR="00761800" w:rsidRPr="00761800" w14:paraId="11CFE7FD" w14:textId="77777777" w:rsidTr="00406B4D">
        <w:trPr>
          <w:trHeight w:val="510"/>
        </w:trPr>
        <w:tc>
          <w:tcPr>
            <w:tcW w:w="185" w:type="pct"/>
            <w:tcBorders>
              <w:top w:val="single" w:sz="4" w:space="0" w:color="auto"/>
              <w:bottom w:val="single" w:sz="4" w:space="0" w:color="auto"/>
            </w:tcBorders>
            <w:shd w:val="clear" w:color="auto" w:fill="auto"/>
            <w:hideMark/>
          </w:tcPr>
          <w:p w14:paraId="270C7400"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14.</w:t>
            </w:r>
          </w:p>
        </w:tc>
        <w:tc>
          <w:tcPr>
            <w:tcW w:w="1673" w:type="pct"/>
            <w:tcBorders>
              <w:top w:val="single" w:sz="4" w:space="0" w:color="auto"/>
              <w:bottom w:val="single" w:sz="4" w:space="0" w:color="auto"/>
            </w:tcBorders>
            <w:shd w:val="clear" w:color="auto" w:fill="auto"/>
            <w:hideMark/>
          </w:tcPr>
          <w:p w14:paraId="23CAF11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осигурителната вноска за Учителския пенсионен фонд</w:t>
            </w:r>
          </w:p>
        </w:tc>
        <w:tc>
          <w:tcPr>
            <w:tcW w:w="532" w:type="pct"/>
            <w:tcBorders>
              <w:top w:val="single" w:sz="4" w:space="0" w:color="auto"/>
              <w:bottom w:val="single" w:sz="4" w:space="0" w:color="auto"/>
            </w:tcBorders>
            <w:shd w:val="clear" w:color="auto" w:fill="FBE4D5"/>
            <w:vAlign w:val="center"/>
            <w:hideMark/>
          </w:tcPr>
          <w:p w14:paraId="3B9048C3"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w:t>
            </w:r>
          </w:p>
        </w:tc>
        <w:tc>
          <w:tcPr>
            <w:tcW w:w="645" w:type="pct"/>
            <w:tcBorders>
              <w:top w:val="single" w:sz="4" w:space="0" w:color="auto"/>
              <w:bottom w:val="single" w:sz="4" w:space="0" w:color="auto"/>
            </w:tcBorders>
            <w:shd w:val="clear" w:color="auto" w:fill="auto"/>
            <w:vAlign w:val="center"/>
            <w:hideMark/>
          </w:tcPr>
          <w:p w14:paraId="2944444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4,3</w:t>
            </w:r>
          </w:p>
        </w:tc>
        <w:tc>
          <w:tcPr>
            <w:tcW w:w="654" w:type="pct"/>
            <w:tcBorders>
              <w:top w:val="single" w:sz="4" w:space="0" w:color="auto"/>
              <w:bottom w:val="single" w:sz="4" w:space="0" w:color="auto"/>
            </w:tcBorders>
            <w:shd w:val="clear" w:color="auto" w:fill="auto"/>
            <w:vAlign w:val="center"/>
            <w:hideMark/>
          </w:tcPr>
          <w:p w14:paraId="3AFBE65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4,3</w:t>
            </w:r>
          </w:p>
        </w:tc>
        <w:tc>
          <w:tcPr>
            <w:tcW w:w="654" w:type="pct"/>
            <w:tcBorders>
              <w:top w:val="single" w:sz="4" w:space="0" w:color="auto"/>
              <w:bottom w:val="single" w:sz="4" w:space="0" w:color="auto"/>
            </w:tcBorders>
            <w:shd w:val="clear" w:color="auto" w:fill="auto"/>
            <w:vAlign w:val="center"/>
            <w:hideMark/>
          </w:tcPr>
          <w:p w14:paraId="6CC0077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4,3</w:t>
            </w:r>
          </w:p>
        </w:tc>
        <w:tc>
          <w:tcPr>
            <w:tcW w:w="656" w:type="pct"/>
            <w:tcBorders>
              <w:top w:val="single" w:sz="4" w:space="0" w:color="auto"/>
              <w:bottom w:val="single" w:sz="4" w:space="0" w:color="auto"/>
            </w:tcBorders>
            <w:shd w:val="clear" w:color="auto" w:fill="auto"/>
            <w:vAlign w:val="center"/>
            <w:hideMark/>
          </w:tcPr>
          <w:p w14:paraId="1DEC6AF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4,3</w:t>
            </w:r>
          </w:p>
        </w:tc>
      </w:tr>
      <w:tr w:rsidR="00761800" w:rsidRPr="00761800" w14:paraId="3FBF6C8F" w14:textId="77777777" w:rsidTr="00406B4D">
        <w:trPr>
          <w:trHeight w:val="1035"/>
        </w:trPr>
        <w:tc>
          <w:tcPr>
            <w:tcW w:w="185" w:type="pct"/>
            <w:vMerge w:val="restart"/>
            <w:tcBorders>
              <w:top w:val="single" w:sz="4" w:space="0" w:color="auto"/>
            </w:tcBorders>
            <w:shd w:val="clear" w:color="auto" w:fill="auto"/>
            <w:hideMark/>
          </w:tcPr>
          <w:p w14:paraId="7003841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15.</w:t>
            </w:r>
          </w:p>
        </w:tc>
        <w:tc>
          <w:tcPr>
            <w:tcW w:w="1673" w:type="pct"/>
            <w:vMerge w:val="restart"/>
            <w:tcBorders>
              <w:top w:val="single" w:sz="4" w:space="0" w:color="auto"/>
            </w:tcBorders>
            <w:shd w:val="clear" w:color="auto" w:fill="auto"/>
            <w:hideMark/>
          </w:tcPr>
          <w:p w14:paraId="51F0370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Размер на осигурителните вноски за допълнително задължително пенсионно осигуряване за работещите при условията на първа и втора категория труд - професионални пенсионни фондове </w:t>
            </w:r>
          </w:p>
        </w:tc>
        <w:tc>
          <w:tcPr>
            <w:tcW w:w="532" w:type="pct"/>
            <w:vMerge w:val="restart"/>
            <w:tcBorders>
              <w:top w:val="single" w:sz="4" w:space="0" w:color="auto"/>
            </w:tcBorders>
            <w:shd w:val="clear" w:color="auto" w:fill="FBE4D5"/>
            <w:vAlign w:val="center"/>
            <w:hideMark/>
          </w:tcPr>
          <w:p w14:paraId="077B25E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w:t>
            </w:r>
          </w:p>
        </w:tc>
        <w:tc>
          <w:tcPr>
            <w:tcW w:w="645" w:type="pct"/>
            <w:tcBorders>
              <w:top w:val="single" w:sz="4" w:space="0" w:color="auto"/>
            </w:tcBorders>
            <w:shd w:val="clear" w:color="auto" w:fill="auto"/>
            <w:vAlign w:val="center"/>
            <w:hideMark/>
          </w:tcPr>
          <w:p w14:paraId="1A6A41D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12 на сто - за лицата, работещи при условията на I категория труд;</w:t>
            </w:r>
          </w:p>
        </w:tc>
        <w:tc>
          <w:tcPr>
            <w:tcW w:w="654" w:type="pct"/>
            <w:tcBorders>
              <w:top w:val="single" w:sz="4" w:space="0" w:color="auto"/>
            </w:tcBorders>
            <w:shd w:val="clear" w:color="auto" w:fill="auto"/>
            <w:vAlign w:val="center"/>
            <w:hideMark/>
          </w:tcPr>
          <w:p w14:paraId="796CF26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 на сто - за лицата, работещи при условията на I категория труд;</w:t>
            </w:r>
          </w:p>
        </w:tc>
        <w:tc>
          <w:tcPr>
            <w:tcW w:w="654" w:type="pct"/>
            <w:tcBorders>
              <w:top w:val="single" w:sz="4" w:space="0" w:color="auto"/>
            </w:tcBorders>
            <w:shd w:val="clear" w:color="auto" w:fill="auto"/>
            <w:vAlign w:val="center"/>
            <w:hideMark/>
          </w:tcPr>
          <w:p w14:paraId="639B573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 на сто - за лицата, работещи при условията на I категория труд;</w:t>
            </w:r>
          </w:p>
        </w:tc>
        <w:tc>
          <w:tcPr>
            <w:tcW w:w="656" w:type="pct"/>
            <w:tcBorders>
              <w:top w:val="single" w:sz="4" w:space="0" w:color="auto"/>
            </w:tcBorders>
            <w:shd w:val="clear" w:color="auto" w:fill="auto"/>
            <w:vAlign w:val="center"/>
            <w:hideMark/>
          </w:tcPr>
          <w:p w14:paraId="596CD8A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 на сто - за лицата, работещи при условията на I категория труд;</w:t>
            </w:r>
          </w:p>
        </w:tc>
      </w:tr>
      <w:tr w:rsidR="00761800" w:rsidRPr="00761800" w14:paraId="7D6C71B8" w14:textId="77777777" w:rsidTr="00406B4D">
        <w:trPr>
          <w:trHeight w:val="1050"/>
        </w:trPr>
        <w:tc>
          <w:tcPr>
            <w:tcW w:w="185" w:type="pct"/>
            <w:vMerge/>
            <w:tcBorders>
              <w:bottom w:val="single" w:sz="4" w:space="0" w:color="auto"/>
            </w:tcBorders>
            <w:vAlign w:val="center"/>
            <w:hideMark/>
          </w:tcPr>
          <w:p w14:paraId="2DB47C26" w14:textId="77777777" w:rsidR="00761800" w:rsidRPr="00761800" w:rsidRDefault="00761800" w:rsidP="00761800">
            <w:pPr>
              <w:rPr>
                <w:rFonts w:ascii="Times New Roman" w:hAnsi="Times New Roman"/>
                <w:b/>
                <w:bCs/>
                <w:sz w:val="20"/>
                <w:lang w:eastAsia="bg-BG"/>
              </w:rPr>
            </w:pPr>
          </w:p>
        </w:tc>
        <w:tc>
          <w:tcPr>
            <w:tcW w:w="1673" w:type="pct"/>
            <w:vMerge/>
            <w:tcBorders>
              <w:bottom w:val="single" w:sz="4" w:space="0" w:color="auto"/>
            </w:tcBorders>
            <w:vAlign w:val="center"/>
            <w:hideMark/>
          </w:tcPr>
          <w:p w14:paraId="000B7B40" w14:textId="77777777" w:rsidR="00761800" w:rsidRPr="00761800" w:rsidRDefault="00761800" w:rsidP="00761800">
            <w:pPr>
              <w:rPr>
                <w:rFonts w:ascii="Times New Roman" w:hAnsi="Times New Roman"/>
                <w:sz w:val="20"/>
                <w:lang w:eastAsia="bg-BG"/>
              </w:rPr>
            </w:pPr>
          </w:p>
        </w:tc>
        <w:tc>
          <w:tcPr>
            <w:tcW w:w="532" w:type="pct"/>
            <w:vMerge/>
            <w:tcBorders>
              <w:bottom w:val="single" w:sz="4" w:space="0" w:color="auto"/>
            </w:tcBorders>
            <w:shd w:val="clear" w:color="auto" w:fill="FBE4D5"/>
            <w:vAlign w:val="center"/>
            <w:hideMark/>
          </w:tcPr>
          <w:p w14:paraId="5383F7A0" w14:textId="77777777" w:rsidR="00761800" w:rsidRPr="00761800" w:rsidRDefault="00761800" w:rsidP="00761800">
            <w:pPr>
              <w:rPr>
                <w:rFonts w:ascii="Times New Roman" w:hAnsi="Times New Roman"/>
                <w:color w:val="000000"/>
                <w:sz w:val="20"/>
                <w:lang w:eastAsia="bg-BG"/>
              </w:rPr>
            </w:pPr>
          </w:p>
        </w:tc>
        <w:tc>
          <w:tcPr>
            <w:tcW w:w="645" w:type="pct"/>
            <w:tcBorders>
              <w:bottom w:val="single" w:sz="4" w:space="0" w:color="auto"/>
            </w:tcBorders>
            <w:shd w:val="clear" w:color="auto" w:fill="auto"/>
            <w:vAlign w:val="center"/>
            <w:hideMark/>
          </w:tcPr>
          <w:p w14:paraId="08BFA9DE"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7 на сто - за лицата, работещи при условията на II категория труд</w:t>
            </w:r>
          </w:p>
        </w:tc>
        <w:tc>
          <w:tcPr>
            <w:tcW w:w="654" w:type="pct"/>
            <w:tcBorders>
              <w:bottom w:val="single" w:sz="4" w:space="0" w:color="auto"/>
            </w:tcBorders>
            <w:shd w:val="clear" w:color="auto" w:fill="auto"/>
            <w:vAlign w:val="center"/>
            <w:hideMark/>
          </w:tcPr>
          <w:p w14:paraId="3BE46A9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 на сто - за лицата, работещи при условията на II категория труд</w:t>
            </w:r>
          </w:p>
        </w:tc>
        <w:tc>
          <w:tcPr>
            <w:tcW w:w="654" w:type="pct"/>
            <w:tcBorders>
              <w:bottom w:val="single" w:sz="4" w:space="0" w:color="auto"/>
            </w:tcBorders>
            <w:shd w:val="clear" w:color="auto" w:fill="auto"/>
            <w:vAlign w:val="center"/>
            <w:hideMark/>
          </w:tcPr>
          <w:p w14:paraId="44DACF0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 на сто - за лицата, работещи при условията на II категория труд</w:t>
            </w:r>
          </w:p>
        </w:tc>
        <w:tc>
          <w:tcPr>
            <w:tcW w:w="656" w:type="pct"/>
            <w:tcBorders>
              <w:bottom w:val="single" w:sz="4" w:space="0" w:color="auto"/>
            </w:tcBorders>
            <w:shd w:val="clear" w:color="auto" w:fill="auto"/>
            <w:vAlign w:val="center"/>
            <w:hideMark/>
          </w:tcPr>
          <w:p w14:paraId="1944BF5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 на сто - за лицата, работещи при условията на II категория труд</w:t>
            </w:r>
          </w:p>
        </w:tc>
      </w:tr>
      <w:tr w:rsidR="00761800" w:rsidRPr="00761800" w14:paraId="1EFEE672" w14:textId="77777777" w:rsidTr="00406B4D">
        <w:trPr>
          <w:trHeight w:val="510"/>
        </w:trPr>
        <w:tc>
          <w:tcPr>
            <w:tcW w:w="185" w:type="pct"/>
            <w:tcBorders>
              <w:top w:val="single" w:sz="4" w:space="0" w:color="auto"/>
              <w:bottom w:val="single" w:sz="4" w:space="0" w:color="auto"/>
            </w:tcBorders>
            <w:shd w:val="clear" w:color="auto" w:fill="auto"/>
            <w:hideMark/>
          </w:tcPr>
          <w:p w14:paraId="4453A43E"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16.</w:t>
            </w:r>
          </w:p>
        </w:tc>
        <w:tc>
          <w:tcPr>
            <w:tcW w:w="1673" w:type="pct"/>
            <w:tcBorders>
              <w:top w:val="single" w:sz="4" w:space="0" w:color="auto"/>
              <w:bottom w:val="single" w:sz="4" w:space="0" w:color="auto"/>
            </w:tcBorders>
            <w:shd w:val="clear" w:color="auto" w:fill="auto"/>
            <w:hideMark/>
          </w:tcPr>
          <w:p w14:paraId="57D0B6D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вноската за фонд „Гарантирани вземания на работниците и служителите“</w:t>
            </w:r>
          </w:p>
        </w:tc>
        <w:tc>
          <w:tcPr>
            <w:tcW w:w="532" w:type="pct"/>
            <w:tcBorders>
              <w:top w:val="single" w:sz="4" w:space="0" w:color="auto"/>
              <w:bottom w:val="single" w:sz="4" w:space="0" w:color="auto"/>
            </w:tcBorders>
            <w:shd w:val="clear" w:color="auto" w:fill="FBE4D5"/>
            <w:vAlign w:val="center"/>
            <w:hideMark/>
          </w:tcPr>
          <w:p w14:paraId="7D041C0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w:t>
            </w:r>
          </w:p>
        </w:tc>
        <w:tc>
          <w:tcPr>
            <w:tcW w:w="645" w:type="pct"/>
            <w:tcBorders>
              <w:top w:val="single" w:sz="4" w:space="0" w:color="auto"/>
              <w:bottom w:val="single" w:sz="4" w:space="0" w:color="auto"/>
            </w:tcBorders>
            <w:shd w:val="clear" w:color="auto" w:fill="auto"/>
            <w:vAlign w:val="center"/>
            <w:hideMark/>
          </w:tcPr>
          <w:p w14:paraId="21B4B11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0</w:t>
            </w:r>
          </w:p>
        </w:tc>
        <w:tc>
          <w:tcPr>
            <w:tcW w:w="654" w:type="pct"/>
            <w:tcBorders>
              <w:top w:val="single" w:sz="4" w:space="0" w:color="auto"/>
              <w:bottom w:val="single" w:sz="4" w:space="0" w:color="auto"/>
            </w:tcBorders>
            <w:shd w:val="clear" w:color="auto" w:fill="auto"/>
            <w:vAlign w:val="center"/>
            <w:hideMark/>
          </w:tcPr>
          <w:p w14:paraId="2BFA397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w:t>
            </w:r>
          </w:p>
        </w:tc>
        <w:tc>
          <w:tcPr>
            <w:tcW w:w="654" w:type="pct"/>
            <w:tcBorders>
              <w:top w:val="single" w:sz="4" w:space="0" w:color="auto"/>
              <w:bottom w:val="single" w:sz="4" w:space="0" w:color="auto"/>
            </w:tcBorders>
            <w:shd w:val="clear" w:color="auto" w:fill="auto"/>
            <w:vAlign w:val="center"/>
            <w:hideMark/>
          </w:tcPr>
          <w:p w14:paraId="397A4A1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w:t>
            </w:r>
          </w:p>
        </w:tc>
        <w:tc>
          <w:tcPr>
            <w:tcW w:w="656" w:type="pct"/>
            <w:tcBorders>
              <w:top w:val="single" w:sz="4" w:space="0" w:color="auto"/>
              <w:bottom w:val="single" w:sz="4" w:space="0" w:color="auto"/>
            </w:tcBorders>
            <w:shd w:val="clear" w:color="auto" w:fill="auto"/>
            <w:vAlign w:val="center"/>
            <w:hideMark/>
          </w:tcPr>
          <w:p w14:paraId="237A1ED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0</w:t>
            </w:r>
          </w:p>
        </w:tc>
      </w:tr>
      <w:tr w:rsidR="00761800" w:rsidRPr="00761800" w14:paraId="1521C777" w14:textId="77777777" w:rsidTr="00406B4D">
        <w:trPr>
          <w:trHeight w:val="1530"/>
        </w:trPr>
        <w:tc>
          <w:tcPr>
            <w:tcW w:w="185" w:type="pct"/>
            <w:tcBorders>
              <w:top w:val="single" w:sz="4" w:space="0" w:color="auto"/>
              <w:bottom w:val="single" w:sz="4" w:space="0" w:color="auto"/>
            </w:tcBorders>
            <w:shd w:val="clear" w:color="auto" w:fill="auto"/>
            <w:hideMark/>
          </w:tcPr>
          <w:p w14:paraId="33DB54F1"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17.</w:t>
            </w:r>
          </w:p>
        </w:tc>
        <w:tc>
          <w:tcPr>
            <w:tcW w:w="1673" w:type="pct"/>
            <w:tcBorders>
              <w:top w:val="single" w:sz="4" w:space="0" w:color="auto"/>
              <w:bottom w:val="single" w:sz="4" w:space="0" w:color="auto"/>
            </w:tcBorders>
            <w:shd w:val="clear" w:color="auto" w:fill="auto"/>
            <w:hideMark/>
          </w:tcPr>
          <w:p w14:paraId="00567DD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Линия на бедност</w:t>
            </w:r>
          </w:p>
        </w:tc>
        <w:tc>
          <w:tcPr>
            <w:tcW w:w="532" w:type="pct"/>
            <w:tcBorders>
              <w:top w:val="single" w:sz="4" w:space="0" w:color="auto"/>
              <w:bottom w:val="single" w:sz="4" w:space="0" w:color="auto"/>
            </w:tcBorders>
            <w:shd w:val="clear" w:color="auto" w:fill="FBE4D5"/>
            <w:vAlign w:val="center"/>
            <w:hideMark/>
          </w:tcPr>
          <w:p w14:paraId="112758BC"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2D83E8C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326,20</w:t>
            </w:r>
          </w:p>
        </w:tc>
        <w:tc>
          <w:tcPr>
            <w:tcW w:w="654" w:type="pct"/>
            <w:tcBorders>
              <w:top w:val="single" w:sz="4" w:space="0" w:color="auto"/>
              <w:bottom w:val="single" w:sz="4" w:space="0" w:color="auto"/>
            </w:tcBorders>
            <w:shd w:val="clear" w:color="auto" w:fill="auto"/>
            <w:vAlign w:val="center"/>
            <w:hideMark/>
          </w:tcPr>
          <w:p w14:paraId="3886299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390,63</w:t>
            </w:r>
          </w:p>
        </w:tc>
        <w:tc>
          <w:tcPr>
            <w:tcW w:w="654" w:type="pct"/>
            <w:tcBorders>
              <w:top w:val="single" w:sz="4" w:space="0" w:color="auto"/>
              <w:bottom w:val="single" w:sz="4" w:space="0" w:color="auto"/>
            </w:tcBorders>
            <w:shd w:val="clear" w:color="auto" w:fill="auto"/>
            <w:vAlign w:val="center"/>
            <w:hideMark/>
          </w:tcPr>
          <w:p w14:paraId="0DF739B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Определена в съответствие с Методика за определяне на линията на бедност за страната, приета с ПМС № 241 от 2019 г.</w:t>
            </w:r>
          </w:p>
        </w:tc>
        <w:tc>
          <w:tcPr>
            <w:tcW w:w="656" w:type="pct"/>
            <w:tcBorders>
              <w:top w:val="single" w:sz="4" w:space="0" w:color="auto"/>
              <w:bottom w:val="single" w:sz="4" w:space="0" w:color="auto"/>
            </w:tcBorders>
            <w:shd w:val="clear" w:color="auto" w:fill="auto"/>
            <w:vAlign w:val="center"/>
            <w:hideMark/>
          </w:tcPr>
          <w:p w14:paraId="606EC8F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Определена в съответствие с Методика за определяне на линията на бедност за страната, приета с ПМС № 241 от 2019 г.</w:t>
            </w:r>
          </w:p>
        </w:tc>
      </w:tr>
      <w:tr w:rsidR="00761800" w:rsidRPr="00761800" w14:paraId="203090EC" w14:textId="77777777" w:rsidTr="00406B4D">
        <w:trPr>
          <w:trHeight w:val="1451"/>
        </w:trPr>
        <w:tc>
          <w:tcPr>
            <w:tcW w:w="185" w:type="pct"/>
            <w:tcBorders>
              <w:top w:val="single" w:sz="4" w:space="0" w:color="auto"/>
              <w:bottom w:val="single" w:sz="4" w:space="0" w:color="auto"/>
            </w:tcBorders>
            <w:shd w:val="clear" w:color="auto" w:fill="auto"/>
            <w:hideMark/>
          </w:tcPr>
          <w:p w14:paraId="4BEDD820"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18.</w:t>
            </w:r>
          </w:p>
        </w:tc>
        <w:tc>
          <w:tcPr>
            <w:tcW w:w="1673" w:type="pct"/>
            <w:tcBorders>
              <w:top w:val="single" w:sz="4" w:space="0" w:color="auto"/>
              <w:bottom w:val="single" w:sz="4" w:space="0" w:color="auto"/>
            </w:tcBorders>
            <w:shd w:val="clear" w:color="auto" w:fill="auto"/>
            <w:hideMark/>
          </w:tcPr>
          <w:p w14:paraId="7E8930C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Максимален месечен размер на осигурителния доход през календарната година</w:t>
            </w:r>
          </w:p>
        </w:tc>
        <w:tc>
          <w:tcPr>
            <w:tcW w:w="532" w:type="pct"/>
            <w:tcBorders>
              <w:top w:val="single" w:sz="4" w:space="0" w:color="auto"/>
              <w:bottom w:val="single" w:sz="4" w:space="0" w:color="auto"/>
            </w:tcBorders>
            <w:shd w:val="clear" w:color="auto" w:fill="FBE4D5"/>
            <w:vAlign w:val="center"/>
            <w:hideMark/>
          </w:tcPr>
          <w:p w14:paraId="7021CE89"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5BFD421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1 917,34 , считано от</w:t>
            </w:r>
            <w:r w:rsidRPr="00761800">
              <w:rPr>
                <w:rFonts w:ascii="Times New Roman" w:hAnsi="Times New Roman"/>
                <w:i/>
                <w:iCs/>
                <w:sz w:val="20"/>
                <w:lang w:eastAsia="bg-BG"/>
              </w:rPr>
              <w:br/>
              <w:t>1 януари;</w:t>
            </w:r>
            <w:r w:rsidRPr="00761800">
              <w:rPr>
                <w:rFonts w:ascii="Times New Roman" w:hAnsi="Times New Roman"/>
                <w:i/>
                <w:iCs/>
                <w:sz w:val="20"/>
                <w:lang w:eastAsia="bg-BG"/>
              </w:rPr>
              <w:br/>
              <w:t>2 111,64, считано от</w:t>
            </w:r>
            <w:r w:rsidRPr="00761800">
              <w:rPr>
                <w:rFonts w:ascii="Times New Roman" w:hAnsi="Times New Roman"/>
                <w:i/>
                <w:iCs/>
                <w:sz w:val="20"/>
                <w:lang w:eastAsia="bg-BG"/>
              </w:rPr>
              <w:br/>
              <w:t>1 април</w:t>
            </w:r>
          </w:p>
        </w:tc>
        <w:tc>
          <w:tcPr>
            <w:tcW w:w="654" w:type="pct"/>
            <w:tcBorders>
              <w:top w:val="single" w:sz="4" w:space="0" w:color="auto"/>
              <w:bottom w:val="single" w:sz="4" w:space="0" w:color="auto"/>
            </w:tcBorders>
            <w:shd w:val="clear" w:color="auto" w:fill="auto"/>
            <w:vAlign w:val="center"/>
            <w:hideMark/>
          </w:tcPr>
          <w:p w14:paraId="1DDD9B5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2 111,64 , считано от</w:t>
            </w:r>
            <w:r w:rsidRPr="00761800">
              <w:rPr>
                <w:rFonts w:ascii="Times New Roman" w:hAnsi="Times New Roman"/>
                <w:sz w:val="20"/>
                <w:lang w:eastAsia="bg-BG"/>
              </w:rPr>
              <w:br/>
              <w:t>1 януари;</w:t>
            </w:r>
            <w:r w:rsidRPr="00761800">
              <w:rPr>
                <w:rFonts w:ascii="Times New Roman" w:hAnsi="Times New Roman"/>
                <w:sz w:val="20"/>
                <w:lang w:eastAsia="bg-BG"/>
              </w:rPr>
              <w:br/>
              <w:t>2300, считано от</w:t>
            </w:r>
            <w:r w:rsidRPr="00761800">
              <w:rPr>
                <w:rFonts w:ascii="Times New Roman" w:hAnsi="Times New Roman"/>
                <w:sz w:val="20"/>
                <w:lang w:eastAsia="bg-BG"/>
              </w:rPr>
              <w:br/>
              <w:t>1 август</w:t>
            </w:r>
          </w:p>
        </w:tc>
        <w:tc>
          <w:tcPr>
            <w:tcW w:w="654" w:type="pct"/>
            <w:tcBorders>
              <w:top w:val="single" w:sz="4" w:space="0" w:color="auto"/>
              <w:bottom w:val="single" w:sz="4" w:space="0" w:color="auto"/>
            </w:tcBorders>
            <w:shd w:val="clear" w:color="auto" w:fill="auto"/>
            <w:vAlign w:val="center"/>
            <w:hideMark/>
          </w:tcPr>
          <w:p w14:paraId="599C2AE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2 300</w:t>
            </w:r>
          </w:p>
        </w:tc>
        <w:tc>
          <w:tcPr>
            <w:tcW w:w="656" w:type="pct"/>
            <w:tcBorders>
              <w:top w:val="single" w:sz="4" w:space="0" w:color="auto"/>
              <w:bottom w:val="single" w:sz="4" w:space="0" w:color="auto"/>
            </w:tcBorders>
            <w:shd w:val="clear" w:color="auto" w:fill="auto"/>
            <w:vAlign w:val="center"/>
            <w:hideMark/>
          </w:tcPr>
          <w:p w14:paraId="572777E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2 300</w:t>
            </w:r>
          </w:p>
        </w:tc>
      </w:tr>
      <w:tr w:rsidR="00761800" w:rsidRPr="00761800" w14:paraId="2D268D26" w14:textId="77777777" w:rsidTr="00406B4D">
        <w:trPr>
          <w:trHeight w:val="1020"/>
        </w:trPr>
        <w:tc>
          <w:tcPr>
            <w:tcW w:w="185" w:type="pct"/>
            <w:tcBorders>
              <w:top w:val="single" w:sz="4" w:space="0" w:color="auto"/>
              <w:bottom w:val="single" w:sz="4" w:space="0" w:color="auto"/>
            </w:tcBorders>
            <w:shd w:val="clear" w:color="auto" w:fill="auto"/>
            <w:hideMark/>
          </w:tcPr>
          <w:p w14:paraId="02346EB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19.</w:t>
            </w:r>
          </w:p>
        </w:tc>
        <w:tc>
          <w:tcPr>
            <w:tcW w:w="1673" w:type="pct"/>
            <w:tcBorders>
              <w:top w:val="single" w:sz="4" w:space="0" w:color="auto"/>
              <w:bottom w:val="single" w:sz="4" w:space="0" w:color="auto"/>
            </w:tcBorders>
            <w:shd w:val="clear" w:color="auto" w:fill="auto"/>
            <w:hideMark/>
          </w:tcPr>
          <w:p w14:paraId="30878F0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Минимален месечен размер на осигурителния доход през календарната година за самоосигуряващите се лица</w:t>
            </w:r>
          </w:p>
        </w:tc>
        <w:tc>
          <w:tcPr>
            <w:tcW w:w="532" w:type="pct"/>
            <w:tcBorders>
              <w:top w:val="single" w:sz="4" w:space="0" w:color="auto"/>
              <w:bottom w:val="single" w:sz="4" w:space="0" w:color="auto"/>
            </w:tcBorders>
            <w:shd w:val="clear" w:color="auto" w:fill="FBE4D5"/>
            <w:vAlign w:val="center"/>
            <w:hideMark/>
          </w:tcPr>
          <w:p w14:paraId="5B863298"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464FCD28"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xml:space="preserve">477, 04, считано от </w:t>
            </w:r>
            <w:r w:rsidRPr="00761800">
              <w:rPr>
                <w:rFonts w:ascii="Times New Roman" w:hAnsi="Times New Roman"/>
                <w:i/>
                <w:iCs/>
                <w:sz w:val="20"/>
                <w:lang w:eastAsia="bg-BG"/>
              </w:rPr>
              <w:br/>
              <w:t>1 януари;</w:t>
            </w:r>
            <w:r w:rsidRPr="00761800">
              <w:rPr>
                <w:rFonts w:ascii="Times New Roman" w:hAnsi="Times New Roman"/>
                <w:i/>
                <w:iCs/>
                <w:sz w:val="20"/>
                <w:lang w:eastAsia="bg-BG"/>
              </w:rPr>
              <w:br/>
              <w:t xml:space="preserve">550,66, считано от </w:t>
            </w:r>
            <w:r w:rsidRPr="00761800">
              <w:rPr>
                <w:rFonts w:ascii="Times New Roman" w:hAnsi="Times New Roman"/>
                <w:i/>
                <w:iCs/>
                <w:sz w:val="20"/>
                <w:lang w:eastAsia="bg-BG"/>
              </w:rPr>
              <w:br/>
              <w:t>1 април</w:t>
            </w:r>
          </w:p>
        </w:tc>
        <w:tc>
          <w:tcPr>
            <w:tcW w:w="654" w:type="pct"/>
            <w:tcBorders>
              <w:top w:val="single" w:sz="4" w:space="0" w:color="auto"/>
              <w:bottom w:val="single" w:sz="4" w:space="0" w:color="auto"/>
            </w:tcBorders>
            <w:shd w:val="clear" w:color="auto" w:fill="auto"/>
            <w:vAlign w:val="center"/>
            <w:hideMark/>
          </w:tcPr>
          <w:p w14:paraId="7E7E4C7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xml:space="preserve">550,66, считано от </w:t>
            </w:r>
            <w:r w:rsidRPr="00761800">
              <w:rPr>
                <w:rFonts w:ascii="Times New Roman" w:hAnsi="Times New Roman"/>
                <w:sz w:val="20"/>
                <w:lang w:eastAsia="bg-BG"/>
              </w:rPr>
              <w:br/>
              <w:t>1 януари;</w:t>
            </w:r>
            <w:r w:rsidRPr="00761800">
              <w:rPr>
                <w:rFonts w:ascii="Times New Roman" w:hAnsi="Times New Roman"/>
                <w:sz w:val="20"/>
                <w:lang w:eastAsia="bg-BG"/>
              </w:rPr>
              <w:br/>
              <w:t xml:space="preserve">620,20, считано от </w:t>
            </w:r>
            <w:r w:rsidRPr="00761800">
              <w:rPr>
                <w:rFonts w:ascii="Times New Roman" w:hAnsi="Times New Roman"/>
                <w:sz w:val="20"/>
                <w:lang w:eastAsia="bg-BG"/>
              </w:rPr>
              <w:br/>
              <w:t>1 август</w:t>
            </w:r>
          </w:p>
        </w:tc>
        <w:tc>
          <w:tcPr>
            <w:tcW w:w="654" w:type="pct"/>
            <w:tcBorders>
              <w:top w:val="single" w:sz="4" w:space="0" w:color="auto"/>
              <w:bottom w:val="single" w:sz="4" w:space="0" w:color="auto"/>
            </w:tcBorders>
            <w:shd w:val="clear" w:color="auto" w:fill="auto"/>
            <w:vAlign w:val="center"/>
            <w:hideMark/>
          </w:tcPr>
          <w:p w14:paraId="4E49A39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На равнището на МРЗ, съгласно нов механизъм.</w:t>
            </w:r>
          </w:p>
        </w:tc>
        <w:tc>
          <w:tcPr>
            <w:tcW w:w="656" w:type="pct"/>
            <w:tcBorders>
              <w:top w:val="single" w:sz="4" w:space="0" w:color="auto"/>
              <w:bottom w:val="single" w:sz="4" w:space="0" w:color="auto"/>
            </w:tcBorders>
            <w:shd w:val="clear" w:color="auto" w:fill="auto"/>
            <w:vAlign w:val="center"/>
            <w:hideMark/>
          </w:tcPr>
          <w:p w14:paraId="7A15B0A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xml:space="preserve">На равнището на МРЗ, съгласно нов механизъм. </w:t>
            </w:r>
          </w:p>
        </w:tc>
      </w:tr>
      <w:tr w:rsidR="00761800" w:rsidRPr="00761800" w14:paraId="405899EF" w14:textId="77777777" w:rsidTr="00406B4D">
        <w:trPr>
          <w:trHeight w:val="510"/>
        </w:trPr>
        <w:tc>
          <w:tcPr>
            <w:tcW w:w="185" w:type="pct"/>
            <w:tcBorders>
              <w:top w:val="single" w:sz="4" w:space="0" w:color="auto"/>
            </w:tcBorders>
            <w:shd w:val="clear" w:color="auto" w:fill="auto"/>
            <w:hideMark/>
          </w:tcPr>
          <w:p w14:paraId="3B01B12A"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20.</w:t>
            </w:r>
          </w:p>
        </w:tc>
        <w:tc>
          <w:tcPr>
            <w:tcW w:w="1673" w:type="pct"/>
            <w:tcBorders>
              <w:top w:val="single" w:sz="4" w:space="0" w:color="auto"/>
            </w:tcBorders>
            <w:shd w:val="clear" w:color="auto" w:fill="auto"/>
            <w:hideMark/>
          </w:tcPr>
          <w:p w14:paraId="4AF6613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Разпределение на осигурителните вноски между осигурители и осигурени лица</w:t>
            </w:r>
          </w:p>
        </w:tc>
        <w:tc>
          <w:tcPr>
            <w:tcW w:w="532" w:type="pct"/>
            <w:vMerge w:val="restart"/>
            <w:tcBorders>
              <w:top w:val="single" w:sz="4" w:space="0" w:color="auto"/>
            </w:tcBorders>
            <w:shd w:val="clear" w:color="auto" w:fill="FBE4D5"/>
            <w:vAlign w:val="center"/>
            <w:hideMark/>
          </w:tcPr>
          <w:p w14:paraId="68FD37D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w:t>
            </w:r>
          </w:p>
        </w:tc>
        <w:tc>
          <w:tcPr>
            <w:tcW w:w="645" w:type="pct"/>
            <w:tcBorders>
              <w:top w:val="single" w:sz="4" w:space="0" w:color="auto"/>
            </w:tcBorders>
            <w:shd w:val="clear" w:color="auto" w:fill="auto"/>
            <w:vAlign w:val="center"/>
            <w:hideMark/>
          </w:tcPr>
          <w:p w14:paraId="5554861A"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tcBorders>
              <w:top w:val="single" w:sz="4" w:space="0" w:color="auto"/>
            </w:tcBorders>
            <w:shd w:val="clear" w:color="auto" w:fill="auto"/>
            <w:vAlign w:val="center"/>
            <w:hideMark/>
          </w:tcPr>
          <w:p w14:paraId="26A9807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tcBorders>
              <w:top w:val="single" w:sz="4" w:space="0" w:color="auto"/>
            </w:tcBorders>
            <w:shd w:val="clear" w:color="auto" w:fill="auto"/>
            <w:vAlign w:val="center"/>
            <w:hideMark/>
          </w:tcPr>
          <w:p w14:paraId="4FB23A1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tcBorders>
              <w:top w:val="single" w:sz="4" w:space="0" w:color="auto"/>
            </w:tcBorders>
            <w:shd w:val="clear" w:color="auto" w:fill="auto"/>
            <w:vAlign w:val="center"/>
            <w:hideMark/>
          </w:tcPr>
          <w:p w14:paraId="036B243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0292CB34" w14:textId="77777777" w:rsidTr="00406B4D">
        <w:trPr>
          <w:trHeight w:val="300"/>
        </w:trPr>
        <w:tc>
          <w:tcPr>
            <w:tcW w:w="185" w:type="pct"/>
            <w:shd w:val="clear" w:color="auto" w:fill="auto"/>
            <w:hideMark/>
          </w:tcPr>
          <w:p w14:paraId="221644C3"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lastRenderedPageBreak/>
              <w:t> </w:t>
            </w:r>
          </w:p>
        </w:tc>
        <w:tc>
          <w:tcPr>
            <w:tcW w:w="1673" w:type="pct"/>
            <w:shd w:val="clear" w:color="auto" w:fill="auto"/>
            <w:hideMark/>
          </w:tcPr>
          <w:p w14:paraId="4B58A5A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w:t>
            </w:r>
          </w:p>
        </w:tc>
        <w:tc>
          <w:tcPr>
            <w:tcW w:w="532" w:type="pct"/>
            <w:vMerge/>
            <w:shd w:val="clear" w:color="auto" w:fill="FBE4D5"/>
            <w:vAlign w:val="center"/>
            <w:hideMark/>
          </w:tcPr>
          <w:p w14:paraId="22D72BEB"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33BC97B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6514E39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6D6B830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508E6A5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33C9BE97" w14:textId="77777777" w:rsidTr="00406B4D">
        <w:trPr>
          <w:trHeight w:val="765"/>
        </w:trPr>
        <w:tc>
          <w:tcPr>
            <w:tcW w:w="185" w:type="pct"/>
            <w:shd w:val="clear" w:color="auto" w:fill="auto"/>
            <w:hideMark/>
          </w:tcPr>
          <w:p w14:paraId="548A2876"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20.1.</w:t>
            </w:r>
          </w:p>
        </w:tc>
        <w:tc>
          <w:tcPr>
            <w:tcW w:w="1673" w:type="pct"/>
            <w:shd w:val="clear" w:color="auto" w:fill="auto"/>
            <w:hideMark/>
          </w:tcPr>
          <w:p w14:paraId="533F14E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Разпределение на осигурителните вноски между осигурители и осигурени лица за фонд „Общо заболяване и майчинство“ и фонд „Безработица“*</w:t>
            </w:r>
          </w:p>
        </w:tc>
        <w:tc>
          <w:tcPr>
            <w:tcW w:w="532" w:type="pct"/>
            <w:shd w:val="clear" w:color="auto" w:fill="FBE4D5"/>
            <w:vAlign w:val="center"/>
            <w:hideMark/>
          </w:tcPr>
          <w:p w14:paraId="3611D130"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съотношение</w:t>
            </w:r>
          </w:p>
        </w:tc>
        <w:tc>
          <w:tcPr>
            <w:tcW w:w="645" w:type="pct"/>
            <w:shd w:val="clear" w:color="auto" w:fill="auto"/>
            <w:vAlign w:val="center"/>
            <w:hideMark/>
          </w:tcPr>
          <w:p w14:paraId="6492EE2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60:40  </w:t>
            </w:r>
          </w:p>
        </w:tc>
        <w:tc>
          <w:tcPr>
            <w:tcW w:w="654" w:type="pct"/>
            <w:shd w:val="clear" w:color="auto" w:fill="auto"/>
            <w:vAlign w:val="center"/>
            <w:hideMark/>
          </w:tcPr>
          <w:p w14:paraId="73C77EE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60:40  </w:t>
            </w:r>
          </w:p>
        </w:tc>
        <w:tc>
          <w:tcPr>
            <w:tcW w:w="654" w:type="pct"/>
            <w:shd w:val="clear" w:color="auto" w:fill="auto"/>
            <w:vAlign w:val="center"/>
            <w:hideMark/>
          </w:tcPr>
          <w:p w14:paraId="475D106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60:40  </w:t>
            </w:r>
          </w:p>
        </w:tc>
        <w:tc>
          <w:tcPr>
            <w:tcW w:w="656" w:type="pct"/>
            <w:shd w:val="clear" w:color="auto" w:fill="auto"/>
            <w:vAlign w:val="center"/>
            <w:hideMark/>
          </w:tcPr>
          <w:p w14:paraId="584A41C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60:40  </w:t>
            </w:r>
          </w:p>
        </w:tc>
      </w:tr>
      <w:tr w:rsidR="00761800" w:rsidRPr="00761800" w14:paraId="486A5307" w14:textId="77777777" w:rsidTr="00406B4D">
        <w:trPr>
          <w:trHeight w:val="855"/>
        </w:trPr>
        <w:tc>
          <w:tcPr>
            <w:tcW w:w="185" w:type="pct"/>
            <w:vMerge w:val="restart"/>
            <w:shd w:val="clear" w:color="auto" w:fill="auto"/>
            <w:hideMark/>
          </w:tcPr>
          <w:p w14:paraId="5DA17E25"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20.2.</w:t>
            </w:r>
          </w:p>
        </w:tc>
        <w:tc>
          <w:tcPr>
            <w:tcW w:w="1673" w:type="pct"/>
            <w:vMerge w:val="restart"/>
            <w:shd w:val="clear" w:color="auto" w:fill="auto"/>
            <w:hideMark/>
          </w:tcPr>
          <w:p w14:paraId="177142B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осигурителната вноска за фонд „Пенсии“ за осигурители и осигурени лица*</w:t>
            </w:r>
          </w:p>
        </w:tc>
        <w:tc>
          <w:tcPr>
            <w:tcW w:w="532" w:type="pct"/>
            <w:vMerge w:val="restart"/>
            <w:shd w:val="clear" w:color="auto" w:fill="FBE4D5"/>
            <w:vAlign w:val="center"/>
            <w:hideMark/>
          </w:tcPr>
          <w:p w14:paraId="6F19F259"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w:t>
            </w:r>
          </w:p>
        </w:tc>
        <w:tc>
          <w:tcPr>
            <w:tcW w:w="645" w:type="pct"/>
            <w:shd w:val="clear" w:color="auto" w:fill="auto"/>
            <w:vAlign w:val="center"/>
            <w:hideMark/>
          </w:tcPr>
          <w:p w14:paraId="5173282F"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11,02:8,78 за лицата родени преди 1 януари 1960 г.</w:t>
            </w:r>
          </w:p>
        </w:tc>
        <w:tc>
          <w:tcPr>
            <w:tcW w:w="654" w:type="pct"/>
            <w:shd w:val="clear" w:color="auto" w:fill="auto"/>
            <w:vAlign w:val="center"/>
            <w:hideMark/>
          </w:tcPr>
          <w:p w14:paraId="49D9639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11,02:8,78 за лицата родени преди 1 януари 1960 г.</w:t>
            </w:r>
          </w:p>
        </w:tc>
        <w:tc>
          <w:tcPr>
            <w:tcW w:w="654" w:type="pct"/>
            <w:shd w:val="clear" w:color="auto" w:fill="auto"/>
            <w:vAlign w:val="center"/>
            <w:hideMark/>
          </w:tcPr>
          <w:p w14:paraId="33CFAEB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11,02:8,78 за лицата родени преди 1 януари 1960 г.</w:t>
            </w:r>
          </w:p>
        </w:tc>
        <w:tc>
          <w:tcPr>
            <w:tcW w:w="656" w:type="pct"/>
            <w:shd w:val="clear" w:color="auto" w:fill="auto"/>
            <w:vAlign w:val="center"/>
            <w:hideMark/>
          </w:tcPr>
          <w:p w14:paraId="416E882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11,02:8,78 за лицата родени преди 1 януари 1960 г.</w:t>
            </w:r>
          </w:p>
        </w:tc>
      </w:tr>
      <w:tr w:rsidR="00761800" w:rsidRPr="00761800" w14:paraId="338FEBE8" w14:textId="77777777" w:rsidTr="00406B4D">
        <w:trPr>
          <w:trHeight w:val="840"/>
        </w:trPr>
        <w:tc>
          <w:tcPr>
            <w:tcW w:w="185" w:type="pct"/>
            <w:vMerge/>
            <w:vAlign w:val="center"/>
            <w:hideMark/>
          </w:tcPr>
          <w:p w14:paraId="32000DFC" w14:textId="77777777" w:rsidR="00761800" w:rsidRPr="00761800" w:rsidRDefault="00761800" w:rsidP="00761800">
            <w:pPr>
              <w:rPr>
                <w:rFonts w:ascii="Times New Roman" w:hAnsi="Times New Roman"/>
                <w:b/>
                <w:bCs/>
                <w:sz w:val="20"/>
                <w:lang w:eastAsia="bg-BG"/>
              </w:rPr>
            </w:pPr>
          </w:p>
        </w:tc>
        <w:tc>
          <w:tcPr>
            <w:tcW w:w="1673" w:type="pct"/>
            <w:vMerge/>
            <w:vAlign w:val="center"/>
            <w:hideMark/>
          </w:tcPr>
          <w:p w14:paraId="4725393D" w14:textId="77777777" w:rsidR="00761800" w:rsidRPr="00761800" w:rsidRDefault="00761800" w:rsidP="00761800">
            <w:pPr>
              <w:rPr>
                <w:rFonts w:ascii="Times New Roman" w:hAnsi="Times New Roman"/>
                <w:sz w:val="20"/>
                <w:lang w:eastAsia="bg-BG"/>
              </w:rPr>
            </w:pPr>
          </w:p>
        </w:tc>
        <w:tc>
          <w:tcPr>
            <w:tcW w:w="532" w:type="pct"/>
            <w:vMerge/>
            <w:shd w:val="clear" w:color="auto" w:fill="FBE4D5"/>
            <w:vAlign w:val="center"/>
            <w:hideMark/>
          </w:tcPr>
          <w:p w14:paraId="7A11B7F1"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14CA9024"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8,22:6,58 за лицата, родени след 31 декември 1959 г.</w:t>
            </w:r>
          </w:p>
        </w:tc>
        <w:tc>
          <w:tcPr>
            <w:tcW w:w="654" w:type="pct"/>
            <w:shd w:val="clear" w:color="auto" w:fill="auto"/>
            <w:vAlign w:val="center"/>
            <w:hideMark/>
          </w:tcPr>
          <w:p w14:paraId="3A0864A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8,22:6,58 за лицата, родени след 31 декември 1959 г.</w:t>
            </w:r>
          </w:p>
        </w:tc>
        <w:tc>
          <w:tcPr>
            <w:tcW w:w="654" w:type="pct"/>
            <w:shd w:val="clear" w:color="auto" w:fill="auto"/>
            <w:vAlign w:val="center"/>
            <w:hideMark/>
          </w:tcPr>
          <w:p w14:paraId="6F0A67F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8,22:6,58 за лицата, родени след 31 декември 1959 г.</w:t>
            </w:r>
          </w:p>
        </w:tc>
        <w:tc>
          <w:tcPr>
            <w:tcW w:w="656" w:type="pct"/>
            <w:shd w:val="clear" w:color="auto" w:fill="auto"/>
            <w:vAlign w:val="center"/>
            <w:hideMark/>
          </w:tcPr>
          <w:p w14:paraId="7D43F80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8,22:6,58 за лицата, родени след 31 декември 1959 г.</w:t>
            </w:r>
          </w:p>
        </w:tc>
      </w:tr>
      <w:tr w:rsidR="00761800" w:rsidRPr="00761800" w14:paraId="4912A819" w14:textId="77777777" w:rsidTr="00406B4D">
        <w:trPr>
          <w:trHeight w:val="510"/>
        </w:trPr>
        <w:tc>
          <w:tcPr>
            <w:tcW w:w="185" w:type="pct"/>
            <w:tcBorders>
              <w:bottom w:val="single" w:sz="4" w:space="0" w:color="auto"/>
            </w:tcBorders>
            <w:shd w:val="clear" w:color="auto" w:fill="auto"/>
            <w:hideMark/>
          </w:tcPr>
          <w:p w14:paraId="3359ED63"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20.3.</w:t>
            </w:r>
          </w:p>
        </w:tc>
        <w:tc>
          <w:tcPr>
            <w:tcW w:w="1673" w:type="pct"/>
            <w:tcBorders>
              <w:bottom w:val="single" w:sz="4" w:space="0" w:color="auto"/>
            </w:tcBorders>
            <w:shd w:val="clear" w:color="auto" w:fill="auto"/>
            <w:hideMark/>
          </w:tcPr>
          <w:p w14:paraId="1BF4BB1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Разпределение на здравноосигурителната вноска между осигурители и осигурени лица*</w:t>
            </w:r>
          </w:p>
        </w:tc>
        <w:tc>
          <w:tcPr>
            <w:tcW w:w="532" w:type="pct"/>
            <w:tcBorders>
              <w:bottom w:val="single" w:sz="4" w:space="0" w:color="auto"/>
            </w:tcBorders>
            <w:shd w:val="clear" w:color="auto" w:fill="FBE4D5"/>
            <w:vAlign w:val="center"/>
            <w:hideMark/>
          </w:tcPr>
          <w:p w14:paraId="16BA502D"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съотношение</w:t>
            </w:r>
          </w:p>
        </w:tc>
        <w:tc>
          <w:tcPr>
            <w:tcW w:w="645" w:type="pct"/>
            <w:tcBorders>
              <w:bottom w:val="single" w:sz="4" w:space="0" w:color="auto"/>
            </w:tcBorders>
            <w:shd w:val="clear" w:color="auto" w:fill="auto"/>
            <w:vAlign w:val="center"/>
            <w:hideMark/>
          </w:tcPr>
          <w:p w14:paraId="04A29AA1"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60:40  </w:t>
            </w:r>
          </w:p>
        </w:tc>
        <w:tc>
          <w:tcPr>
            <w:tcW w:w="654" w:type="pct"/>
            <w:tcBorders>
              <w:bottom w:val="single" w:sz="4" w:space="0" w:color="auto"/>
            </w:tcBorders>
            <w:shd w:val="clear" w:color="auto" w:fill="auto"/>
            <w:vAlign w:val="center"/>
            <w:hideMark/>
          </w:tcPr>
          <w:p w14:paraId="6D12C28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60:40  </w:t>
            </w:r>
          </w:p>
        </w:tc>
        <w:tc>
          <w:tcPr>
            <w:tcW w:w="654" w:type="pct"/>
            <w:tcBorders>
              <w:bottom w:val="single" w:sz="4" w:space="0" w:color="auto"/>
            </w:tcBorders>
            <w:shd w:val="clear" w:color="auto" w:fill="auto"/>
            <w:vAlign w:val="center"/>
            <w:hideMark/>
          </w:tcPr>
          <w:p w14:paraId="03BD2C5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60:40  </w:t>
            </w:r>
          </w:p>
        </w:tc>
        <w:tc>
          <w:tcPr>
            <w:tcW w:w="656" w:type="pct"/>
            <w:tcBorders>
              <w:bottom w:val="single" w:sz="4" w:space="0" w:color="auto"/>
            </w:tcBorders>
            <w:shd w:val="clear" w:color="auto" w:fill="auto"/>
            <w:vAlign w:val="center"/>
            <w:hideMark/>
          </w:tcPr>
          <w:p w14:paraId="0B5B4FD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60:40  </w:t>
            </w:r>
          </w:p>
        </w:tc>
      </w:tr>
      <w:tr w:rsidR="00761800" w:rsidRPr="00761800" w14:paraId="5B713874" w14:textId="77777777" w:rsidTr="00406B4D">
        <w:trPr>
          <w:trHeight w:val="765"/>
        </w:trPr>
        <w:tc>
          <w:tcPr>
            <w:tcW w:w="185" w:type="pct"/>
            <w:tcBorders>
              <w:top w:val="single" w:sz="4" w:space="0" w:color="auto"/>
              <w:bottom w:val="single" w:sz="4" w:space="0" w:color="auto"/>
            </w:tcBorders>
            <w:shd w:val="clear" w:color="auto" w:fill="auto"/>
            <w:hideMark/>
          </w:tcPr>
          <w:p w14:paraId="6BC79B60"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21.</w:t>
            </w:r>
          </w:p>
        </w:tc>
        <w:tc>
          <w:tcPr>
            <w:tcW w:w="1673" w:type="pct"/>
            <w:tcBorders>
              <w:top w:val="single" w:sz="4" w:space="0" w:color="auto"/>
              <w:bottom w:val="single" w:sz="4" w:space="0" w:color="auto"/>
            </w:tcBorders>
            <w:shd w:val="clear" w:color="auto" w:fill="auto"/>
            <w:hideMark/>
          </w:tcPr>
          <w:p w14:paraId="63A098F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Минимален размер на пенсията за осигурителен стаж и възраст</w:t>
            </w:r>
          </w:p>
        </w:tc>
        <w:tc>
          <w:tcPr>
            <w:tcW w:w="532" w:type="pct"/>
            <w:tcBorders>
              <w:top w:val="single" w:sz="4" w:space="0" w:color="auto"/>
              <w:bottom w:val="single" w:sz="4" w:space="0" w:color="auto"/>
            </w:tcBorders>
            <w:shd w:val="clear" w:color="auto" w:fill="FBE4D5"/>
            <w:vAlign w:val="center"/>
            <w:hideMark/>
          </w:tcPr>
          <w:p w14:paraId="23198644"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w:t>
            </w:r>
          </w:p>
        </w:tc>
        <w:tc>
          <w:tcPr>
            <w:tcW w:w="645" w:type="pct"/>
            <w:tcBorders>
              <w:top w:val="single" w:sz="4" w:space="0" w:color="auto"/>
              <w:bottom w:val="single" w:sz="4" w:space="0" w:color="auto"/>
            </w:tcBorders>
            <w:shd w:val="clear" w:color="auto" w:fill="auto"/>
            <w:vAlign w:val="center"/>
            <w:hideMark/>
          </w:tcPr>
          <w:p w14:paraId="2540913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Увеличение с процента по чл. 100 от КСО, считано от 1 юли</w:t>
            </w:r>
          </w:p>
        </w:tc>
        <w:tc>
          <w:tcPr>
            <w:tcW w:w="654" w:type="pct"/>
            <w:tcBorders>
              <w:top w:val="single" w:sz="4" w:space="0" w:color="auto"/>
              <w:bottom w:val="single" w:sz="4" w:space="0" w:color="auto"/>
            </w:tcBorders>
            <w:shd w:val="clear" w:color="auto" w:fill="auto"/>
            <w:vAlign w:val="center"/>
            <w:hideMark/>
          </w:tcPr>
          <w:p w14:paraId="390F621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Увеличение с процента по чл. 100 от КСО, считано от 1 юли</w:t>
            </w:r>
          </w:p>
        </w:tc>
        <w:tc>
          <w:tcPr>
            <w:tcW w:w="654" w:type="pct"/>
            <w:tcBorders>
              <w:top w:val="single" w:sz="4" w:space="0" w:color="auto"/>
              <w:bottom w:val="single" w:sz="4" w:space="0" w:color="auto"/>
            </w:tcBorders>
            <w:shd w:val="clear" w:color="auto" w:fill="auto"/>
            <w:vAlign w:val="center"/>
            <w:hideMark/>
          </w:tcPr>
          <w:p w14:paraId="1E31E86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Увеличение с процента по чл. 100 от КСО, считано от 1 юли</w:t>
            </w:r>
          </w:p>
        </w:tc>
        <w:tc>
          <w:tcPr>
            <w:tcW w:w="656" w:type="pct"/>
            <w:tcBorders>
              <w:top w:val="single" w:sz="4" w:space="0" w:color="auto"/>
              <w:bottom w:val="single" w:sz="4" w:space="0" w:color="auto"/>
            </w:tcBorders>
            <w:shd w:val="clear" w:color="auto" w:fill="auto"/>
            <w:vAlign w:val="center"/>
            <w:hideMark/>
          </w:tcPr>
          <w:p w14:paraId="7BADF3D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Увеличение с процента по чл. 100 от КСО, считано от 1 юли</w:t>
            </w:r>
          </w:p>
        </w:tc>
      </w:tr>
      <w:tr w:rsidR="00761800" w:rsidRPr="00761800" w14:paraId="6D79ED63" w14:textId="77777777" w:rsidTr="00406B4D">
        <w:trPr>
          <w:trHeight w:val="510"/>
        </w:trPr>
        <w:tc>
          <w:tcPr>
            <w:tcW w:w="185" w:type="pct"/>
            <w:tcBorders>
              <w:top w:val="single" w:sz="4" w:space="0" w:color="auto"/>
              <w:bottom w:val="single" w:sz="4" w:space="0" w:color="auto"/>
            </w:tcBorders>
            <w:shd w:val="clear" w:color="auto" w:fill="auto"/>
            <w:hideMark/>
          </w:tcPr>
          <w:p w14:paraId="218FABF5"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22.</w:t>
            </w:r>
          </w:p>
        </w:tc>
        <w:tc>
          <w:tcPr>
            <w:tcW w:w="1673" w:type="pct"/>
            <w:tcBorders>
              <w:top w:val="single" w:sz="4" w:space="0" w:color="auto"/>
              <w:bottom w:val="single" w:sz="4" w:space="0" w:color="auto"/>
            </w:tcBorders>
            <w:shd w:val="clear" w:color="auto" w:fill="auto"/>
            <w:hideMark/>
          </w:tcPr>
          <w:p w14:paraId="1FC4AC7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Максимален размер на получаваните една или повече пенсии</w:t>
            </w:r>
          </w:p>
        </w:tc>
        <w:tc>
          <w:tcPr>
            <w:tcW w:w="532" w:type="pct"/>
            <w:tcBorders>
              <w:top w:val="single" w:sz="4" w:space="0" w:color="auto"/>
              <w:bottom w:val="single" w:sz="4" w:space="0" w:color="auto"/>
            </w:tcBorders>
            <w:shd w:val="clear" w:color="auto" w:fill="FBE4D5"/>
            <w:vAlign w:val="center"/>
            <w:hideMark/>
          </w:tcPr>
          <w:p w14:paraId="571968F6"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04DC7864"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1 738,39</w:t>
            </w:r>
          </w:p>
        </w:tc>
        <w:tc>
          <w:tcPr>
            <w:tcW w:w="654" w:type="pct"/>
            <w:tcBorders>
              <w:top w:val="single" w:sz="4" w:space="0" w:color="auto"/>
              <w:bottom w:val="single" w:sz="4" w:space="0" w:color="auto"/>
            </w:tcBorders>
            <w:shd w:val="clear" w:color="auto" w:fill="auto"/>
            <w:vAlign w:val="center"/>
            <w:hideMark/>
          </w:tcPr>
          <w:p w14:paraId="190351B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1 738,40</w:t>
            </w:r>
          </w:p>
        </w:tc>
        <w:tc>
          <w:tcPr>
            <w:tcW w:w="654" w:type="pct"/>
            <w:tcBorders>
              <w:top w:val="single" w:sz="4" w:space="0" w:color="auto"/>
              <w:bottom w:val="single" w:sz="4" w:space="0" w:color="auto"/>
            </w:tcBorders>
            <w:shd w:val="clear" w:color="auto" w:fill="auto"/>
            <w:vAlign w:val="center"/>
            <w:hideMark/>
          </w:tcPr>
          <w:p w14:paraId="2F61EA7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1 738,40</w:t>
            </w:r>
          </w:p>
        </w:tc>
        <w:tc>
          <w:tcPr>
            <w:tcW w:w="656" w:type="pct"/>
            <w:tcBorders>
              <w:top w:val="single" w:sz="4" w:space="0" w:color="auto"/>
              <w:bottom w:val="single" w:sz="4" w:space="0" w:color="auto"/>
            </w:tcBorders>
            <w:shd w:val="clear" w:color="auto" w:fill="auto"/>
            <w:vAlign w:val="center"/>
            <w:hideMark/>
          </w:tcPr>
          <w:p w14:paraId="5A6B9D2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1 738,40</w:t>
            </w:r>
          </w:p>
        </w:tc>
      </w:tr>
      <w:tr w:rsidR="00761800" w:rsidRPr="00761800" w14:paraId="3C07F8F5" w14:textId="77777777" w:rsidTr="00406B4D">
        <w:trPr>
          <w:trHeight w:val="765"/>
        </w:trPr>
        <w:tc>
          <w:tcPr>
            <w:tcW w:w="185" w:type="pct"/>
            <w:tcBorders>
              <w:top w:val="single" w:sz="4" w:space="0" w:color="auto"/>
              <w:bottom w:val="single" w:sz="4" w:space="0" w:color="auto"/>
            </w:tcBorders>
            <w:shd w:val="clear" w:color="auto" w:fill="auto"/>
            <w:hideMark/>
          </w:tcPr>
          <w:p w14:paraId="7994DC95"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23.</w:t>
            </w:r>
          </w:p>
        </w:tc>
        <w:tc>
          <w:tcPr>
            <w:tcW w:w="1673" w:type="pct"/>
            <w:tcBorders>
              <w:top w:val="single" w:sz="4" w:space="0" w:color="auto"/>
              <w:bottom w:val="single" w:sz="4" w:space="0" w:color="auto"/>
            </w:tcBorders>
            <w:shd w:val="clear" w:color="auto" w:fill="auto"/>
            <w:hideMark/>
          </w:tcPr>
          <w:p w14:paraId="5EDF367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Пенсионна политика</w:t>
            </w:r>
          </w:p>
        </w:tc>
        <w:tc>
          <w:tcPr>
            <w:tcW w:w="532" w:type="pct"/>
            <w:tcBorders>
              <w:top w:val="single" w:sz="4" w:space="0" w:color="auto"/>
              <w:bottom w:val="single" w:sz="4" w:space="0" w:color="auto"/>
            </w:tcBorders>
            <w:shd w:val="clear" w:color="auto" w:fill="FBE4D5"/>
            <w:vAlign w:val="center"/>
            <w:hideMark/>
          </w:tcPr>
          <w:p w14:paraId="34385FB3"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w:t>
            </w:r>
          </w:p>
        </w:tc>
        <w:tc>
          <w:tcPr>
            <w:tcW w:w="645" w:type="pct"/>
            <w:tcBorders>
              <w:top w:val="single" w:sz="4" w:space="0" w:color="auto"/>
              <w:bottom w:val="single" w:sz="4" w:space="0" w:color="auto"/>
            </w:tcBorders>
            <w:shd w:val="clear" w:color="auto" w:fill="auto"/>
            <w:vAlign w:val="center"/>
            <w:hideMark/>
          </w:tcPr>
          <w:p w14:paraId="71BC16EA"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Увеличение с процента по чл. 100 от КСО, считано от 1 юли</w:t>
            </w:r>
          </w:p>
        </w:tc>
        <w:tc>
          <w:tcPr>
            <w:tcW w:w="654" w:type="pct"/>
            <w:tcBorders>
              <w:top w:val="single" w:sz="4" w:space="0" w:color="auto"/>
              <w:bottom w:val="single" w:sz="4" w:space="0" w:color="auto"/>
            </w:tcBorders>
            <w:shd w:val="clear" w:color="auto" w:fill="auto"/>
            <w:vAlign w:val="center"/>
            <w:hideMark/>
          </w:tcPr>
          <w:p w14:paraId="57C7F46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xml:space="preserve">Осъвременяване съгласно чл. 100 от КСО, считано от 1 юли </w:t>
            </w:r>
          </w:p>
        </w:tc>
        <w:tc>
          <w:tcPr>
            <w:tcW w:w="654" w:type="pct"/>
            <w:tcBorders>
              <w:top w:val="single" w:sz="4" w:space="0" w:color="auto"/>
              <w:bottom w:val="single" w:sz="4" w:space="0" w:color="auto"/>
            </w:tcBorders>
            <w:shd w:val="clear" w:color="auto" w:fill="auto"/>
            <w:vAlign w:val="center"/>
            <w:hideMark/>
          </w:tcPr>
          <w:p w14:paraId="2CF74AA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xml:space="preserve">Осъвременяване съгласно чл. 100 от КСО, считано от 1 юли </w:t>
            </w:r>
          </w:p>
        </w:tc>
        <w:tc>
          <w:tcPr>
            <w:tcW w:w="656" w:type="pct"/>
            <w:tcBorders>
              <w:top w:val="single" w:sz="4" w:space="0" w:color="auto"/>
              <w:bottom w:val="single" w:sz="4" w:space="0" w:color="auto"/>
            </w:tcBorders>
            <w:shd w:val="clear" w:color="auto" w:fill="auto"/>
            <w:vAlign w:val="center"/>
            <w:hideMark/>
          </w:tcPr>
          <w:p w14:paraId="25F8274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xml:space="preserve">Осъвременяване съгласно чл. 100 от КСО, считано от 1 юли </w:t>
            </w:r>
          </w:p>
        </w:tc>
      </w:tr>
      <w:tr w:rsidR="00761800" w:rsidRPr="00761800" w14:paraId="687BA973" w14:textId="77777777" w:rsidTr="00406B4D">
        <w:trPr>
          <w:trHeight w:val="1020"/>
        </w:trPr>
        <w:tc>
          <w:tcPr>
            <w:tcW w:w="185" w:type="pct"/>
            <w:tcBorders>
              <w:top w:val="single" w:sz="4" w:space="0" w:color="auto"/>
              <w:bottom w:val="single" w:sz="4" w:space="0" w:color="auto"/>
            </w:tcBorders>
            <w:shd w:val="clear" w:color="auto" w:fill="auto"/>
            <w:hideMark/>
          </w:tcPr>
          <w:p w14:paraId="18E695E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24.</w:t>
            </w:r>
          </w:p>
        </w:tc>
        <w:tc>
          <w:tcPr>
            <w:tcW w:w="1673" w:type="pct"/>
            <w:tcBorders>
              <w:top w:val="single" w:sz="4" w:space="0" w:color="auto"/>
              <w:bottom w:val="single" w:sz="4" w:space="0" w:color="auto"/>
            </w:tcBorders>
            <w:shd w:val="clear" w:color="auto" w:fill="auto"/>
            <w:hideMark/>
          </w:tcPr>
          <w:p w14:paraId="6110F8D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месечното парично обезщетение за отглеждане на дете до 2-годишна възраст и обезщетение за отглеждане на дете до 8-годишна възраст от бащата (осиновителя)</w:t>
            </w:r>
          </w:p>
        </w:tc>
        <w:tc>
          <w:tcPr>
            <w:tcW w:w="532" w:type="pct"/>
            <w:tcBorders>
              <w:top w:val="single" w:sz="4" w:space="0" w:color="auto"/>
              <w:bottom w:val="single" w:sz="4" w:space="0" w:color="auto"/>
            </w:tcBorders>
            <w:shd w:val="clear" w:color="auto" w:fill="FBE4D5"/>
            <w:vAlign w:val="center"/>
            <w:hideMark/>
          </w:tcPr>
          <w:p w14:paraId="6327F021"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0E34048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398,81</w:t>
            </w:r>
          </w:p>
        </w:tc>
        <w:tc>
          <w:tcPr>
            <w:tcW w:w="654" w:type="pct"/>
            <w:tcBorders>
              <w:top w:val="single" w:sz="4" w:space="0" w:color="auto"/>
              <w:bottom w:val="single" w:sz="4" w:space="0" w:color="auto"/>
            </w:tcBorders>
            <w:shd w:val="clear" w:color="auto" w:fill="auto"/>
            <w:vAlign w:val="center"/>
            <w:hideMark/>
          </w:tcPr>
          <w:p w14:paraId="7C9E36A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398,81</w:t>
            </w:r>
          </w:p>
        </w:tc>
        <w:tc>
          <w:tcPr>
            <w:tcW w:w="654" w:type="pct"/>
            <w:tcBorders>
              <w:top w:val="single" w:sz="4" w:space="0" w:color="auto"/>
              <w:bottom w:val="single" w:sz="4" w:space="0" w:color="auto"/>
            </w:tcBorders>
            <w:shd w:val="clear" w:color="auto" w:fill="auto"/>
            <w:vAlign w:val="center"/>
            <w:hideMark/>
          </w:tcPr>
          <w:p w14:paraId="5CA4C5A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398,81</w:t>
            </w:r>
          </w:p>
        </w:tc>
        <w:tc>
          <w:tcPr>
            <w:tcW w:w="656" w:type="pct"/>
            <w:tcBorders>
              <w:top w:val="single" w:sz="4" w:space="0" w:color="auto"/>
              <w:bottom w:val="single" w:sz="4" w:space="0" w:color="auto"/>
            </w:tcBorders>
            <w:shd w:val="clear" w:color="auto" w:fill="auto"/>
            <w:vAlign w:val="center"/>
            <w:hideMark/>
          </w:tcPr>
          <w:p w14:paraId="383F1E5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398,81</w:t>
            </w:r>
          </w:p>
        </w:tc>
      </w:tr>
      <w:tr w:rsidR="00761800" w:rsidRPr="00761800" w14:paraId="60F63F68" w14:textId="77777777" w:rsidTr="00406B4D">
        <w:trPr>
          <w:trHeight w:val="1275"/>
        </w:trPr>
        <w:tc>
          <w:tcPr>
            <w:tcW w:w="185" w:type="pct"/>
            <w:tcBorders>
              <w:top w:val="single" w:sz="4" w:space="0" w:color="auto"/>
              <w:bottom w:val="single" w:sz="4" w:space="0" w:color="auto"/>
            </w:tcBorders>
            <w:shd w:val="clear" w:color="auto" w:fill="auto"/>
            <w:hideMark/>
          </w:tcPr>
          <w:p w14:paraId="6B20834E"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25.</w:t>
            </w:r>
          </w:p>
        </w:tc>
        <w:tc>
          <w:tcPr>
            <w:tcW w:w="1673" w:type="pct"/>
            <w:tcBorders>
              <w:top w:val="single" w:sz="4" w:space="0" w:color="auto"/>
              <w:bottom w:val="single" w:sz="4" w:space="0" w:color="auto"/>
            </w:tcBorders>
            <w:shd w:val="clear" w:color="auto" w:fill="auto"/>
            <w:hideMark/>
          </w:tcPr>
          <w:p w14:paraId="595A421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средномесечния доход по чл. 4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76A57464"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446F27F3"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414,15, считано от</w:t>
            </w:r>
            <w:r w:rsidRPr="00761800">
              <w:rPr>
                <w:rFonts w:ascii="Times New Roman" w:hAnsi="Times New Roman"/>
                <w:i/>
                <w:iCs/>
                <w:sz w:val="20"/>
                <w:lang w:eastAsia="bg-BG"/>
              </w:rPr>
              <w:br/>
              <w:t>1 януари;</w:t>
            </w:r>
            <w:r w:rsidRPr="00761800">
              <w:rPr>
                <w:rFonts w:ascii="Times New Roman" w:hAnsi="Times New Roman"/>
                <w:i/>
                <w:iCs/>
                <w:sz w:val="20"/>
                <w:lang w:eastAsia="bg-BG"/>
              </w:rPr>
              <w:br/>
              <w:t>439,71, считано от</w:t>
            </w:r>
            <w:r w:rsidRPr="00761800">
              <w:rPr>
                <w:rFonts w:ascii="Times New Roman" w:hAnsi="Times New Roman"/>
                <w:i/>
                <w:iCs/>
                <w:sz w:val="20"/>
                <w:lang w:eastAsia="bg-BG"/>
              </w:rPr>
              <w:br/>
              <w:t>1 април</w:t>
            </w:r>
          </w:p>
        </w:tc>
        <w:tc>
          <w:tcPr>
            <w:tcW w:w="654" w:type="pct"/>
            <w:tcBorders>
              <w:top w:val="single" w:sz="4" w:space="0" w:color="auto"/>
              <w:bottom w:val="single" w:sz="4" w:space="0" w:color="auto"/>
            </w:tcBorders>
            <w:shd w:val="clear" w:color="auto" w:fill="auto"/>
            <w:vAlign w:val="center"/>
            <w:hideMark/>
          </w:tcPr>
          <w:p w14:paraId="775C666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439,71, считано от</w:t>
            </w:r>
            <w:r w:rsidRPr="00761800">
              <w:rPr>
                <w:rFonts w:ascii="Times New Roman" w:hAnsi="Times New Roman"/>
                <w:sz w:val="20"/>
                <w:lang w:eastAsia="bg-BG"/>
              </w:rPr>
              <w:br/>
              <w:t>1 януари;</w:t>
            </w:r>
            <w:r w:rsidRPr="00761800">
              <w:rPr>
                <w:rFonts w:ascii="Times New Roman" w:hAnsi="Times New Roman"/>
                <w:sz w:val="20"/>
                <w:lang w:eastAsia="bg-BG"/>
              </w:rPr>
              <w:br/>
              <w:t>466 считано от</w:t>
            </w:r>
            <w:r w:rsidRPr="00761800">
              <w:rPr>
                <w:rFonts w:ascii="Times New Roman" w:hAnsi="Times New Roman"/>
                <w:sz w:val="20"/>
                <w:lang w:eastAsia="bg-BG"/>
              </w:rPr>
              <w:br/>
              <w:t>1 август</w:t>
            </w:r>
          </w:p>
        </w:tc>
        <w:tc>
          <w:tcPr>
            <w:tcW w:w="654" w:type="pct"/>
            <w:tcBorders>
              <w:top w:val="single" w:sz="4" w:space="0" w:color="auto"/>
              <w:bottom w:val="single" w:sz="4" w:space="0" w:color="auto"/>
            </w:tcBorders>
            <w:shd w:val="clear" w:color="auto" w:fill="auto"/>
            <w:vAlign w:val="center"/>
            <w:hideMark/>
          </w:tcPr>
          <w:p w14:paraId="2ED2329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466</w:t>
            </w:r>
          </w:p>
        </w:tc>
        <w:tc>
          <w:tcPr>
            <w:tcW w:w="656" w:type="pct"/>
            <w:tcBorders>
              <w:top w:val="single" w:sz="4" w:space="0" w:color="auto"/>
              <w:bottom w:val="single" w:sz="4" w:space="0" w:color="auto"/>
            </w:tcBorders>
            <w:shd w:val="clear" w:color="auto" w:fill="auto"/>
            <w:vAlign w:val="center"/>
            <w:hideMark/>
          </w:tcPr>
          <w:p w14:paraId="50EAF64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466</w:t>
            </w:r>
          </w:p>
        </w:tc>
      </w:tr>
      <w:tr w:rsidR="00761800" w:rsidRPr="00761800" w14:paraId="3F51FCE9" w14:textId="77777777" w:rsidTr="00406B4D">
        <w:trPr>
          <w:trHeight w:val="1020"/>
        </w:trPr>
        <w:tc>
          <w:tcPr>
            <w:tcW w:w="185" w:type="pct"/>
            <w:tcBorders>
              <w:top w:val="single" w:sz="4" w:space="0" w:color="auto"/>
              <w:bottom w:val="single" w:sz="4" w:space="0" w:color="auto"/>
            </w:tcBorders>
            <w:shd w:val="clear" w:color="auto" w:fill="auto"/>
            <w:hideMark/>
          </w:tcPr>
          <w:p w14:paraId="61EB552B"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lastRenderedPageBreak/>
              <w:t>26.</w:t>
            </w:r>
          </w:p>
        </w:tc>
        <w:tc>
          <w:tcPr>
            <w:tcW w:w="1673" w:type="pct"/>
            <w:tcBorders>
              <w:top w:val="single" w:sz="4" w:space="0" w:color="auto"/>
              <w:bottom w:val="single" w:sz="4" w:space="0" w:color="auto"/>
            </w:tcBorders>
            <w:shd w:val="clear" w:color="auto" w:fill="auto"/>
            <w:hideMark/>
          </w:tcPr>
          <w:p w14:paraId="1C2F2B0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средномесечния доход по чл. 4а, ал. 2, т. 1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5892DEFF"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1581B79A"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363,02 считано от 1 януари;</w:t>
            </w:r>
            <w:r w:rsidRPr="00761800">
              <w:rPr>
                <w:rFonts w:ascii="Times New Roman" w:hAnsi="Times New Roman"/>
                <w:i/>
                <w:iCs/>
                <w:sz w:val="20"/>
                <w:lang w:eastAsia="bg-BG"/>
              </w:rPr>
              <w:br/>
              <w:t>388,58 считано от 1 април</w:t>
            </w:r>
          </w:p>
        </w:tc>
        <w:tc>
          <w:tcPr>
            <w:tcW w:w="654" w:type="pct"/>
            <w:tcBorders>
              <w:top w:val="single" w:sz="4" w:space="0" w:color="auto"/>
              <w:bottom w:val="single" w:sz="4" w:space="0" w:color="auto"/>
            </w:tcBorders>
            <w:shd w:val="clear" w:color="auto" w:fill="auto"/>
            <w:vAlign w:val="center"/>
            <w:hideMark/>
          </w:tcPr>
          <w:p w14:paraId="2C6D560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xml:space="preserve">388,58 считано </w:t>
            </w:r>
            <w:r w:rsidRPr="00761800">
              <w:rPr>
                <w:rFonts w:ascii="Times New Roman" w:hAnsi="Times New Roman"/>
                <w:sz w:val="20"/>
                <w:lang w:eastAsia="bg-BG"/>
              </w:rPr>
              <w:br/>
              <w:t>от 1 януари;</w:t>
            </w:r>
            <w:r w:rsidRPr="00761800">
              <w:rPr>
                <w:rFonts w:ascii="Times New Roman" w:hAnsi="Times New Roman"/>
                <w:sz w:val="20"/>
                <w:lang w:eastAsia="bg-BG"/>
              </w:rPr>
              <w:br/>
              <w:t xml:space="preserve">415 считано </w:t>
            </w:r>
            <w:r w:rsidRPr="00761800">
              <w:rPr>
                <w:rFonts w:ascii="Times New Roman" w:hAnsi="Times New Roman"/>
                <w:sz w:val="20"/>
                <w:lang w:eastAsia="bg-BG"/>
              </w:rPr>
              <w:br/>
              <w:t>от 1 август</w:t>
            </w:r>
          </w:p>
        </w:tc>
        <w:tc>
          <w:tcPr>
            <w:tcW w:w="654" w:type="pct"/>
            <w:tcBorders>
              <w:top w:val="single" w:sz="4" w:space="0" w:color="auto"/>
              <w:bottom w:val="single" w:sz="4" w:space="0" w:color="auto"/>
            </w:tcBorders>
            <w:shd w:val="clear" w:color="auto" w:fill="auto"/>
            <w:vAlign w:val="center"/>
            <w:hideMark/>
          </w:tcPr>
          <w:p w14:paraId="798B190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415</w:t>
            </w:r>
          </w:p>
        </w:tc>
        <w:tc>
          <w:tcPr>
            <w:tcW w:w="656" w:type="pct"/>
            <w:tcBorders>
              <w:top w:val="single" w:sz="4" w:space="0" w:color="auto"/>
              <w:bottom w:val="single" w:sz="4" w:space="0" w:color="auto"/>
            </w:tcBorders>
            <w:shd w:val="clear" w:color="auto" w:fill="auto"/>
            <w:vAlign w:val="center"/>
            <w:hideMark/>
          </w:tcPr>
          <w:p w14:paraId="684BCF0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415</w:t>
            </w:r>
          </w:p>
        </w:tc>
      </w:tr>
      <w:tr w:rsidR="00761800" w:rsidRPr="00761800" w14:paraId="0D472FC2" w14:textId="77777777" w:rsidTr="00406B4D">
        <w:trPr>
          <w:trHeight w:val="1785"/>
        </w:trPr>
        <w:tc>
          <w:tcPr>
            <w:tcW w:w="185" w:type="pct"/>
            <w:tcBorders>
              <w:top w:val="single" w:sz="4" w:space="0" w:color="auto"/>
              <w:bottom w:val="single" w:sz="4" w:space="0" w:color="auto"/>
            </w:tcBorders>
            <w:shd w:val="clear" w:color="auto" w:fill="auto"/>
            <w:hideMark/>
          </w:tcPr>
          <w:p w14:paraId="4760476B"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27.</w:t>
            </w:r>
          </w:p>
        </w:tc>
        <w:tc>
          <w:tcPr>
            <w:tcW w:w="1673" w:type="pct"/>
            <w:tcBorders>
              <w:top w:val="single" w:sz="4" w:space="0" w:color="auto"/>
              <w:bottom w:val="single" w:sz="4" w:space="0" w:color="auto"/>
            </w:tcBorders>
            <w:shd w:val="clear" w:color="auto" w:fill="auto"/>
            <w:hideMark/>
          </w:tcPr>
          <w:p w14:paraId="53A0A65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средномесечния доход по чл. 4а, ал. 2, т. 2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551B3D76"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1111C57E"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xml:space="preserve">от 363,02 до </w:t>
            </w:r>
            <w:r w:rsidRPr="00761800">
              <w:rPr>
                <w:rFonts w:ascii="Times New Roman" w:hAnsi="Times New Roman"/>
                <w:i/>
                <w:iCs/>
                <w:sz w:val="20"/>
                <w:lang w:eastAsia="bg-BG"/>
              </w:rPr>
              <w:br/>
              <w:t>414,15 включително, считано от 1 януари;</w:t>
            </w:r>
            <w:r w:rsidRPr="00761800">
              <w:rPr>
                <w:rFonts w:ascii="Times New Roman" w:hAnsi="Times New Roman"/>
                <w:i/>
                <w:iCs/>
                <w:sz w:val="20"/>
                <w:lang w:eastAsia="bg-BG"/>
              </w:rPr>
              <w:br/>
              <w:t xml:space="preserve">от 388,59 до </w:t>
            </w:r>
            <w:r w:rsidRPr="00761800">
              <w:rPr>
                <w:rFonts w:ascii="Times New Roman" w:hAnsi="Times New Roman"/>
                <w:i/>
                <w:iCs/>
                <w:sz w:val="20"/>
                <w:lang w:eastAsia="bg-BG"/>
              </w:rPr>
              <w:br/>
              <w:t>439,71 включително, считано от 1 април</w:t>
            </w:r>
          </w:p>
        </w:tc>
        <w:tc>
          <w:tcPr>
            <w:tcW w:w="654" w:type="pct"/>
            <w:tcBorders>
              <w:top w:val="single" w:sz="4" w:space="0" w:color="auto"/>
              <w:bottom w:val="single" w:sz="4" w:space="0" w:color="auto"/>
            </w:tcBorders>
            <w:shd w:val="clear" w:color="auto" w:fill="auto"/>
            <w:vAlign w:val="center"/>
            <w:hideMark/>
          </w:tcPr>
          <w:p w14:paraId="71D21C4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xml:space="preserve">от 388,59 до </w:t>
            </w:r>
            <w:r w:rsidRPr="00761800">
              <w:rPr>
                <w:rFonts w:ascii="Times New Roman" w:hAnsi="Times New Roman"/>
                <w:sz w:val="20"/>
                <w:lang w:eastAsia="bg-BG"/>
              </w:rPr>
              <w:br/>
              <w:t>439,71  включително, считано от 1 януари;</w:t>
            </w:r>
            <w:r w:rsidRPr="00761800">
              <w:rPr>
                <w:rFonts w:ascii="Times New Roman" w:hAnsi="Times New Roman"/>
                <w:sz w:val="20"/>
                <w:lang w:eastAsia="bg-BG"/>
              </w:rPr>
              <w:br/>
              <w:t xml:space="preserve">от 415,01 до </w:t>
            </w:r>
            <w:r w:rsidRPr="00761800">
              <w:rPr>
                <w:rFonts w:ascii="Times New Roman" w:hAnsi="Times New Roman"/>
                <w:sz w:val="20"/>
                <w:lang w:eastAsia="bg-BG"/>
              </w:rPr>
              <w:br/>
              <w:t>466 включително, считано от 1 август</w:t>
            </w:r>
          </w:p>
        </w:tc>
        <w:tc>
          <w:tcPr>
            <w:tcW w:w="654" w:type="pct"/>
            <w:tcBorders>
              <w:top w:val="single" w:sz="4" w:space="0" w:color="auto"/>
              <w:bottom w:val="single" w:sz="4" w:space="0" w:color="auto"/>
            </w:tcBorders>
            <w:shd w:val="clear" w:color="auto" w:fill="auto"/>
            <w:vAlign w:val="center"/>
            <w:hideMark/>
          </w:tcPr>
          <w:p w14:paraId="2493E82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от 415,01 до 466 включително</w:t>
            </w:r>
          </w:p>
        </w:tc>
        <w:tc>
          <w:tcPr>
            <w:tcW w:w="656" w:type="pct"/>
            <w:tcBorders>
              <w:top w:val="single" w:sz="4" w:space="0" w:color="auto"/>
              <w:bottom w:val="single" w:sz="4" w:space="0" w:color="auto"/>
            </w:tcBorders>
            <w:shd w:val="clear" w:color="auto" w:fill="auto"/>
            <w:vAlign w:val="center"/>
            <w:hideMark/>
          </w:tcPr>
          <w:p w14:paraId="593CD1B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от 415,01 до 466 включително</w:t>
            </w:r>
          </w:p>
        </w:tc>
      </w:tr>
      <w:tr w:rsidR="00761800" w:rsidRPr="00761800" w14:paraId="7DF18E18" w14:textId="77777777" w:rsidTr="00406B4D">
        <w:trPr>
          <w:trHeight w:val="510"/>
        </w:trPr>
        <w:tc>
          <w:tcPr>
            <w:tcW w:w="185" w:type="pct"/>
            <w:tcBorders>
              <w:top w:val="single" w:sz="4" w:space="0" w:color="auto"/>
              <w:bottom w:val="single" w:sz="4" w:space="0" w:color="auto"/>
            </w:tcBorders>
            <w:shd w:val="clear" w:color="auto" w:fill="auto"/>
            <w:hideMark/>
          </w:tcPr>
          <w:p w14:paraId="7EFFCEC2"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28.</w:t>
            </w:r>
          </w:p>
        </w:tc>
        <w:tc>
          <w:tcPr>
            <w:tcW w:w="1673" w:type="pct"/>
            <w:tcBorders>
              <w:top w:val="single" w:sz="4" w:space="0" w:color="auto"/>
              <w:bottom w:val="single" w:sz="4" w:space="0" w:color="auto"/>
            </w:tcBorders>
            <w:shd w:val="clear" w:color="auto" w:fill="auto"/>
            <w:hideMark/>
          </w:tcPr>
          <w:p w14:paraId="36ABEBE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еднократната помощ при бременност по чл. 5а, ал. 1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7C85C778"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33423C88"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115,04</w:t>
            </w:r>
          </w:p>
        </w:tc>
        <w:tc>
          <w:tcPr>
            <w:tcW w:w="654" w:type="pct"/>
            <w:tcBorders>
              <w:top w:val="single" w:sz="4" w:space="0" w:color="auto"/>
              <w:bottom w:val="single" w:sz="4" w:space="0" w:color="auto"/>
            </w:tcBorders>
            <w:shd w:val="clear" w:color="auto" w:fill="auto"/>
            <w:vAlign w:val="center"/>
            <w:hideMark/>
          </w:tcPr>
          <w:p w14:paraId="0F1903A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115,04</w:t>
            </w:r>
          </w:p>
        </w:tc>
        <w:tc>
          <w:tcPr>
            <w:tcW w:w="654" w:type="pct"/>
            <w:tcBorders>
              <w:top w:val="single" w:sz="4" w:space="0" w:color="auto"/>
              <w:bottom w:val="single" w:sz="4" w:space="0" w:color="auto"/>
            </w:tcBorders>
            <w:shd w:val="clear" w:color="auto" w:fill="auto"/>
            <w:vAlign w:val="center"/>
            <w:hideMark/>
          </w:tcPr>
          <w:p w14:paraId="4DADD3C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115,04</w:t>
            </w:r>
          </w:p>
        </w:tc>
        <w:tc>
          <w:tcPr>
            <w:tcW w:w="656" w:type="pct"/>
            <w:tcBorders>
              <w:top w:val="single" w:sz="4" w:space="0" w:color="auto"/>
              <w:bottom w:val="single" w:sz="4" w:space="0" w:color="auto"/>
            </w:tcBorders>
            <w:shd w:val="clear" w:color="auto" w:fill="auto"/>
            <w:vAlign w:val="center"/>
            <w:hideMark/>
          </w:tcPr>
          <w:p w14:paraId="20A1E59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115,04</w:t>
            </w:r>
          </w:p>
        </w:tc>
      </w:tr>
      <w:tr w:rsidR="00761800" w:rsidRPr="00761800" w14:paraId="2E861D88" w14:textId="77777777" w:rsidTr="00406B4D">
        <w:trPr>
          <w:trHeight w:val="510"/>
        </w:trPr>
        <w:tc>
          <w:tcPr>
            <w:tcW w:w="185" w:type="pct"/>
            <w:tcBorders>
              <w:top w:val="single" w:sz="4" w:space="0" w:color="auto"/>
            </w:tcBorders>
            <w:shd w:val="clear" w:color="auto" w:fill="auto"/>
            <w:hideMark/>
          </w:tcPr>
          <w:p w14:paraId="36E5306C"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29.</w:t>
            </w:r>
          </w:p>
        </w:tc>
        <w:tc>
          <w:tcPr>
            <w:tcW w:w="1673" w:type="pct"/>
            <w:tcBorders>
              <w:top w:val="single" w:sz="4" w:space="0" w:color="auto"/>
            </w:tcBorders>
            <w:shd w:val="clear" w:color="auto" w:fill="auto"/>
            <w:hideMark/>
          </w:tcPr>
          <w:p w14:paraId="117F62E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еднократната помощ при раждане на живо дете по чл. 6, ал. 1 от Закона за семейни помощи за деца</w:t>
            </w:r>
          </w:p>
        </w:tc>
        <w:tc>
          <w:tcPr>
            <w:tcW w:w="532" w:type="pct"/>
            <w:vMerge w:val="restart"/>
            <w:tcBorders>
              <w:top w:val="single" w:sz="4" w:space="0" w:color="auto"/>
            </w:tcBorders>
            <w:shd w:val="clear" w:color="auto" w:fill="FBE4D5"/>
            <w:vAlign w:val="center"/>
            <w:hideMark/>
          </w:tcPr>
          <w:p w14:paraId="5F01C5D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w:t>
            </w:r>
          </w:p>
        </w:tc>
        <w:tc>
          <w:tcPr>
            <w:tcW w:w="645" w:type="pct"/>
            <w:tcBorders>
              <w:top w:val="single" w:sz="4" w:space="0" w:color="auto"/>
            </w:tcBorders>
            <w:shd w:val="clear" w:color="auto" w:fill="auto"/>
            <w:vAlign w:val="center"/>
            <w:hideMark/>
          </w:tcPr>
          <w:p w14:paraId="62103427" w14:textId="77777777" w:rsidR="00761800" w:rsidRPr="00761800" w:rsidRDefault="00761800" w:rsidP="00761800">
            <w:pPr>
              <w:jc w:val="both"/>
              <w:rPr>
                <w:rFonts w:ascii="Times New Roman" w:hAnsi="Times New Roman"/>
                <w:i/>
                <w:iCs/>
                <w:sz w:val="20"/>
                <w:lang w:eastAsia="bg-BG"/>
              </w:rPr>
            </w:pPr>
            <w:r w:rsidRPr="00761800">
              <w:rPr>
                <w:rFonts w:ascii="Times New Roman" w:hAnsi="Times New Roman"/>
                <w:i/>
                <w:iCs/>
                <w:sz w:val="20"/>
                <w:lang w:eastAsia="bg-BG"/>
              </w:rPr>
              <w:t> </w:t>
            </w:r>
          </w:p>
        </w:tc>
        <w:tc>
          <w:tcPr>
            <w:tcW w:w="654" w:type="pct"/>
            <w:tcBorders>
              <w:top w:val="single" w:sz="4" w:space="0" w:color="auto"/>
            </w:tcBorders>
            <w:shd w:val="clear" w:color="auto" w:fill="auto"/>
            <w:vAlign w:val="center"/>
            <w:hideMark/>
          </w:tcPr>
          <w:p w14:paraId="22ADB4F4" w14:textId="77777777" w:rsidR="00761800" w:rsidRPr="00761800" w:rsidRDefault="00761800" w:rsidP="00761800">
            <w:pPr>
              <w:jc w:val="both"/>
              <w:rPr>
                <w:rFonts w:ascii="Times New Roman" w:hAnsi="Times New Roman"/>
                <w:sz w:val="20"/>
                <w:lang w:eastAsia="bg-BG"/>
              </w:rPr>
            </w:pPr>
            <w:r w:rsidRPr="00761800">
              <w:rPr>
                <w:rFonts w:ascii="Times New Roman" w:hAnsi="Times New Roman"/>
                <w:sz w:val="20"/>
                <w:lang w:eastAsia="bg-BG"/>
              </w:rPr>
              <w:t> </w:t>
            </w:r>
          </w:p>
        </w:tc>
        <w:tc>
          <w:tcPr>
            <w:tcW w:w="654" w:type="pct"/>
            <w:tcBorders>
              <w:top w:val="single" w:sz="4" w:space="0" w:color="auto"/>
            </w:tcBorders>
            <w:shd w:val="clear" w:color="auto" w:fill="auto"/>
            <w:vAlign w:val="center"/>
            <w:hideMark/>
          </w:tcPr>
          <w:p w14:paraId="7D03C6FC" w14:textId="77777777" w:rsidR="00761800" w:rsidRPr="00761800" w:rsidRDefault="00761800" w:rsidP="00761800">
            <w:pPr>
              <w:jc w:val="both"/>
              <w:rPr>
                <w:rFonts w:ascii="Times New Roman" w:hAnsi="Times New Roman"/>
                <w:sz w:val="20"/>
                <w:lang w:eastAsia="bg-BG"/>
              </w:rPr>
            </w:pPr>
            <w:r w:rsidRPr="00761800">
              <w:rPr>
                <w:rFonts w:ascii="Times New Roman" w:hAnsi="Times New Roman"/>
                <w:sz w:val="20"/>
                <w:lang w:eastAsia="bg-BG"/>
              </w:rPr>
              <w:t> </w:t>
            </w:r>
          </w:p>
        </w:tc>
        <w:tc>
          <w:tcPr>
            <w:tcW w:w="656" w:type="pct"/>
            <w:tcBorders>
              <w:top w:val="single" w:sz="4" w:space="0" w:color="auto"/>
            </w:tcBorders>
            <w:shd w:val="clear" w:color="auto" w:fill="auto"/>
            <w:vAlign w:val="center"/>
            <w:hideMark/>
          </w:tcPr>
          <w:p w14:paraId="14F5A34A" w14:textId="77777777" w:rsidR="00761800" w:rsidRPr="00761800" w:rsidRDefault="00761800" w:rsidP="00761800">
            <w:pPr>
              <w:jc w:val="both"/>
              <w:rPr>
                <w:rFonts w:ascii="Times New Roman" w:hAnsi="Times New Roman"/>
                <w:sz w:val="20"/>
                <w:lang w:eastAsia="bg-BG"/>
              </w:rPr>
            </w:pPr>
            <w:r w:rsidRPr="00761800">
              <w:rPr>
                <w:rFonts w:ascii="Times New Roman" w:hAnsi="Times New Roman"/>
                <w:sz w:val="20"/>
                <w:lang w:eastAsia="bg-BG"/>
              </w:rPr>
              <w:t> </w:t>
            </w:r>
          </w:p>
        </w:tc>
      </w:tr>
      <w:tr w:rsidR="00761800" w:rsidRPr="00761800" w14:paraId="26E7A324" w14:textId="77777777" w:rsidTr="00406B4D">
        <w:trPr>
          <w:trHeight w:val="300"/>
        </w:trPr>
        <w:tc>
          <w:tcPr>
            <w:tcW w:w="185" w:type="pct"/>
            <w:shd w:val="clear" w:color="auto" w:fill="auto"/>
            <w:hideMark/>
          </w:tcPr>
          <w:p w14:paraId="6A27C777"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w:t>
            </w:r>
          </w:p>
        </w:tc>
        <w:tc>
          <w:tcPr>
            <w:tcW w:w="1673" w:type="pct"/>
            <w:shd w:val="clear" w:color="auto" w:fill="auto"/>
            <w:hideMark/>
          </w:tcPr>
          <w:p w14:paraId="131C110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w:t>
            </w:r>
          </w:p>
        </w:tc>
        <w:tc>
          <w:tcPr>
            <w:tcW w:w="532" w:type="pct"/>
            <w:vMerge/>
            <w:shd w:val="clear" w:color="auto" w:fill="FBE4D5"/>
            <w:vAlign w:val="center"/>
            <w:hideMark/>
          </w:tcPr>
          <w:p w14:paraId="36C4EEA3"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3C03C18D"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77250BF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634A244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2E5FA91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7EC2E60E" w14:textId="77777777" w:rsidTr="00406B4D">
        <w:trPr>
          <w:trHeight w:val="300"/>
        </w:trPr>
        <w:tc>
          <w:tcPr>
            <w:tcW w:w="185" w:type="pct"/>
            <w:shd w:val="clear" w:color="auto" w:fill="auto"/>
            <w:hideMark/>
          </w:tcPr>
          <w:p w14:paraId="1F6A5B3F"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29.1.</w:t>
            </w:r>
          </w:p>
        </w:tc>
        <w:tc>
          <w:tcPr>
            <w:tcW w:w="1673" w:type="pct"/>
            <w:shd w:val="clear" w:color="auto" w:fill="auto"/>
            <w:hideMark/>
          </w:tcPr>
          <w:p w14:paraId="4E3B381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първо дете</w:t>
            </w:r>
          </w:p>
        </w:tc>
        <w:tc>
          <w:tcPr>
            <w:tcW w:w="532" w:type="pct"/>
            <w:vMerge w:val="restart"/>
            <w:shd w:val="clear" w:color="auto" w:fill="FBE4D5"/>
            <w:vAlign w:val="center"/>
            <w:hideMark/>
          </w:tcPr>
          <w:p w14:paraId="50E3604F"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shd w:val="clear" w:color="auto" w:fill="auto"/>
            <w:vAlign w:val="center"/>
            <w:hideMark/>
          </w:tcPr>
          <w:p w14:paraId="3DF29901"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191,74</w:t>
            </w:r>
          </w:p>
        </w:tc>
        <w:tc>
          <w:tcPr>
            <w:tcW w:w="654" w:type="pct"/>
            <w:shd w:val="clear" w:color="auto" w:fill="auto"/>
            <w:vAlign w:val="center"/>
            <w:hideMark/>
          </w:tcPr>
          <w:p w14:paraId="1EE4A13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191,74</w:t>
            </w:r>
          </w:p>
        </w:tc>
        <w:tc>
          <w:tcPr>
            <w:tcW w:w="654" w:type="pct"/>
            <w:shd w:val="clear" w:color="auto" w:fill="auto"/>
            <w:vAlign w:val="center"/>
            <w:hideMark/>
          </w:tcPr>
          <w:p w14:paraId="4408A8D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191,74</w:t>
            </w:r>
          </w:p>
        </w:tc>
        <w:tc>
          <w:tcPr>
            <w:tcW w:w="656" w:type="pct"/>
            <w:shd w:val="clear" w:color="auto" w:fill="auto"/>
            <w:vAlign w:val="center"/>
            <w:hideMark/>
          </w:tcPr>
          <w:p w14:paraId="1B43453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191,74</w:t>
            </w:r>
          </w:p>
        </w:tc>
      </w:tr>
      <w:tr w:rsidR="00761800" w:rsidRPr="00761800" w14:paraId="1FFB92C9" w14:textId="77777777" w:rsidTr="00406B4D">
        <w:trPr>
          <w:trHeight w:val="300"/>
        </w:trPr>
        <w:tc>
          <w:tcPr>
            <w:tcW w:w="185" w:type="pct"/>
            <w:shd w:val="clear" w:color="auto" w:fill="auto"/>
            <w:hideMark/>
          </w:tcPr>
          <w:p w14:paraId="1600A531"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29.2.</w:t>
            </w:r>
          </w:p>
        </w:tc>
        <w:tc>
          <w:tcPr>
            <w:tcW w:w="1673" w:type="pct"/>
            <w:shd w:val="clear" w:color="auto" w:fill="auto"/>
            <w:hideMark/>
          </w:tcPr>
          <w:p w14:paraId="31CE174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второ дете</w:t>
            </w:r>
          </w:p>
        </w:tc>
        <w:tc>
          <w:tcPr>
            <w:tcW w:w="532" w:type="pct"/>
            <w:vMerge/>
            <w:shd w:val="clear" w:color="auto" w:fill="FBE4D5"/>
            <w:vAlign w:val="center"/>
            <w:hideMark/>
          </w:tcPr>
          <w:p w14:paraId="4A5ED2E8"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32CDF443"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460,17</w:t>
            </w:r>
          </w:p>
        </w:tc>
        <w:tc>
          <w:tcPr>
            <w:tcW w:w="654" w:type="pct"/>
            <w:shd w:val="clear" w:color="auto" w:fill="auto"/>
            <w:vAlign w:val="center"/>
            <w:hideMark/>
          </w:tcPr>
          <w:p w14:paraId="222069F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460,17</w:t>
            </w:r>
          </w:p>
        </w:tc>
        <w:tc>
          <w:tcPr>
            <w:tcW w:w="654" w:type="pct"/>
            <w:shd w:val="clear" w:color="auto" w:fill="auto"/>
            <w:vAlign w:val="center"/>
            <w:hideMark/>
          </w:tcPr>
          <w:p w14:paraId="508EB28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460,17</w:t>
            </w:r>
          </w:p>
        </w:tc>
        <w:tc>
          <w:tcPr>
            <w:tcW w:w="656" w:type="pct"/>
            <w:shd w:val="clear" w:color="auto" w:fill="auto"/>
            <w:vAlign w:val="center"/>
            <w:hideMark/>
          </w:tcPr>
          <w:p w14:paraId="0D62BD0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460,17</w:t>
            </w:r>
          </w:p>
        </w:tc>
      </w:tr>
      <w:tr w:rsidR="00761800" w:rsidRPr="00761800" w14:paraId="22F7494B" w14:textId="77777777" w:rsidTr="00406B4D">
        <w:trPr>
          <w:trHeight w:val="300"/>
        </w:trPr>
        <w:tc>
          <w:tcPr>
            <w:tcW w:w="185" w:type="pct"/>
            <w:shd w:val="clear" w:color="auto" w:fill="auto"/>
            <w:hideMark/>
          </w:tcPr>
          <w:p w14:paraId="113AF48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29.3.</w:t>
            </w:r>
          </w:p>
        </w:tc>
        <w:tc>
          <w:tcPr>
            <w:tcW w:w="1673" w:type="pct"/>
            <w:shd w:val="clear" w:color="auto" w:fill="auto"/>
            <w:hideMark/>
          </w:tcPr>
          <w:p w14:paraId="1DC47C4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трето дете</w:t>
            </w:r>
          </w:p>
        </w:tc>
        <w:tc>
          <w:tcPr>
            <w:tcW w:w="532" w:type="pct"/>
            <w:vMerge/>
            <w:shd w:val="clear" w:color="auto" w:fill="FBE4D5"/>
            <w:vAlign w:val="center"/>
            <w:hideMark/>
          </w:tcPr>
          <w:p w14:paraId="15E1367F"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7BF4532A"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230,09</w:t>
            </w:r>
          </w:p>
        </w:tc>
        <w:tc>
          <w:tcPr>
            <w:tcW w:w="654" w:type="pct"/>
            <w:shd w:val="clear" w:color="auto" w:fill="auto"/>
            <w:vAlign w:val="center"/>
            <w:hideMark/>
          </w:tcPr>
          <w:p w14:paraId="672778D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230,09</w:t>
            </w:r>
          </w:p>
        </w:tc>
        <w:tc>
          <w:tcPr>
            <w:tcW w:w="654" w:type="pct"/>
            <w:shd w:val="clear" w:color="auto" w:fill="auto"/>
            <w:vAlign w:val="center"/>
            <w:hideMark/>
          </w:tcPr>
          <w:p w14:paraId="70533F8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230,09</w:t>
            </w:r>
          </w:p>
        </w:tc>
        <w:tc>
          <w:tcPr>
            <w:tcW w:w="656" w:type="pct"/>
            <w:shd w:val="clear" w:color="auto" w:fill="auto"/>
            <w:vAlign w:val="center"/>
            <w:hideMark/>
          </w:tcPr>
          <w:p w14:paraId="44B9B23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230,09</w:t>
            </w:r>
          </w:p>
        </w:tc>
      </w:tr>
      <w:tr w:rsidR="00761800" w:rsidRPr="00761800" w14:paraId="7EDCCBF7" w14:textId="77777777" w:rsidTr="00406B4D">
        <w:trPr>
          <w:trHeight w:val="300"/>
        </w:trPr>
        <w:tc>
          <w:tcPr>
            <w:tcW w:w="185" w:type="pct"/>
            <w:tcBorders>
              <w:bottom w:val="single" w:sz="4" w:space="0" w:color="auto"/>
            </w:tcBorders>
            <w:shd w:val="clear" w:color="auto" w:fill="auto"/>
            <w:hideMark/>
          </w:tcPr>
          <w:p w14:paraId="03C37D25"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29.4.</w:t>
            </w:r>
          </w:p>
        </w:tc>
        <w:tc>
          <w:tcPr>
            <w:tcW w:w="1673" w:type="pct"/>
            <w:tcBorders>
              <w:bottom w:val="single" w:sz="4" w:space="0" w:color="auto"/>
            </w:tcBorders>
            <w:shd w:val="clear" w:color="auto" w:fill="auto"/>
            <w:hideMark/>
          </w:tcPr>
          <w:p w14:paraId="7DA49F1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четвърто и всяко следващо дете</w:t>
            </w:r>
          </w:p>
        </w:tc>
        <w:tc>
          <w:tcPr>
            <w:tcW w:w="532" w:type="pct"/>
            <w:vMerge/>
            <w:tcBorders>
              <w:bottom w:val="single" w:sz="4" w:space="0" w:color="auto"/>
            </w:tcBorders>
            <w:shd w:val="clear" w:color="auto" w:fill="FBE4D5"/>
            <w:vAlign w:val="center"/>
            <w:hideMark/>
          </w:tcPr>
          <w:p w14:paraId="2F77834E" w14:textId="77777777" w:rsidR="00761800" w:rsidRPr="00761800" w:rsidRDefault="00761800" w:rsidP="00761800">
            <w:pPr>
              <w:rPr>
                <w:rFonts w:ascii="Times New Roman" w:hAnsi="Times New Roman"/>
                <w:color w:val="000000"/>
                <w:sz w:val="20"/>
                <w:lang w:eastAsia="bg-BG"/>
              </w:rPr>
            </w:pPr>
          </w:p>
        </w:tc>
        <w:tc>
          <w:tcPr>
            <w:tcW w:w="645" w:type="pct"/>
            <w:tcBorders>
              <w:bottom w:val="single" w:sz="4" w:space="0" w:color="auto"/>
            </w:tcBorders>
            <w:shd w:val="clear" w:color="auto" w:fill="auto"/>
            <w:vAlign w:val="center"/>
            <w:hideMark/>
          </w:tcPr>
          <w:p w14:paraId="16F5144A"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153,39</w:t>
            </w:r>
          </w:p>
        </w:tc>
        <w:tc>
          <w:tcPr>
            <w:tcW w:w="654" w:type="pct"/>
            <w:tcBorders>
              <w:bottom w:val="single" w:sz="4" w:space="0" w:color="auto"/>
            </w:tcBorders>
            <w:shd w:val="clear" w:color="auto" w:fill="auto"/>
            <w:vAlign w:val="center"/>
            <w:hideMark/>
          </w:tcPr>
          <w:p w14:paraId="5318234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153,39</w:t>
            </w:r>
          </w:p>
        </w:tc>
        <w:tc>
          <w:tcPr>
            <w:tcW w:w="654" w:type="pct"/>
            <w:tcBorders>
              <w:bottom w:val="single" w:sz="4" w:space="0" w:color="auto"/>
            </w:tcBorders>
            <w:shd w:val="clear" w:color="auto" w:fill="auto"/>
            <w:vAlign w:val="center"/>
            <w:hideMark/>
          </w:tcPr>
          <w:p w14:paraId="600DAD0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153,39</w:t>
            </w:r>
          </w:p>
        </w:tc>
        <w:tc>
          <w:tcPr>
            <w:tcW w:w="656" w:type="pct"/>
            <w:tcBorders>
              <w:bottom w:val="single" w:sz="4" w:space="0" w:color="auto"/>
            </w:tcBorders>
            <w:shd w:val="clear" w:color="auto" w:fill="auto"/>
            <w:vAlign w:val="center"/>
            <w:hideMark/>
          </w:tcPr>
          <w:p w14:paraId="07B3269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153,39</w:t>
            </w:r>
          </w:p>
        </w:tc>
      </w:tr>
      <w:tr w:rsidR="00761800" w:rsidRPr="00761800" w14:paraId="68C1F4BF" w14:textId="77777777" w:rsidTr="00406B4D">
        <w:trPr>
          <w:trHeight w:val="1020"/>
        </w:trPr>
        <w:tc>
          <w:tcPr>
            <w:tcW w:w="185" w:type="pct"/>
            <w:tcBorders>
              <w:top w:val="single" w:sz="4" w:space="0" w:color="auto"/>
              <w:bottom w:val="single" w:sz="4" w:space="0" w:color="auto"/>
            </w:tcBorders>
            <w:shd w:val="clear" w:color="auto" w:fill="auto"/>
            <w:hideMark/>
          </w:tcPr>
          <w:p w14:paraId="7789C3C1"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30.</w:t>
            </w:r>
          </w:p>
        </w:tc>
        <w:tc>
          <w:tcPr>
            <w:tcW w:w="1673" w:type="pct"/>
            <w:tcBorders>
              <w:top w:val="single" w:sz="4" w:space="0" w:color="auto"/>
              <w:bottom w:val="single" w:sz="4" w:space="0" w:color="auto"/>
            </w:tcBorders>
            <w:shd w:val="clear" w:color="auto" w:fill="auto"/>
            <w:hideMark/>
          </w:tcPr>
          <w:p w14:paraId="7B27BB3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допълнителната еднократна помощ за дете с установени трайни увреждания 50 и над 50 на сто до навършване на двегодишна възраст по чл. 6, ал. 6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3E465A24"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2BFCE83A"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51,13</w:t>
            </w:r>
          </w:p>
        </w:tc>
        <w:tc>
          <w:tcPr>
            <w:tcW w:w="654" w:type="pct"/>
            <w:tcBorders>
              <w:top w:val="single" w:sz="4" w:space="0" w:color="auto"/>
              <w:bottom w:val="single" w:sz="4" w:space="0" w:color="auto"/>
            </w:tcBorders>
            <w:shd w:val="clear" w:color="auto" w:fill="auto"/>
            <w:vAlign w:val="center"/>
            <w:hideMark/>
          </w:tcPr>
          <w:p w14:paraId="2065C80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51,13</w:t>
            </w:r>
          </w:p>
        </w:tc>
        <w:tc>
          <w:tcPr>
            <w:tcW w:w="654" w:type="pct"/>
            <w:tcBorders>
              <w:top w:val="single" w:sz="4" w:space="0" w:color="auto"/>
              <w:bottom w:val="single" w:sz="4" w:space="0" w:color="auto"/>
            </w:tcBorders>
            <w:shd w:val="clear" w:color="auto" w:fill="auto"/>
            <w:vAlign w:val="center"/>
            <w:hideMark/>
          </w:tcPr>
          <w:p w14:paraId="7BB8391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51,13</w:t>
            </w:r>
          </w:p>
        </w:tc>
        <w:tc>
          <w:tcPr>
            <w:tcW w:w="656" w:type="pct"/>
            <w:tcBorders>
              <w:top w:val="single" w:sz="4" w:space="0" w:color="auto"/>
              <w:bottom w:val="single" w:sz="4" w:space="0" w:color="auto"/>
            </w:tcBorders>
            <w:shd w:val="clear" w:color="auto" w:fill="auto"/>
            <w:vAlign w:val="center"/>
            <w:hideMark/>
          </w:tcPr>
          <w:p w14:paraId="657230A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51,13</w:t>
            </w:r>
          </w:p>
        </w:tc>
      </w:tr>
      <w:tr w:rsidR="00761800" w:rsidRPr="00761800" w14:paraId="0A93FDEF" w14:textId="77777777" w:rsidTr="00406B4D">
        <w:trPr>
          <w:trHeight w:val="765"/>
        </w:trPr>
        <w:tc>
          <w:tcPr>
            <w:tcW w:w="185" w:type="pct"/>
            <w:tcBorders>
              <w:top w:val="single" w:sz="4" w:space="0" w:color="auto"/>
              <w:bottom w:val="single" w:sz="4" w:space="0" w:color="auto"/>
            </w:tcBorders>
            <w:shd w:val="clear" w:color="auto" w:fill="auto"/>
            <w:hideMark/>
          </w:tcPr>
          <w:p w14:paraId="73D7416A"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31.</w:t>
            </w:r>
          </w:p>
        </w:tc>
        <w:tc>
          <w:tcPr>
            <w:tcW w:w="1673" w:type="pct"/>
            <w:tcBorders>
              <w:top w:val="single" w:sz="4" w:space="0" w:color="auto"/>
              <w:bottom w:val="single" w:sz="4" w:space="0" w:color="auto"/>
            </w:tcBorders>
            <w:shd w:val="clear" w:color="auto" w:fill="auto"/>
            <w:hideMark/>
          </w:tcPr>
          <w:p w14:paraId="23F56D4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еднократната помощ при осиновяване  на дете по чл. 6б, ал. 1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196E1AAE"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30024F8B"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191,74</w:t>
            </w:r>
          </w:p>
        </w:tc>
        <w:tc>
          <w:tcPr>
            <w:tcW w:w="654" w:type="pct"/>
            <w:tcBorders>
              <w:top w:val="single" w:sz="4" w:space="0" w:color="auto"/>
              <w:bottom w:val="single" w:sz="4" w:space="0" w:color="auto"/>
            </w:tcBorders>
            <w:shd w:val="clear" w:color="auto" w:fill="auto"/>
            <w:vAlign w:val="center"/>
            <w:hideMark/>
          </w:tcPr>
          <w:p w14:paraId="63B2422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191,74</w:t>
            </w:r>
          </w:p>
        </w:tc>
        <w:tc>
          <w:tcPr>
            <w:tcW w:w="654" w:type="pct"/>
            <w:tcBorders>
              <w:top w:val="single" w:sz="4" w:space="0" w:color="auto"/>
              <w:bottom w:val="single" w:sz="4" w:space="0" w:color="auto"/>
            </w:tcBorders>
            <w:shd w:val="clear" w:color="auto" w:fill="auto"/>
            <w:vAlign w:val="center"/>
            <w:hideMark/>
          </w:tcPr>
          <w:p w14:paraId="48A127B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191,74</w:t>
            </w:r>
          </w:p>
        </w:tc>
        <w:tc>
          <w:tcPr>
            <w:tcW w:w="656" w:type="pct"/>
            <w:tcBorders>
              <w:top w:val="single" w:sz="4" w:space="0" w:color="auto"/>
              <w:bottom w:val="single" w:sz="4" w:space="0" w:color="auto"/>
            </w:tcBorders>
            <w:shd w:val="clear" w:color="auto" w:fill="auto"/>
            <w:vAlign w:val="center"/>
            <w:hideMark/>
          </w:tcPr>
          <w:p w14:paraId="697D64E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191,74</w:t>
            </w:r>
          </w:p>
        </w:tc>
      </w:tr>
      <w:tr w:rsidR="00761800" w:rsidRPr="00761800" w14:paraId="050F0207" w14:textId="77777777" w:rsidTr="00406B4D">
        <w:trPr>
          <w:trHeight w:val="765"/>
        </w:trPr>
        <w:tc>
          <w:tcPr>
            <w:tcW w:w="185" w:type="pct"/>
            <w:tcBorders>
              <w:top w:val="single" w:sz="4" w:space="0" w:color="auto"/>
              <w:bottom w:val="single" w:sz="4" w:space="0" w:color="auto"/>
            </w:tcBorders>
            <w:shd w:val="clear" w:color="auto" w:fill="auto"/>
            <w:hideMark/>
          </w:tcPr>
          <w:p w14:paraId="6A816667"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32.</w:t>
            </w:r>
          </w:p>
        </w:tc>
        <w:tc>
          <w:tcPr>
            <w:tcW w:w="1673" w:type="pct"/>
            <w:tcBorders>
              <w:top w:val="single" w:sz="4" w:space="0" w:color="auto"/>
              <w:bottom w:val="single" w:sz="4" w:space="0" w:color="auto"/>
            </w:tcBorders>
            <w:shd w:val="clear" w:color="auto" w:fill="auto"/>
            <w:hideMark/>
          </w:tcPr>
          <w:p w14:paraId="0142808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еднократната помощ за отглеждане на близнаци  по чл. 6а, ал. 1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6F4A2963"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0B22B374"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613,55</w:t>
            </w:r>
          </w:p>
        </w:tc>
        <w:tc>
          <w:tcPr>
            <w:tcW w:w="654" w:type="pct"/>
            <w:tcBorders>
              <w:top w:val="single" w:sz="4" w:space="0" w:color="auto"/>
              <w:bottom w:val="single" w:sz="4" w:space="0" w:color="auto"/>
            </w:tcBorders>
            <w:shd w:val="clear" w:color="auto" w:fill="auto"/>
            <w:vAlign w:val="center"/>
            <w:hideMark/>
          </w:tcPr>
          <w:p w14:paraId="4D4B2B2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613,55</w:t>
            </w:r>
          </w:p>
        </w:tc>
        <w:tc>
          <w:tcPr>
            <w:tcW w:w="654" w:type="pct"/>
            <w:tcBorders>
              <w:top w:val="single" w:sz="4" w:space="0" w:color="auto"/>
              <w:bottom w:val="single" w:sz="4" w:space="0" w:color="auto"/>
            </w:tcBorders>
            <w:shd w:val="clear" w:color="auto" w:fill="auto"/>
            <w:vAlign w:val="center"/>
            <w:hideMark/>
          </w:tcPr>
          <w:p w14:paraId="57C351F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613,55</w:t>
            </w:r>
          </w:p>
        </w:tc>
        <w:tc>
          <w:tcPr>
            <w:tcW w:w="656" w:type="pct"/>
            <w:tcBorders>
              <w:top w:val="single" w:sz="4" w:space="0" w:color="auto"/>
              <w:bottom w:val="single" w:sz="4" w:space="0" w:color="auto"/>
            </w:tcBorders>
            <w:shd w:val="clear" w:color="auto" w:fill="auto"/>
            <w:vAlign w:val="center"/>
            <w:hideMark/>
          </w:tcPr>
          <w:p w14:paraId="7B2CE9B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613,55</w:t>
            </w:r>
          </w:p>
        </w:tc>
      </w:tr>
      <w:tr w:rsidR="00761800" w:rsidRPr="00761800" w14:paraId="5C8F6096" w14:textId="77777777" w:rsidTr="00406B4D">
        <w:trPr>
          <w:trHeight w:val="1020"/>
        </w:trPr>
        <w:tc>
          <w:tcPr>
            <w:tcW w:w="185" w:type="pct"/>
            <w:tcBorders>
              <w:top w:val="single" w:sz="4" w:space="0" w:color="auto"/>
              <w:bottom w:val="single" w:sz="4" w:space="0" w:color="auto"/>
            </w:tcBorders>
            <w:shd w:val="clear" w:color="auto" w:fill="auto"/>
            <w:hideMark/>
          </w:tcPr>
          <w:p w14:paraId="2BCD736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lastRenderedPageBreak/>
              <w:t>33.</w:t>
            </w:r>
          </w:p>
        </w:tc>
        <w:tc>
          <w:tcPr>
            <w:tcW w:w="1673" w:type="pct"/>
            <w:tcBorders>
              <w:top w:val="single" w:sz="4" w:space="0" w:color="auto"/>
              <w:bottom w:val="single" w:sz="4" w:space="0" w:color="auto"/>
            </w:tcBorders>
            <w:shd w:val="clear" w:color="auto" w:fill="auto"/>
            <w:hideMark/>
          </w:tcPr>
          <w:p w14:paraId="03D1EED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еднократната помощ за отглеждане на дете от майка (осиновителка) студентка, учаща в редовна форма на обучение, по чл. 8в, ал. 1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27C5A56C"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6467F3DA"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1 472,52</w:t>
            </w:r>
          </w:p>
        </w:tc>
        <w:tc>
          <w:tcPr>
            <w:tcW w:w="654" w:type="pct"/>
            <w:tcBorders>
              <w:top w:val="single" w:sz="4" w:space="0" w:color="auto"/>
              <w:bottom w:val="single" w:sz="4" w:space="0" w:color="auto"/>
            </w:tcBorders>
            <w:shd w:val="clear" w:color="auto" w:fill="auto"/>
            <w:vAlign w:val="center"/>
            <w:hideMark/>
          </w:tcPr>
          <w:p w14:paraId="0302E75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1 472,52</w:t>
            </w:r>
          </w:p>
        </w:tc>
        <w:tc>
          <w:tcPr>
            <w:tcW w:w="654" w:type="pct"/>
            <w:tcBorders>
              <w:top w:val="single" w:sz="4" w:space="0" w:color="auto"/>
              <w:bottom w:val="single" w:sz="4" w:space="0" w:color="auto"/>
            </w:tcBorders>
            <w:shd w:val="clear" w:color="auto" w:fill="auto"/>
            <w:vAlign w:val="center"/>
            <w:hideMark/>
          </w:tcPr>
          <w:p w14:paraId="217097D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1 472,52</w:t>
            </w:r>
          </w:p>
        </w:tc>
        <w:tc>
          <w:tcPr>
            <w:tcW w:w="656" w:type="pct"/>
            <w:tcBorders>
              <w:top w:val="single" w:sz="4" w:space="0" w:color="auto"/>
              <w:bottom w:val="single" w:sz="4" w:space="0" w:color="auto"/>
            </w:tcBorders>
            <w:shd w:val="clear" w:color="auto" w:fill="auto"/>
            <w:vAlign w:val="center"/>
            <w:hideMark/>
          </w:tcPr>
          <w:p w14:paraId="777EF52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1 472,52</w:t>
            </w:r>
          </w:p>
        </w:tc>
      </w:tr>
      <w:tr w:rsidR="00761800" w:rsidRPr="00761800" w14:paraId="790A4C11" w14:textId="77777777" w:rsidTr="00406B4D">
        <w:trPr>
          <w:trHeight w:val="765"/>
        </w:trPr>
        <w:tc>
          <w:tcPr>
            <w:tcW w:w="185" w:type="pct"/>
            <w:tcBorders>
              <w:top w:val="single" w:sz="4" w:space="0" w:color="auto"/>
              <w:bottom w:val="single" w:sz="4" w:space="0" w:color="auto"/>
            </w:tcBorders>
            <w:shd w:val="clear" w:color="auto" w:fill="auto"/>
            <w:hideMark/>
          </w:tcPr>
          <w:p w14:paraId="037933BC"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34.</w:t>
            </w:r>
          </w:p>
        </w:tc>
        <w:tc>
          <w:tcPr>
            <w:tcW w:w="1673" w:type="pct"/>
            <w:tcBorders>
              <w:top w:val="single" w:sz="4" w:space="0" w:color="auto"/>
              <w:bottom w:val="single" w:sz="4" w:space="0" w:color="auto"/>
            </w:tcBorders>
            <w:shd w:val="clear" w:color="auto" w:fill="auto"/>
            <w:hideMark/>
          </w:tcPr>
          <w:p w14:paraId="5BC2739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месечните помощи за отглеждане на дете до навършване на една година по чл. 8, ал. 1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4DD9157C"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1C1A27A4"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102,26</w:t>
            </w:r>
          </w:p>
        </w:tc>
        <w:tc>
          <w:tcPr>
            <w:tcW w:w="654" w:type="pct"/>
            <w:tcBorders>
              <w:top w:val="single" w:sz="4" w:space="0" w:color="auto"/>
              <w:bottom w:val="single" w:sz="4" w:space="0" w:color="auto"/>
            </w:tcBorders>
            <w:shd w:val="clear" w:color="auto" w:fill="auto"/>
            <w:vAlign w:val="center"/>
            <w:hideMark/>
          </w:tcPr>
          <w:p w14:paraId="326F802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102,26</w:t>
            </w:r>
          </w:p>
        </w:tc>
        <w:tc>
          <w:tcPr>
            <w:tcW w:w="654" w:type="pct"/>
            <w:tcBorders>
              <w:top w:val="single" w:sz="4" w:space="0" w:color="auto"/>
              <w:bottom w:val="single" w:sz="4" w:space="0" w:color="auto"/>
            </w:tcBorders>
            <w:shd w:val="clear" w:color="auto" w:fill="auto"/>
            <w:vAlign w:val="center"/>
            <w:hideMark/>
          </w:tcPr>
          <w:p w14:paraId="7A93BC7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102,26</w:t>
            </w:r>
          </w:p>
        </w:tc>
        <w:tc>
          <w:tcPr>
            <w:tcW w:w="656" w:type="pct"/>
            <w:tcBorders>
              <w:top w:val="single" w:sz="4" w:space="0" w:color="auto"/>
              <w:bottom w:val="single" w:sz="4" w:space="0" w:color="auto"/>
            </w:tcBorders>
            <w:shd w:val="clear" w:color="auto" w:fill="auto"/>
            <w:vAlign w:val="center"/>
            <w:hideMark/>
          </w:tcPr>
          <w:p w14:paraId="10B1335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102,26</w:t>
            </w:r>
          </w:p>
        </w:tc>
      </w:tr>
      <w:tr w:rsidR="00761800" w:rsidRPr="00761800" w14:paraId="48086705" w14:textId="77777777" w:rsidTr="00406B4D">
        <w:trPr>
          <w:trHeight w:val="1020"/>
        </w:trPr>
        <w:tc>
          <w:tcPr>
            <w:tcW w:w="185" w:type="pct"/>
            <w:vMerge w:val="restart"/>
            <w:tcBorders>
              <w:top w:val="single" w:sz="4" w:space="0" w:color="auto"/>
            </w:tcBorders>
            <w:shd w:val="clear" w:color="auto" w:fill="auto"/>
            <w:hideMark/>
          </w:tcPr>
          <w:p w14:paraId="1B15175F"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35.</w:t>
            </w:r>
          </w:p>
        </w:tc>
        <w:tc>
          <w:tcPr>
            <w:tcW w:w="1673" w:type="pct"/>
            <w:tcBorders>
              <w:top w:val="single" w:sz="4" w:space="0" w:color="auto"/>
            </w:tcBorders>
            <w:shd w:val="clear" w:color="auto" w:fill="auto"/>
            <w:hideMark/>
          </w:tcPr>
          <w:p w14:paraId="132E604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месечните помощи за отглеждане на дете до завършване на средно образование, но не повече от 20-годишна възраст, по чл. 7, ал. 1 от Закона за семейни помощи за деца</w:t>
            </w:r>
          </w:p>
        </w:tc>
        <w:tc>
          <w:tcPr>
            <w:tcW w:w="532" w:type="pct"/>
            <w:vMerge w:val="restart"/>
            <w:tcBorders>
              <w:top w:val="single" w:sz="4" w:space="0" w:color="auto"/>
            </w:tcBorders>
            <w:shd w:val="clear" w:color="auto" w:fill="FBE4D5"/>
            <w:vAlign w:val="center"/>
            <w:hideMark/>
          </w:tcPr>
          <w:p w14:paraId="752FF8D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w:t>
            </w:r>
          </w:p>
        </w:tc>
        <w:tc>
          <w:tcPr>
            <w:tcW w:w="645" w:type="pct"/>
            <w:tcBorders>
              <w:top w:val="single" w:sz="4" w:space="0" w:color="auto"/>
            </w:tcBorders>
            <w:shd w:val="clear" w:color="auto" w:fill="auto"/>
            <w:vAlign w:val="center"/>
            <w:hideMark/>
          </w:tcPr>
          <w:p w14:paraId="4C6AAF77"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tcBorders>
              <w:top w:val="single" w:sz="4" w:space="0" w:color="auto"/>
            </w:tcBorders>
            <w:shd w:val="clear" w:color="auto" w:fill="auto"/>
            <w:vAlign w:val="center"/>
            <w:hideMark/>
          </w:tcPr>
          <w:p w14:paraId="33DA543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tcBorders>
              <w:top w:val="single" w:sz="4" w:space="0" w:color="auto"/>
            </w:tcBorders>
            <w:shd w:val="clear" w:color="auto" w:fill="auto"/>
            <w:vAlign w:val="center"/>
            <w:hideMark/>
          </w:tcPr>
          <w:p w14:paraId="59DD1EE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tcBorders>
              <w:top w:val="single" w:sz="4" w:space="0" w:color="auto"/>
            </w:tcBorders>
            <w:shd w:val="clear" w:color="auto" w:fill="auto"/>
            <w:vAlign w:val="center"/>
            <w:hideMark/>
          </w:tcPr>
          <w:p w14:paraId="12F7D08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72C3F4BA" w14:textId="77777777" w:rsidTr="00406B4D">
        <w:trPr>
          <w:trHeight w:val="300"/>
        </w:trPr>
        <w:tc>
          <w:tcPr>
            <w:tcW w:w="185" w:type="pct"/>
            <w:vMerge/>
            <w:vAlign w:val="center"/>
            <w:hideMark/>
          </w:tcPr>
          <w:p w14:paraId="056514B2" w14:textId="77777777" w:rsidR="00761800" w:rsidRPr="00761800" w:rsidRDefault="00761800" w:rsidP="00761800">
            <w:pPr>
              <w:rPr>
                <w:rFonts w:ascii="Times New Roman" w:hAnsi="Times New Roman"/>
                <w:b/>
                <w:bCs/>
                <w:sz w:val="20"/>
                <w:lang w:eastAsia="bg-BG"/>
              </w:rPr>
            </w:pPr>
          </w:p>
        </w:tc>
        <w:tc>
          <w:tcPr>
            <w:tcW w:w="1673" w:type="pct"/>
            <w:shd w:val="clear" w:color="auto" w:fill="auto"/>
            <w:hideMark/>
          </w:tcPr>
          <w:p w14:paraId="11D7970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w:t>
            </w:r>
          </w:p>
        </w:tc>
        <w:tc>
          <w:tcPr>
            <w:tcW w:w="532" w:type="pct"/>
            <w:vMerge/>
            <w:shd w:val="clear" w:color="auto" w:fill="FBE4D5"/>
            <w:vAlign w:val="center"/>
            <w:hideMark/>
          </w:tcPr>
          <w:p w14:paraId="16C9C163"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550C9E4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6020BCD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62F8928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75199DB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45B6FFA0" w14:textId="77777777" w:rsidTr="00406B4D">
        <w:trPr>
          <w:trHeight w:val="300"/>
        </w:trPr>
        <w:tc>
          <w:tcPr>
            <w:tcW w:w="185" w:type="pct"/>
            <w:shd w:val="clear" w:color="auto" w:fill="auto"/>
            <w:hideMark/>
          </w:tcPr>
          <w:p w14:paraId="62908AF7"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35.1.</w:t>
            </w:r>
          </w:p>
        </w:tc>
        <w:tc>
          <w:tcPr>
            <w:tcW w:w="1673" w:type="pct"/>
            <w:shd w:val="clear" w:color="auto" w:fill="auto"/>
            <w:hideMark/>
          </w:tcPr>
          <w:p w14:paraId="5E30084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семейство с едно дете </w:t>
            </w:r>
          </w:p>
        </w:tc>
        <w:tc>
          <w:tcPr>
            <w:tcW w:w="532" w:type="pct"/>
            <w:vMerge w:val="restart"/>
            <w:shd w:val="clear" w:color="auto" w:fill="FBE4D5"/>
            <w:vAlign w:val="center"/>
            <w:hideMark/>
          </w:tcPr>
          <w:p w14:paraId="73B9C6B5"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shd w:val="clear" w:color="auto" w:fill="auto"/>
            <w:vAlign w:val="center"/>
            <w:hideMark/>
          </w:tcPr>
          <w:p w14:paraId="3908FBD3"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25,57</w:t>
            </w:r>
          </w:p>
        </w:tc>
        <w:tc>
          <w:tcPr>
            <w:tcW w:w="654" w:type="pct"/>
            <w:shd w:val="clear" w:color="auto" w:fill="auto"/>
            <w:vAlign w:val="center"/>
            <w:hideMark/>
          </w:tcPr>
          <w:p w14:paraId="28B1A10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25,57</w:t>
            </w:r>
          </w:p>
        </w:tc>
        <w:tc>
          <w:tcPr>
            <w:tcW w:w="654" w:type="pct"/>
            <w:shd w:val="clear" w:color="auto" w:fill="auto"/>
            <w:vAlign w:val="center"/>
            <w:hideMark/>
          </w:tcPr>
          <w:p w14:paraId="417C299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25,57</w:t>
            </w:r>
          </w:p>
        </w:tc>
        <w:tc>
          <w:tcPr>
            <w:tcW w:w="656" w:type="pct"/>
            <w:shd w:val="clear" w:color="auto" w:fill="auto"/>
            <w:vAlign w:val="center"/>
            <w:hideMark/>
          </w:tcPr>
          <w:p w14:paraId="5353823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25,57</w:t>
            </w:r>
          </w:p>
        </w:tc>
      </w:tr>
      <w:tr w:rsidR="00761800" w:rsidRPr="00761800" w14:paraId="6D4BB146" w14:textId="77777777" w:rsidTr="00406B4D">
        <w:trPr>
          <w:trHeight w:val="300"/>
        </w:trPr>
        <w:tc>
          <w:tcPr>
            <w:tcW w:w="185" w:type="pct"/>
            <w:shd w:val="clear" w:color="auto" w:fill="auto"/>
            <w:hideMark/>
          </w:tcPr>
          <w:p w14:paraId="187964D6"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35.2.</w:t>
            </w:r>
          </w:p>
        </w:tc>
        <w:tc>
          <w:tcPr>
            <w:tcW w:w="1673" w:type="pct"/>
            <w:shd w:val="clear" w:color="auto" w:fill="auto"/>
            <w:hideMark/>
          </w:tcPr>
          <w:p w14:paraId="041E12B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семейство с две деца</w:t>
            </w:r>
          </w:p>
        </w:tc>
        <w:tc>
          <w:tcPr>
            <w:tcW w:w="532" w:type="pct"/>
            <w:vMerge/>
            <w:shd w:val="clear" w:color="auto" w:fill="FBE4D5"/>
            <w:vAlign w:val="center"/>
            <w:hideMark/>
          </w:tcPr>
          <w:p w14:paraId="10C03645"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38EEB55B"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56,25</w:t>
            </w:r>
          </w:p>
        </w:tc>
        <w:tc>
          <w:tcPr>
            <w:tcW w:w="654" w:type="pct"/>
            <w:shd w:val="clear" w:color="auto" w:fill="auto"/>
            <w:vAlign w:val="center"/>
            <w:hideMark/>
          </w:tcPr>
          <w:p w14:paraId="38B0380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56,25</w:t>
            </w:r>
          </w:p>
        </w:tc>
        <w:tc>
          <w:tcPr>
            <w:tcW w:w="654" w:type="pct"/>
            <w:shd w:val="clear" w:color="auto" w:fill="auto"/>
            <w:vAlign w:val="center"/>
            <w:hideMark/>
          </w:tcPr>
          <w:p w14:paraId="5B633C5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56,25</w:t>
            </w:r>
          </w:p>
        </w:tc>
        <w:tc>
          <w:tcPr>
            <w:tcW w:w="656" w:type="pct"/>
            <w:shd w:val="clear" w:color="auto" w:fill="auto"/>
            <w:vAlign w:val="center"/>
            <w:hideMark/>
          </w:tcPr>
          <w:p w14:paraId="090DB0F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56,25</w:t>
            </w:r>
          </w:p>
        </w:tc>
      </w:tr>
      <w:tr w:rsidR="00761800" w:rsidRPr="00761800" w14:paraId="1F2BF101" w14:textId="77777777" w:rsidTr="00406B4D">
        <w:trPr>
          <w:trHeight w:val="300"/>
        </w:trPr>
        <w:tc>
          <w:tcPr>
            <w:tcW w:w="185" w:type="pct"/>
            <w:shd w:val="clear" w:color="auto" w:fill="auto"/>
            <w:hideMark/>
          </w:tcPr>
          <w:p w14:paraId="0BDCC2B1"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35.3.</w:t>
            </w:r>
          </w:p>
        </w:tc>
        <w:tc>
          <w:tcPr>
            <w:tcW w:w="1673" w:type="pct"/>
            <w:shd w:val="clear" w:color="auto" w:fill="auto"/>
            <w:hideMark/>
          </w:tcPr>
          <w:p w14:paraId="2F25C84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семейство с три деца </w:t>
            </w:r>
          </w:p>
        </w:tc>
        <w:tc>
          <w:tcPr>
            <w:tcW w:w="532" w:type="pct"/>
            <w:vMerge/>
            <w:shd w:val="clear" w:color="auto" w:fill="FBE4D5"/>
            <w:vAlign w:val="center"/>
            <w:hideMark/>
          </w:tcPr>
          <w:p w14:paraId="57824787"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3BFEF52A"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84,37</w:t>
            </w:r>
          </w:p>
        </w:tc>
        <w:tc>
          <w:tcPr>
            <w:tcW w:w="654" w:type="pct"/>
            <w:shd w:val="clear" w:color="auto" w:fill="auto"/>
            <w:vAlign w:val="center"/>
            <w:hideMark/>
          </w:tcPr>
          <w:p w14:paraId="3F100E0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84,37</w:t>
            </w:r>
          </w:p>
        </w:tc>
        <w:tc>
          <w:tcPr>
            <w:tcW w:w="654" w:type="pct"/>
            <w:shd w:val="clear" w:color="auto" w:fill="auto"/>
            <w:vAlign w:val="center"/>
            <w:hideMark/>
          </w:tcPr>
          <w:p w14:paraId="65F7A84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84,37</w:t>
            </w:r>
          </w:p>
        </w:tc>
        <w:tc>
          <w:tcPr>
            <w:tcW w:w="656" w:type="pct"/>
            <w:shd w:val="clear" w:color="auto" w:fill="auto"/>
            <w:vAlign w:val="center"/>
            <w:hideMark/>
          </w:tcPr>
          <w:p w14:paraId="68FF249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84,37</w:t>
            </w:r>
          </w:p>
        </w:tc>
      </w:tr>
      <w:tr w:rsidR="00761800" w:rsidRPr="00761800" w14:paraId="057E15EC" w14:textId="77777777" w:rsidTr="00406B4D">
        <w:trPr>
          <w:trHeight w:val="765"/>
        </w:trPr>
        <w:tc>
          <w:tcPr>
            <w:tcW w:w="185" w:type="pct"/>
            <w:tcBorders>
              <w:bottom w:val="single" w:sz="4" w:space="0" w:color="auto"/>
            </w:tcBorders>
            <w:shd w:val="clear" w:color="auto" w:fill="auto"/>
            <w:hideMark/>
          </w:tcPr>
          <w:p w14:paraId="73C96AA8"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35.4.</w:t>
            </w:r>
          </w:p>
        </w:tc>
        <w:tc>
          <w:tcPr>
            <w:tcW w:w="1673" w:type="pct"/>
            <w:tcBorders>
              <w:bottom w:val="single" w:sz="4" w:space="0" w:color="auto"/>
            </w:tcBorders>
            <w:shd w:val="clear" w:color="auto" w:fill="auto"/>
            <w:hideMark/>
          </w:tcPr>
          <w:p w14:paraId="110DB12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семейство с четири деца, като за всяко следващо дете в семейството помощта за семейството расте с 10,23 евро</w:t>
            </w:r>
          </w:p>
        </w:tc>
        <w:tc>
          <w:tcPr>
            <w:tcW w:w="532" w:type="pct"/>
            <w:vMerge/>
            <w:tcBorders>
              <w:bottom w:val="single" w:sz="4" w:space="0" w:color="auto"/>
            </w:tcBorders>
            <w:shd w:val="clear" w:color="auto" w:fill="FBE4D5"/>
            <w:vAlign w:val="center"/>
            <w:hideMark/>
          </w:tcPr>
          <w:p w14:paraId="55531F2E" w14:textId="77777777" w:rsidR="00761800" w:rsidRPr="00761800" w:rsidRDefault="00761800" w:rsidP="00761800">
            <w:pPr>
              <w:rPr>
                <w:rFonts w:ascii="Times New Roman" w:hAnsi="Times New Roman"/>
                <w:color w:val="000000"/>
                <w:sz w:val="20"/>
                <w:lang w:eastAsia="bg-BG"/>
              </w:rPr>
            </w:pPr>
          </w:p>
        </w:tc>
        <w:tc>
          <w:tcPr>
            <w:tcW w:w="645" w:type="pct"/>
            <w:tcBorders>
              <w:bottom w:val="single" w:sz="4" w:space="0" w:color="auto"/>
            </w:tcBorders>
            <w:shd w:val="clear" w:color="auto" w:fill="auto"/>
            <w:vAlign w:val="center"/>
            <w:hideMark/>
          </w:tcPr>
          <w:p w14:paraId="70E01002"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89,48</w:t>
            </w:r>
          </w:p>
        </w:tc>
        <w:tc>
          <w:tcPr>
            <w:tcW w:w="654" w:type="pct"/>
            <w:tcBorders>
              <w:bottom w:val="single" w:sz="4" w:space="0" w:color="auto"/>
            </w:tcBorders>
            <w:shd w:val="clear" w:color="auto" w:fill="auto"/>
            <w:vAlign w:val="center"/>
            <w:hideMark/>
          </w:tcPr>
          <w:p w14:paraId="5ED316E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89,48</w:t>
            </w:r>
          </w:p>
        </w:tc>
        <w:tc>
          <w:tcPr>
            <w:tcW w:w="654" w:type="pct"/>
            <w:tcBorders>
              <w:bottom w:val="single" w:sz="4" w:space="0" w:color="auto"/>
            </w:tcBorders>
            <w:shd w:val="clear" w:color="auto" w:fill="auto"/>
            <w:vAlign w:val="center"/>
            <w:hideMark/>
          </w:tcPr>
          <w:p w14:paraId="6323B28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89,48</w:t>
            </w:r>
          </w:p>
        </w:tc>
        <w:tc>
          <w:tcPr>
            <w:tcW w:w="656" w:type="pct"/>
            <w:tcBorders>
              <w:bottom w:val="single" w:sz="4" w:space="0" w:color="auto"/>
            </w:tcBorders>
            <w:shd w:val="clear" w:color="auto" w:fill="auto"/>
            <w:vAlign w:val="center"/>
            <w:hideMark/>
          </w:tcPr>
          <w:p w14:paraId="6B85C25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89,48</w:t>
            </w:r>
          </w:p>
        </w:tc>
      </w:tr>
      <w:tr w:rsidR="00761800" w:rsidRPr="00761800" w14:paraId="0BD66860" w14:textId="77777777" w:rsidTr="00406B4D">
        <w:trPr>
          <w:trHeight w:val="510"/>
        </w:trPr>
        <w:tc>
          <w:tcPr>
            <w:tcW w:w="185" w:type="pct"/>
            <w:tcBorders>
              <w:top w:val="single" w:sz="4" w:space="0" w:color="auto"/>
              <w:bottom w:val="single" w:sz="4" w:space="0" w:color="auto"/>
            </w:tcBorders>
            <w:shd w:val="clear" w:color="auto" w:fill="auto"/>
            <w:hideMark/>
          </w:tcPr>
          <w:p w14:paraId="511BB1C3"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36.</w:t>
            </w:r>
          </w:p>
        </w:tc>
        <w:tc>
          <w:tcPr>
            <w:tcW w:w="1673" w:type="pct"/>
            <w:tcBorders>
              <w:top w:val="single" w:sz="4" w:space="0" w:color="auto"/>
              <w:bottom w:val="single" w:sz="4" w:space="0" w:color="auto"/>
            </w:tcBorders>
            <w:shd w:val="clear" w:color="auto" w:fill="auto"/>
            <w:hideMark/>
          </w:tcPr>
          <w:p w14:paraId="2E7F541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месечната помощ за отглеждане на близнаци по чл. 7, ал. 6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65C8DBED"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65AA0570"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38,35</w:t>
            </w:r>
          </w:p>
        </w:tc>
        <w:tc>
          <w:tcPr>
            <w:tcW w:w="654" w:type="pct"/>
            <w:tcBorders>
              <w:top w:val="single" w:sz="4" w:space="0" w:color="auto"/>
              <w:bottom w:val="single" w:sz="4" w:space="0" w:color="auto"/>
            </w:tcBorders>
            <w:shd w:val="clear" w:color="auto" w:fill="auto"/>
            <w:vAlign w:val="center"/>
            <w:hideMark/>
          </w:tcPr>
          <w:p w14:paraId="469F7A9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38,35</w:t>
            </w:r>
          </w:p>
        </w:tc>
        <w:tc>
          <w:tcPr>
            <w:tcW w:w="654" w:type="pct"/>
            <w:tcBorders>
              <w:top w:val="single" w:sz="4" w:space="0" w:color="auto"/>
              <w:bottom w:val="single" w:sz="4" w:space="0" w:color="auto"/>
            </w:tcBorders>
            <w:shd w:val="clear" w:color="auto" w:fill="auto"/>
            <w:vAlign w:val="center"/>
            <w:hideMark/>
          </w:tcPr>
          <w:p w14:paraId="6F2E078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38,35</w:t>
            </w:r>
          </w:p>
        </w:tc>
        <w:tc>
          <w:tcPr>
            <w:tcW w:w="656" w:type="pct"/>
            <w:tcBorders>
              <w:top w:val="single" w:sz="4" w:space="0" w:color="auto"/>
              <w:bottom w:val="single" w:sz="4" w:space="0" w:color="auto"/>
            </w:tcBorders>
            <w:shd w:val="clear" w:color="auto" w:fill="auto"/>
            <w:vAlign w:val="center"/>
            <w:hideMark/>
          </w:tcPr>
          <w:p w14:paraId="53E4CE9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38,35</w:t>
            </w:r>
          </w:p>
        </w:tc>
      </w:tr>
      <w:tr w:rsidR="00761800" w:rsidRPr="00761800" w14:paraId="65C3ACAF" w14:textId="77777777" w:rsidTr="00406B4D">
        <w:trPr>
          <w:trHeight w:val="1431"/>
        </w:trPr>
        <w:tc>
          <w:tcPr>
            <w:tcW w:w="185" w:type="pct"/>
            <w:vMerge w:val="restart"/>
            <w:tcBorders>
              <w:top w:val="single" w:sz="4" w:space="0" w:color="auto"/>
              <w:bottom w:val="single" w:sz="4" w:space="0" w:color="auto"/>
            </w:tcBorders>
            <w:shd w:val="clear" w:color="auto" w:fill="auto"/>
            <w:hideMark/>
          </w:tcPr>
          <w:p w14:paraId="3B6EE578"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37.</w:t>
            </w:r>
          </w:p>
        </w:tc>
        <w:tc>
          <w:tcPr>
            <w:tcW w:w="1673" w:type="pct"/>
            <w:tcBorders>
              <w:top w:val="single" w:sz="4" w:space="0" w:color="auto"/>
            </w:tcBorders>
            <w:shd w:val="clear" w:color="auto" w:fill="auto"/>
            <w:hideMark/>
          </w:tcPr>
          <w:p w14:paraId="2866081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месечната помощ за отглеждане на дете с трайно увреждане по чл. 8д от Закона за семейни помощи за деца за родители (осиновители), семейства на роднини или близки и доброволни приемни семейства, при които са настанени деца с трайни увреждания</w:t>
            </w:r>
          </w:p>
        </w:tc>
        <w:tc>
          <w:tcPr>
            <w:tcW w:w="532" w:type="pct"/>
            <w:vMerge w:val="restart"/>
            <w:tcBorders>
              <w:top w:val="single" w:sz="4" w:space="0" w:color="auto"/>
            </w:tcBorders>
            <w:shd w:val="clear" w:color="auto" w:fill="FBE4D5"/>
            <w:vAlign w:val="center"/>
            <w:hideMark/>
          </w:tcPr>
          <w:p w14:paraId="6D50DF26"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w:t>
            </w:r>
          </w:p>
        </w:tc>
        <w:tc>
          <w:tcPr>
            <w:tcW w:w="645" w:type="pct"/>
            <w:tcBorders>
              <w:top w:val="single" w:sz="4" w:space="0" w:color="auto"/>
            </w:tcBorders>
            <w:shd w:val="clear" w:color="auto" w:fill="auto"/>
            <w:vAlign w:val="center"/>
            <w:hideMark/>
          </w:tcPr>
          <w:p w14:paraId="528DA69F"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tcBorders>
              <w:top w:val="single" w:sz="4" w:space="0" w:color="auto"/>
            </w:tcBorders>
            <w:shd w:val="clear" w:color="auto" w:fill="auto"/>
            <w:vAlign w:val="center"/>
            <w:hideMark/>
          </w:tcPr>
          <w:p w14:paraId="1F3DF84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tcBorders>
              <w:top w:val="single" w:sz="4" w:space="0" w:color="auto"/>
            </w:tcBorders>
            <w:shd w:val="clear" w:color="auto" w:fill="auto"/>
            <w:vAlign w:val="center"/>
            <w:hideMark/>
          </w:tcPr>
          <w:p w14:paraId="276B9A4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tcBorders>
              <w:top w:val="single" w:sz="4" w:space="0" w:color="auto"/>
            </w:tcBorders>
            <w:shd w:val="clear" w:color="auto" w:fill="auto"/>
            <w:vAlign w:val="center"/>
            <w:hideMark/>
          </w:tcPr>
          <w:p w14:paraId="660B979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1B02DC05" w14:textId="77777777" w:rsidTr="00406B4D">
        <w:trPr>
          <w:trHeight w:val="300"/>
        </w:trPr>
        <w:tc>
          <w:tcPr>
            <w:tcW w:w="185" w:type="pct"/>
            <w:vMerge/>
            <w:tcBorders>
              <w:bottom w:val="single" w:sz="4" w:space="0" w:color="auto"/>
            </w:tcBorders>
            <w:vAlign w:val="center"/>
            <w:hideMark/>
          </w:tcPr>
          <w:p w14:paraId="1EC4A931" w14:textId="77777777" w:rsidR="00761800" w:rsidRPr="00761800" w:rsidRDefault="00761800" w:rsidP="00761800">
            <w:pPr>
              <w:rPr>
                <w:rFonts w:ascii="Times New Roman" w:hAnsi="Times New Roman"/>
                <w:b/>
                <w:bCs/>
                <w:sz w:val="20"/>
                <w:lang w:eastAsia="bg-BG"/>
              </w:rPr>
            </w:pPr>
          </w:p>
        </w:tc>
        <w:tc>
          <w:tcPr>
            <w:tcW w:w="1673" w:type="pct"/>
            <w:tcBorders>
              <w:bottom w:val="single" w:sz="4" w:space="0" w:color="auto"/>
            </w:tcBorders>
            <w:shd w:val="clear" w:color="auto" w:fill="auto"/>
            <w:hideMark/>
          </w:tcPr>
          <w:p w14:paraId="799B7AB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w:t>
            </w:r>
          </w:p>
        </w:tc>
        <w:tc>
          <w:tcPr>
            <w:tcW w:w="532" w:type="pct"/>
            <w:vMerge/>
            <w:tcBorders>
              <w:bottom w:val="single" w:sz="4" w:space="0" w:color="auto"/>
            </w:tcBorders>
            <w:shd w:val="clear" w:color="auto" w:fill="FBE4D5"/>
            <w:vAlign w:val="center"/>
            <w:hideMark/>
          </w:tcPr>
          <w:p w14:paraId="5CBEB37D" w14:textId="77777777" w:rsidR="00761800" w:rsidRPr="00761800" w:rsidRDefault="00761800" w:rsidP="00761800">
            <w:pPr>
              <w:rPr>
                <w:rFonts w:ascii="Times New Roman" w:hAnsi="Times New Roman"/>
                <w:color w:val="000000"/>
                <w:sz w:val="20"/>
                <w:lang w:eastAsia="bg-BG"/>
              </w:rPr>
            </w:pPr>
          </w:p>
        </w:tc>
        <w:tc>
          <w:tcPr>
            <w:tcW w:w="645" w:type="pct"/>
            <w:tcBorders>
              <w:bottom w:val="single" w:sz="4" w:space="0" w:color="auto"/>
            </w:tcBorders>
            <w:shd w:val="clear" w:color="auto" w:fill="auto"/>
            <w:vAlign w:val="center"/>
            <w:hideMark/>
          </w:tcPr>
          <w:p w14:paraId="1AF89E80"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tcBorders>
              <w:bottom w:val="single" w:sz="4" w:space="0" w:color="auto"/>
            </w:tcBorders>
            <w:shd w:val="clear" w:color="auto" w:fill="auto"/>
            <w:vAlign w:val="center"/>
            <w:hideMark/>
          </w:tcPr>
          <w:p w14:paraId="4EE5510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tcBorders>
              <w:bottom w:val="single" w:sz="4" w:space="0" w:color="auto"/>
            </w:tcBorders>
            <w:shd w:val="clear" w:color="auto" w:fill="auto"/>
            <w:vAlign w:val="center"/>
            <w:hideMark/>
          </w:tcPr>
          <w:p w14:paraId="4E62E3D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tcBorders>
              <w:bottom w:val="single" w:sz="4" w:space="0" w:color="auto"/>
            </w:tcBorders>
            <w:shd w:val="clear" w:color="auto" w:fill="auto"/>
            <w:vAlign w:val="center"/>
            <w:hideMark/>
          </w:tcPr>
          <w:p w14:paraId="42CBAEE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26502814" w14:textId="77777777" w:rsidTr="00406B4D">
        <w:trPr>
          <w:trHeight w:val="765"/>
        </w:trPr>
        <w:tc>
          <w:tcPr>
            <w:tcW w:w="185" w:type="pct"/>
            <w:tcBorders>
              <w:top w:val="single" w:sz="4" w:space="0" w:color="auto"/>
            </w:tcBorders>
            <w:shd w:val="clear" w:color="auto" w:fill="auto"/>
            <w:hideMark/>
          </w:tcPr>
          <w:p w14:paraId="57BF7372"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37.1.</w:t>
            </w:r>
          </w:p>
        </w:tc>
        <w:tc>
          <w:tcPr>
            <w:tcW w:w="1673" w:type="pct"/>
            <w:tcBorders>
              <w:top w:val="single" w:sz="4" w:space="0" w:color="auto"/>
            </w:tcBorders>
            <w:shd w:val="clear" w:color="auto" w:fill="auto"/>
            <w:hideMark/>
          </w:tcPr>
          <w:p w14:paraId="66BCCF2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дете с определени 90 и над 90 на сто вид и степен на увреждане или степен на трайно намалена работоспособност </w:t>
            </w:r>
          </w:p>
        </w:tc>
        <w:tc>
          <w:tcPr>
            <w:tcW w:w="532" w:type="pct"/>
            <w:vMerge w:val="restart"/>
            <w:tcBorders>
              <w:top w:val="single" w:sz="4" w:space="0" w:color="auto"/>
            </w:tcBorders>
            <w:shd w:val="clear" w:color="auto" w:fill="FBE4D5"/>
            <w:vAlign w:val="center"/>
            <w:hideMark/>
          </w:tcPr>
          <w:p w14:paraId="74630259"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tcBorders>
            <w:shd w:val="clear" w:color="auto" w:fill="auto"/>
            <w:vAlign w:val="center"/>
            <w:hideMark/>
          </w:tcPr>
          <w:p w14:paraId="155DF69D"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603,33</w:t>
            </w:r>
          </w:p>
        </w:tc>
        <w:tc>
          <w:tcPr>
            <w:tcW w:w="654" w:type="pct"/>
            <w:tcBorders>
              <w:top w:val="single" w:sz="4" w:space="0" w:color="auto"/>
            </w:tcBorders>
            <w:shd w:val="clear" w:color="auto" w:fill="auto"/>
            <w:vAlign w:val="center"/>
            <w:hideMark/>
          </w:tcPr>
          <w:p w14:paraId="50CA964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603,33</w:t>
            </w:r>
          </w:p>
        </w:tc>
        <w:tc>
          <w:tcPr>
            <w:tcW w:w="654" w:type="pct"/>
            <w:tcBorders>
              <w:top w:val="single" w:sz="4" w:space="0" w:color="auto"/>
            </w:tcBorders>
            <w:shd w:val="clear" w:color="auto" w:fill="auto"/>
            <w:vAlign w:val="center"/>
            <w:hideMark/>
          </w:tcPr>
          <w:p w14:paraId="06F36F2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603,33</w:t>
            </w:r>
          </w:p>
        </w:tc>
        <w:tc>
          <w:tcPr>
            <w:tcW w:w="656" w:type="pct"/>
            <w:tcBorders>
              <w:top w:val="single" w:sz="4" w:space="0" w:color="auto"/>
            </w:tcBorders>
            <w:shd w:val="clear" w:color="auto" w:fill="auto"/>
            <w:vAlign w:val="center"/>
            <w:hideMark/>
          </w:tcPr>
          <w:p w14:paraId="43FB9A0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603,33</w:t>
            </w:r>
          </w:p>
        </w:tc>
      </w:tr>
      <w:tr w:rsidR="00761800" w:rsidRPr="00761800" w14:paraId="55F1C9A8" w14:textId="77777777" w:rsidTr="00406B4D">
        <w:trPr>
          <w:trHeight w:val="765"/>
        </w:trPr>
        <w:tc>
          <w:tcPr>
            <w:tcW w:w="185" w:type="pct"/>
            <w:shd w:val="clear" w:color="auto" w:fill="auto"/>
            <w:hideMark/>
          </w:tcPr>
          <w:p w14:paraId="6C1E4993"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37.2.</w:t>
            </w:r>
          </w:p>
        </w:tc>
        <w:tc>
          <w:tcPr>
            <w:tcW w:w="1673" w:type="pct"/>
            <w:shd w:val="clear" w:color="auto" w:fill="auto"/>
            <w:hideMark/>
          </w:tcPr>
          <w:p w14:paraId="60F9831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дете с определени от 70 до 90 на сто вид и степен на увреждане или степен на трайно намалена работоспособност</w:t>
            </w:r>
          </w:p>
        </w:tc>
        <w:tc>
          <w:tcPr>
            <w:tcW w:w="532" w:type="pct"/>
            <w:vMerge/>
            <w:shd w:val="clear" w:color="auto" w:fill="FBE4D5"/>
            <w:vAlign w:val="center"/>
            <w:hideMark/>
          </w:tcPr>
          <w:p w14:paraId="5F26D867"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7048D97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291,44</w:t>
            </w:r>
          </w:p>
        </w:tc>
        <w:tc>
          <w:tcPr>
            <w:tcW w:w="654" w:type="pct"/>
            <w:shd w:val="clear" w:color="auto" w:fill="auto"/>
            <w:vAlign w:val="center"/>
            <w:hideMark/>
          </w:tcPr>
          <w:p w14:paraId="35CB48E1"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291,44</w:t>
            </w:r>
          </w:p>
        </w:tc>
        <w:tc>
          <w:tcPr>
            <w:tcW w:w="654" w:type="pct"/>
            <w:shd w:val="clear" w:color="auto" w:fill="auto"/>
            <w:vAlign w:val="center"/>
            <w:hideMark/>
          </w:tcPr>
          <w:p w14:paraId="52B79E74"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291,44</w:t>
            </w:r>
          </w:p>
        </w:tc>
        <w:tc>
          <w:tcPr>
            <w:tcW w:w="656" w:type="pct"/>
            <w:shd w:val="clear" w:color="auto" w:fill="auto"/>
            <w:vAlign w:val="center"/>
            <w:hideMark/>
          </w:tcPr>
          <w:p w14:paraId="6946A340"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291,44</w:t>
            </w:r>
          </w:p>
        </w:tc>
      </w:tr>
      <w:tr w:rsidR="00761800" w:rsidRPr="00761800" w14:paraId="3C6A0851" w14:textId="77777777" w:rsidTr="00406B4D">
        <w:trPr>
          <w:trHeight w:val="765"/>
        </w:trPr>
        <w:tc>
          <w:tcPr>
            <w:tcW w:w="185" w:type="pct"/>
            <w:tcBorders>
              <w:bottom w:val="single" w:sz="4" w:space="0" w:color="auto"/>
            </w:tcBorders>
            <w:shd w:val="clear" w:color="auto" w:fill="auto"/>
            <w:hideMark/>
          </w:tcPr>
          <w:p w14:paraId="37D21217"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lastRenderedPageBreak/>
              <w:t>37.3.</w:t>
            </w:r>
          </w:p>
        </w:tc>
        <w:tc>
          <w:tcPr>
            <w:tcW w:w="1673" w:type="pct"/>
            <w:tcBorders>
              <w:bottom w:val="single" w:sz="4" w:space="0" w:color="auto"/>
            </w:tcBorders>
            <w:shd w:val="clear" w:color="auto" w:fill="auto"/>
            <w:hideMark/>
          </w:tcPr>
          <w:p w14:paraId="110CD0F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дете с определени от 50 до 70 на сто вид и степен на увреждане или степен на трайно намалена работоспособност</w:t>
            </w:r>
          </w:p>
        </w:tc>
        <w:tc>
          <w:tcPr>
            <w:tcW w:w="532" w:type="pct"/>
            <w:vMerge/>
            <w:tcBorders>
              <w:bottom w:val="single" w:sz="4" w:space="0" w:color="auto"/>
            </w:tcBorders>
            <w:shd w:val="clear" w:color="auto" w:fill="FBE4D5"/>
            <w:vAlign w:val="center"/>
            <w:hideMark/>
          </w:tcPr>
          <w:p w14:paraId="33B8D6E4" w14:textId="77777777" w:rsidR="00761800" w:rsidRPr="00761800" w:rsidRDefault="00761800" w:rsidP="00761800">
            <w:pPr>
              <w:rPr>
                <w:rFonts w:ascii="Times New Roman" w:hAnsi="Times New Roman"/>
                <w:color w:val="000000"/>
                <w:sz w:val="20"/>
                <w:lang w:eastAsia="bg-BG"/>
              </w:rPr>
            </w:pPr>
          </w:p>
        </w:tc>
        <w:tc>
          <w:tcPr>
            <w:tcW w:w="645" w:type="pct"/>
            <w:tcBorders>
              <w:bottom w:val="single" w:sz="4" w:space="0" w:color="auto"/>
            </w:tcBorders>
            <w:shd w:val="clear" w:color="auto" w:fill="auto"/>
            <w:vAlign w:val="center"/>
            <w:hideMark/>
          </w:tcPr>
          <w:p w14:paraId="5518AFC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230,09</w:t>
            </w:r>
          </w:p>
        </w:tc>
        <w:tc>
          <w:tcPr>
            <w:tcW w:w="654" w:type="pct"/>
            <w:tcBorders>
              <w:bottom w:val="single" w:sz="4" w:space="0" w:color="auto"/>
            </w:tcBorders>
            <w:shd w:val="clear" w:color="auto" w:fill="auto"/>
            <w:vAlign w:val="center"/>
            <w:hideMark/>
          </w:tcPr>
          <w:p w14:paraId="2F1C8C62"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230,09</w:t>
            </w:r>
          </w:p>
        </w:tc>
        <w:tc>
          <w:tcPr>
            <w:tcW w:w="654" w:type="pct"/>
            <w:tcBorders>
              <w:bottom w:val="single" w:sz="4" w:space="0" w:color="auto"/>
            </w:tcBorders>
            <w:shd w:val="clear" w:color="auto" w:fill="auto"/>
            <w:vAlign w:val="center"/>
            <w:hideMark/>
          </w:tcPr>
          <w:p w14:paraId="754267AF"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230,09</w:t>
            </w:r>
          </w:p>
        </w:tc>
        <w:tc>
          <w:tcPr>
            <w:tcW w:w="656" w:type="pct"/>
            <w:tcBorders>
              <w:bottom w:val="single" w:sz="4" w:space="0" w:color="auto"/>
            </w:tcBorders>
            <w:shd w:val="clear" w:color="auto" w:fill="auto"/>
            <w:vAlign w:val="center"/>
            <w:hideMark/>
          </w:tcPr>
          <w:p w14:paraId="0F90ADD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230,09</w:t>
            </w:r>
          </w:p>
        </w:tc>
      </w:tr>
      <w:tr w:rsidR="00761800" w:rsidRPr="00761800" w14:paraId="1545975F" w14:textId="77777777" w:rsidTr="00406B4D">
        <w:trPr>
          <w:trHeight w:val="1020"/>
        </w:trPr>
        <w:tc>
          <w:tcPr>
            <w:tcW w:w="185" w:type="pct"/>
            <w:vMerge w:val="restart"/>
            <w:tcBorders>
              <w:top w:val="single" w:sz="4" w:space="0" w:color="auto"/>
            </w:tcBorders>
            <w:shd w:val="clear" w:color="auto" w:fill="auto"/>
            <w:hideMark/>
          </w:tcPr>
          <w:p w14:paraId="4ACDE4E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38.</w:t>
            </w:r>
          </w:p>
        </w:tc>
        <w:tc>
          <w:tcPr>
            <w:tcW w:w="1673" w:type="pct"/>
            <w:tcBorders>
              <w:top w:val="single" w:sz="4" w:space="0" w:color="auto"/>
            </w:tcBorders>
            <w:shd w:val="clear" w:color="auto" w:fill="auto"/>
            <w:hideMark/>
          </w:tcPr>
          <w:p w14:paraId="57D2D40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месечната помощ за отглеждане на дете с трайно увреждане по чл. 8д от Закона за семейни помощи за деца за професионални приемни семейства, при които са настанени деца с трайни увреждания</w:t>
            </w:r>
          </w:p>
        </w:tc>
        <w:tc>
          <w:tcPr>
            <w:tcW w:w="532" w:type="pct"/>
            <w:vMerge w:val="restart"/>
            <w:tcBorders>
              <w:top w:val="single" w:sz="4" w:space="0" w:color="auto"/>
            </w:tcBorders>
            <w:shd w:val="clear" w:color="auto" w:fill="FBE4D5"/>
            <w:vAlign w:val="center"/>
            <w:hideMark/>
          </w:tcPr>
          <w:p w14:paraId="4E1CB1D0"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 </w:t>
            </w:r>
          </w:p>
        </w:tc>
        <w:tc>
          <w:tcPr>
            <w:tcW w:w="645" w:type="pct"/>
            <w:tcBorders>
              <w:top w:val="single" w:sz="4" w:space="0" w:color="auto"/>
            </w:tcBorders>
            <w:shd w:val="clear" w:color="auto" w:fill="auto"/>
            <w:vAlign w:val="center"/>
            <w:hideMark/>
          </w:tcPr>
          <w:p w14:paraId="3DDE44EA"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tcBorders>
              <w:top w:val="single" w:sz="4" w:space="0" w:color="auto"/>
            </w:tcBorders>
            <w:shd w:val="clear" w:color="auto" w:fill="auto"/>
            <w:vAlign w:val="center"/>
            <w:hideMark/>
          </w:tcPr>
          <w:p w14:paraId="1306A25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tcBorders>
              <w:top w:val="single" w:sz="4" w:space="0" w:color="auto"/>
            </w:tcBorders>
            <w:shd w:val="clear" w:color="auto" w:fill="auto"/>
            <w:vAlign w:val="center"/>
            <w:hideMark/>
          </w:tcPr>
          <w:p w14:paraId="008FD66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tcBorders>
              <w:top w:val="single" w:sz="4" w:space="0" w:color="auto"/>
            </w:tcBorders>
            <w:shd w:val="clear" w:color="auto" w:fill="auto"/>
            <w:vAlign w:val="center"/>
            <w:hideMark/>
          </w:tcPr>
          <w:p w14:paraId="2921EB1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0AC68122" w14:textId="77777777" w:rsidTr="00406B4D">
        <w:trPr>
          <w:trHeight w:val="300"/>
        </w:trPr>
        <w:tc>
          <w:tcPr>
            <w:tcW w:w="185" w:type="pct"/>
            <w:vMerge/>
            <w:vAlign w:val="center"/>
            <w:hideMark/>
          </w:tcPr>
          <w:p w14:paraId="29CCE2B4" w14:textId="77777777" w:rsidR="00761800" w:rsidRPr="00761800" w:rsidRDefault="00761800" w:rsidP="00761800">
            <w:pPr>
              <w:rPr>
                <w:rFonts w:ascii="Times New Roman" w:hAnsi="Times New Roman"/>
                <w:b/>
                <w:bCs/>
                <w:sz w:val="20"/>
                <w:lang w:eastAsia="bg-BG"/>
              </w:rPr>
            </w:pPr>
          </w:p>
        </w:tc>
        <w:tc>
          <w:tcPr>
            <w:tcW w:w="1673" w:type="pct"/>
            <w:shd w:val="clear" w:color="auto" w:fill="auto"/>
            <w:hideMark/>
          </w:tcPr>
          <w:p w14:paraId="3421E4A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в т.ч.:</w:t>
            </w:r>
          </w:p>
        </w:tc>
        <w:tc>
          <w:tcPr>
            <w:tcW w:w="532" w:type="pct"/>
            <w:vMerge/>
            <w:shd w:val="clear" w:color="auto" w:fill="FBE4D5"/>
            <w:vAlign w:val="center"/>
            <w:hideMark/>
          </w:tcPr>
          <w:p w14:paraId="134DA0EB"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242302B8"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 </w:t>
            </w:r>
          </w:p>
        </w:tc>
        <w:tc>
          <w:tcPr>
            <w:tcW w:w="654" w:type="pct"/>
            <w:shd w:val="clear" w:color="auto" w:fill="auto"/>
            <w:vAlign w:val="center"/>
            <w:hideMark/>
          </w:tcPr>
          <w:p w14:paraId="6E2C168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shd w:val="clear" w:color="auto" w:fill="auto"/>
            <w:vAlign w:val="center"/>
            <w:hideMark/>
          </w:tcPr>
          <w:p w14:paraId="2C69651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6" w:type="pct"/>
            <w:shd w:val="clear" w:color="auto" w:fill="auto"/>
            <w:vAlign w:val="center"/>
            <w:hideMark/>
          </w:tcPr>
          <w:p w14:paraId="6258FBF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r>
      <w:tr w:rsidR="00761800" w:rsidRPr="00761800" w14:paraId="1944567D" w14:textId="77777777" w:rsidTr="00406B4D">
        <w:trPr>
          <w:trHeight w:val="765"/>
        </w:trPr>
        <w:tc>
          <w:tcPr>
            <w:tcW w:w="185" w:type="pct"/>
            <w:shd w:val="clear" w:color="auto" w:fill="auto"/>
            <w:hideMark/>
          </w:tcPr>
          <w:p w14:paraId="7C549F62"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38.1.</w:t>
            </w:r>
          </w:p>
        </w:tc>
        <w:tc>
          <w:tcPr>
            <w:tcW w:w="1673" w:type="pct"/>
            <w:shd w:val="clear" w:color="auto" w:fill="auto"/>
            <w:hideMark/>
          </w:tcPr>
          <w:p w14:paraId="55736EF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дете с определени 90 и над 90 на сто вид и степен на увреждане или степен на трайно намалена работоспособност </w:t>
            </w:r>
          </w:p>
        </w:tc>
        <w:tc>
          <w:tcPr>
            <w:tcW w:w="532" w:type="pct"/>
            <w:vMerge w:val="restart"/>
            <w:shd w:val="clear" w:color="auto" w:fill="FBE4D5"/>
            <w:vAlign w:val="center"/>
            <w:hideMark/>
          </w:tcPr>
          <w:p w14:paraId="4875811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shd w:val="clear" w:color="auto" w:fill="auto"/>
            <w:vAlign w:val="center"/>
            <w:hideMark/>
          </w:tcPr>
          <w:p w14:paraId="5EE6AE31"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317,00</w:t>
            </w:r>
          </w:p>
        </w:tc>
        <w:tc>
          <w:tcPr>
            <w:tcW w:w="654" w:type="pct"/>
            <w:shd w:val="clear" w:color="auto" w:fill="auto"/>
            <w:vAlign w:val="center"/>
            <w:hideMark/>
          </w:tcPr>
          <w:p w14:paraId="52B56F4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317,00</w:t>
            </w:r>
          </w:p>
        </w:tc>
        <w:tc>
          <w:tcPr>
            <w:tcW w:w="654" w:type="pct"/>
            <w:shd w:val="clear" w:color="auto" w:fill="auto"/>
            <w:vAlign w:val="center"/>
            <w:hideMark/>
          </w:tcPr>
          <w:p w14:paraId="157B031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317,00</w:t>
            </w:r>
          </w:p>
        </w:tc>
        <w:tc>
          <w:tcPr>
            <w:tcW w:w="656" w:type="pct"/>
            <w:shd w:val="clear" w:color="auto" w:fill="auto"/>
            <w:vAlign w:val="center"/>
            <w:hideMark/>
          </w:tcPr>
          <w:p w14:paraId="2B31317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317,00</w:t>
            </w:r>
          </w:p>
        </w:tc>
      </w:tr>
      <w:tr w:rsidR="00761800" w:rsidRPr="00761800" w14:paraId="7C39A069" w14:textId="77777777" w:rsidTr="00406B4D">
        <w:trPr>
          <w:trHeight w:val="765"/>
        </w:trPr>
        <w:tc>
          <w:tcPr>
            <w:tcW w:w="185" w:type="pct"/>
            <w:shd w:val="clear" w:color="auto" w:fill="auto"/>
            <w:hideMark/>
          </w:tcPr>
          <w:p w14:paraId="6DB6B739"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38.2.</w:t>
            </w:r>
          </w:p>
        </w:tc>
        <w:tc>
          <w:tcPr>
            <w:tcW w:w="1673" w:type="pct"/>
            <w:shd w:val="clear" w:color="auto" w:fill="auto"/>
            <w:hideMark/>
          </w:tcPr>
          <w:p w14:paraId="15A0004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дете с определени от 70 до 90 на сто вид и степен на увреждане или степен на трайно намалена работоспособност</w:t>
            </w:r>
          </w:p>
        </w:tc>
        <w:tc>
          <w:tcPr>
            <w:tcW w:w="532" w:type="pct"/>
            <w:vMerge/>
            <w:shd w:val="clear" w:color="auto" w:fill="FBE4D5"/>
            <w:vAlign w:val="center"/>
            <w:hideMark/>
          </w:tcPr>
          <w:p w14:paraId="3637F704" w14:textId="77777777" w:rsidR="00761800" w:rsidRPr="00761800" w:rsidRDefault="00761800" w:rsidP="00761800">
            <w:pPr>
              <w:rPr>
                <w:rFonts w:ascii="Times New Roman" w:hAnsi="Times New Roman"/>
                <w:color w:val="000000"/>
                <w:sz w:val="20"/>
                <w:lang w:eastAsia="bg-BG"/>
              </w:rPr>
            </w:pPr>
          </w:p>
        </w:tc>
        <w:tc>
          <w:tcPr>
            <w:tcW w:w="645" w:type="pct"/>
            <w:shd w:val="clear" w:color="auto" w:fill="auto"/>
            <w:vAlign w:val="center"/>
            <w:hideMark/>
          </w:tcPr>
          <w:p w14:paraId="1C0C3005"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270,99</w:t>
            </w:r>
          </w:p>
        </w:tc>
        <w:tc>
          <w:tcPr>
            <w:tcW w:w="654" w:type="pct"/>
            <w:shd w:val="clear" w:color="auto" w:fill="auto"/>
            <w:vAlign w:val="center"/>
            <w:hideMark/>
          </w:tcPr>
          <w:p w14:paraId="1A9AE1F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270,99</w:t>
            </w:r>
          </w:p>
        </w:tc>
        <w:tc>
          <w:tcPr>
            <w:tcW w:w="654" w:type="pct"/>
            <w:shd w:val="clear" w:color="auto" w:fill="auto"/>
            <w:vAlign w:val="center"/>
            <w:hideMark/>
          </w:tcPr>
          <w:p w14:paraId="42DAC83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270,99</w:t>
            </w:r>
          </w:p>
        </w:tc>
        <w:tc>
          <w:tcPr>
            <w:tcW w:w="656" w:type="pct"/>
            <w:shd w:val="clear" w:color="auto" w:fill="auto"/>
            <w:vAlign w:val="center"/>
            <w:hideMark/>
          </w:tcPr>
          <w:p w14:paraId="5E40EFBA"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270,99</w:t>
            </w:r>
          </w:p>
        </w:tc>
      </w:tr>
      <w:tr w:rsidR="00761800" w:rsidRPr="00761800" w14:paraId="082E16A3" w14:textId="77777777" w:rsidTr="00406B4D">
        <w:trPr>
          <w:trHeight w:val="765"/>
        </w:trPr>
        <w:tc>
          <w:tcPr>
            <w:tcW w:w="185" w:type="pct"/>
            <w:tcBorders>
              <w:bottom w:val="single" w:sz="4" w:space="0" w:color="auto"/>
            </w:tcBorders>
            <w:shd w:val="clear" w:color="auto" w:fill="auto"/>
            <w:hideMark/>
          </w:tcPr>
          <w:p w14:paraId="49CBE749"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38.3.</w:t>
            </w:r>
          </w:p>
        </w:tc>
        <w:tc>
          <w:tcPr>
            <w:tcW w:w="1673" w:type="pct"/>
            <w:tcBorders>
              <w:bottom w:val="single" w:sz="4" w:space="0" w:color="auto"/>
            </w:tcBorders>
            <w:shd w:val="clear" w:color="auto" w:fill="auto"/>
            <w:hideMark/>
          </w:tcPr>
          <w:p w14:paraId="2E74C13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 - за дете с определени от 50 до 70 на сто вид и степен на увреждане или степен на трайно намалена работоспособност</w:t>
            </w:r>
          </w:p>
        </w:tc>
        <w:tc>
          <w:tcPr>
            <w:tcW w:w="532" w:type="pct"/>
            <w:vMerge/>
            <w:tcBorders>
              <w:bottom w:val="single" w:sz="4" w:space="0" w:color="auto"/>
            </w:tcBorders>
            <w:shd w:val="clear" w:color="auto" w:fill="FBE4D5"/>
            <w:vAlign w:val="center"/>
            <w:hideMark/>
          </w:tcPr>
          <w:p w14:paraId="502487A9" w14:textId="77777777" w:rsidR="00761800" w:rsidRPr="00761800" w:rsidRDefault="00761800" w:rsidP="00761800">
            <w:pPr>
              <w:rPr>
                <w:rFonts w:ascii="Times New Roman" w:hAnsi="Times New Roman"/>
                <w:color w:val="000000"/>
                <w:sz w:val="20"/>
                <w:lang w:eastAsia="bg-BG"/>
              </w:rPr>
            </w:pPr>
          </w:p>
        </w:tc>
        <w:tc>
          <w:tcPr>
            <w:tcW w:w="645" w:type="pct"/>
            <w:tcBorders>
              <w:bottom w:val="single" w:sz="4" w:space="0" w:color="auto"/>
            </w:tcBorders>
            <w:shd w:val="clear" w:color="auto" w:fill="auto"/>
            <w:vAlign w:val="center"/>
            <w:hideMark/>
          </w:tcPr>
          <w:p w14:paraId="247538D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230,09</w:t>
            </w:r>
          </w:p>
        </w:tc>
        <w:tc>
          <w:tcPr>
            <w:tcW w:w="654" w:type="pct"/>
            <w:tcBorders>
              <w:bottom w:val="single" w:sz="4" w:space="0" w:color="auto"/>
            </w:tcBorders>
            <w:shd w:val="clear" w:color="auto" w:fill="auto"/>
            <w:vAlign w:val="center"/>
            <w:hideMark/>
          </w:tcPr>
          <w:p w14:paraId="4012266F"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230,09</w:t>
            </w:r>
          </w:p>
        </w:tc>
        <w:tc>
          <w:tcPr>
            <w:tcW w:w="654" w:type="pct"/>
            <w:tcBorders>
              <w:bottom w:val="single" w:sz="4" w:space="0" w:color="auto"/>
            </w:tcBorders>
            <w:shd w:val="clear" w:color="auto" w:fill="auto"/>
            <w:vAlign w:val="center"/>
            <w:hideMark/>
          </w:tcPr>
          <w:p w14:paraId="13594F1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230,09</w:t>
            </w:r>
          </w:p>
        </w:tc>
        <w:tc>
          <w:tcPr>
            <w:tcW w:w="656" w:type="pct"/>
            <w:tcBorders>
              <w:bottom w:val="single" w:sz="4" w:space="0" w:color="auto"/>
            </w:tcBorders>
            <w:shd w:val="clear" w:color="auto" w:fill="auto"/>
            <w:vAlign w:val="center"/>
            <w:hideMark/>
          </w:tcPr>
          <w:p w14:paraId="643CB66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230,09</w:t>
            </w:r>
          </w:p>
        </w:tc>
      </w:tr>
      <w:tr w:rsidR="00761800" w:rsidRPr="00761800" w14:paraId="003BC961" w14:textId="77777777" w:rsidTr="00406B4D">
        <w:trPr>
          <w:trHeight w:val="510"/>
        </w:trPr>
        <w:tc>
          <w:tcPr>
            <w:tcW w:w="185" w:type="pct"/>
            <w:tcBorders>
              <w:top w:val="single" w:sz="4" w:space="0" w:color="auto"/>
              <w:bottom w:val="single" w:sz="4" w:space="0" w:color="auto"/>
            </w:tcBorders>
            <w:shd w:val="clear" w:color="auto" w:fill="auto"/>
            <w:hideMark/>
          </w:tcPr>
          <w:p w14:paraId="6B272BCD"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39.</w:t>
            </w:r>
          </w:p>
        </w:tc>
        <w:tc>
          <w:tcPr>
            <w:tcW w:w="1673" w:type="pct"/>
            <w:tcBorders>
              <w:top w:val="single" w:sz="4" w:space="0" w:color="auto"/>
              <w:bottom w:val="single" w:sz="4" w:space="0" w:color="auto"/>
            </w:tcBorders>
            <w:shd w:val="clear" w:color="auto" w:fill="auto"/>
            <w:hideMark/>
          </w:tcPr>
          <w:p w14:paraId="58C8475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месечната помощ за дете без право на наследствена пенсия от починал родител</w:t>
            </w:r>
          </w:p>
        </w:tc>
        <w:tc>
          <w:tcPr>
            <w:tcW w:w="532" w:type="pct"/>
            <w:tcBorders>
              <w:top w:val="single" w:sz="4" w:space="0" w:color="auto"/>
              <w:bottom w:val="single" w:sz="4" w:space="0" w:color="auto"/>
            </w:tcBorders>
            <w:shd w:val="clear" w:color="auto" w:fill="FBE4D5"/>
            <w:vAlign w:val="center"/>
            <w:hideMark/>
          </w:tcPr>
          <w:p w14:paraId="1665B5C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56FBD06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76,70</w:t>
            </w:r>
          </w:p>
        </w:tc>
        <w:tc>
          <w:tcPr>
            <w:tcW w:w="654" w:type="pct"/>
            <w:tcBorders>
              <w:top w:val="single" w:sz="4" w:space="0" w:color="auto"/>
              <w:bottom w:val="single" w:sz="4" w:space="0" w:color="auto"/>
            </w:tcBorders>
            <w:shd w:val="clear" w:color="auto" w:fill="auto"/>
            <w:vAlign w:val="center"/>
            <w:hideMark/>
          </w:tcPr>
          <w:p w14:paraId="157737A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76,70</w:t>
            </w:r>
          </w:p>
        </w:tc>
        <w:tc>
          <w:tcPr>
            <w:tcW w:w="654" w:type="pct"/>
            <w:tcBorders>
              <w:top w:val="single" w:sz="4" w:space="0" w:color="auto"/>
              <w:bottom w:val="single" w:sz="4" w:space="0" w:color="auto"/>
            </w:tcBorders>
            <w:shd w:val="clear" w:color="auto" w:fill="auto"/>
            <w:vAlign w:val="center"/>
            <w:hideMark/>
          </w:tcPr>
          <w:p w14:paraId="199F67B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76,70</w:t>
            </w:r>
          </w:p>
        </w:tc>
        <w:tc>
          <w:tcPr>
            <w:tcW w:w="656" w:type="pct"/>
            <w:tcBorders>
              <w:top w:val="single" w:sz="4" w:space="0" w:color="auto"/>
              <w:bottom w:val="single" w:sz="4" w:space="0" w:color="auto"/>
            </w:tcBorders>
            <w:shd w:val="clear" w:color="auto" w:fill="auto"/>
            <w:vAlign w:val="center"/>
            <w:hideMark/>
          </w:tcPr>
          <w:p w14:paraId="135A09EF"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76,70</w:t>
            </w:r>
          </w:p>
        </w:tc>
      </w:tr>
      <w:tr w:rsidR="00761800" w:rsidRPr="00761800" w14:paraId="28E00ECD" w14:textId="77777777" w:rsidTr="00406B4D">
        <w:trPr>
          <w:trHeight w:val="510"/>
        </w:trPr>
        <w:tc>
          <w:tcPr>
            <w:tcW w:w="185" w:type="pct"/>
            <w:tcBorders>
              <w:top w:val="single" w:sz="4" w:space="0" w:color="auto"/>
              <w:bottom w:val="single" w:sz="4" w:space="0" w:color="auto"/>
            </w:tcBorders>
            <w:shd w:val="clear" w:color="auto" w:fill="auto"/>
            <w:hideMark/>
          </w:tcPr>
          <w:p w14:paraId="10A94085"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40.</w:t>
            </w:r>
          </w:p>
        </w:tc>
        <w:tc>
          <w:tcPr>
            <w:tcW w:w="1673" w:type="pct"/>
            <w:tcBorders>
              <w:top w:val="single" w:sz="4" w:space="0" w:color="auto"/>
              <w:bottom w:val="single" w:sz="4" w:space="0" w:color="auto"/>
            </w:tcBorders>
            <w:shd w:val="clear" w:color="auto" w:fill="auto"/>
            <w:hideMark/>
          </w:tcPr>
          <w:p w14:paraId="481CDD3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еднократната помощ за ученици по чл. 10а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165FB0AD"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7009A82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153,39</w:t>
            </w:r>
          </w:p>
        </w:tc>
        <w:tc>
          <w:tcPr>
            <w:tcW w:w="654" w:type="pct"/>
            <w:tcBorders>
              <w:top w:val="single" w:sz="4" w:space="0" w:color="auto"/>
              <w:bottom w:val="single" w:sz="4" w:space="0" w:color="auto"/>
            </w:tcBorders>
            <w:shd w:val="clear" w:color="auto" w:fill="auto"/>
            <w:vAlign w:val="center"/>
            <w:hideMark/>
          </w:tcPr>
          <w:p w14:paraId="3D84A8B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153,39</w:t>
            </w:r>
          </w:p>
        </w:tc>
        <w:tc>
          <w:tcPr>
            <w:tcW w:w="654" w:type="pct"/>
            <w:tcBorders>
              <w:top w:val="single" w:sz="4" w:space="0" w:color="auto"/>
              <w:bottom w:val="single" w:sz="4" w:space="0" w:color="auto"/>
            </w:tcBorders>
            <w:shd w:val="clear" w:color="auto" w:fill="auto"/>
            <w:vAlign w:val="center"/>
            <w:hideMark/>
          </w:tcPr>
          <w:p w14:paraId="2548AE4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153,39</w:t>
            </w:r>
          </w:p>
        </w:tc>
        <w:tc>
          <w:tcPr>
            <w:tcW w:w="656" w:type="pct"/>
            <w:tcBorders>
              <w:top w:val="single" w:sz="4" w:space="0" w:color="auto"/>
              <w:bottom w:val="single" w:sz="4" w:space="0" w:color="auto"/>
            </w:tcBorders>
            <w:shd w:val="clear" w:color="auto" w:fill="auto"/>
            <w:vAlign w:val="center"/>
            <w:hideMark/>
          </w:tcPr>
          <w:p w14:paraId="705285B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153,39</w:t>
            </w:r>
          </w:p>
        </w:tc>
      </w:tr>
      <w:tr w:rsidR="00761800" w:rsidRPr="00761800" w14:paraId="00A3B22B" w14:textId="77777777" w:rsidTr="00406B4D">
        <w:trPr>
          <w:trHeight w:val="510"/>
        </w:trPr>
        <w:tc>
          <w:tcPr>
            <w:tcW w:w="185" w:type="pct"/>
            <w:tcBorders>
              <w:top w:val="single" w:sz="4" w:space="0" w:color="auto"/>
              <w:bottom w:val="single" w:sz="4" w:space="0" w:color="auto"/>
            </w:tcBorders>
            <w:shd w:val="clear" w:color="auto" w:fill="auto"/>
            <w:hideMark/>
          </w:tcPr>
          <w:p w14:paraId="36A4A22B"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 xml:space="preserve">41. </w:t>
            </w:r>
          </w:p>
        </w:tc>
        <w:tc>
          <w:tcPr>
            <w:tcW w:w="1673" w:type="pct"/>
            <w:tcBorders>
              <w:top w:val="single" w:sz="4" w:space="0" w:color="auto"/>
              <w:bottom w:val="single" w:sz="4" w:space="0" w:color="auto"/>
            </w:tcBorders>
            <w:shd w:val="clear" w:color="auto" w:fill="auto"/>
            <w:hideMark/>
          </w:tcPr>
          <w:p w14:paraId="64EE215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Размер на еднократната помощ за ученици в осми клас, по чл. 10б от Закона за семейни помощи за деца</w:t>
            </w:r>
          </w:p>
        </w:tc>
        <w:tc>
          <w:tcPr>
            <w:tcW w:w="532" w:type="pct"/>
            <w:tcBorders>
              <w:top w:val="single" w:sz="4" w:space="0" w:color="auto"/>
              <w:bottom w:val="single" w:sz="4" w:space="0" w:color="auto"/>
            </w:tcBorders>
            <w:shd w:val="clear" w:color="auto" w:fill="FBE4D5"/>
            <w:vAlign w:val="center"/>
            <w:hideMark/>
          </w:tcPr>
          <w:p w14:paraId="1E81D8A8"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76615488"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153,39</w:t>
            </w:r>
          </w:p>
        </w:tc>
        <w:tc>
          <w:tcPr>
            <w:tcW w:w="654" w:type="pct"/>
            <w:tcBorders>
              <w:top w:val="single" w:sz="4" w:space="0" w:color="auto"/>
              <w:bottom w:val="single" w:sz="4" w:space="0" w:color="auto"/>
            </w:tcBorders>
            <w:shd w:val="clear" w:color="auto" w:fill="auto"/>
            <w:vAlign w:val="center"/>
            <w:hideMark/>
          </w:tcPr>
          <w:p w14:paraId="0EF4EBC2"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153,39</w:t>
            </w:r>
          </w:p>
        </w:tc>
        <w:tc>
          <w:tcPr>
            <w:tcW w:w="654" w:type="pct"/>
            <w:tcBorders>
              <w:top w:val="single" w:sz="4" w:space="0" w:color="auto"/>
              <w:bottom w:val="single" w:sz="4" w:space="0" w:color="auto"/>
            </w:tcBorders>
            <w:shd w:val="clear" w:color="auto" w:fill="auto"/>
            <w:vAlign w:val="center"/>
            <w:hideMark/>
          </w:tcPr>
          <w:p w14:paraId="650518D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153,39</w:t>
            </w:r>
          </w:p>
        </w:tc>
        <w:tc>
          <w:tcPr>
            <w:tcW w:w="656" w:type="pct"/>
            <w:tcBorders>
              <w:top w:val="single" w:sz="4" w:space="0" w:color="auto"/>
              <w:bottom w:val="single" w:sz="4" w:space="0" w:color="auto"/>
            </w:tcBorders>
            <w:shd w:val="clear" w:color="auto" w:fill="auto"/>
            <w:vAlign w:val="center"/>
            <w:hideMark/>
          </w:tcPr>
          <w:p w14:paraId="0F95CB44"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153,39</w:t>
            </w:r>
          </w:p>
        </w:tc>
      </w:tr>
      <w:tr w:rsidR="00761800" w:rsidRPr="00761800" w14:paraId="1A68FFD7" w14:textId="77777777" w:rsidTr="00406B4D">
        <w:trPr>
          <w:trHeight w:val="510"/>
        </w:trPr>
        <w:tc>
          <w:tcPr>
            <w:tcW w:w="185" w:type="pct"/>
            <w:tcBorders>
              <w:top w:val="single" w:sz="4" w:space="0" w:color="auto"/>
              <w:bottom w:val="single" w:sz="4" w:space="0" w:color="auto"/>
            </w:tcBorders>
            <w:shd w:val="clear" w:color="auto" w:fill="auto"/>
            <w:hideMark/>
          </w:tcPr>
          <w:p w14:paraId="22F6D385"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42.</w:t>
            </w:r>
          </w:p>
        </w:tc>
        <w:tc>
          <w:tcPr>
            <w:tcW w:w="1673" w:type="pct"/>
            <w:tcBorders>
              <w:top w:val="single" w:sz="4" w:space="0" w:color="auto"/>
              <w:bottom w:val="single" w:sz="4" w:space="0" w:color="auto"/>
            </w:tcBorders>
            <w:shd w:val="clear" w:color="auto" w:fill="auto"/>
            <w:hideMark/>
          </w:tcPr>
          <w:p w14:paraId="721D5C1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xml:space="preserve">Целева помощ по чл. 12а, ал. 1 от Закона за социално подпомагане за посрещане на коледните празници </w:t>
            </w:r>
          </w:p>
        </w:tc>
        <w:tc>
          <w:tcPr>
            <w:tcW w:w="532" w:type="pct"/>
            <w:tcBorders>
              <w:top w:val="single" w:sz="4" w:space="0" w:color="auto"/>
              <w:bottom w:val="single" w:sz="4" w:space="0" w:color="auto"/>
            </w:tcBorders>
            <w:shd w:val="clear" w:color="auto" w:fill="FBE4D5"/>
            <w:vAlign w:val="center"/>
            <w:hideMark/>
          </w:tcPr>
          <w:p w14:paraId="6B640F8D"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78B5873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 </w:t>
            </w:r>
          </w:p>
        </w:tc>
        <w:tc>
          <w:tcPr>
            <w:tcW w:w="654" w:type="pct"/>
            <w:tcBorders>
              <w:top w:val="single" w:sz="4" w:space="0" w:color="auto"/>
              <w:bottom w:val="single" w:sz="4" w:space="0" w:color="auto"/>
            </w:tcBorders>
            <w:shd w:val="clear" w:color="auto" w:fill="auto"/>
            <w:vAlign w:val="center"/>
            <w:hideMark/>
          </w:tcPr>
          <w:p w14:paraId="6712021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50</w:t>
            </w:r>
          </w:p>
        </w:tc>
        <w:tc>
          <w:tcPr>
            <w:tcW w:w="654" w:type="pct"/>
            <w:tcBorders>
              <w:top w:val="single" w:sz="4" w:space="0" w:color="auto"/>
              <w:bottom w:val="single" w:sz="4" w:space="0" w:color="auto"/>
            </w:tcBorders>
            <w:shd w:val="clear" w:color="auto" w:fill="auto"/>
            <w:vAlign w:val="center"/>
            <w:hideMark/>
          </w:tcPr>
          <w:p w14:paraId="38E7A2A5"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50</w:t>
            </w:r>
          </w:p>
        </w:tc>
        <w:tc>
          <w:tcPr>
            <w:tcW w:w="656" w:type="pct"/>
            <w:tcBorders>
              <w:top w:val="single" w:sz="4" w:space="0" w:color="auto"/>
              <w:bottom w:val="single" w:sz="4" w:space="0" w:color="auto"/>
            </w:tcBorders>
            <w:shd w:val="clear" w:color="auto" w:fill="auto"/>
            <w:vAlign w:val="center"/>
            <w:hideMark/>
          </w:tcPr>
          <w:p w14:paraId="29576FCE"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50</w:t>
            </w:r>
          </w:p>
        </w:tc>
      </w:tr>
      <w:tr w:rsidR="00761800" w:rsidRPr="00761800" w14:paraId="24C4402C" w14:textId="77777777" w:rsidTr="00406B4D">
        <w:trPr>
          <w:trHeight w:val="765"/>
        </w:trPr>
        <w:tc>
          <w:tcPr>
            <w:tcW w:w="185" w:type="pct"/>
            <w:tcBorders>
              <w:top w:val="single" w:sz="4" w:space="0" w:color="auto"/>
              <w:bottom w:val="single" w:sz="4" w:space="0" w:color="auto"/>
            </w:tcBorders>
            <w:shd w:val="clear" w:color="auto" w:fill="auto"/>
            <w:hideMark/>
          </w:tcPr>
          <w:p w14:paraId="492B91F4"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43.</w:t>
            </w:r>
          </w:p>
        </w:tc>
        <w:tc>
          <w:tcPr>
            <w:tcW w:w="1673" w:type="pct"/>
            <w:tcBorders>
              <w:top w:val="single" w:sz="4" w:space="0" w:color="auto"/>
              <w:bottom w:val="single" w:sz="4" w:space="0" w:color="auto"/>
            </w:tcBorders>
            <w:shd w:val="clear" w:color="auto" w:fill="auto"/>
            <w:hideMark/>
          </w:tcPr>
          <w:p w14:paraId="278B15F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Минимален дневен размер на обезщетението за безработица по чл. 54б, ал. 2 от Кодекса за социално осигуряване</w:t>
            </w:r>
          </w:p>
        </w:tc>
        <w:tc>
          <w:tcPr>
            <w:tcW w:w="532" w:type="pct"/>
            <w:tcBorders>
              <w:top w:val="single" w:sz="4" w:space="0" w:color="auto"/>
              <w:bottom w:val="single" w:sz="4" w:space="0" w:color="auto"/>
            </w:tcBorders>
            <w:shd w:val="clear" w:color="auto" w:fill="FBE4D5"/>
            <w:vAlign w:val="center"/>
            <w:hideMark/>
          </w:tcPr>
          <w:p w14:paraId="1DD71DF2"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60A485A2"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9,20</w:t>
            </w:r>
          </w:p>
        </w:tc>
        <w:tc>
          <w:tcPr>
            <w:tcW w:w="654" w:type="pct"/>
            <w:tcBorders>
              <w:top w:val="single" w:sz="4" w:space="0" w:color="auto"/>
              <w:bottom w:val="single" w:sz="4" w:space="0" w:color="auto"/>
            </w:tcBorders>
            <w:shd w:val="clear" w:color="auto" w:fill="auto"/>
            <w:vAlign w:val="center"/>
            <w:hideMark/>
          </w:tcPr>
          <w:p w14:paraId="22A784F3"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9,21</w:t>
            </w:r>
          </w:p>
        </w:tc>
        <w:tc>
          <w:tcPr>
            <w:tcW w:w="654" w:type="pct"/>
            <w:tcBorders>
              <w:top w:val="single" w:sz="4" w:space="0" w:color="auto"/>
              <w:bottom w:val="single" w:sz="4" w:space="0" w:color="auto"/>
            </w:tcBorders>
            <w:shd w:val="clear" w:color="auto" w:fill="auto"/>
            <w:vAlign w:val="center"/>
            <w:hideMark/>
          </w:tcPr>
          <w:p w14:paraId="0FA423BD"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9,21</w:t>
            </w:r>
          </w:p>
        </w:tc>
        <w:tc>
          <w:tcPr>
            <w:tcW w:w="656" w:type="pct"/>
            <w:tcBorders>
              <w:top w:val="single" w:sz="4" w:space="0" w:color="auto"/>
              <w:bottom w:val="single" w:sz="4" w:space="0" w:color="auto"/>
            </w:tcBorders>
            <w:shd w:val="clear" w:color="auto" w:fill="auto"/>
            <w:vAlign w:val="center"/>
            <w:hideMark/>
          </w:tcPr>
          <w:p w14:paraId="26FBCBC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9,21</w:t>
            </w:r>
          </w:p>
        </w:tc>
      </w:tr>
      <w:tr w:rsidR="00761800" w:rsidRPr="00761800" w14:paraId="45871757" w14:textId="77777777" w:rsidTr="00406B4D">
        <w:trPr>
          <w:trHeight w:val="765"/>
        </w:trPr>
        <w:tc>
          <w:tcPr>
            <w:tcW w:w="185" w:type="pct"/>
            <w:tcBorders>
              <w:top w:val="single" w:sz="4" w:space="0" w:color="auto"/>
              <w:bottom w:val="single" w:sz="4" w:space="0" w:color="auto"/>
            </w:tcBorders>
            <w:shd w:val="clear" w:color="auto" w:fill="auto"/>
            <w:hideMark/>
          </w:tcPr>
          <w:p w14:paraId="17DE8D09" w14:textId="77777777" w:rsidR="00761800" w:rsidRPr="00761800" w:rsidRDefault="00761800" w:rsidP="00761800">
            <w:pPr>
              <w:rPr>
                <w:rFonts w:ascii="Times New Roman" w:hAnsi="Times New Roman"/>
                <w:b/>
                <w:bCs/>
                <w:sz w:val="20"/>
                <w:lang w:eastAsia="bg-BG"/>
              </w:rPr>
            </w:pPr>
            <w:r w:rsidRPr="00761800">
              <w:rPr>
                <w:rFonts w:ascii="Times New Roman" w:hAnsi="Times New Roman"/>
                <w:b/>
                <w:bCs/>
                <w:sz w:val="20"/>
                <w:lang w:eastAsia="bg-BG"/>
              </w:rPr>
              <w:t>44.</w:t>
            </w:r>
          </w:p>
        </w:tc>
        <w:tc>
          <w:tcPr>
            <w:tcW w:w="1673" w:type="pct"/>
            <w:tcBorders>
              <w:top w:val="single" w:sz="4" w:space="0" w:color="auto"/>
              <w:bottom w:val="single" w:sz="4" w:space="0" w:color="auto"/>
            </w:tcBorders>
            <w:shd w:val="clear" w:color="auto" w:fill="auto"/>
            <w:hideMark/>
          </w:tcPr>
          <w:p w14:paraId="4FD55CD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Максимален дневен размер на обезщетението за безработица по чл. 54б, ал. 2 от Кодекса за социално осигуряване</w:t>
            </w:r>
          </w:p>
        </w:tc>
        <w:tc>
          <w:tcPr>
            <w:tcW w:w="532" w:type="pct"/>
            <w:tcBorders>
              <w:top w:val="single" w:sz="4" w:space="0" w:color="auto"/>
              <w:bottom w:val="single" w:sz="4" w:space="0" w:color="auto"/>
            </w:tcBorders>
            <w:shd w:val="clear" w:color="auto" w:fill="FBE4D5"/>
            <w:vAlign w:val="center"/>
            <w:hideMark/>
          </w:tcPr>
          <w:p w14:paraId="4756DA3A"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color w:val="000000"/>
                <w:sz w:val="20"/>
                <w:lang w:eastAsia="bg-BG"/>
              </w:rPr>
              <w:t>евро</w:t>
            </w:r>
          </w:p>
        </w:tc>
        <w:tc>
          <w:tcPr>
            <w:tcW w:w="645" w:type="pct"/>
            <w:tcBorders>
              <w:top w:val="single" w:sz="4" w:space="0" w:color="auto"/>
              <w:bottom w:val="single" w:sz="4" w:space="0" w:color="auto"/>
            </w:tcBorders>
            <w:shd w:val="clear" w:color="auto" w:fill="auto"/>
            <w:vAlign w:val="center"/>
            <w:hideMark/>
          </w:tcPr>
          <w:p w14:paraId="69FEB92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54,78</w:t>
            </w:r>
          </w:p>
        </w:tc>
        <w:tc>
          <w:tcPr>
            <w:tcW w:w="654" w:type="pct"/>
            <w:tcBorders>
              <w:top w:val="single" w:sz="4" w:space="0" w:color="auto"/>
              <w:bottom w:val="single" w:sz="4" w:space="0" w:color="auto"/>
            </w:tcBorders>
            <w:shd w:val="clear" w:color="auto" w:fill="auto"/>
            <w:vAlign w:val="center"/>
            <w:hideMark/>
          </w:tcPr>
          <w:p w14:paraId="6C124EC8"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54,78</w:t>
            </w:r>
          </w:p>
        </w:tc>
        <w:tc>
          <w:tcPr>
            <w:tcW w:w="654" w:type="pct"/>
            <w:tcBorders>
              <w:top w:val="single" w:sz="4" w:space="0" w:color="auto"/>
              <w:bottom w:val="single" w:sz="4" w:space="0" w:color="auto"/>
            </w:tcBorders>
            <w:shd w:val="clear" w:color="auto" w:fill="auto"/>
            <w:vAlign w:val="center"/>
            <w:hideMark/>
          </w:tcPr>
          <w:p w14:paraId="15653649"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54,78</w:t>
            </w:r>
          </w:p>
        </w:tc>
        <w:tc>
          <w:tcPr>
            <w:tcW w:w="656" w:type="pct"/>
            <w:tcBorders>
              <w:top w:val="single" w:sz="4" w:space="0" w:color="auto"/>
              <w:bottom w:val="single" w:sz="4" w:space="0" w:color="auto"/>
            </w:tcBorders>
            <w:shd w:val="clear" w:color="auto" w:fill="auto"/>
            <w:vAlign w:val="center"/>
            <w:hideMark/>
          </w:tcPr>
          <w:p w14:paraId="66E04A16" w14:textId="77777777" w:rsidR="00761800" w:rsidRPr="00761800" w:rsidRDefault="00761800" w:rsidP="00761800">
            <w:pPr>
              <w:jc w:val="center"/>
              <w:rPr>
                <w:rFonts w:ascii="Times New Roman" w:hAnsi="Times New Roman"/>
                <w:i/>
                <w:iCs/>
                <w:sz w:val="20"/>
                <w:lang w:eastAsia="bg-BG"/>
              </w:rPr>
            </w:pPr>
            <w:r w:rsidRPr="00761800">
              <w:rPr>
                <w:rFonts w:ascii="Times New Roman" w:hAnsi="Times New Roman"/>
                <w:i/>
                <w:iCs/>
                <w:sz w:val="20"/>
                <w:lang w:eastAsia="bg-BG"/>
              </w:rPr>
              <w:t>54,78</w:t>
            </w:r>
          </w:p>
        </w:tc>
      </w:tr>
    </w:tbl>
    <w:p w14:paraId="6A974D47" w14:textId="77777777" w:rsidR="00761800" w:rsidRPr="00761800" w:rsidRDefault="00761800" w:rsidP="00761800">
      <w:pPr>
        <w:tabs>
          <w:tab w:val="left" w:pos="610"/>
          <w:tab w:val="left" w:pos="26077"/>
          <w:tab w:val="left" w:pos="27968"/>
          <w:tab w:val="left" w:pos="29859"/>
        </w:tabs>
        <w:ind w:left="70"/>
        <w:jc w:val="both"/>
        <w:rPr>
          <w:rFonts w:ascii="Times New Roman" w:hAnsi="Times New Roman"/>
          <w:b/>
          <w:bCs/>
          <w:sz w:val="20"/>
          <w:lang w:eastAsia="bg-BG"/>
        </w:rPr>
      </w:pPr>
    </w:p>
    <w:p w14:paraId="497C937B" w14:textId="77777777" w:rsidR="00761800" w:rsidRPr="00761800" w:rsidRDefault="00761800" w:rsidP="00761800">
      <w:pPr>
        <w:tabs>
          <w:tab w:val="left" w:pos="610"/>
          <w:tab w:val="left" w:pos="26077"/>
          <w:tab w:val="left" w:pos="27968"/>
          <w:tab w:val="left" w:pos="29859"/>
        </w:tabs>
        <w:ind w:left="70"/>
        <w:jc w:val="both"/>
        <w:rPr>
          <w:rFonts w:ascii="Times New Roman" w:hAnsi="Times New Roman"/>
          <w:sz w:val="18"/>
          <w:szCs w:val="18"/>
          <w:lang w:eastAsia="bg-BG"/>
        </w:rPr>
      </w:pPr>
      <w:r w:rsidRPr="00761800">
        <w:rPr>
          <w:rFonts w:ascii="Times New Roman" w:hAnsi="Times New Roman"/>
          <w:b/>
          <w:bCs/>
          <w:sz w:val="18"/>
          <w:szCs w:val="18"/>
          <w:lang w:eastAsia="bg-BG"/>
        </w:rPr>
        <w:t>* Забележка:</w:t>
      </w:r>
      <w:r w:rsidRPr="00761800">
        <w:rPr>
          <w:rFonts w:ascii="Times New Roman" w:hAnsi="Times New Roman"/>
          <w:sz w:val="18"/>
          <w:szCs w:val="18"/>
          <w:lang w:eastAsia="bg-BG"/>
        </w:rPr>
        <w:t xml:space="preserve"> С изключение на държавните служители по Закона за държавния служител и заетите по Закона за съдебната власт, които от 01.08.2026 г. се предвижда поетапно да започнат да плащат лични осигурителни вноски, като съотношението между осигурителя и осигуреното лице е 80:20 разпределено по съответните фондове. От 01.01.2027 г. се предвижда държавните служители по Закона за държавния служител и заетите по Закона за съдебната власт да започнат да плащат лични осигурителни вноски, като съотношението между осигурителя и </w:t>
      </w:r>
      <w:r w:rsidRPr="00761800">
        <w:rPr>
          <w:rFonts w:ascii="Times New Roman" w:hAnsi="Times New Roman"/>
          <w:sz w:val="18"/>
          <w:szCs w:val="18"/>
          <w:lang w:eastAsia="bg-BG"/>
        </w:rPr>
        <w:lastRenderedPageBreak/>
        <w:t>осигуреното лице достига размерите и съотношенията както за категорията лица, които и към момента заплащат личните си осигурителни вноски съобразно установеното в чл. 6, ал. 3, т. 7 от  КСО за фонд „Общо заболяване и майчинство“ и фонд „Безработица“ и в чл. 6, ал. 1, т. 4, б. „а“ и б. „б“ и ал. 3, т. 8, б. „а“ и т. 9, б. „б“ от КСО за фонд „Пенсии“.</w:t>
      </w:r>
    </w:p>
    <w:p w14:paraId="4B32A4BC" w14:textId="77777777" w:rsidR="00761800" w:rsidRPr="00761800" w:rsidRDefault="00761800" w:rsidP="00761800">
      <w:pPr>
        <w:tabs>
          <w:tab w:val="left" w:pos="557"/>
          <w:tab w:val="left" w:pos="5852"/>
          <w:tab w:val="left" w:pos="7359"/>
          <w:tab w:val="left" w:pos="9805"/>
          <w:tab w:val="left" w:pos="12251"/>
        </w:tabs>
        <w:ind w:right="536"/>
        <w:jc w:val="both"/>
        <w:rPr>
          <w:rFonts w:ascii="Times New Roman" w:hAnsi="Times New Roman"/>
          <w:b/>
          <w:sz w:val="20"/>
          <w:lang w:eastAsia="bg-BG"/>
        </w:rPr>
        <w:sectPr w:rsidR="00761800" w:rsidRPr="00761800" w:rsidSect="00406B4D">
          <w:footerReference w:type="first" r:id="rId49"/>
          <w:pgSz w:w="16838" w:h="11906" w:orient="landscape" w:code="9"/>
          <w:pgMar w:top="1134" w:right="1134" w:bottom="284" w:left="1134" w:header="709" w:footer="709" w:gutter="0"/>
          <w:cols w:space="708"/>
          <w:titlePg/>
          <w:docGrid w:linePitch="360"/>
        </w:sectPr>
      </w:pPr>
    </w:p>
    <w:p w14:paraId="70E68BF9" w14:textId="77777777" w:rsidR="00761800" w:rsidRPr="00761800" w:rsidRDefault="00761800" w:rsidP="00761800">
      <w:pPr>
        <w:keepNext/>
        <w:keepLines/>
        <w:tabs>
          <w:tab w:val="left" w:pos="426"/>
        </w:tabs>
        <w:spacing w:before="480" w:after="360"/>
        <w:outlineLvl w:val="1"/>
        <w:rPr>
          <w:rFonts w:ascii="Times New Roman" w:hAnsi="Times New Roman"/>
          <w:b/>
          <w:bCs/>
          <w:caps/>
          <w:color w:val="852010"/>
          <w:spacing w:val="10"/>
          <w:w w:val="90"/>
          <w:sz w:val="28"/>
          <w:szCs w:val="26"/>
          <w:lang w:eastAsia="bg-BG"/>
        </w:rPr>
      </w:pPr>
      <w:bookmarkStart w:id="577" w:name="_Toc233717505"/>
      <w:bookmarkEnd w:id="564"/>
      <w:bookmarkEnd w:id="565"/>
      <w:bookmarkEnd w:id="566"/>
      <w:bookmarkEnd w:id="567"/>
      <w:bookmarkEnd w:id="568"/>
      <w:bookmarkEnd w:id="569"/>
      <w:bookmarkEnd w:id="570"/>
      <w:bookmarkEnd w:id="571"/>
      <w:bookmarkEnd w:id="572"/>
      <w:bookmarkEnd w:id="573"/>
      <w:bookmarkEnd w:id="574"/>
      <w:bookmarkEnd w:id="575"/>
      <w:bookmarkEnd w:id="576"/>
      <w:r w:rsidRPr="00761800">
        <w:rPr>
          <w:rFonts w:ascii="Times New Roman" w:hAnsi="Times New Roman"/>
          <w:b/>
          <w:bCs/>
          <w:caps/>
          <w:color w:val="852010"/>
          <w:spacing w:val="10"/>
          <w:w w:val="90"/>
          <w:sz w:val="28"/>
          <w:szCs w:val="26"/>
          <w:lang w:eastAsia="bg-BG"/>
        </w:rPr>
        <w:lastRenderedPageBreak/>
        <w:t>Приложение № 3:</w:t>
      </w:r>
      <w:r w:rsidRPr="00761800">
        <w:rPr>
          <w:rFonts w:ascii="Times New Roman" w:hAnsi="Times New Roman"/>
          <w:b/>
          <w:bCs/>
          <w:caps/>
          <w:color w:val="852010"/>
          <w:spacing w:val="10"/>
          <w:w w:val="90"/>
          <w:sz w:val="28"/>
          <w:szCs w:val="26"/>
          <w:lang w:eastAsia="bg-BG"/>
        </w:rPr>
        <w:br/>
        <w:t>Консолидирана фискална програма</w:t>
      </w:r>
      <w:r w:rsidRPr="00761800" w:rsidDel="00FE5F37">
        <w:rPr>
          <w:rFonts w:ascii="Times New Roman" w:hAnsi="Times New Roman"/>
          <w:b/>
          <w:bCs/>
          <w:caps/>
          <w:color w:val="852010"/>
          <w:spacing w:val="10"/>
          <w:w w:val="90"/>
          <w:sz w:val="28"/>
          <w:szCs w:val="26"/>
          <w:lang w:eastAsia="bg-BG"/>
        </w:rPr>
        <w:t xml:space="preserve"> </w:t>
      </w:r>
      <w:r w:rsidRPr="00761800">
        <w:rPr>
          <w:rFonts w:ascii="Times New Roman" w:hAnsi="Times New Roman"/>
          <w:b/>
          <w:bCs/>
          <w:caps/>
          <w:color w:val="852010"/>
          <w:spacing w:val="10"/>
          <w:w w:val="90"/>
          <w:sz w:val="28"/>
          <w:szCs w:val="26"/>
          <w:lang w:eastAsia="bg-BG"/>
        </w:rPr>
        <w:t>за периода 2023-2028 г.</w:t>
      </w:r>
      <w:bookmarkEnd w:id="577"/>
    </w:p>
    <w:p w14:paraId="5794BAD4"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noProof/>
          <w:szCs w:val="22"/>
          <w:lang w:eastAsia="bg-BG"/>
        </w:rPr>
        <w:drawing>
          <wp:inline distT="0" distB="0" distL="0" distR="0" wp14:anchorId="2D085741" wp14:editId="340836B9">
            <wp:extent cx="8829675" cy="493395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829675" cy="4933950"/>
                    </a:xfrm>
                    <a:prstGeom prst="rect">
                      <a:avLst/>
                    </a:prstGeom>
                    <a:noFill/>
                    <a:ln>
                      <a:noFill/>
                    </a:ln>
                  </pic:spPr>
                </pic:pic>
              </a:graphicData>
            </a:graphic>
          </wp:inline>
        </w:drawing>
      </w:r>
    </w:p>
    <w:p w14:paraId="7FD03C17"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noProof/>
          <w:szCs w:val="22"/>
          <w:lang w:eastAsia="bg-BG"/>
        </w:rPr>
        <w:lastRenderedPageBreak/>
        <w:drawing>
          <wp:inline distT="0" distB="0" distL="0" distR="0" wp14:anchorId="3A283671" wp14:editId="33BD61B9">
            <wp:extent cx="8829675" cy="591502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829675" cy="5915025"/>
                    </a:xfrm>
                    <a:prstGeom prst="rect">
                      <a:avLst/>
                    </a:prstGeom>
                    <a:noFill/>
                    <a:ln>
                      <a:noFill/>
                    </a:ln>
                  </pic:spPr>
                </pic:pic>
              </a:graphicData>
            </a:graphic>
          </wp:inline>
        </w:drawing>
      </w:r>
    </w:p>
    <w:p w14:paraId="729E3FD4" w14:textId="77777777" w:rsidR="00761800" w:rsidRPr="00761800" w:rsidRDefault="00761800" w:rsidP="00761800">
      <w:pPr>
        <w:spacing w:after="200"/>
        <w:jc w:val="both"/>
        <w:rPr>
          <w:rFonts w:ascii="Times New Roman" w:hAnsi="Times New Roman"/>
          <w:szCs w:val="22"/>
          <w:lang w:eastAsia="bg-BG"/>
        </w:rPr>
      </w:pPr>
    </w:p>
    <w:p w14:paraId="3C03A36C" w14:textId="77777777" w:rsidR="00761800" w:rsidRPr="00761800" w:rsidRDefault="00761800" w:rsidP="00761800">
      <w:pPr>
        <w:spacing w:after="200"/>
        <w:jc w:val="both"/>
        <w:rPr>
          <w:rFonts w:ascii="Times New Roman" w:hAnsi="Times New Roman"/>
          <w:noProof/>
          <w:szCs w:val="22"/>
          <w:lang w:eastAsia="bg-BG"/>
        </w:rPr>
      </w:pPr>
      <w:r w:rsidRPr="00761800">
        <w:rPr>
          <w:rFonts w:ascii="Times New Roman" w:hAnsi="Times New Roman"/>
          <w:noProof/>
          <w:szCs w:val="22"/>
          <w:lang w:eastAsia="bg-BG"/>
        </w:rPr>
        <w:lastRenderedPageBreak/>
        <w:drawing>
          <wp:inline distT="0" distB="0" distL="0" distR="0" wp14:anchorId="035AB36D" wp14:editId="49A21F6F">
            <wp:extent cx="8696325" cy="535305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696325" cy="5353050"/>
                    </a:xfrm>
                    <a:prstGeom prst="rect">
                      <a:avLst/>
                    </a:prstGeom>
                    <a:noFill/>
                    <a:ln>
                      <a:noFill/>
                    </a:ln>
                  </pic:spPr>
                </pic:pic>
              </a:graphicData>
            </a:graphic>
          </wp:inline>
        </w:drawing>
      </w:r>
    </w:p>
    <w:p w14:paraId="72A1465D" w14:textId="77777777" w:rsidR="00761800" w:rsidRPr="00761800" w:rsidRDefault="00761800" w:rsidP="00761800">
      <w:pPr>
        <w:spacing w:after="200"/>
        <w:jc w:val="both"/>
        <w:rPr>
          <w:rFonts w:ascii="Times New Roman" w:hAnsi="Times New Roman"/>
          <w:noProof/>
          <w:szCs w:val="22"/>
          <w:lang w:eastAsia="bg-BG"/>
        </w:rPr>
      </w:pPr>
    </w:p>
    <w:p w14:paraId="30155FB6" w14:textId="77777777" w:rsidR="00761800" w:rsidRPr="00761800" w:rsidRDefault="00761800" w:rsidP="00761800">
      <w:pPr>
        <w:spacing w:after="200"/>
        <w:jc w:val="both"/>
        <w:rPr>
          <w:rFonts w:ascii="Times New Roman" w:hAnsi="Times New Roman"/>
          <w:noProof/>
          <w:szCs w:val="22"/>
          <w:lang w:eastAsia="bg-BG"/>
        </w:rPr>
      </w:pPr>
    </w:p>
    <w:p w14:paraId="3F05A1C2" w14:textId="77777777" w:rsidR="00761800" w:rsidRPr="00761800" w:rsidRDefault="00761800" w:rsidP="00761800">
      <w:pPr>
        <w:spacing w:after="200"/>
        <w:jc w:val="both"/>
        <w:rPr>
          <w:rFonts w:ascii="Times New Roman" w:hAnsi="Times New Roman"/>
          <w:noProof/>
          <w:szCs w:val="22"/>
          <w:lang w:eastAsia="bg-BG"/>
        </w:rPr>
      </w:pPr>
      <w:r w:rsidRPr="00761800">
        <w:rPr>
          <w:rFonts w:ascii="Times New Roman" w:hAnsi="Times New Roman"/>
          <w:noProof/>
          <w:szCs w:val="22"/>
          <w:lang w:eastAsia="bg-BG"/>
        </w:rPr>
        <w:lastRenderedPageBreak/>
        <w:drawing>
          <wp:inline distT="0" distB="0" distL="0" distR="0" wp14:anchorId="6B9CC00F" wp14:editId="7780FE60">
            <wp:extent cx="8696325" cy="575310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696325" cy="5753100"/>
                    </a:xfrm>
                    <a:prstGeom prst="rect">
                      <a:avLst/>
                    </a:prstGeom>
                    <a:noFill/>
                    <a:ln>
                      <a:noFill/>
                    </a:ln>
                  </pic:spPr>
                </pic:pic>
              </a:graphicData>
            </a:graphic>
          </wp:inline>
        </w:drawing>
      </w:r>
    </w:p>
    <w:p w14:paraId="561B64BE" w14:textId="77777777" w:rsidR="00761800" w:rsidRPr="00761800" w:rsidRDefault="00761800" w:rsidP="00761800">
      <w:pPr>
        <w:keepNext/>
        <w:keepLines/>
        <w:tabs>
          <w:tab w:val="left" w:pos="426"/>
        </w:tabs>
        <w:spacing w:before="480" w:after="360"/>
        <w:outlineLvl w:val="1"/>
        <w:rPr>
          <w:rFonts w:ascii="Times New Roman" w:hAnsi="Times New Roman"/>
          <w:b/>
          <w:bCs/>
          <w:caps/>
          <w:color w:val="852010"/>
          <w:spacing w:val="10"/>
          <w:w w:val="90"/>
          <w:sz w:val="28"/>
          <w:szCs w:val="26"/>
          <w:lang w:eastAsia="bg-BG"/>
        </w:rPr>
      </w:pPr>
      <w:bookmarkStart w:id="578" w:name="_Toc464224826"/>
      <w:bookmarkStart w:id="579" w:name="_Toc464225476"/>
      <w:bookmarkStart w:id="580" w:name="_Toc464459023"/>
      <w:bookmarkStart w:id="581" w:name="_Toc464459771"/>
      <w:bookmarkStart w:id="582" w:name="_Toc464460724"/>
      <w:bookmarkStart w:id="583" w:name="_Toc464463123"/>
      <w:bookmarkStart w:id="584" w:name="_Toc464464952"/>
      <w:bookmarkStart w:id="585" w:name="_Toc464465459"/>
      <w:bookmarkStart w:id="586" w:name="_Toc464465647"/>
      <w:bookmarkStart w:id="587" w:name="_Toc464466471"/>
      <w:bookmarkStart w:id="588" w:name="_Toc464466714"/>
      <w:bookmarkStart w:id="589" w:name="_Toc464645431"/>
      <w:bookmarkStart w:id="590" w:name="_Toc465205589"/>
      <w:bookmarkStart w:id="591" w:name="_Toc233717506"/>
      <w:r w:rsidRPr="00761800">
        <w:rPr>
          <w:rFonts w:ascii="Times New Roman" w:hAnsi="Times New Roman"/>
          <w:b/>
          <w:bCs/>
          <w:caps/>
          <w:color w:val="852010"/>
          <w:spacing w:val="10"/>
          <w:w w:val="90"/>
          <w:sz w:val="28"/>
          <w:szCs w:val="26"/>
          <w:lang w:eastAsia="bg-BG"/>
        </w:rPr>
        <w:lastRenderedPageBreak/>
        <w:t xml:space="preserve">Приложение № 4: </w:t>
      </w:r>
      <w:r w:rsidRPr="00761800">
        <w:rPr>
          <w:rFonts w:ascii="Times New Roman" w:hAnsi="Times New Roman"/>
          <w:b/>
          <w:bCs/>
          <w:caps/>
          <w:color w:val="852010"/>
          <w:spacing w:val="10"/>
          <w:w w:val="90"/>
          <w:sz w:val="28"/>
          <w:szCs w:val="26"/>
          <w:lang w:eastAsia="bg-BG"/>
        </w:rPr>
        <w:br/>
        <w:t>Тавани на разходите по бюджетни организации</w:t>
      </w:r>
      <w:r w:rsidRPr="00761800" w:rsidDel="00FE5F37">
        <w:rPr>
          <w:rFonts w:ascii="Times New Roman" w:hAnsi="Times New Roman"/>
          <w:b/>
          <w:bCs/>
          <w:caps/>
          <w:color w:val="852010"/>
          <w:spacing w:val="10"/>
          <w:w w:val="90"/>
          <w:sz w:val="28"/>
          <w:szCs w:val="26"/>
          <w:lang w:eastAsia="bg-BG"/>
        </w:rPr>
        <w:t xml:space="preserve"> </w:t>
      </w:r>
      <w:r w:rsidRPr="00761800">
        <w:rPr>
          <w:rFonts w:ascii="Times New Roman" w:hAnsi="Times New Roman"/>
          <w:b/>
          <w:bCs/>
          <w:caps/>
          <w:color w:val="852010"/>
          <w:spacing w:val="10"/>
          <w:w w:val="90"/>
          <w:sz w:val="28"/>
          <w:szCs w:val="26"/>
          <w:lang w:eastAsia="bg-BG"/>
        </w:rPr>
        <w:t>за периода 2026-2028 г.</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14:paraId="73F4C1FC" w14:textId="77777777" w:rsidR="00761800" w:rsidRPr="00761800" w:rsidRDefault="00761800" w:rsidP="00761800">
      <w:pPr>
        <w:spacing w:after="120"/>
        <w:jc w:val="right"/>
        <w:rPr>
          <w:rFonts w:ascii="Times New Roman" w:hAnsi="Times New Roman"/>
          <w:b/>
          <w:bCs/>
          <w:sz w:val="20"/>
          <w:lang w:eastAsia="bg-BG"/>
        </w:rPr>
      </w:pPr>
      <w:r w:rsidRPr="00761800">
        <w:rPr>
          <w:rFonts w:ascii="Times New Roman" w:hAnsi="Times New Roman"/>
          <w:b/>
          <w:bCs/>
          <w:sz w:val="20"/>
          <w:lang w:eastAsia="bg-BG"/>
        </w:rPr>
        <w:t>(в хил. евро)</w:t>
      </w:r>
    </w:p>
    <w:tbl>
      <w:tblPr>
        <w:tblW w:w="14900" w:type="dxa"/>
        <w:tblCellMar>
          <w:left w:w="70" w:type="dxa"/>
          <w:right w:w="70" w:type="dxa"/>
        </w:tblCellMar>
        <w:tblLook w:val="04A0" w:firstRow="1" w:lastRow="0" w:firstColumn="1" w:lastColumn="0" w:noHBand="0" w:noVBand="1"/>
      </w:tblPr>
      <w:tblGrid>
        <w:gridCol w:w="500"/>
        <w:gridCol w:w="9340"/>
        <w:gridCol w:w="1660"/>
        <w:gridCol w:w="1700"/>
        <w:gridCol w:w="1700"/>
      </w:tblGrid>
      <w:tr w:rsidR="00761800" w:rsidRPr="00761800" w14:paraId="1E739BBE" w14:textId="77777777" w:rsidTr="00406B4D">
        <w:trPr>
          <w:trHeight w:val="330"/>
          <w:tblHeader/>
        </w:trPr>
        <w:tc>
          <w:tcPr>
            <w:tcW w:w="500" w:type="dxa"/>
            <w:tcBorders>
              <w:top w:val="single" w:sz="4" w:space="0" w:color="auto"/>
              <w:left w:val="nil"/>
              <w:bottom w:val="single" w:sz="4" w:space="0" w:color="auto"/>
              <w:right w:val="nil"/>
            </w:tcBorders>
            <w:shd w:val="clear" w:color="auto" w:fill="auto"/>
            <w:noWrap/>
            <w:hideMark/>
          </w:tcPr>
          <w:p w14:paraId="0FC2CF2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9340" w:type="dxa"/>
            <w:tcBorders>
              <w:top w:val="single" w:sz="4" w:space="0" w:color="auto"/>
              <w:left w:val="nil"/>
              <w:bottom w:val="single" w:sz="4" w:space="0" w:color="auto"/>
              <w:right w:val="nil"/>
            </w:tcBorders>
            <w:shd w:val="clear" w:color="auto" w:fill="auto"/>
            <w:noWrap/>
            <w:hideMark/>
          </w:tcPr>
          <w:p w14:paraId="3F9175D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Бюджетни организации</w:t>
            </w:r>
          </w:p>
        </w:tc>
        <w:tc>
          <w:tcPr>
            <w:tcW w:w="1660" w:type="dxa"/>
            <w:tcBorders>
              <w:top w:val="single" w:sz="4" w:space="0" w:color="auto"/>
              <w:left w:val="nil"/>
              <w:bottom w:val="single" w:sz="4" w:space="0" w:color="auto"/>
              <w:right w:val="nil"/>
            </w:tcBorders>
            <w:shd w:val="clear" w:color="auto" w:fill="auto"/>
            <w:hideMark/>
          </w:tcPr>
          <w:p w14:paraId="4A618F5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2026 г.</w:t>
            </w:r>
          </w:p>
        </w:tc>
        <w:tc>
          <w:tcPr>
            <w:tcW w:w="1700" w:type="dxa"/>
            <w:tcBorders>
              <w:top w:val="single" w:sz="4" w:space="0" w:color="auto"/>
              <w:left w:val="nil"/>
              <w:bottom w:val="single" w:sz="4" w:space="0" w:color="auto"/>
              <w:right w:val="nil"/>
            </w:tcBorders>
            <w:shd w:val="clear" w:color="auto" w:fill="auto"/>
            <w:hideMark/>
          </w:tcPr>
          <w:p w14:paraId="1BC3FFB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2027 г.</w:t>
            </w:r>
          </w:p>
        </w:tc>
        <w:tc>
          <w:tcPr>
            <w:tcW w:w="1700" w:type="dxa"/>
            <w:tcBorders>
              <w:top w:val="single" w:sz="4" w:space="0" w:color="auto"/>
              <w:left w:val="nil"/>
              <w:bottom w:val="single" w:sz="4" w:space="0" w:color="auto"/>
              <w:right w:val="nil"/>
            </w:tcBorders>
            <w:shd w:val="clear" w:color="auto" w:fill="auto"/>
            <w:hideMark/>
          </w:tcPr>
          <w:p w14:paraId="493557B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2028 г.</w:t>
            </w:r>
          </w:p>
        </w:tc>
      </w:tr>
      <w:tr w:rsidR="00761800" w:rsidRPr="00761800" w14:paraId="171AF5C2" w14:textId="77777777" w:rsidTr="00406B4D">
        <w:trPr>
          <w:trHeight w:val="255"/>
        </w:trPr>
        <w:tc>
          <w:tcPr>
            <w:tcW w:w="500" w:type="dxa"/>
            <w:tcBorders>
              <w:top w:val="nil"/>
              <w:left w:val="nil"/>
              <w:bottom w:val="nil"/>
              <w:right w:val="nil"/>
            </w:tcBorders>
            <w:shd w:val="clear" w:color="auto" w:fill="auto"/>
            <w:noWrap/>
            <w:hideMark/>
          </w:tcPr>
          <w:p w14:paraId="542A96B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w:t>
            </w:r>
          </w:p>
        </w:tc>
        <w:tc>
          <w:tcPr>
            <w:tcW w:w="9340" w:type="dxa"/>
            <w:tcBorders>
              <w:top w:val="nil"/>
              <w:left w:val="nil"/>
              <w:bottom w:val="nil"/>
              <w:right w:val="nil"/>
            </w:tcBorders>
            <w:shd w:val="clear" w:color="auto" w:fill="auto"/>
            <w:hideMark/>
          </w:tcPr>
          <w:p w14:paraId="00E4203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Администрация на президента</w:t>
            </w:r>
          </w:p>
        </w:tc>
        <w:tc>
          <w:tcPr>
            <w:tcW w:w="1660" w:type="dxa"/>
            <w:tcBorders>
              <w:top w:val="nil"/>
              <w:left w:val="nil"/>
              <w:bottom w:val="nil"/>
              <w:right w:val="nil"/>
            </w:tcBorders>
            <w:shd w:val="clear" w:color="auto" w:fill="auto"/>
            <w:noWrap/>
            <w:hideMark/>
          </w:tcPr>
          <w:p w14:paraId="4AB52AA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6 595,1</w:t>
            </w:r>
          </w:p>
        </w:tc>
        <w:tc>
          <w:tcPr>
            <w:tcW w:w="1700" w:type="dxa"/>
            <w:tcBorders>
              <w:top w:val="nil"/>
              <w:left w:val="nil"/>
              <w:bottom w:val="nil"/>
              <w:right w:val="nil"/>
            </w:tcBorders>
            <w:shd w:val="clear" w:color="auto" w:fill="auto"/>
            <w:noWrap/>
            <w:hideMark/>
          </w:tcPr>
          <w:p w14:paraId="23335EB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6 261,7</w:t>
            </w:r>
          </w:p>
        </w:tc>
        <w:tc>
          <w:tcPr>
            <w:tcW w:w="1700" w:type="dxa"/>
            <w:tcBorders>
              <w:top w:val="nil"/>
              <w:left w:val="nil"/>
              <w:bottom w:val="nil"/>
              <w:right w:val="nil"/>
            </w:tcBorders>
            <w:shd w:val="clear" w:color="auto" w:fill="auto"/>
            <w:noWrap/>
            <w:hideMark/>
          </w:tcPr>
          <w:p w14:paraId="04C5109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6 279,5</w:t>
            </w:r>
          </w:p>
        </w:tc>
      </w:tr>
      <w:tr w:rsidR="00761800" w:rsidRPr="00761800" w14:paraId="32BE9D6A" w14:textId="77777777" w:rsidTr="00406B4D">
        <w:trPr>
          <w:trHeight w:val="255"/>
        </w:trPr>
        <w:tc>
          <w:tcPr>
            <w:tcW w:w="500" w:type="dxa"/>
            <w:tcBorders>
              <w:top w:val="nil"/>
              <w:left w:val="nil"/>
              <w:bottom w:val="nil"/>
              <w:right w:val="nil"/>
            </w:tcBorders>
            <w:shd w:val="clear" w:color="auto" w:fill="auto"/>
            <w:noWrap/>
            <w:hideMark/>
          </w:tcPr>
          <w:p w14:paraId="0052D91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w:t>
            </w:r>
          </w:p>
        </w:tc>
        <w:tc>
          <w:tcPr>
            <w:tcW w:w="9340" w:type="dxa"/>
            <w:tcBorders>
              <w:top w:val="nil"/>
              <w:left w:val="nil"/>
              <w:bottom w:val="nil"/>
              <w:right w:val="nil"/>
            </w:tcBorders>
            <w:shd w:val="clear" w:color="auto" w:fill="auto"/>
            <w:hideMark/>
          </w:tcPr>
          <w:p w14:paraId="055EF10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Министерски съвет</w:t>
            </w:r>
          </w:p>
        </w:tc>
        <w:tc>
          <w:tcPr>
            <w:tcW w:w="1660" w:type="dxa"/>
            <w:tcBorders>
              <w:top w:val="nil"/>
              <w:left w:val="nil"/>
              <w:bottom w:val="nil"/>
              <w:right w:val="nil"/>
            </w:tcBorders>
            <w:shd w:val="clear" w:color="auto" w:fill="auto"/>
            <w:noWrap/>
            <w:hideMark/>
          </w:tcPr>
          <w:p w14:paraId="2650FFF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123 662,4</w:t>
            </w:r>
          </w:p>
        </w:tc>
        <w:tc>
          <w:tcPr>
            <w:tcW w:w="1700" w:type="dxa"/>
            <w:tcBorders>
              <w:top w:val="nil"/>
              <w:left w:val="nil"/>
              <w:bottom w:val="nil"/>
              <w:right w:val="nil"/>
            </w:tcBorders>
            <w:shd w:val="clear" w:color="auto" w:fill="auto"/>
            <w:noWrap/>
            <w:hideMark/>
          </w:tcPr>
          <w:p w14:paraId="0C799DD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114 684,3</w:t>
            </w:r>
          </w:p>
        </w:tc>
        <w:tc>
          <w:tcPr>
            <w:tcW w:w="1700" w:type="dxa"/>
            <w:tcBorders>
              <w:top w:val="nil"/>
              <w:left w:val="nil"/>
              <w:bottom w:val="nil"/>
              <w:right w:val="nil"/>
            </w:tcBorders>
            <w:shd w:val="clear" w:color="auto" w:fill="auto"/>
            <w:noWrap/>
            <w:hideMark/>
          </w:tcPr>
          <w:p w14:paraId="30A7DC6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114 723,9</w:t>
            </w:r>
          </w:p>
        </w:tc>
      </w:tr>
      <w:tr w:rsidR="00761800" w:rsidRPr="00761800" w14:paraId="30F1EAF0" w14:textId="77777777" w:rsidTr="00406B4D">
        <w:trPr>
          <w:trHeight w:val="255"/>
        </w:trPr>
        <w:tc>
          <w:tcPr>
            <w:tcW w:w="500" w:type="dxa"/>
            <w:tcBorders>
              <w:top w:val="nil"/>
              <w:left w:val="nil"/>
              <w:bottom w:val="nil"/>
              <w:right w:val="nil"/>
            </w:tcBorders>
            <w:shd w:val="clear" w:color="auto" w:fill="auto"/>
            <w:noWrap/>
            <w:hideMark/>
          </w:tcPr>
          <w:p w14:paraId="55A9CCB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w:t>
            </w:r>
          </w:p>
        </w:tc>
        <w:tc>
          <w:tcPr>
            <w:tcW w:w="9340" w:type="dxa"/>
            <w:tcBorders>
              <w:top w:val="nil"/>
              <w:left w:val="nil"/>
              <w:bottom w:val="nil"/>
              <w:right w:val="nil"/>
            </w:tcBorders>
            <w:shd w:val="clear" w:color="auto" w:fill="auto"/>
            <w:hideMark/>
          </w:tcPr>
          <w:p w14:paraId="6E1FDC4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Конституционен съд</w:t>
            </w:r>
          </w:p>
        </w:tc>
        <w:tc>
          <w:tcPr>
            <w:tcW w:w="1660" w:type="dxa"/>
            <w:tcBorders>
              <w:top w:val="nil"/>
              <w:left w:val="nil"/>
              <w:bottom w:val="nil"/>
              <w:right w:val="nil"/>
            </w:tcBorders>
            <w:shd w:val="clear" w:color="auto" w:fill="auto"/>
            <w:noWrap/>
            <w:hideMark/>
          </w:tcPr>
          <w:p w14:paraId="5751F30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5 122,5</w:t>
            </w:r>
          </w:p>
        </w:tc>
        <w:tc>
          <w:tcPr>
            <w:tcW w:w="1700" w:type="dxa"/>
            <w:tcBorders>
              <w:top w:val="nil"/>
              <w:left w:val="nil"/>
              <w:bottom w:val="nil"/>
              <w:right w:val="nil"/>
            </w:tcBorders>
            <w:shd w:val="clear" w:color="auto" w:fill="auto"/>
            <w:noWrap/>
            <w:hideMark/>
          </w:tcPr>
          <w:p w14:paraId="7DE4EA3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12 815,5</w:t>
            </w:r>
          </w:p>
        </w:tc>
        <w:tc>
          <w:tcPr>
            <w:tcW w:w="1700" w:type="dxa"/>
            <w:tcBorders>
              <w:top w:val="nil"/>
              <w:left w:val="nil"/>
              <w:bottom w:val="nil"/>
              <w:right w:val="nil"/>
            </w:tcBorders>
            <w:shd w:val="clear" w:color="auto" w:fill="auto"/>
            <w:noWrap/>
            <w:hideMark/>
          </w:tcPr>
          <w:p w14:paraId="51FB4E2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7 753,7</w:t>
            </w:r>
          </w:p>
        </w:tc>
      </w:tr>
      <w:tr w:rsidR="00761800" w:rsidRPr="00761800" w14:paraId="4F8E3483" w14:textId="77777777" w:rsidTr="00406B4D">
        <w:trPr>
          <w:trHeight w:val="255"/>
        </w:trPr>
        <w:tc>
          <w:tcPr>
            <w:tcW w:w="500" w:type="dxa"/>
            <w:tcBorders>
              <w:top w:val="nil"/>
              <w:left w:val="nil"/>
              <w:bottom w:val="nil"/>
              <w:right w:val="nil"/>
            </w:tcBorders>
            <w:shd w:val="clear" w:color="auto" w:fill="auto"/>
            <w:noWrap/>
            <w:hideMark/>
          </w:tcPr>
          <w:p w14:paraId="4BCEB89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w:t>
            </w:r>
          </w:p>
        </w:tc>
        <w:tc>
          <w:tcPr>
            <w:tcW w:w="9340" w:type="dxa"/>
            <w:tcBorders>
              <w:top w:val="nil"/>
              <w:left w:val="nil"/>
              <w:bottom w:val="nil"/>
              <w:right w:val="nil"/>
            </w:tcBorders>
            <w:shd w:val="clear" w:color="auto" w:fill="auto"/>
            <w:hideMark/>
          </w:tcPr>
          <w:p w14:paraId="548BD2D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Омбудсман</w:t>
            </w:r>
          </w:p>
        </w:tc>
        <w:tc>
          <w:tcPr>
            <w:tcW w:w="1660" w:type="dxa"/>
            <w:tcBorders>
              <w:top w:val="nil"/>
              <w:left w:val="nil"/>
              <w:bottom w:val="nil"/>
              <w:right w:val="nil"/>
            </w:tcBorders>
            <w:shd w:val="clear" w:color="auto" w:fill="auto"/>
            <w:noWrap/>
            <w:hideMark/>
          </w:tcPr>
          <w:p w14:paraId="132564F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2 632,6</w:t>
            </w:r>
          </w:p>
        </w:tc>
        <w:tc>
          <w:tcPr>
            <w:tcW w:w="1700" w:type="dxa"/>
            <w:tcBorders>
              <w:top w:val="nil"/>
              <w:left w:val="nil"/>
              <w:bottom w:val="nil"/>
              <w:right w:val="nil"/>
            </w:tcBorders>
            <w:shd w:val="clear" w:color="auto" w:fill="auto"/>
            <w:noWrap/>
            <w:hideMark/>
          </w:tcPr>
          <w:p w14:paraId="1C9F3B2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2 637,6</w:t>
            </w:r>
          </w:p>
        </w:tc>
        <w:tc>
          <w:tcPr>
            <w:tcW w:w="1700" w:type="dxa"/>
            <w:tcBorders>
              <w:top w:val="nil"/>
              <w:left w:val="nil"/>
              <w:bottom w:val="nil"/>
              <w:right w:val="nil"/>
            </w:tcBorders>
            <w:shd w:val="clear" w:color="auto" w:fill="auto"/>
            <w:noWrap/>
            <w:hideMark/>
          </w:tcPr>
          <w:p w14:paraId="23AD6F2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2 637,6</w:t>
            </w:r>
          </w:p>
        </w:tc>
      </w:tr>
      <w:tr w:rsidR="00761800" w:rsidRPr="00761800" w14:paraId="5831075E" w14:textId="77777777" w:rsidTr="00406B4D">
        <w:trPr>
          <w:trHeight w:val="255"/>
        </w:trPr>
        <w:tc>
          <w:tcPr>
            <w:tcW w:w="500" w:type="dxa"/>
            <w:tcBorders>
              <w:top w:val="nil"/>
              <w:left w:val="nil"/>
              <w:bottom w:val="nil"/>
              <w:right w:val="nil"/>
            </w:tcBorders>
            <w:shd w:val="clear" w:color="auto" w:fill="auto"/>
            <w:noWrap/>
            <w:hideMark/>
          </w:tcPr>
          <w:p w14:paraId="1D815D6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w:t>
            </w:r>
          </w:p>
        </w:tc>
        <w:tc>
          <w:tcPr>
            <w:tcW w:w="9340" w:type="dxa"/>
            <w:tcBorders>
              <w:top w:val="nil"/>
              <w:left w:val="nil"/>
              <w:bottom w:val="nil"/>
              <w:right w:val="nil"/>
            </w:tcBorders>
            <w:shd w:val="clear" w:color="auto" w:fill="auto"/>
            <w:hideMark/>
          </w:tcPr>
          <w:p w14:paraId="06E9342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финансите</w:t>
            </w:r>
          </w:p>
        </w:tc>
        <w:tc>
          <w:tcPr>
            <w:tcW w:w="1660" w:type="dxa"/>
            <w:tcBorders>
              <w:top w:val="nil"/>
              <w:left w:val="nil"/>
              <w:bottom w:val="nil"/>
              <w:right w:val="nil"/>
            </w:tcBorders>
            <w:shd w:val="clear" w:color="auto" w:fill="auto"/>
            <w:noWrap/>
            <w:hideMark/>
          </w:tcPr>
          <w:p w14:paraId="3B81853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409 151,9</w:t>
            </w:r>
          </w:p>
        </w:tc>
        <w:tc>
          <w:tcPr>
            <w:tcW w:w="1700" w:type="dxa"/>
            <w:tcBorders>
              <w:top w:val="nil"/>
              <w:left w:val="nil"/>
              <w:bottom w:val="nil"/>
              <w:right w:val="nil"/>
            </w:tcBorders>
            <w:shd w:val="clear" w:color="auto" w:fill="auto"/>
            <w:noWrap/>
            <w:hideMark/>
          </w:tcPr>
          <w:p w14:paraId="72DF934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383 948,6</w:t>
            </w:r>
          </w:p>
        </w:tc>
        <w:tc>
          <w:tcPr>
            <w:tcW w:w="1700" w:type="dxa"/>
            <w:tcBorders>
              <w:top w:val="nil"/>
              <w:left w:val="nil"/>
              <w:bottom w:val="nil"/>
              <w:right w:val="nil"/>
            </w:tcBorders>
            <w:shd w:val="clear" w:color="auto" w:fill="auto"/>
            <w:noWrap/>
            <w:hideMark/>
          </w:tcPr>
          <w:p w14:paraId="0621C28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383 240,8</w:t>
            </w:r>
          </w:p>
        </w:tc>
      </w:tr>
      <w:tr w:rsidR="00761800" w:rsidRPr="00761800" w14:paraId="2DB5E4E3" w14:textId="77777777" w:rsidTr="00406B4D">
        <w:trPr>
          <w:trHeight w:val="255"/>
        </w:trPr>
        <w:tc>
          <w:tcPr>
            <w:tcW w:w="500" w:type="dxa"/>
            <w:tcBorders>
              <w:top w:val="nil"/>
              <w:left w:val="nil"/>
              <w:bottom w:val="nil"/>
              <w:right w:val="nil"/>
            </w:tcBorders>
            <w:shd w:val="clear" w:color="auto" w:fill="auto"/>
            <w:noWrap/>
            <w:hideMark/>
          </w:tcPr>
          <w:p w14:paraId="6BF475D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w:t>
            </w:r>
          </w:p>
        </w:tc>
        <w:tc>
          <w:tcPr>
            <w:tcW w:w="9340" w:type="dxa"/>
            <w:tcBorders>
              <w:top w:val="nil"/>
              <w:left w:val="nil"/>
              <w:bottom w:val="nil"/>
              <w:right w:val="nil"/>
            </w:tcBorders>
            <w:shd w:val="clear" w:color="auto" w:fill="auto"/>
            <w:hideMark/>
          </w:tcPr>
          <w:p w14:paraId="1C58B68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външните работи</w:t>
            </w:r>
          </w:p>
        </w:tc>
        <w:tc>
          <w:tcPr>
            <w:tcW w:w="1660" w:type="dxa"/>
            <w:tcBorders>
              <w:top w:val="nil"/>
              <w:left w:val="nil"/>
              <w:bottom w:val="nil"/>
              <w:right w:val="nil"/>
            </w:tcBorders>
            <w:shd w:val="clear" w:color="auto" w:fill="auto"/>
            <w:noWrap/>
            <w:hideMark/>
          </w:tcPr>
          <w:p w14:paraId="125E5C2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138 619,3</w:t>
            </w:r>
          </w:p>
        </w:tc>
        <w:tc>
          <w:tcPr>
            <w:tcW w:w="1700" w:type="dxa"/>
            <w:tcBorders>
              <w:top w:val="nil"/>
              <w:left w:val="nil"/>
              <w:bottom w:val="nil"/>
              <w:right w:val="nil"/>
            </w:tcBorders>
            <w:shd w:val="clear" w:color="auto" w:fill="auto"/>
            <w:noWrap/>
            <w:hideMark/>
          </w:tcPr>
          <w:p w14:paraId="49018C6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113 677,5</w:t>
            </w:r>
          </w:p>
        </w:tc>
        <w:tc>
          <w:tcPr>
            <w:tcW w:w="1700" w:type="dxa"/>
            <w:tcBorders>
              <w:top w:val="nil"/>
              <w:left w:val="nil"/>
              <w:bottom w:val="nil"/>
              <w:right w:val="nil"/>
            </w:tcBorders>
            <w:shd w:val="clear" w:color="auto" w:fill="auto"/>
            <w:noWrap/>
            <w:hideMark/>
          </w:tcPr>
          <w:p w14:paraId="5B74DFA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113 677,5</w:t>
            </w:r>
          </w:p>
        </w:tc>
      </w:tr>
      <w:tr w:rsidR="00761800" w:rsidRPr="00761800" w14:paraId="654F3280" w14:textId="77777777" w:rsidTr="00406B4D">
        <w:trPr>
          <w:trHeight w:val="255"/>
        </w:trPr>
        <w:tc>
          <w:tcPr>
            <w:tcW w:w="500" w:type="dxa"/>
            <w:tcBorders>
              <w:top w:val="nil"/>
              <w:left w:val="nil"/>
              <w:bottom w:val="nil"/>
              <w:right w:val="nil"/>
            </w:tcBorders>
            <w:shd w:val="clear" w:color="auto" w:fill="auto"/>
            <w:noWrap/>
            <w:hideMark/>
          </w:tcPr>
          <w:p w14:paraId="361AA7A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w:t>
            </w:r>
          </w:p>
        </w:tc>
        <w:tc>
          <w:tcPr>
            <w:tcW w:w="9340" w:type="dxa"/>
            <w:tcBorders>
              <w:top w:val="nil"/>
              <w:left w:val="nil"/>
              <w:bottom w:val="nil"/>
              <w:right w:val="nil"/>
            </w:tcBorders>
            <w:shd w:val="clear" w:color="auto" w:fill="auto"/>
            <w:hideMark/>
          </w:tcPr>
          <w:p w14:paraId="379EFE5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отбраната</w:t>
            </w:r>
          </w:p>
        </w:tc>
        <w:tc>
          <w:tcPr>
            <w:tcW w:w="1660" w:type="dxa"/>
            <w:tcBorders>
              <w:top w:val="nil"/>
              <w:left w:val="nil"/>
              <w:bottom w:val="nil"/>
              <w:right w:val="nil"/>
            </w:tcBorders>
            <w:shd w:val="clear" w:color="auto" w:fill="auto"/>
            <w:noWrap/>
            <w:hideMark/>
          </w:tcPr>
          <w:p w14:paraId="699165A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2 568 607,9</w:t>
            </w:r>
          </w:p>
        </w:tc>
        <w:tc>
          <w:tcPr>
            <w:tcW w:w="1700" w:type="dxa"/>
            <w:tcBorders>
              <w:top w:val="nil"/>
              <w:left w:val="nil"/>
              <w:bottom w:val="nil"/>
              <w:right w:val="nil"/>
            </w:tcBorders>
            <w:shd w:val="clear" w:color="auto" w:fill="auto"/>
            <w:noWrap/>
            <w:hideMark/>
          </w:tcPr>
          <w:p w14:paraId="09F52A5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3 003 769,4</w:t>
            </w:r>
          </w:p>
        </w:tc>
        <w:tc>
          <w:tcPr>
            <w:tcW w:w="1700" w:type="dxa"/>
            <w:tcBorders>
              <w:top w:val="nil"/>
              <w:left w:val="nil"/>
              <w:bottom w:val="nil"/>
              <w:right w:val="nil"/>
            </w:tcBorders>
            <w:shd w:val="clear" w:color="auto" w:fill="auto"/>
            <w:noWrap/>
            <w:hideMark/>
          </w:tcPr>
          <w:p w14:paraId="1D65CBF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3 496 996,8</w:t>
            </w:r>
          </w:p>
        </w:tc>
      </w:tr>
      <w:tr w:rsidR="00761800" w:rsidRPr="00761800" w14:paraId="2CC2E793" w14:textId="77777777" w:rsidTr="00406B4D">
        <w:trPr>
          <w:trHeight w:val="255"/>
        </w:trPr>
        <w:tc>
          <w:tcPr>
            <w:tcW w:w="500" w:type="dxa"/>
            <w:tcBorders>
              <w:top w:val="nil"/>
              <w:left w:val="nil"/>
              <w:bottom w:val="nil"/>
              <w:right w:val="nil"/>
            </w:tcBorders>
            <w:shd w:val="clear" w:color="auto" w:fill="auto"/>
            <w:noWrap/>
            <w:hideMark/>
          </w:tcPr>
          <w:p w14:paraId="2A513BE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w:t>
            </w:r>
          </w:p>
        </w:tc>
        <w:tc>
          <w:tcPr>
            <w:tcW w:w="9340" w:type="dxa"/>
            <w:tcBorders>
              <w:top w:val="nil"/>
              <w:left w:val="nil"/>
              <w:bottom w:val="nil"/>
              <w:right w:val="nil"/>
            </w:tcBorders>
            <w:shd w:val="clear" w:color="auto" w:fill="auto"/>
            <w:hideMark/>
          </w:tcPr>
          <w:p w14:paraId="0974F4B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вътрешните работи</w:t>
            </w:r>
          </w:p>
        </w:tc>
        <w:tc>
          <w:tcPr>
            <w:tcW w:w="1660" w:type="dxa"/>
            <w:tcBorders>
              <w:top w:val="nil"/>
              <w:left w:val="nil"/>
              <w:bottom w:val="nil"/>
              <w:right w:val="nil"/>
            </w:tcBorders>
            <w:shd w:val="clear" w:color="auto" w:fill="auto"/>
            <w:noWrap/>
            <w:hideMark/>
          </w:tcPr>
          <w:p w14:paraId="66DD402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2 115 233,2</w:t>
            </w:r>
          </w:p>
        </w:tc>
        <w:tc>
          <w:tcPr>
            <w:tcW w:w="1700" w:type="dxa"/>
            <w:tcBorders>
              <w:top w:val="nil"/>
              <w:left w:val="nil"/>
              <w:bottom w:val="nil"/>
              <w:right w:val="nil"/>
            </w:tcBorders>
            <w:shd w:val="clear" w:color="auto" w:fill="auto"/>
            <w:noWrap/>
            <w:hideMark/>
          </w:tcPr>
          <w:p w14:paraId="50F4494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2 100 662,1</w:t>
            </w:r>
          </w:p>
        </w:tc>
        <w:tc>
          <w:tcPr>
            <w:tcW w:w="1700" w:type="dxa"/>
            <w:tcBorders>
              <w:top w:val="nil"/>
              <w:left w:val="nil"/>
              <w:bottom w:val="nil"/>
              <w:right w:val="nil"/>
            </w:tcBorders>
            <w:shd w:val="clear" w:color="auto" w:fill="auto"/>
            <w:noWrap/>
            <w:hideMark/>
          </w:tcPr>
          <w:p w14:paraId="46AB17F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2 086 561,9</w:t>
            </w:r>
          </w:p>
        </w:tc>
      </w:tr>
      <w:tr w:rsidR="00761800" w:rsidRPr="00761800" w14:paraId="2A14C789" w14:textId="77777777" w:rsidTr="00406B4D">
        <w:trPr>
          <w:trHeight w:val="255"/>
        </w:trPr>
        <w:tc>
          <w:tcPr>
            <w:tcW w:w="500" w:type="dxa"/>
            <w:tcBorders>
              <w:top w:val="nil"/>
              <w:left w:val="nil"/>
              <w:bottom w:val="nil"/>
              <w:right w:val="nil"/>
            </w:tcBorders>
            <w:shd w:val="clear" w:color="auto" w:fill="auto"/>
            <w:noWrap/>
            <w:hideMark/>
          </w:tcPr>
          <w:p w14:paraId="4C3AB68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w:t>
            </w:r>
          </w:p>
        </w:tc>
        <w:tc>
          <w:tcPr>
            <w:tcW w:w="9340" w:type="dxa"/>
            <w:tcBorders>
              <w:top w:val="nil"/>
              <w:left w:val="nil"/>
              <w:bottom w:val="nil"/>
              <w:right w:val="nil"/>
            </w:tcBorders>
            <w:shd w:val="clear" w:color="auto" w:fill="auto"/>
            <w:hideMark/>
          </w:tcPr>
          <w:p w14:paraId="03789DB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правосъдието</w:t>
            </w:r>
          </w:p>
        </w:tc>
        <w:tc>
          <w:tcPr>
            <w:tcW w:w="1660" w:type="dxa"/>
            <w:tcBorders>
              <w:top w:val="nil"/>
              <w:left w:val="nil"/>
              <w:bottom w:val="nil"/>
              <w:right w:val="nil"/>
            </w:tcBorders>
            <w:shd w:val="clear" w:color="auto" w:fill="auto"/>
            <w:noWrap/>
            <w:hideMark/>
          </w:tcPr>
          <w:p w14:paraId="4546BB4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360 030,3</w:t>
            </w:r>
          </w:p>
        </w:tc>
        <w:tc>
          <w:tcPr>
            <w:tcW w:w="1700" w:type="dxa"/>
            <w:tcBorders>
              <w:top w:val="nil"/>
              <w:left w:val="nil"/>
              <w:bottom w:val="nil"/>
              <w:right w:val="nil"/>
            </w:tcBorders>
            <w:shd w:val="clear" w:color="auto" w:fill="auto"/>
            <w:noWrap/>
            <w:hideMark/>
          </w:tcPr>
          <w:p w14:paraId="458ACE0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364 977,4</w:t>
            </w:r>
          </w:p>
        </w:tc>
        <w:tc>
          <w:tcPr>
            <w:tcW w:w="1700" w:type="dxa"/>
            <w:tcBorders>
              <w:top w:val="nil"/>
              <w:left w:val="nil"/>
              <w:bottom w:val="nil"/>
              <w:right w:val="nil"/>
            </w:tcBorders>
            <w:shd w:val="clear" w:color="auto" w:fill="auto"/>
            <w:noWrap/>
            <w:hideMark/>
          </w:tcPr>
          <w:p w14:paraId="790E064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361 866,9</w:t>
            </w:r>
          </w:p>
        </w:tc>
      </w:tr>
      <w:tr w:rsidR="00761800" w:rsidRPr="00761800" w14:paraId="3F1514C9" w14:textId="77777777" w:rsidTr="00406B4D">
        <w:trPr>
          <w:trHeight w:val="255"/>
        </w:trPr>
        <w:tc>
          <w:tcPr>
            <w:tcW w:w="500" w:type="dxa"/>
            <w:tcBorders>
              <w:top w:val="nil"/>
              <w:left w:val="nil"/>
              <w:bottom w:val="nil"/>
              <w:right w:val="nil"/>
            </w:tcBorders>
            <w:shd w:val="clear" w:color="auto" w:fill="auto"/>
            <w:noWrap/>
            <w:hideMark/>
          </w:tcPr>
          <w:p w14:paraId="7A37AD8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10</w:t>
            </w:r>
          </w:p>
        </w:tc>
        <w:tc>
          <w:tcPr>
            <w:tcW w:w="9340" w:type="dxa"/>
            <w:tcBorders>
              <w:top w:val="nil"/>
              <w:left w:val="nil"/>
              <w:bottom w:val="nil"/>
              <w:right w:val="nil"/>
            </w:tcBorders>
            <w:shd w:val="clear" w:color="auto" w:fill="auto"/>
            <w:hideMark/>
          </w:tcPr>
          <w:p w14:paraId="45082CC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труда и социалната политика</w:t>
            </w:r>
          </w:p>
        </w:tc>
        <w:tc>
          <w:tcPr>
            <w:tcW w:w="1660" w:type="dxa"/>
            <w:tcBorders>
              <w:top w:val="nil"/>
              <w:left w:val="nil"/>
              <w:bottom w:val="nil"/>
              <w:right w:val="nil"/>
            </w:tcBorders>
            <w:shd w:val="clear" w:color="auto" w:fill="auto"/>
            <w:noWrap/>
            <w:hideMark/>
          </w:tcPr>
          <w:p w14:paraId="65AB363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2 112 455,5</w:t>
            </w:r>
          </w:p>
        </w:tc>
        <w:tc>
          <w:tcPr>
            <w:tcW w:w="1700" w:type="dxa"/>
            <w:tcBorders>
              <w:top w:val="nil"/>
              <w:left w:val="nil"/>
              <w:bottom w:val="nil"/>
              <w:right w:val="nil"/>
            </w:tcBorders>
            <w:shd w:val="clear" w:color="auto" w:fill="auto"/>
            <w:noWrap/>
            <w:hideMark/>
          </w:tcPr>
          <w:p w14:paraId="744AFCD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2 211 827,3</w:t>
            </w:r>
          </w:p>
        </w:tc>
        <w:tc>
          <w:tcPr>
            <w:tcW w:w="1700" w:type="dxa"/>
            <w:tcBorders>
              <w:top w:val="nil"/>
              <w:left w:val="nil"/>
              <w:bottom w:val="nil"/>
              <w:right w:val="nil"/>
            </w:tcBorders>
            <w:shd w:val="clear" w:color="auto" w:fill="auto"/>
            <w:noWrap/>
            <w:hideMark/>
          </w:tcPr>
          <w:p w14:paraId="7BD1EA4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2 249 483,6</w:t>
            </w:r>
          </w:p>
        </w:tc>
      </w:tr>
      <w:tr w:rsidR="00761800" w:rsidRPr="00761800" w14:paraId="629A05B7" w14:textId="77777777" w:rsidTr="00406B4D">
        <w:trPr>
          <w:trHeight w:val="255"/>
        </w:trPr>
        <w:tc>
          <w:tcPr>
            <w:tcW w:w="500" w:type="dxa"/>
            <w:tcBorders>
              <w:top w:val="nil"/>
              <w:left w:val="nil"/>
              <w:bottom w:val="nil"/>
              <w:right w:val="nil"/>
            </w:tcBorders>
            <w:shd w:val="clear" w:color="auto" w:fill="auto"/>
            <w:noWrap/>
            <w:hideMark/>
          </w:tcPr>
          <w:p w14:paraId="26CB340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11</w:t>
            </w:r>
          </w:p>
        </w:tc>
        <w:tc>
          <w:tcPr>
            <w:tcW w:w="9340" w:type="dxa"/>
            <w:tcBorders>
              <w:top w:val="nil"/>
              <w:left w:val="nil"/>
              <w:bottom w:val="nil"/>
              <w:right w:val="nil"/>
            </w:tcBorders>
            <w:shd w:val="clear" w:color="auto" w:fill="auto"/>
            <w:hideMark/>
          </w:tcPr>
          <w:p w14:paraId="5C9764D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здравеопазването</w:t>
            </w:r>
          </w:p>
        </w:tc>
        <w:tc>
          <w:tcPr>
            <w:tcW w:w="1660" w:type="dxa"/>
            <w:tcBorders>
              <w:top w:val="nil"/>
              <w:left w:val="nil"/>
              <w:bottom w:val="nil"/>
              <w:right w:val="nil"/>
            </w:tcBorders>
            <w:shd w:val="clear" w:color="auto" w:fill="auto"/>
            <w:noWrap/>
            <w:hideMark/>
          </w:tcPr>
          <w:p w14:paraId="3704F28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646 423,2</w:t>
            </w:r>
          </w:p>
        </w:tc>
        <w:tc>
          <w:tcPr>
            <w:tcW w:w="1700" w:type="dxa"/>
            <w:tcBorders>
              <w:top w:val="nil"/>
              <w:left w:val="nil"/>
              <w:bottom w:val="nil"/>
              <w:right w:val="nil"/>
            </w:tcBorders>
            <w:shd w:val="clear" w:color="auto" w:fill="auto"/>
            <w:noWrap/>
            <w:hideMark/>
          </w:tcPr>
          <w:p w14:paraId="53D853F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647 009,3</w:t>
            </w:r>
          </w:p>
        </w:tc>
        <w:tc>
          <w:tcPr>
            <w:tcW w:w="1700" w:type="dxa"/>
            <w:tcBorders>
              <w:top w:val="nil"/>
              <w:left w:val="nil"/>
              <w:bottom w:val="nil"/>
              <w:right w:val="nil"/>
            </w:tcBorders>
            <w:shd w:val="clear" w:color="auto" w:fill="auto"/>
            <w:noWrap/>
            <w:hideMark/>
          </w:tcPr>
          <w:p w14:paraId="2D1A3CC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647 272,8</w:t>
            </w:r>
          </w:p>
        </w:tc>
      </w:tr>
      <w:tr w:rsidR="00761800" w:rsidRPr="00761800" w14:paraId="276837B7" w14:textId="77777777" w:rsidTr="00406B4D">
        <w:trPr>
          <w:trHeight w:val="255"/>
        </w:trPr>
        <w:tc>
          <w:tcPr>
            <w:tcW w:w="500" w:type="dxa"/>
            <w:tcBorders>
              <w:top w:val="nil"/>
              <w:left w:val="nil"/>
              <w:bottom w:val="nil"/>
              <w:right w:val="nil"/>
            </w:tcBorders>
            <w:shd w:val="clear" w:color="auto" w:fill="auto"/>
            <w:noWrap/>
            <w:hideMark/>
          </w:tcPr>
          <w:p w14:paraId="49DA278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12</w:t>
            </w:r>
          </w:p>
        </w:tc>
        <w:tc>
          <w:tcPr>
            <w:tcW w:w="9340" w:type="dxa"/>
            <w:tcBorders>
              <w:top w:val="nil"/>
              <w:left w:val="nil"/>
              <w:bottom w:val="nil"/>
              <w:right w:val="nil"/>
            </w:tcBorders>
            <w:shd w:val="clear" w:color="auto" w:fill="auto"/>
            <w:hideMark/>
          </w:tcPr>
          <w:p w14:paraId="512A5A8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образованието и науката</w:t>
            </w:r>
          </w:p>
        </w:tc>
        <w:tc>
          <w:tcPr>
            <w:tcW w:w="1660" w:type="dxa"/>
            <w:tcBorders>
              <w:top w:val="nil"/>
              <w:left w:val="nil"/>
              <w:bottom w:val="nil"/>
              <w:right w:val="nil"/>
            </w:tcBorders>
            <w:shd w:val="clear" w:color="auto" w:fill="auto"/>
            <w:noWrap/>
            <w:hideMark/>
          </w:tcPr>
          <w:p w14:paraId="60DFBEA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758 408,4</w:t>
            </w:r>
          </w:p>
        </w:tc>
        <w:tc>
          <w:tcPr>
            <w:tcW w:w="1700" w:type="dxa"/>
            <w:tcBorders>
              <w:top w:val="nil"/>
              <w:left w:val="nil"/>
              <w:bottom w:val="nil"/>
              <w:right w:val="nil"/>
            </w:tcBorders>
            <w:shd w:val="clear" w:color="auto" w:fill="auto"/>
            <w:noWrap/>
            <w:hideMark/>
          </w:tcPr>
          <w:p w14:paraId="02A16C0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757 215,6</w:t>
            </w:r>
          </w:p>
        </w:tc>
        <w:tc>
          <w:tcPr>
            <w:tcW w:w="1700" w:type="dxa"/>
            <w:tcBorders>
              <w:top w:val="nil"/>
              <w:left w:val="nil"/>
              <w:bottom w:val="nil"/>
              <w:right w:val="nil"/>
            </w:tcBorders>
            <w:shd w:val="clear" w:color="auto" w:fill="auto"/>
            <w:noWrap/>
            <w:hideMark/>
          </w:tcPr>
          <w:p w14:paraId="05B90E5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757 215,6</w:t>
            </w:r>
          </w:p>
        </w:tc>
      </w:tr>
      <w:tr w:rsidR="00761800" w:rsidRPr="00761800" w14:paraId="41002B9E" w14:textId="77777777" w:rsidTr="00406B4D">
        <w:trPr>
          <w:trHeight w:val="255"/>
        </w:trPr>
        <w:tc>
          <w:tcPr>
            <w:tcW w:w="500" w:type="dxa"/>
            <w:tcBorders>
              <w:top w:val="nil"/>
              <w:left w:val="nil"/>
              <w:bottom w:val="nil"/>
              <w:right w:val="nil"/>
            </w:tcBorders>
            <w:shd w:val="clear" w:color="auto" w:fill="auto"/>
            <w:noWrap/>
            <w:hideMark/>
          </w:tcPr>
          <w:p w14:paraId="642E279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13</w:t>
            </w:r>
          </w:p>
        </w:tc>
        <w:tc>
          <w:tcPr>
            <w:tcW w:w="9340" w:type="dxa"/>
            <w:tcBorders>
              <w:top w:val="nil"/>
              <w:left w:val="nil"/>
              <w:bottom w:val="nil"/>
              <w:right w:val="nil"/>
            </w:tcBorders>
            <w:shd w:val="clear" w:color="auto" w:fill="auto"/>
            <w:hideMark/>
          </w:tcPr>
          <w:p w14:paraId="59B268D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културата</w:t>
            </w:r>
          </w:p>
        </w:tc>
        <w:tc>
          <w:tcPr>
            <w:tcW w:w="1660" w:type="dxa"/>
            <w:tcBorders>
              <w:top w:val="nil"/>
              <w:left w:val="nil"/>
              <w:bottom w:val="nil"/>
              <w:right w:val="nil"/>
            </w:tcBorders>
            <w:shd w:val="clear" w:color="auto" w:fill="auto"/>
            <w:noWrap/>
            <w:hideMark/>
          </w:tcPr>
          <w:p w14:paraId="2C6D0E7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267 051,7</w:t>
            </w:r>
          </w:p>
        </w:tc>
        <w:tc>
          <w:tcPr>
            <w:tcW w:w="1700" w:type="dxa"/>
            <w:tcBorders>
              <w:top w:val="nil"/>
              <w:left w:val="nil"/>
              <w:bottom w:val="nil"/>
              <w:right w:val="nil"/>
            </w:tcBorders>
            <w:shd w:val="clear" w:color="auto" w:fill="auto"/>
            <w:noWrap/>
            <w:hideMark/>
          </w:tcPr>
          <w:p w14:paraId="6ED0EFE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267 535,9</w:t>
            </w:r>
          </w:p>
        </w:tc>
        <w:tc>
          <w:tcPr>
            <w:tcW w:w="1700" w:type="dxa"/>
            <w:tcBorders>
              <w:top w:val="nil"/>
              <w:left w:val="nil"/>
              <w:bottom w:val="nil"/>
              <w:right w:val="nil"/>
            </w:tcBorders>
            <w:shd w:val="clear" w:color="auto" w:fill="auto"/>
            <w:noWrap/>
            <w:hideMark/>
          </w:tcPr>
          <w:p w14:paraId="60914B3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268 707,0</w:t>
            </w:r>
          </w:p>
        </w:tc>
      </w:tr>
      <w:tr w:rsidR="00761800" w:rsidRPr="00761800" w14:paraId="5C9AD969" w14:textId="77777777" w:rsidTr="00406B4D">
        <w:trPr>
          <w:trHeight w:val="255"/>
        </w:trPr>
        <w:tc>
          <w:tcPr>
            <w:tcW w:w="500" w:type="dxa"/>
            <w:tcBorders>
              <w:top w:val="nil"/>
              <w:left w:val="nil"/>
              <w:bottom w:val="nil"/>
              <w:right w:val="nil"/>
            </w:tcBorders>
            <w:shd w:val="clear" w:color="auto" w:fill="auto"/>
            <w:noWrap/>
            <w:hideMark/>
          </w:tcPr>
          <w:p w14:paraId="3E9618A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14</w:t>
            </w:r>
          </w:p>
        </w:tc>
        <w:tc>
          <w:tcPr>
            <w:tcW w:w="9340" w:type="dxa"/>
            <w:tcBorders>
              <w:top w:val="nil"/>
              <w:left w:val="nil"/>
              <w:bottom w:val="nil"/>
              <w:right w:val="nil"/>
            </w:tcBorders>
            <w:shd w:val="clear" w:color="auto" w:fill="auto"/>
            <w:hideMark/>
          </w:tcPr>
          <w:p w14:paraId="1F3D7B3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околната среда и водите</w:t>
            </w:r>
          </w:p>
        </w:tc>
        <w:tc>
          <w:tcPr>
            <w:tcW w:w="1660" w:type="dxa"/>
            <w:tcBorders>
              <w:top w:val="nil"/>
              <w:left w:val="nil"/>
              <w:bottom w:val="nil"/>
              <w:right w:val="nil"/>
            </w:tcBorders>
            <w:shd w:val="clear" w:color="auto" w:fill="auto"/>
            <w:noWrap/>
            <w:hideMark/>
          </w:tcPr>
          <w:p w14:paraId="14ADBD9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77 774,1</w:t>
            </w:r>
          </w:p>
        </w:tc>
        <w:tc>
          <w:tcPr>
            <w:tcW w:w="1700" w:type="dxa"/>
            <w:tcBorders>
              <w:top w:val="nil"/>
              <w:left w:val="nil"/>
              <w:bottom w:val="nil"/>
              <w:right w:val="nil"/>
            </w:tcBorders>
            <w:shd w:val="clear" w:color="auto" w:fill="auto"/>
            <w:noWrap/>
            <w:hideMark/>
          </w:tcPr>
          <w:p w14:paraId="684DEE1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74 554,0</w:t>
            </w:r>
          </w:p>
        </w:tc>
        <w:tc>
          <w:tcPr>
            <w:tcW w:w="1700" w:type="dxa"/>
            <w:tcBorders>
              <w:top w:val="nil"/>
              <w:left w:val="nil"/>
              <w:bottom w:val="nil"/>
              <w:right w:val="nil"/>
            </w:tcBorders>
            <w:shd w:val="clear" w:color="auto" w:fill="auto"/>
            <w:noWrap/>
            <w:hideMark/>
          </w:tcPr>
          <w:p w14:paraId="10B3CBB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79 420,3</w:t>
            </w:r>
          </w:p>
        </w:tc>
      </w:tr>
      <w:tr w:rsidR="00761800" w:rsidRPr="00761800" w14:paraId="096632B1" w14:textId="77777777" w:rsidTr="00406B4D">
        <w:trPr>
          <w:trHeight w:val="255"/>
        </w:trPr>
        <w:tc>
          <w:tcPr>
            <w:tcW w:w="500" w:type="dxa"/>
            <w:tcBorders>
              <w:top w:val="nil"/>
              <w:left w:val="nil"/>
              <w:bottom w:val="nil"/>
              <w:right w:val="nil"/>
            </w:tcBorders>
            <w:shd w:val="clear" w:color="auto" w:fill="auto"/>
            <w:noWrap/>
            <w:hideMark/>
          </w:tcPr>
          <w:p w14:paraId="3B93783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15</w:t>
            </w:r>
          </w:p>
        </w:tc>
        <w:tc>
          <w:tcPr>
            <w:tcW w:w="9340" w:type="dxa"/>
            <w:tcBorders>
              <w:top w:val="nil"/>
              <w:left w:val="nil"/>
              <w:bottom w:val="nil"/>
              <w:right w:val="nil"/>
            </w:tcBorders>
            <w:shd w:val="clear" w:color="auto" w:fill="auto"/>
            <w:hideMark/>
          </w:tcPr>
          <w:p w14:paraId="2378E05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икономиката, инвестициите и индустрията</w:t>
            </w:r>
          </w:p>
        </w:tc>
        <w:tc>
          <w:tcPr>
            <w:tcW w:w="1660" w:type="dxa"/>
            <w:tcBorders>
              <w:top w:val="nil"/>
              <w:left w:val="nil"/>
              <w:bottom w:val="nil"/>
              <w:right w:val="nil"/>
            </w:tcBorders>
            <w:shd w:val="clear" w:color="auto" w:fill="auto"/>
            <w:noWrap/>
            <w:hideMark/>
          </w:tcPr>
          <w:p w14:paraId="6F42CF6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71 544,5</w:t>
            </w:r>
          </w:p>
        </w:tc>
        <w:tc>
          <w:tcPr>
            <w:tcW w:w="1700" w:type="dxa"/>
            <w:tcBorders>
              <w:top w:val="nil"/>
              <w:left w:val="nil"/>
              <w:bottom w:val="nil"/>
              <w:right w:val="nil"/>
            </w:tcBorders>
            <w:shd w:val="clear" w:color="auto" w:fill="auto"/>
            <w:noWrap/>
            <w:hideMark/>
          </w:tcPr>
          <w:p w14:paraId="711AA66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67 021,4</w:t>
            </w:r>
          </w:p>
        </w:tc>
        <w:tc>
          <w:tcPr>
            <w:tcW w:w="1700" w:type="dxa"/>
            <w:tcBorders>
              <w:top w:val="nil"/>
              <w:left w:val="nil"/>
              <w:bottom w:val="nil"/>
              <w:right w:val="nil"/>
            </w:tcBorders>
            <w:shd w:val="clear" w:color="auto" w:fill="auto"/>
            <w:noWrap/>
            <w:hideMark/>
          </w:tcPr>
          <w:p w14:paraId="266EF2D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65 819,9</w:t>
            </w:r>
          </w:p>
        </w:tc>
      </w:tr>
      <w:tr w:rsidR="00761800" w:rsidRPr="00761800" w14:paraId="7924F7C9" w14:textId="77777777" w:rsidTr="00406B4D">
        <w:trPr>
          <w:trHeight w:val="255"/>
        </w:trPr>
        <w:tc>
          <w:tcPr>
            <w:tcW w:w="500" w:type="dxa"/>
            <w:tcBorders>
              <w:top w:val="nil"/>
              <w:left w:val="nil"/>
              <w:bottom w:val="nil"/>
              <w:right w:val="nil"/>
            </w:tcBorders>
            <w:shd w:val="clear" w:color="auto" w:fill="auto"/>
            <w:noWrap/>
            <w:hideMark/>
          </w:tcPr>
          <w:p w14:paraId="30B35FF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16</w:t>
            </w:r>
          </w:p>
        </w:tc>
        <w:tc>
          <w:tcPr>
            <w:tcW w:w="9340" w:type="dxa"/>
            <w:tcBorders>
              <w:top w:val="nil"/>
              <w:left w:val="nil"/>
              <w:bottom w:val="nil"/>
              <w:right w:val="nil"/>
            </w:tcBorders>
            <w:shd w:val="clear" w:color="auto" w:fill="auto"/>
            <w:hideMark/>
          </w:tcPr>
          <w:p w14:paraId="6C75018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иновациите и дигиталната трансформация</w:t>
            </w:r>
          </w:p>
        </w:tc>
        <w:tc>
          <w:tcPr>
            <w:tcW w:w="1660" w:type="dxa"/>
            <w:tcBorders>
              <w:top w:val="nil"/>
              <w:left w:val="nil"/>
              <w:bottom w:val="nil"/>
              <w:right w:val="nil"/>
            </w:tcBorders>
            <w:shd w:val="clear" w:color="auto" w:fill="auto"/>
            <w:noWrap/>
            <w:hideMark/>
          </w:tcPr>
          <w:p w14:paraId="5FC9B6B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42 188,7</w:t>
            </w:r>
          </w:p>
        </w:tc>
        <w:tc>
          <w:tcPr>
            <w:tcW w:w="1700" w:type="dxa"/>
            <w:tcBorders>
              <w:top w:val="nil"/>
              <w:left w:val="nil"/>
              <w:bottom w:val="nil"/>
              <w:right w:val="nil"/>
            </w:tcBorders>
            <w:shd w:val="clear" w:color="auto" w:fill="auto"/>
            <w:noWrap/>
            <w:hideMark/>
          </w:tcPr>
          <w:p w14:paraId="5872AC4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40 606,3</w:t>
            </w:r>
          </w:p>
        </w:tc>
        <w:tc>
          <w:tcPr>
            <w:tcW w:w="1700" w:type="dxa"/>
            <w:tcBorders>
              <w:top w:val="nil"/>
              <w:left w:val="nil"/>
              <w:bottom w:val="nil"/>
              <w:right w:val="nil"/>
            </w:tcBorders>
            <w:shd w:val="clear" w:color="auto" w:fill="auto"/>
            <w:noWrap/>
            <w:hideMark/>
          </w:tcPr>
          <w:p w14:paraId="4248AD1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41 117,7</w:t>
            </w:r>
          </w:p>
        </w:tc>
      </w:tr>
      <w:tr w:rsidR="00761800" w:rsidRPr="00761800" w14:paraId="7E876C86" w14:textId="77777777" w:rsidTr="00406B4D">
        <w:trPr>
          <w:trHeight w:val="255"/>
        </w:trPr>
        <w:tc>
          <w:tcPr>
            <w:tcW w:w="500" w:type="dxa"/>
            <w:tcBorders>
              <w:top w:val="nil"/>
              <w:left w:val="nil"/>
              <w:bottom w:val="nil"/>
              <w:right w:val="nil"/>
            </w:tcBorders>
            <w:shd w:val="clear" w:color="auto" w:fill="auto"/>
            <w:noWrap/>
            <w:hideMark/>
          </w:tcPr>
          <w:p w14:paraId="1A42CF3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17</w:t>
            </w:r>
          </w:p>
        </w:tc>
        <w:tc>
          <w:tcPr>
            <w:tcW w:w="9340" w:type="dxa"/>
            <w:tcBorders>
              <w:top w:val="nil"/>
              <w:left w:val="nil"/>
              <w:bottom w:val="nil"/>
              <w:right w:val="nil"/>
            </w:tcBorders>
            <w:shd w:val="clear" w:color="auto" w:fill="auto"/>
            <w:hideMark/>
          </w:tcPr>
          <w:p w14:paraId="1014016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енергетиката</w:t>
            </w:r>
          </w:p>
        </w:tc>
        <w:tc>
          <w:tcPr>
            <w:tcW w:w="1660" w:type="dxa"/>
            <w:tcBorders>
              <w:top w:val="nil"/>
              <w:left w:val="nil"/>
              <w:bottom w:val="nil"/>
              <w:right w:val="nil"/>
            </w:tcBorders>
            <w:shd w:val="clear" w:color="auto" w:fill="auto"/>
            <w:noWrap/>
            <w:hideMark/>
          </w:tcPr>
          <w:p w14:paraId="6A862AB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43 267,8</w:t>
            </w:r>
          </w:p>
        </w:tc>
        <w:tc>
          <w:tcPr>
            <w:tcW w:w="1700" w:type="dxa"/>
            <w:tcBorders>
              <w:top w:val="nil"/>
              <w:left w:val="nil"/>
              <w:bottom w:val="nil"/>
              <w:right w:val="nil"/>
            </w:tcBorders>
            <w:shd w:val="clear" w:color="auto" w:fill="auto"/>
            <w:noWrap/>
            <w:hideMark/>
          </w:tcPr>
          <w:p w14:paraId="3820F8E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40 710,0</w:t>
            </w:r>
          </w:p>
        </w:tc>
        <w:tc>
          <w:tcPr>
            <w:tcW w:w="1700" w:type="dxa"/>
            <w:tcBorders>
              <w:top w:val="nil"/>
              <w:left w:val="nil"/>
              <w:bottom w:val="nil"/>
              <w:right w:val="nil"/>
            </w:tcBorders>
            <w:shd w:val="clear" w:color="auto" w:fill="auto"/>
            <w:noWrap/>
            <w:hideMark/>
          </w:tcPr>
          <w:p w14:paraId="63F9BAF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40 710,0</w:t>
            </w:r>
          </w:p>
        </w:tc>
      </w:tr>
      <w:tr w:rsidR="00761800" w:rsidRPr="00761800" w14:paraId="3F5C45B0" w14:textId="77777777" w:rsidTr="00406B4D">
        <w:trPr>
          <w:trHeight w:val="255"/>
        </w:trPr>
        <w:tc>
          <w:tcPr>
            <w:tcW w:w="500" w:type="dxa"/>
            <w:tcBorders>
              <w:top w:val="nil"/>
              <w:left w:val="nil"/>
              <w:bottom w:val="nil"/>
              <w:right w:val="nil"/>
            </w:tcBorders>
            <w:shd w:val="clear" w:color="auto" w:fill="auto"/>
            <w:noWrap/>
            <w:hideMark/>
          </w:tcPr>
          <w:p w14:paraId="2C5B511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18</w:t>
            </w:r>
          </w:p>
        </w:tc>
        <w:tc>
          <w:tcPr>
            <w:tcW w:w="9340" w:type="dxa"/>
            <w:tcBorders>
              <w:top w:val="nil"/>
              <w:left w:val="nil"/>
              <w:bottom w:val="nil"/>
              <w:right w:val="nil"/>
            </w:tcBorders>
            <w:shd w:val="clear" w:color="auto" w:fill="auto"/>
            <w:hideMark/>
          </w:tcPr>
          <w:p w14:paraId="46435F8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туризма</w:t>
            </w:r>
          </w:p>
        </w:tc>
        <w:tc>
          <w:tcPr>
            <w:tcW w:w="1660" w:type="dxa"/>
            <w:tcBorders>
              <w:top w:val="nil"/>
              <w:left w:val="nil"/>
              <w:bottom w:val="nil"/>
              <w:right w:val="nil"/>
            </w:tcBorders>
            <w:shd w:val="clear" w:color="auto" w:fill="auto"/>
            <w:noWrap/>
            <w:hideMark/>
          </w:tcPr>
          <w:p w14:paraId="21B4E5B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14 462,4</w:t>
            </w:r>
          </w:p>
        </w:tc>
        <w:tc>
          <w:tcPr>
            <w:tcW w:w="1700" w:type="dxa"/>
            <w:tcBorders>
              <w:top w:val="nil"/>
              <w:left w:val="nil"/>
              <w:bottom w:val="nil"/>
              <w:right w:val="nil"/>
            </w:tcBorders>
            <w:shd w:val="clear" w:color="auto" w:fill="auto"/>
            <w:noWrap/>
            <w:hideMark/>
          </w:tcPr>
          <w:p w14:paraId="33DE246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13 524,3</w:t>
            </w:r>
          </w:p>
        </w:tc>
        <w:tc>
          <w:tcPr>
            <w:tcW w:w="1700" w:type="dxa"/>
            <w:tcBorders>
              <w:top w:val="nil"/>
              <w:left w:val="nil"/>
              <w:bottom w:val="nil"/>
              <w:right w:val="nil"/>
            </w:tcBorders>
            <w:shd w:val="clear" w:color="auto" w:fill="auto"/>
            <w:noWrap/>
            <w:hideMark/>
          </w:tcPr>
          <w:p w14:paraId="6C276BB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13 287,7</w:t>
            </w:r>
          </w:p>
        </w:tc>
      </w:tr>
      <w:tr w:rsidR="00761800" w:rsidRPr="00761800" w14:paraId="7129D2E2" w14:textId="77777777" w:rsidTr="00406B4D">
        <w:trPr>
          <w:trHeight w:val="255"/>
        </w:trPr>
        <w:tc>
          <w:tcPr>
            <w:tcW w:w="500" w:type="dxa"/>
            <w:tcBorders>
              <w:top w:val="nil"/>
              <w:left w:val="nil"/>
              <w:bottom w:val="nil"/>
              <w:right w:val="nil"/>
            </w:tcBorders>
            <w:shd w:val="clear" w:color="auto" w:fill="auto"/>
            <w:noWrap/>
            <w:hideMark/>
          </w:tcPr>
          <w:p w14:paraId="51EA54A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19</w:t>
            </w:r>
          </w:p>
        </w:tc>
        <w:tc>
          <w:tcPr>
            <w:tcW w:w="9340" w:type="dxa"/>
            <w:tcBorders>
              <w:top w:val="nil"/>
              <w:left w:val="nil"/>
              <w:bottom w:val="nil"/>
              <w:right w:val="nil"/>
            </w:tcBorders>
            <w:shd w:val="clear" w:color="auto" w:fill="auto"/>
            <w:hideMark/>
          </w:tcPr>
          <w:p w14:paraId="25BEF4E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регионалното развитие и благоустройството</w:t>
            </w:r>
          </w:p>
        </w:tc>
        <w:tc>
          <w:tcPr>
            <w:tcW w:w="1660" w:type="dxa"/>
            <w:tcBorders>
              <w:top w:val="nil"/>
              <w:left w:val="nil"/>
              <w:bottom w:val="nil"/>
              <w:right w:val="nil"/>
            </w:tcBorders>
            <w:shd w:val="clear" w:color="auto" w:fill="auto"/>
            <w:noWrap/>
            <w:hideMark/>
          </w:tcPr>
          <w:p w14:paraId="29C5C7B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1 058 603,6</w:t>
            </w:r>
          </w:p>
        </w:tc>
        <w:tc>
          <w:tcPr>
            <w:tcW w:w="1700" w:type="dxa"/>
            <w:tcBorders>
              <w:top w:val="nil"/>
              <w:left w:val="nil"/>
              <w:bottom w:val="nil"/>
              <w:right w:val="nil"/>
            </w:tcBorders>
            <w:shd w:val="clear" w:color="auto" w:fill="auto"/>
            <w:noWrap/>
            <w:hideMark/>
          </w:tcPr>
          <w:p w14:paraId="238A844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1 099 232,3</w:t>
            </w:r>
          </w:p>
        </w:tc>
        <w:tc>
          <w:tcPr>
            <w:tcW w:w="1700" w:type="dxa"/>
            <w:tcBorders>
              <w:top w:val="nil"/>
              <w:left w:val="nil"/>
              <w:bottom w:val="nil"/>
              <w:right w:val="nil"/>
            </w:tcBorders>
            <w:shd w:val="clear" w:color="auto" w:fill="auto"/>
            <w:noWrap/>
            <w:hideMark/>
          </w:tcPr>
          <w:p w14:paraId="140078E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1 099 232,3</w:t>
            </w:r>
          </w:p>
        </w:tc>
      </w:tr>
      <w:tr w:rsidR="00761800" w:rsidRPr="00761800" w14:paraId="49C20C90" w14:textId="77777777" w:rsidTr="00406B4D">
        <w:trPr>
          <w:trHeight w:val="285"/>
        </w:trPr>
        <w:tc>
          <w:tcPr>
            <w:tcW w:w="500" w:type="dxa"/>
            <w:tcBorders>
              <w:top w:val="nil"/>
              <w:left w:val="nil"/>
              <w:bottom w:val="nil"/>
              <w:right w:val="nil"/>
            </w:tcBorders>
            <w:shd w:val="clear" w:color="auto" w:fill="auto"/>
            <w:noWrap/>
            <w:hideMark/>
          </w:tcPr>
          <w:p w14:paraId="6C8C1A1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20</w:t>
            </w:r>
          </w:p>
        </w:tc>
        <w:tc>
          <w:tcPr>
            <w:tcW w:w="9340" w:type="dxa"/>
            <w:tcBorders>
              <w:top w:val="nil"/>
              <w:left w:val="nil"/>
              <w:bottom w:val="nil"/>
              <w:right w:val="nil"/>
            </w:tcBorders>
            <w:shd w:val="clear" w:color="auto" w:fill="auto"/>
            <w:hideMark/>
          </w:tcPr>
          <w:p w14:paraId="55D0E2A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земеделието и храните</w:t>
            </w:r>
          </w:p>
        </w:tc>
        <w:tc>
          <w:tcPr>
            <w:tcW w:w="1660" w:type="dxa"/>
            <w:tcBorders>
              <w:top w:val="nil"/>
              <w:left w:val="nil"/>
              <w:bottom w:val="nil"/>
              <w:right w:val="nil"/>
            </w:tcBorders>
            <w:shd w:val="clear" w:color="auto" w:fill="auto"/>
            <w:noWrap/>
            <w:hideMark/>
          </w:tcPr>
          <w:p w14:paraId="499410D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200 331,6</w:t>
            </w:r>
          </w:p>
        </w:tc>
        <w:tc>
          <w:tcPr>
            <w:tcW w:w="1700" w:type="dxa"/>
            <w:tcBorders>
              <w:top w:val="nil"/>
              <w:left w:val="nil"/>
              <w:bottom w:val="nil"/>
              <w:right w:val="nil"/>
            </w:tcBorders>
            <w:shd w:val="clear" w:color="auto" w:fill="auto"/>
            <w:noWrap/>
            <w:hideMark/>
          </w:tcPr>
          <w:p w14:paraId="5056B85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186 170,6</w:t>
            </w:r>
          </w:p>
        </w:tc>
        <w:tc>
          <w:tcPr>
            <w:tcW w:w="1700" w:type="dxa"/>
            <w:tcBorders>
              <w:top w:val="nil"/>
              <w:left w:val="nil"/>
              <w:bottom w:val="nil"/>
              <w:right w:val="nil"/>
            </w:tcBorders>
            <w:shd w:val="clear" w:color="auto" w:fill="auto"/>
            <w:noWrap/>
            <w:hideMark/>
          </w:tcPr>
          <w:p w14:paraId="29EB7A5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186 170,6</w:t>
            </w:r>
          </w:p>
        </w:tc>
      </w:tr>
      <w:tr w:rsidR="00761800" w:rsidRPr="00761800" w14:paraId="4D0EDBD3" w14:textId="77777777" w:rsidTr="00406B4D">
        <w:trPr>
          <w:trHeight w:val="255"/>
        </w:trPr>
        <w:tc>
          <w:tcPr>
            <w:tcW w:w="500" w:type="dxa"/>
            <w:tcBorders>
              <w:top w:val="nil"/>
              <w:left w:val="nil"/>
              <w:bottom w:val="nil"/>
              <w:right w:val="nil"/>
            </w:tcBorders>
            <w:shd w:val="clear" w:color="auto" w:fill="auto"/>
            <w:noWrap/>
            <w:hideMark/>
          </w:tcPr>
          <w:p w14:paraId="3468D4C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21</w:t>
            </w:r>
          </w:p>
        </w:tc>
        <w:tc>
          <w:tcPr>
            <w:tcW w:w="9340" w:type="dxa"/>
            <w:tcBorders>
              <w:top w:val="nil"/>
              <w:left w:val="nil"/>
              <w:bottom w:val="nil"/>
              <w:right w:val="nil"/>
            </w:tcBorders>
            <w:shd w:val="clear" w:color="auto" w:fill="auto"/>
            <w:hideMark/>
          </w:tcPr>
          <w:p w14:paraId="34B8397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транспорта и съобщенията</w:t>
            </w:r>
          </w:p>
        </w:tc>
        <w:tc>
          <w:tcPr>
            <w:tcW w:w="1660" w:type="dxa"/>
            <w:tcBorders>
              <w:top w:val="nil"/>
              <w:left w:val="nil"/>
              <w:bottom w:val="nil"/>
              <w:right w:val="nil"/>
            </w:tcBorders>
            <w:shd w:val="clear" w:color="auto" w:fill="auto"/>
            <w:noWrap/>
            <w:hideMark/>
          </w:tcPr>
          <w:p w14:paraId="1A81CCF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571 711,9</w:t>
            </w:r>
          </w:p>
        </w:tc>
        <w:tc>
          <w:tcPr>
            <w:tcW w:w="1700" w:type="dxa"/>
            <w:tcBorders>
              <w:top w:val="nil"/>
              <w:left w:val="nil"/>
              <w:bottom w:val="nil"/>
              <w:right w:val="nil"/>
            </w:tcBorders>
            <w:shd w:val="clear" w:color="auto" w:fill="auto"/>
            <w:noWrap/>
            <w:hideMark/>
          </w:tcPr>
          <w:p w14:paraId="00A1232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538 110,3</w:t>
            </w:r>
          </w:p>
        </w:tc>
        <w:tc>
          <w:tcPr>
            <w:tcW w:w="1700" w:type="dxa"/>
            <w:tcBorders>
              <w:top w:val="nil"/>
              <w:left w:val="nil"/>
              <w:bottom w:val="nil"/>
              <w:right w:val="nil"/>
            </w:tcBorders>
            <w:shd w:val="clear" w:color="auto" w:fill="auto"/>
            <w:noWrap/>
            <w:hideMark/>
          </w:tcPr>
          <w:p w14:paraId="40CE7FE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537 851,4</w:t>
            </w:r>
          </w:p>
        </w:tc>
      </w:tr>
      <w:tr w:rsidR="00761800" w:rsidRPr="00761800" w14:paraId="0AADEB83" w14:textId="77777777" w:rsidTr="00406B4D">
        <w:trPr>
          <w:trHeight w:val="285"/>
        </w:trPr>
        <w:tc>
          <w:tcPr>
            <w:tcW w:w="500" w:type="dxa"/>
            <w:tcBorders>
              <w:top w:val="nil"/>
              <w:left w:val="nil"/>
              <w:bottom w:val="nil"/>
              <w:right w:val="nil"/>
            </w:tcBorders>
            <w:shd w:val="clear" w:color="auto" w:fill="auto"/>
            <w:noWrap/>
            <w:hideMark/>
          </w:tcPr>
          <w:p w14:paraId="4E14177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22</w:t>
            </w:r>
          </w:p>
        </w:tc>
        <w:tc>
          <w:tcPr>
            <w:tcW w:w="9340" w:type="dxa"/>
            <w:tcBorders>
              <w:top w:val="nil"/>
              <w:left w:val="nil"/>
              <w:bottom w:val="nil"/>
              <w:right w:val="nil"/>
            </w:tcBorders>
            <w:shd w:val="clear" w:color="auto" w:fill="auto"/>
            <w:hideMark/>
          </w:tcPr>
          <w:p w14:paraId="73D482E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Министерство на младежта и спорта</w:t>
            </w:r>
          </w:p>
        </w:tc>
        <w:tc>
          <w:tcPr>
            <w:tcW w:w="1660" w:type="dxa"/>
            <w:tcBorders>
              <w:top w:val="nil"/>
              <w:left w:val="nil"/>
              <w:bottom w:val="nil"/>
              <w:right w:val="nil"/>
            </w:tcBorders>
            <w:shd w:val="clear" w:color="auto" w:fill="auto"/>
            <w:noWrap/>
            <w:hideMark/>
          </w:tcPr>
          <w:p w14:paraId="3AAE8F8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89 706,6</w:t>
            </w:r>
          </w:p>
        </w:tc>
        <w:tc>
          <w:tcPr>
            <w:tcW w:w="1700" w:type="dxa"/>
            <w:tcBorders>
              <w:top w:val="nil"/>
              <w:left w:val="nil"/>
              <w:bottom w:val="nil"/>
              <w:right w:val="nil"/>
            </w:tcBorders>
            <w:shd w:val="clear" w:color="auto" w:fill="auto"/>
            <w:noWrap/>
            <w:hideMark/>
          </w:tcPr>
          <w:p w14:paraId="55C48C6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89 344,1</w:t>
            </w:r>
          </w:p>
        </w:tc>
        <w:tc>
          <w:tcPr>
            <w:tcW w:w="1700" w:type="dxa"/>
            <w:tcBorders>
              <w:top w:val="nil"/>
              <w:left w:val="nil"/>
              <w:bottom w:val="nil"/>
              <w:right w:val="nil"/>
            </w:tcBorders>
            <w:shd w:val="clear" w:color="auto" w:fill="auto"/>
            <w:noWrap/>
            <w:hideMark/>
          </w:tcPr>
          <w:p w14:paraId="704B0FE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89 344,1</w:t>
            </w:r>
          </w:p>
        </w:tc>
      </w:tr>
      <w:tr w:rsidR="00761800" w:rsidRPr="00761800" w14:paraId="2B8C59A5" w14:textId="77777777" w:rsidTr="00406B4D">
        <w:trPr>
          <w:trHeight w:val="315"/>
        </w:trPr>
        <w:tc>
          <w:tcPr>
            <w:tcW w:w="500" w:type="dxa"/>
            <w:tcBorders>
              <w:top w:val="nil"/>
              <w:left w:val="nil"/>
              <w:bottom w:val="nil"/>
              <w:right w:val="nil"/>
            </w:tcBorders>
            <w:shd w:val="clear" w:color="auto" w:fill="auto"/>
            <w:noWrap/>
            <w:hideMark/>
          </w:tcPr>
          <w:p w14:paraId="4D30A4E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23</w:t>
            </w:r>
          </w:p>
        </w:tc>
        <w:tc>
          <w:tcPr>
            <w:tcW w:w="9340" w:type="dxa"/>
            <w:tcBorders>
              <w:top w:val="nil"/>
              <w:left w:val="nil"/>
              <w:bottom w:val="nil"/>
              <w:right w:val="nil"/>
            </w:tcBorders>
            <w:shd w:val="clear" w:color="auto" w:fill="auto"/>
            <w:hideMark/>
          </w:tcPr>
          <w:p w14:paraId="5E341BF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агенция „Национална сигурност“</w:t>
            </w:r>
          </w:p>
        </w:tc>
        <w:tc>
          <w:tcPr>
            <w:tcW w:w="1660" w:type="dxa"/>
            <w:tcBorders>
              <w:top w:val="nil"/>
              <w:left w:val="nil"/>
              <w:bottom w:val="nil"/>
              <w:right w:val="nil"/>
            </w:tcBorders>
            <w:shd w:val="clear" w:color="auto" w:fill="auto"/>
            <w:noWrap/>
            <w:hideMark/>
          </w:tcPr>
          <w:p w14:paraId="1021ED5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142 580,1</w:t>
            </w:r>
          </w:p>
        </w:tc>
        <w:tc>
          <w:tcPr>
            <w:tcW w:w="1700" w:type="dxa"/>
            <w:tcBorders>
              <w:top w:val="nil"/>
              <w:left w:val="nil"/>
              <w:bottom w:val="nil"/>
              <w:right w:val="nil"/>
            </w:tcBorders>
            <w:shd w:val="clear" w:color="auto" w:fill="auto"/>
            <w:noWrap/>
            <w:hideMark/>
          </w:tcPr>
          <w:p w14:paraId="0099BEF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140 731,4</w:t>
            </w:r>
          </w:p>
        </w:tc>
        <w:tc>
          <w:tcPr>
            <w:tcW w:w="1700" w:type="dxa"/>
            <w:tcBorders>
              <w:top w:val="nil"/>
              <w:left w:val="nil"/>
              <w:bottom w:val="nil"/>
              <w:right w:val="nil"/>
            </w:tcBorders>
            <w:shd w:val="clear" w:color="auto" w:fill="auto"/>
            <w:noWrap/>
            <w:hideMark/>
          </w:tcPr>
          <w:p w14:paraId="2540370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140 625,5</w:t>
            </w:r>
          </w:p>
        </w:tc>
      </w:tr>
      <w:tr w:rsidR="00761800" w:rsidRPr="00761800" w14:paraId="144958C3" w14:textId="77777777" w:rsidTr="00406B4D">
        <w:trPr>
          <w:trHeight w:val="510"/>
        </w:trPr>
        <w:tc>
          <w:tcPr>
            <w:tcW w:w="500" w:type="dxa"/>
            <w:tcBorders>
              <w:top w:val="nil"/>
              <w:left w:val="nil"/>
              <w:bottom w:val="nil"/>
              <w:right w:val="nil"/>
            </w:tcBorders>
            <w:shd w:val="clear" w:color="auto" w:fill="auto"/>
            <w:noWrap/>
            <w:hideMark/>
          </w:tcPr>
          <w:p w14:paraId="4257DA3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24</w:t>
            </w:r>
          </w:p>
        </w:tc>
        <w:tc>
          <w:tcPr>
            <w:tcW w:w="9340" w:type="dxa"/>
            <w:tcBorders>
              <w:top w:val="nil"/>
              <w:left w:val="nil"/>
              <w:bottom w:val="nil"/>
              <w:right w:val="nil"/>
            </w:tcBorders>
            <w:shd w:val="clear" w:color="auto" w:fill="auto"/>
            <w:hideMark/>
          </w:tcPr>
          <w:p w14:paraId="3F5AFB7B"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Комисия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w:t>
            </w:r>
          </w:p>
        </w:tc>
        <w:tc>
          <w:tcPr>
            <w:tcW w:w="1660" w:type="dxa"/>
            <w:tcBorders>
              <w:top w:val="nil"/>
              <w:left w:val="nil"/>
              <w:bottom w:val="nil"/>
              <w:right w:val="nil"/>
            </w:tcBorders>
            <w:shd w:val="clear" w:color="auto" w:fill="auto"/>
            <w:noWrap/>
            <w:hideMark/>
          </w:tcPr>
          <w:p w14:paraId="206E862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2 849,7</w:t>
            </w:r>
          </w:p>
        </w:tc>
        <w:tc>
          <w:tcPr>
            <w:tcW w:w="1700" w:type="dxa"/>
            <w:tcBorders>
              <w:top w:val="nil"/>
              <w:left w:val="nil"/>
              <w:bottom w:val="nil"/>
              <w:right w:val="nil"/>
            </w:tcBorders>
            <w:shd w:val="clear" w:color="auto" w:fill="auto"/>
            <w:noWrap/>
            <w:hideMark/>
          </w:tcPr>
          <w:p w14:paraId="4B1CA82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2 753,7</w:t>
            </w:r>
          </w:p>
        </w:tc>
        <w:tc>
          <w:tcPr>
            <w:tcW w:w="1700" w:type="dxa"/>
            <w:tcBorders>
              <w:top w:val="nil"/>
              <w:left w:val="nil"/>
              <w:bottom w:val="nil"/>
              <w:right w:val="nil"/>
            </w:tcBorders>
            <w:shd w:val="clear" w:color="auto" w:fill="auto"/>
            <w:noWrap/>
            <w:hideMark/>
          </w:tcPr>
          <w:p w14:paraId="256AFBC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2 753,7</w:t>
            </w:r>
          </w:p>
        </w:tc>
      </w:tr>
      <w:tr w:rsidR="00761800" w:rsidRPr="00761800" w14:paraId="08B501F7" w14:textId="77777777" w:rsidTr="00406B4D">
        <w:trPr>
          <w:trHeight w:val="255"/>
        </w:trPr>
        <w:tc>
          <w:tcPr>
            <w:tcW w:w="500" w:type="dxa"/>
            <w:tcBorders>
              <w:top w:val="nil"/>
              <w:left w:val="nil"/>
              <w:bottom w:val="nil"/>
              <w:right w:val="nil"/>
            </w:tcBorders>
            <w:shd w:val="clear" w:color="auto" w:fill="auto"/>
            <w:noWrap/>
            <w:hideMark/>
          </w:tcPr>
          <w:p w14:paraId="5CDEDA0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25</w:t>
            </w:r>
          </w:p>
        </w:tc>
        <w:tc>
          <w:tcPr>
            <w:tcW w:w="9340" w:type="dxa"/>
            <w:tcBorders>
              <w:top w:val="nil"/>
              <w:left w:val="nil"/>
              <w:bottom w:val="nil"/>
              <w:right w:val="nil"/>
            </w:tcBorders>
            <w:shd w:val="clear" w:color="auto" w:fill="auto"/>
            <w:hideMark/>
          </w:tcPr>
          <w:p w14:paraId="6C5FFAD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Комисия за защита от дискриминация</w:t>
            </w:r>
          </w:p>
        </w:tc>
        <w:tc>
          <w:tcPr>
            <w:tcW w:w="1660" w:type="dxa"/>
            <w:tcBorders>
              <w:top w:val="nil"/>
              <w:left w:val="nil"/>
              <w:bottom w:val="nil"/>
              <w:right w:val="nil"/>
            </w:tcBorders>
            <w:shd w:val="clear" w:color="auto" w:fill="auto"/>
            <w:noWrap/>
            <w:hideMark/>
          </w:tcPr>
          <w:p w14:paraId="3925F27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2 349,7</w:t>
            </w:r>
          </w:p>
        </w:tc>
        <w:tc>
          <w:tcPr>
            <w:tcW w:w="1700" w:type="dxa"/>
            <w:tcBorders>
              <w:top w:val="nil"/>
              <w:left w:val="nil"/>
              <w:bottom w:val="nil"/>
              <w:right w:val="nil"/>
            </w:tcBorders>
            <w:shd w:val="clear" w:color="auto" w:fill="auto"/>
            <w:noWrap/>
            <w:hideMark/>
          </w:tcPr>
          <w:p w14:paraId="7FD30D6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2 301,0</w:t>
            </w:r>
          </w:p>
        </w:tc>
        <w:tc>
          <w:tcPr>
            <w:tcW w:w="1700" w:type="dxa"/>
            <w:tcBorders>
              <w:top w:val="nil"/>
              <w:left w:val="nil"/>
              <w:bottom w:val="nil"/>
              <w:right w:val="nil"/>
            </w:tcBorders>
            <w:shd w:val="clear" w:color="auto" w:fill="auto"/>
            <w:noWrap/>
            <w:hideMark/>
          </w:tcPr>
          <w:p w14:paraId="5EB60A4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2 301,0</w:t>
            </w:r>
          </w:p>
        </w:tc>
      </w:tr>
      <w:tr w:rsidR="00761800" w:rsidRPr="00761800" w14:paraId="524781E6" w14:textId="77777777" w:rsidTr="00406B4D">
        <w:trPr>
          <w:trHeight w:val="255"/>
        </w:trPr>
        <w:tc>
          <w:tcPr>
            <w:tcW w:w="500" w:type="dxa"/>
            <w:tcBorders>
              <w:top w:val="nil"/>
              <w:left w:val="nil"/>
              <w:bottom w:val="nil"/>
              <w:right w:val="nil"/>
            </w:tcBorders>
            <w:shd w:val="clear" w:color="auto" w:fill="auto"/>
            <w:noWrap/>
            <w:hideMark/>
          </w:tcPr>
          <w:p w14:paraId="23190EB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26</w:t>
            </w:r>
          </w:p>
        </w:tc>
        <w:tc>
          <w:tcPr>
            <w:tcW w:w="9340" w:type="dxa"/>
            <w:tcBorders>
              <w:top w:val="nil"/>
              <w:left w:val="nil"/>
              <w:bottom w:val="nil"/>
              <w:right w:val="nil"/>
            </w:tcBorders>
            <w:shd w:val="clear" w:color="auto" w:fill="auto"/>
            <w:hideMark/>
          </w:tcPr>
          <w:p w14:paraId="1357305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Комисия за защита на личните данни</w:t>
            </w:r>
          </w:p>
        </w:tc>
        <w:tc>
          <w:tcPr>
            <w:tcW w:w="1660" w:type="dxa"/>
            <w:tcBorders>
              <w:top w:val="nil"/>
              <w:left w:val="nil"/>
              <w:bottom w:val="nil"/>
              <w:right w:val="nil"/>
            </w:tcBorders>
            <w:shd w:val="clear" w:color="auto" w:fill="auto"/>
            <w:noWrap/>
            <w:hideMark/>
          </w:tcPr>
          <w:p w14:paraId="12E7597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3 346,0</w:t>
            </w:r>
          </w:p>
        </w:tc>
        <w:tc>
          <w:tcPr>
            <w:tcW w:w="1700" w:type="dxa"/>
            <w:tcBorders>
              <w:top w:val="nil"/>
              <w:left w:val="nil"/>
              <w:bottom w:val="nil"/>
              <w:right w:val="nil"/>
            </w:tcBorders>
            <w:shd w:val="clear" w:color="auto" w:fill="auto"/>
            <w:noWrap/>
            <w:hideMark/>
          </w:tcPr>
          <w:p w14:paraId="506029D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3 373,0</w:t>
            </w:r>
          </w:p>
        </w:tc>
        <w:tc>
          <w:tcPr>
            <w:tcW w:w="1700" w:type="dxa"/>
            <w:tcBorders>
              <w:top w:val="nil"/>
              <w:left w:val="nil"/>
              <w:bottom w:val="nil"/>
              <w:right w:val="nil"/>
            </w:tcBorders>
            <w:shd w:val="clear" w:color="auto" w:fill="auto"/>
            <w:noWrap/>
            <w:hideMark/>
          </w:tcPr>
          <w:p w14:paraId="1431B70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3 373,0</w:t>
            </w:r>
          </w:p>
        </w:tc>
      </w:tr>
      <w:tr w:rsidR="00761800" w:rsidRPr="00761800" w14:paraId="0D02EDDB" w14:textId="77777777" w:rsidTr="00406B4D">
        <w:trPr>
          <w:trHeight w:val="255"/>
        </w:trPr>
        <w:tc>
          <w:tcPr>
            <w:tcW w:w="500" w:type="dxa"/>
            <w:tcBorders>
              <w:top w:val="nil"/>
              <w:left w:val="nil"/>
              <w:bottom w:val="nil"/>
              <w:right w:val="nil"/>
            </w:tcBorders>
            <w:shd w:val="clear" w:color="auto" w:fill="auto"/>
            <w:noWrap/>
            <w:hideMark/>
          </w:tcPr>
          <w:p w14:paraId="1C4F462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27</w:t>
            </w:r>
          </w:p>
        </w:tc>
        <w:tc>
          <w:tcPr>
            <w:tcW w:w="9340" w:type="dxa"/>
            <w:tcBorders>
              <w:top w:val="nil"/>
              <w:left w:val="nil"/>
              <w:bottom w:val="nil"/>
              <w:right w:val="nil"/>
            </w:tcBorders>
            <w:shd w:val="clear" w:color="auto" w:fill="auto"/>
            <w:hideMark/>
          </w:tcPr>
          <w:p w14:paraId="2842E15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Комисия за отнемане на незаконно придобитото имущество</w:t>
            </w:r>
          </w:p>
        </w:tc>
        <w:tc>
          <w:tcPr>
            <w:tcW w:w="1660" w:type="dxa"/>
            <w:tcBorders>
              <w:top w:val="nil"/>
              <w:left w:val="nil"/>
              <w:bottom w:val="nil"/>
              <w:right w:val="nil"/>
            </w:tcBorders>
            <w:shd w:val="clear" w:color="auto" w:fill="auto"/>
            <w:noWrap/>
            <w:hideMark/>
          </w:tcPr>
          <w:p w14:paraId="28CCAA8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7 865,8</w:t>
            </w:r>
          </w:p>
        </w:tc>
        <w:tc>
          <w:tcPr>
            <w:tcW w:w="1700" w:type="dxa"/>
            <w:tcBorders>
              <w:top w:val="nil"/>
              <w:left w:val="nil"/>
              <w:bottom w:val="nil"/>
              <w:right w:val="nil"/>
            </w:tcBorders>
            <w:shd w:val="clear" w:color="auto" w:fill="auto"/>
            <w:noWrap/>
            <w:hideMark/>
          </w:tcPr>
          <w:p w14:paraId="4EB65BD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7 417,2</w:t>
            </w:r>
          </w:p>
        </w:tc>
        <w:tc>
          <w:tcPr>
            <w:tcW w:w="1700" w:type="dxa"/>
            <w:tcBorders>
              <w:top w:val="nil"/>
              <w:left w:val="nil"/>
              <w:bottom w:val="nil"/>
              <w:right w:val="nil"/>
            </w:tcBorders>
            <w:shd w:val="clear" w:color="auto" w:fill="auto"/>
            <w:noWrap/>
            <w:hideMark/>
          </w:tcPr>
          <w:p w14:paraId="44EE822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7 417,2</w:t>
            </w:r>
          </w:p>
        </w:tc>
      </w:tr>
      <w:tr w:rsidR="00761800" w:rsidRPr="00761800" w14:paraId="030EA887" w14:textId="77777777" w:rsidTr="00406B4D">
        <w:trPr>
          <w:trHeight w:val="255"/>
        </w:trPr>
        <w:tc>
          <w:tcPr>
            <w:tcW w:w="500" w:type="dxa"/>
            <w:tcBorders>
              <w:top w:val="nil"/>
              <w:left w:val="nil"/>
              <w:bottom w:val="nil"/>
              <w:right w:val="nil"/>
            </w:tcBorders>
            <w:shd w:val="clear" w:color="auto" w:fill="auto"/>
            <w:noWrap/>
            <w:hideMark/>
          </w:tcPr>
          <w:p w14:paraId="446B911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28</w:t>
            </w:r>
          </w:p>
        </w:tc>
        <w:tc>
          <w:tcPr>
            <w:tcW w:w="9340" w:type="dxa"/>
            <w:tcBorders>
              <w:top w:val="nil"/>
              <w:left w:val="nil"/>
              <w:bottom w:val="nil"/>
              <w:right w:val="nil"/>
            </w:tcBorders>
            <w:shd w:val="clear" w:color="auto" w:fill="auto"/>
            <w:hideMark/>
          </w:tcPr>
          <w:p w14:paraId="6DA9475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Национална служба за охрана</w:t>
            </w:r>
          </w:p>
        </w:tc>
        <w:tc>
          <w:tcPr>
            <w:tcW w:w="1660" w:type="dxa"/>
            <w:tcBorders>
              <w:top w:val="nil"/>
              <w:left w:val="nil"/>
              <w:bottom w:val="nil"/>
              <w:right w:val="nil"/>
            </w:tcBorders>
            <w:shd w:val="clear" w:color="auto" w:fill="auto"/>
            <w:noWrap/>
            <w:hideMark/>
          </w:tcPr>
          <w:p w14:paraId="1221B7D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48 891,0</w:t>
            </w:r>
          </w:p>
        </w:tc>
        <w:tc>
          <w:tcPr>
            <w:tcW w:w="1700" w:type="dxa"/>
            <w:tcBorders>
              <w:top w:val="nil"/>
              <w:left w:val="nil"/>
              <w:bottom w:val="nil"/>
              <w:right w:val="nil"/>
            </w:tcBorders>
            <w:shd w:val="clear" w:color="auto" w:fill="auto"/>
            <w:noWrap/>
            <w:hideMark/>
          </w:tcPr>
          <w:p w14:paraId="329726B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49 422,9</w:t>
            </w:r>
          </w:p>
        </w:tc>
        <w:tc>
          <w:tcPr>
            <w:tcW w:w="1700" w:type="dxa"/>
            <w:tcBorders>
              <w:top w:val="nil"/>
              <w:left w:val="nil"/>
              <w:bottom w:val="nil"/>
              <w:right w:val="nil"/>
            </w:tcBorders>
            <w:shd w:val="clear" w:color="auto" w:fill="auto"/>
            <w:noWrap/>
            <w:hideMark/>
          </w:tcPr>
          <w:p w14:paraId="6BB4683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49 422,9</w:t>
            </w:r>
          </w:p>
        </w:tc>
      </w:tr>
      <w:tr w:rsidR="00761800" w:rsidRPr="00761800" w14:paraId="195402EC" w14:textId="77777777" w:rsidTr="00406B4D">
        <w:trPr>
          <w:trHeight w:val="255"/>
        </w:trPr>
        <w:tc>
          <w:tcPr>
            <w:tcW w:w="500" w:type="dxa"/>
            <w:tcBorders>
              <w:top w:val="nil"/>
              <w:left w:val="nil"/>
              <w:bottom w:val="nil"/>
              <w:right w:val="nil"/>
            </w:tcBorders>
            <w:shd w:val="clear" w:color="auto" w:fill="auto"/>
            <w:noWrap/>
            <w:hideMark/>
          </w:tcPr>
          <w:p w14:paraId="6463EC7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29</w:t>
            </w:r>
          </w:p>
        </w:tc>
        <w:tc>
          <w:tcPr>
            <w:tcW w:w="9340" w:type="dxa"/>
            <w:tcBorders>
              <w:top w:val="nil"/>
              <w:left w:val="nil"/>
              <w:bottom w:val="nil"/>
              <w:right w:val="nil"/>
            </w:tcBorders>
            <w:shd w:val="clear" w:color="auto" w:fill="auto"/>
            <w:hideMark/>
          </w:tcPr>
          <w:p w14:paraId="6873EF5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агенция „Разузнаване“</w:t>
            </w:r>
          </w:p>
        </w:tc>
        <w:tc>
          <w:tcPr>
            <w:tcW w:w="1660" w:type="dxa"/>
            <w:tcBorders>
              <w:top w:val="nil"/>
              <w:left w:val="nil"/>
              <w:bottom w:val="nil"/>
              <w:right w:val="nil"/>
            </w:tcBorders>
            <w:shd w:val="clear" w:color="auto" w:fill="auto"/>
            <w:noWrap/>
            <w:hideMark/>
          </w:tcPr>
          <w:p w14:paraId="42B0F5F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35 889,5</w:t>
            </w:r>
          </w:p>
        </w:tc>
        <w:tc>
          <w:tcPr>
            <w:tcW w:w="1700" w:type="dxa"/>
            <w:tcBorders>
              <w:top w:val="nil"/>
              <w:left w:val="nil"/>
              <w:bottom w:val="nil"/>
              <w:right w:val="nil"/>
            </w:tcBorders>
            <w:shd w:val="clear" w:color="auto" w:fill="auto"/>
            <w:noWrap/>
            <w:hideMark/>
          </w:tcPr>
          <w:p w14:paraId="19D8715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35 652,9</w:t>
            </w:r>
          </w:p>
        </w:tc>
        <w:tc>
          <w:tcPr>
            <w:tcW w:w="1700" w:type="dxa"/>
            <w:tcBorders>
              <w:top w:val="nil"/>
              <w:left w:val="nil"/>
              <w:bottom w:val="nil"/>
              <w:right w:val="nil"/>
            </w:tcBorders>
            <w:shd w:val="clear" w:color="auto" w:fill="auto"/>
            <w:noWrap/>
            <w:hideMark/>
          </w:tcPr>
          <w:p w14:paraId="1F80554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35 638,2</w:t>
            </w:r>
          </w:p>
        </w:tc>
      </w:tr>
      <w:tr w:rsidR="00761800" w:rsidRPr="00761800" w14:paraId="78E72902" w14:textId="77777777" w:rsidTr="00406B4D">
        <w:trPr>
          <w:trHeight w:val="255"/>
        </w:trPr>
        <w:tc>
          <w:tcPr>
            <w:tcW w:w="500" w:type="dxa"/>
            <w:tcBorders>
              <w:top w:val="nil"/>
              <w:left w:val="nil"/>
              <w:bottom w:val="nil"/>
              <w:right w:val="nil"/>
            </w:tcBorders>
            <w:shd w:val="clear" w:color="auto" w:fill="auto"/>
            <w:noWrap/>
            <w:hideMark/>
          </w:tcPr>
          <w:p w14:paraId="4700DCD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30</w:t>
            </w:r>
          </w:p>
        </w:tc>
        <w:tc>
          <w:tcPr>
            <w:tcW w:w="9340" w:type="dxa"/>
            <w:tcBorders>
              <w:top w:val="nil"/>
              <w:left w:val="nil"/>
              <w:bottom w:val="nil"/>
              <w:right w:val="nil"/>
            </w:tcBorders>
            <w:shd w:val="clear" w:color="auto" w:fill="auto"/>
            <w:hideMark/>
          </w:tcPr>
          <w:p w14:paraId="072429E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Национален статистически институт</w:t>
            </w:r>
          </w:p>
        </w:tc>
        <w:tc>
          <w:tcPr>
            <w:tcW w:w="1660" w:type="dxa"/>
            <w:tcBorders>
              <w:top w:val="nil"/>
              <w:left w:val="nil"/>
              <w:bottom w:val="nil"/>
              <w:right w:val="nil"/>
            </w:tcBorders>
            <w:shd w:val="clear" w:color="auto" w:fill="auto"/>
            <w:noWrap/>
            <w:hideMark/>
          </w:tcPr>
          <w:p w14:paraId="11682C9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23 427,2</w:t>
            </w:r>
          </w:p>
        </w:tc>
        <w:tc>
          <w:tcPr>
            <w:tcW w:w="1700" w:type="dxa"/>
            <w:tcBorders>
              <w:top w:val="nil"/>
              <w:left w:val="nil"/>
              <w:bottom w:val="nil"/>
              <w:right w:val="nil"/>
            </w:tcBorders>
            <w:shd w:val="clear" w:color="auto" w:fill="auto"/>
            <w:noWrap/>
            <w:hideMark/>
          </w:tcPr>
          <w:p w14:paraId="6483034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22 591,4</w:t>
            </w:r>
          </w:p>
        </w:tc>
        <w:tc>
          <w:tcPr>
            <w:tcW w:w="1700" w:type="dxa"/>
            <w:tcBorders>
              <w:top w:val="nil"/>
              <w:left w:val="nil"/>
              <w:bottom w:val="nil"/>
              <w:right w:val="nil"/>
            </w:tcBorders>
            <w:shd w:val="clear" w:color="auto" w:fill="auto"/>
            <w:noWrap/>
            <w:hideMark/>
          </w:tcPr>
          <w:p w14:paraId="1122A38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22 591,4</w:t>
            </w:r>
          </w:p>
        </w:tc>
      </w:tr>
      <w:tr w:rsidR="00761800" w:rsidRPr="00761800" w14:paraId="53EA39B6" w14:textId="77777777" w:rsidTr="00406B4D">
        <w:trPr>
          <w:trHeight w:val="255"/>
        </w:trPr>
        <w:tc>
          <w:tcPr>
            <w:tcW w:w="500" w:type="dxa"/>
            <w:tcBorders>
              <w:top w:val="nil"/>
              <w:left w:val="nil"/>
              <w:bottom w:val="nil"/>
              <w:right w:val="nil"/>
            </w:tcBorders>
            <w:shd w:val="clear" w:color="auto" w:fill="auto"/>
            <w:noWrap/>
            <w:hideMark/>
          </w:tcPr>
          <w:p w14:paraId="571D24D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lastRenderedPageBreak/>
              <w:t>31</w:t>
            </w:r>
          </w:p>
        </w:tc>
        <w:tc>
          <w:tcPr>
            <w:tcW w:w="9340" w:type="dxa"/>
            <w:tcBorders>
              <w:top w:val="nil"/>
              <w:left w:val="nil"/>
              <w:bottom w:val="nil"/>
              <w:right w:val="nil"/>
            </w:tcBorders>
            <w:shd w:val="clear" w:color="auto" w:fill="auto"/>
            <w:hideMark/>
          </w:tcPr>
          <w:p w14:paraId="141A3FC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Комисия за защита на конкуренцията</w:t>
            </w:r>
          </w:p>
        </w:tc>
        <w:tc>
          <w:tcPr>
            <w:tcW w:w="1660" w:type="dxa"/>
            <w:tcBorders>
              <w:top w:val="nil"/>
              <w:left w:val="nil"/>
              <w:bottom w:val="nil"/>
              <w:right w:val="nil"/>
            </w:tcBorders>
            <w:shd w:val="clear" w:color="auto" w:fill="auto"/>
            <w:noWrap/>
            <w:hideMark/>
          </w:tcPr>
          <w:p w14:paraId="4E0D13E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4 725,7</w:t>
            </w:r>
          </w:p>
        </w:tc>
        <w:tc>
          <w:tcPr>
            <w:tcW w:w="1700" w:type="dxa"/>
            <w:tcBorders>
              <w:top w:val="nil"/>
              <w:left w:val="nil"/>
              <w:bottom w:val="nil"/>
              <w:right w:val="nil"/>
            </w:tcBorders>
            <w:shd w:val="clear" w:color="auto" w:fill="auto"/>
            <w:noWrap/>
            <w:hideMark/>
          </w:tcPr>
          <w:p w14:paraId="66C051C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4 905,1</w:t>
            </w:r>
          </w:p>
        </w:tc>
        <w:tc>
          <w:tcPr>
            <w:tcW w:w="1700" w:type="dxa"/>
            <w:tcBorders>
              <w:top w:val="nil"/>
              <w:left w:val="nil"/>
              <w:bottom w:val="nil"/>
              <w:right w:val="nil"/>
            </w:tcBorders>
            <w:shd w:val="clear" w:color="auto" w:fill="auto"/>
            <w:noWrap/>
            <w:hideMark/>
          </w:tcPr>
          <w:p w14:paraId="7B0D9A6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4 812,8</w:t>
            </w:r>
          </w:p>
        </w:tc>
      </w:tr>
      <w:tr w:rsidR="00761800" w:rsidRPr="00761800" w14:paraId="46B4C122" w14:textId="77777777" w:rsidTr="00406B4D">
        <w:trPr>
          <w:trHeight w:val="255"/>
        </w:trPr>
        <w:tc>
          <w:tcPr>
            <w:tcW w:w="500" w:type="dxa"/>
            <w:tcBorders>
              <w:top w:val="nil"/>
              <w:left w:val="nil"/>
              <w:bottom w:val="nil"/>
              <w:right w:val="nil"/>
            </w:tcBorders>
            <w:shd w:val="clear" w:color="auto" w:fill="auto"/>
            <w:noWrap/>
            <w:hideMark/>
          </w:tcPr>
          <w:p w14:paraId="5BB4ED8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32</w:t>
            </w:r>
          </w:p>
        </w:tc>
        <w:tc>
          <w:tcPr>
            <w:tcW w:w="9340" w:type="dxa"/>
            <w:tcBorders>
              <w:top w:val="nil"/>
              <w:left w:val="nil"/>
              <w:bottom w:val="nil"/>
              <w:right w:val="nil"/>
            </w:tcBorders>
            <w:shd w:val="clear" w:color="auto" w:fill="auto"/>
            <w:hideMark/>
          </w:tcPr>
          <w:p w14:paraId="4709624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Комисия за регулиране на съобщенията</w:t>
            </w:r>
          </w:p>
        </w:tc>
        <w:tc>
          <w:tcPr>
            <w:tcW w:w="1660" w:type="dxa"/>
            <w:tcBorders>
              <w:top w:val="nil"/>
              <w:left w:val="nil"/>
              <w:bottom w:val="nil"/>
              <w:right w:val="nil"/>
            </w:tcBorders>
            <w:shd w:val="clear" w:color="auto" w:fill="auto"/>
            <w:noWrap/>
            <w:hideMark/>
          </w:tcPr>
          <w:p w14:paraId="4E0B4E6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12 400,3</w:t>
            </w:r>
          </w:p>
        </w:tc>
        <w:tc>
          <w:tcPr>
            <w:tcW w:w="1700" w:type="dxa"/>
            <w:tcBorders>
              <w:top w:val="nil"/>
              <w:left w:val="nil"/>
              <w:bottom w:val="nil"/>
              <w:right w:val="nil"/>
            </w:tcBorders>
            <w:shd w:val="clear" w:color="auto" w:fill="auto"/>
            <w:noWrap/>
            <w:hideMark/>
          </w:tcPr>
          <w:p w14:paraId="22CA8EE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13 540,9</w:t>
            </w:r>
          </w:p>
        </w:tc>
        <w:tc>
          <w:tcPr>
            <w:tcW w:w="1700" w:type="dxa"/>
            <w:tcBorders>
              <w:top w:val="nil"/>
              <w:left w:val="nil"/>
              <w:bottom w:val="nil"/>
              <w:right w:val="nil"/>
            </w:tcBorders>
            <w:shd w:val="clear" w:color="auto" w:fill="auto"/>
            <w:noWrap/>
            <w:hideMark/>
          </w:tcPr>
          <w:p w14:paraId="4FD8AEB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13 540,9</w:t>
            </w:r>
          </w:p>
        </w:tc>
      </w:tr>
      <w:tr w:rsidR="00761800" w:rsidRPr="00761800" w14:paraId="0B58A9D4" w14:textId="77777777" w:rsidTr="00406B4D">
        <w:trPr>
          <w:trHeight w:val="255"/>
        </w:trPr>
        <w:tc>
          <w:tcPr>
            <w:tcW w:w="500" w:type="dxa"/>
            <w:tcBorders>
              <w:top w:val="nil"/>
              <w:left w:val="nil"/>
              <w:bottom w:val="nil"/>
              <w:right w:val="nil"/>
            </w:tcBorders>
            <w:shd w:val="clear" w:color="auto" w:fill="auto"/>
            <w:noWrap/>
            <w:hideMark/>
          </w:tcPr>
          <w:p w14:paraId="1F6216D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33</w:t>
            </w:r>
          </w:p>
        </w:tc>
        <w:tc>
          <w:tcPr>
            <w:tcW w:w="9340" w:type="dxa"/>
            <w:tcBorders>
              <w:top w:val="nil"/>
              <w:left w:val="nil"/>
              <w:bottom w:val="nil"/>
              <w:right w:val="nil"/>
            </w:tcBorders>
            <w:shd w:val="clear" w:color="auto" w:fill="auto"/>
            <w:hideMark/>
          </w:tcPr>
          <w:p w14:paraId="1112CF4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Съвет за електронни медии</w:t>
            </w:r>
          </w:p>
        </w:tc>
        <w:tc>
          <w:tcPr>
            <w:tcW w:w="1660" w:type="dxa"/>
            <w:tcBorders>
              <w:top w:val="nil"/>
              <w:left w:val="nil"/>
              <w:bottom w:val="nil"/>
              <w:right w:val="nil"/>
            </w:tcBorders>
            <w:shd w:val="clear" w:color="auto" w:fill="auto"/>
            <w:noWrap/>
            <w:hideMark/>
          </w:tcPr>
          <w:p w14:paraId="19A6D83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1 980,1</w:t>
            </w:r>
          </w:p>
        </w:tc>
        <w:tc>
          <w:tcPr>
            <w:tcW w:w="1700" w:type="dxa"/>
            <w:tcBorders>
              <w:top w:val="nil"/>
              <w:left w:val="nil"/>
              <w:bottom w:val="nil"/>
              <w:right w:val="nil"/>
            </w:tcBorders>
            <w:shd w:val="clear" w:color="auto" w:fill="auto"/>
            <w:noWrap/>
            <w:hideMark/>
          </w:tcPr>
          <w:p w14:paraId="30C0C43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1 978,0</w:t>
            </w:r>
          </w:p>
        </w:tc>
        <w:tc>
          <w:tcPr>
            <w:tcW w:w="1700" w:type="dxa"/>
            <w:tcBorders>
              <w:top w:val="nil"/>
              <w:left w:val="nil"/>
              <w:bottom w:val="nil"/>
              <w:right w:val="nil"/>
            </w:tcBorders>
            <w:shd w:val="clear" w:color="auto" w:fill="auto"/>
            <w:noWrap/>
            <w:hideMark/>
          </w:tcPr>
          <w:p w14:paraId="6E353C5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1 978,0</w:t>
            </w:r>
          </w:p>
        </w:tc>
      </w:tr>
      <w:tr w:rsidR="00761800" w:rsidRPr="00761800" w14:paraId="452E7EDE" w14:textId="77777777" w:rsidTr="00406B4D">
        <w:trPr>
          <w:trHeight w:val="255"/>
        </w:trPr>
        <w:tc>
          <w:tcPr>
            <w:tcW w:w="500" w:type="dxa"/>
            <w:tcBorders>
              <w:top w:val="nil"/>
              <w:left w:val="nil"/>
              <w:bottom w:val="nil"/>
              <w:right w:val="nil"/>
            </w:tcBorders>
            <w:shd w:val="clear" w:color="auto" w:fill="auto"/>
            <w:noWrap/>
            <w:hideMark/>
          </w:tcPr>
          <w:p w14:paraId="6377E3C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34</w:t>
            </w:r>
          </w:p>
        </w:tc>
        <w:tc>
          <w:tcPr>
            <w:tcW w:w="9340" w:type="dxa"/>
            <w:tcBorders>
              <w:top w:val="nil"/>
              <w:left w:val="nil"/>
              <w:bottom w:val="nil"/>
              <w:right w:val="nil"/>
            </w:tcBorders>
            <w:shd w:val="clear" w:color="auto" w:fill="auto"/>
            <w:hideMark/>
          </w:tcPr>
          <w:p w14:paraId="096A719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Комисия за енергийно и водно регулиране</w:t>
            </w:r>
          </w:p>
        </w:tc>
        <w:tc>
          <w:tcPr>
            <w:tcW w:w="1660" w:type="dxa"/>
            <w:tcBorders>
              <w:top w:val="nil"/>
              <w:left w:val="nil"/>
              <w:bottom w:val="nil"/>
              <w:right w:val="nil"/>
            </w:tcBorders>
            <w:shd w:val="clear" w:color="auto" w:fill="auto"/>
            <w:noWrap/>
            <w:hideMark/>
          </w:tcPr>
          <w:p w14:paraId="5394399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8 550,9</w:t>
            </w:r>
          </w:p>
        </w:tc>
        <w:tc>
          <w:tcPr>
            <w:tcW w:w="1700" w:type="dxa"/>
            <w:tcBorders>
              <w:top w:val="nil"/>
              <w:left w:val="nil"/>
              <w:bottom w:val="nil"/>
              <w:right w:val="nil"/>
            </w:tcBorders>
            <w:shd w:val="clear" w:color="auto" w:fill="auto"/>
            <w:noWrap/>
            <w:hideMark/>
          </w:tcPr>
          <w:p w14:paraId="7873501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7 215,4</w:t>
            </w:r>
          </w:p>
        </w:tc>
        <w:tc>
          <w:tcPr>
            <w:tcW w:w="1700" w:type="dxa"/>
            <w:tcBorders>
              <w:top w:val="nil"/>
              <w:left w:val="nil"/>
              <w:bottom w:val="nil"/>
              <w:right w:val="nil"/>
            </w:tcBorders>
            <w:shd w:val="clear" w:color="auto" w:fill="auto"/>
            <w:noWrap/>
            <w:hideMark/>
          </w:tcPr>
          <w:p w14:paraId="7AD47F8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7 215,4</w:t>
            </w:r>
          </w:p>
        </w:tc>
      </w:tr>
      <w:tr w:rsidR="00761800" w:rsidRPr="00761800" w14:paraId="27776C2A" w14:textId="77777777" w:rsidTr="00406B4D">
        <w:trPr>
          <w:trHeight w:val="255"/>
        </w:trPr>
        <w:tc>
          <w:tcPr>
            <w:tcW w:w="500" w:type="dxa"/>
            <w:tcBorders>
              <w:top w:val="nil"/>
              <w:left w:val="nil"/>
              <w:bottom w:val="nil"/>
              <w:right w:val="nil"/>
            </w:tcBorders>
            <w:shd w:val="clear" w:color="auto" w:fill="auto"/>
            <w:noWrap/>
            <w:hideMark/>
          </w:tcPr>
          <w:p w14:paraId="23C5F67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35</w:t>
            </w:r>
          </w:p>
        </w:tc>
        <w:tc>
          <w:tcPr>
            <w:tcW w:w="9340" w:type="dxa"/>
            <w:tcBorders>
              <w:top w:val="nil"/>
              <w:left w:val="nil"/>
              <w:bottom w:val="nil"/>
              <w:right w:val="nil"/>
            </w:tcBorders>
            <w:shd w:val="clear" w:color="auto" w:fill="auto"/>
            <w:hideMark/>
          </w:tcPr>
          <w:p w14:paraId="7C8D420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Агенция за ядрено регулиране</w:t>
            </w:r>
          </w:p>
        </w:tc>
        <w:tc>
          <w:tcPr>
            <w:tcW w:w="1660" w:type="dxa"/>
            <w:tcBorders>
              <w:top w:val="nil"/>
              <w:left w:val="nil"/>
              <w:bottom w:val="nil"/>
              <w:right w:val="nil"/>
            </w:tcBorders>
            <w:shd w:val="clear" w:color="auto" w:fill="auto"/>
            <w:noWrap/>
            <w:hideMark/>
          </w:tcPr>
          <w:p w14:paraId="522B81C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7 233,7</w:t>
            </w:r>
          </w:p>
        </w:tc>
        <w:tc>
          <w:tcPr>
            <w:tcW w:w="1700" w:type="dxa"/>
            <w:tcBorders>
              <w:top w:val="nil"/>
              <w:left w:val="nil"/>
              <w:bottom w:val="nil"/>
              <w:right w:val="nil"/>
            </w:tcBorders>
            <w:shd w:val="clear" w:color="auto" w:fill="auto"/>
            <w:noWrap/>
            <w:hideMark/>
          </w:tcPr>
          <w:p w14:paraId="6A1E8AC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7 504,6</w:t>
            </w:r>
          </w:p>
        </w:tc>
        <w:tc>
          <w:tcPr>
            <w:tcW w:w="1700" w:type="dxa"/>
            <w:tcBorders>
              <w:top w:val="nil"/>
              <w:left w:val="nil"/>
              <w:bottom w:val="nil"/>
              <w:right w:val="nil"/>
            </w:tcBorders>
            <w:shd w:val="clear" w:color="auto" w:fill="auto"/>
            <w:noWrap/>
            <w:hideMark/>
          </w:tcPr>
          <w:p w14:paraId="30BEEC2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7 504,6</w:t>
            </w:r>
          </w:p>
        </w:tc>
      </w:tr>
      <w:tr w:rsidR="00761800" w:rsidRPr="00761800" w14:paraId="51C1725C" w14:textId="77777777" w:rsidTr="00406B4D">
        <w:trPr>
          <w:trHeight w:val="255"/>
        </w:trPr>
        <w:tc>
          <w:tcPr>
            <w:tcW w:w="500" w:type="dxa"/>
            <w:tcBorders>
              <w:top w:val="nil"/>
              <w:left w:val="nil"/>
              <w:bottom w:val="nil"/>
              <w:right w:val="nil"/>
            </w:tcBorders>
            <w:shd w:val="clear" w:color="auto" w:fill="auto"/>
            <w:noWrap/>
            <w:hideMark/>
          </w:tcPr>
          <w:p w14:paraId="2B7D5DB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36</w:t>
            </w:r>
          </w:p>
        </w:tc>
        <w:tc>
          <w:tcPr>
            <w:tcW w:w="9340" w:type="dxa"/>
            <w:tcBorders>
              <w:top w:val="nil"/>
              <w:left w:val="nil"/>
              <w:bottom w:val="nil"/>
              <w:right w:val="nil"/>
            </w:tcBorders>
            <w:shd w:val="clear" w:color="auto" w:fill="auto"/>
            <w:hideMark/>
          </w:tcPr>
          <w:p w14:paraId="0381739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комисия по сигурността на информацията</w:t>
            </w:r>
          </w:p>
        </w:tc>
        <w:tc>
          <w:tcPr>
            <w:tcW w:w="1660" w:type="dxa"/>
            <w:tcBorders>
              <w:top w:val="nil"/>
              <w:left w:val="nil"/>
              <w:bottom w:val="nil"/>
              <w:right w:val="nil"/>
            </w:tcBorders>
            <w:shd w:val="clear" w:color="auto" w:fill="auto"/>
            <w:noWrap/>
            <w:hideMark/>
          </w:tcPr>
          <w:p w14:paraId="183BA16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10 714,2</w:t>
            </w:r>
          </w:p>
        </w:tc>
        <w:tc>
          <w:tcPr>
            <w:tcW w:w="1700" w:type="dxa"/>
            <w:tcBorders>
              <w:top w:val="nil"/>
              <w:left w:val="nil"/>
              <w:bottom w:val="nil"/>
              <w:right w:val="nil"/>
            </w:tcBorders>
            <w:shd w:val="clear" w:color="auto" w:fill="auto"/>
            <w:noWrap/>
            <w:hideMark/>
          </w:tcPr>
          <w:p w14:paraId="42AC8FF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10 463,9</w:t>
            </w:r>
          </w:p>
        </w:tc>
        <w:tc>
          <w:tcPr>
            <w:tcW w:w="1700" w:type="dxa"/>
            <w:tcBorders>
              <w:top w:val="nil"/>
              <w:left w:val="nil"/>
              <w:bottom w:val="nil"/>
              <w:right w:val="nil"/>
            </w:tcBorders>
            <w:shd w:val="clear" w:color="auto" w:fill="auto"/>
            <w:noWrap/>
            <w:hideMark/>
          </w:tcPr>
          <w:p w14:paraId="711BC78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10 463,9</w:t>
            </w:r>
          </w:p>
        </w:tc>
      </w:tr>
      <w:tr w:rsidR="00761800" w:rsidRPr="00761800" w14:paraId="1DD953FD" w14:textId="77777777" w:rsidTr="00406B4D">
        <w:trPr>
          <w:trHeight w:val="285"/>
        </w:trPr>
        <w:tc>
          <w:tcPr>
            <w:tcW w:w="500" w:type="dxa"/>
            <w:tcBorders>
              <w:top w:val="nil"/>
              <w:left w:val="nil"/>
              <w:bottom w:val="nil"/>
              <w:right w:val="nil"/>
            </w:tcBorders>
            <w:shd w:val="clear" w:color="auto" w:fill="auto"/>
            <w:noWrap/>
            <w:hideMark/>
          </w:tcPr>
          <w:p w14:paraId="054D0CD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37</w:t>
            </w:r>
          </w:p>
        </w:tc>
        <w:tc>
          <w:tcPr>
            <w:tcW w:w="9340" w:type="dxa"/>
            <w:tcBorders>
              <w:top w:val="nil"/>
              <w:left w:val="nil"/>
              <w:bottom w:val="nil"/>
              <w:right w:val="nil"/>
            </w:tcBorders>
            <w:shd w:val="clear" w:color="auto" w:fill="auto"/>
            <w:hideMark/>
          </w:tcPr>
          <w:p w14:paraId="77F155C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агенция „Държавен резерв и военновременни запаси“</w:t>
            </w:r>
          </w:p>
        </w:tc>
        <w:tc>
          <w:tcPr>
            <w:tcW w:w="1660" w:type="dxa"/>
            <w:tcBorders>
              <w:top w:val="nil"/>
              <w:left w:val="nil"/>
              <w:bottom w:val="nil"/>
              <w:right w:val="nil"/>
            </w:tcBorders>
            <w:shd w:val="clear" w:color="auto" w:fill="auto"/>
            <w:noWrap/>
            <w:hideMark/>
          </w:tcPr>
          <w:p w14:paraId="0074F22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78 232,2</w:t>
            </w:r>
          </w:p>
        </w:tc>
        <w:tc>
          <w:tcPr>
            <w:tcW w:w="1700" w:type="dxa"/>
            <w:tcBorders>
              <w:top w:val="nil"/>
              <w:left w:val="nil"/>
              <w:bottom w:val="nil"/>
              <w:right w:val="nil"/>
            </w:tcBorders>
            <w:shd w:val="clear" w:color="auto" w:fill="auto"/>
            <w:noWrap/>
            <w:hideMark/>
          </w:tcPr>
          <w:p w14:paraId="2179F4C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46 156,6</w:t>
            </w:r>
          </w:p>
        </w:tc>
        <w:tc>
          <w:tcPr>
            <w:tcW w:w="1700" w:type="dxa"/>
            <w:tcBorders>
              <w:top w:val="nil"/>
              <w:left w:val="nil"/>
              <w:bottom w:val="nil"/>
              <w:right w:val="nil"/>
            </w:tcBorders>
            <w:shd w:val="clear" w:color="auto" w:fill="auto"/>
            <w:noWrap/>
            <w:hideMark/>
          </w:tcPr>
          <w:p w14:paraId="5EAFEB0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46 156,6</w:t>
            </w:r>
          </w:p>
        </w:tc>
      </w:tr>
      <w:tr w:rsidR="00761800" w:rsidRPr="00761800" w14:paraId="71AB5E17" w14:textId="77777777" w:rsidTr="00406B4D">
        <w:trPr>
          <w:trHeight w:val="255"/>
        </w:trPr>
        <w:tc>
          <w:tcPr>
            <w:tcW w:w="500" w:type="dxa"/>
            <w:tcBorders>
              <w:top w:val="nil"/>
              <w:left w:val="nil"/>
              <w:bottom w:val="nil"/>
              <w:right w:val="nil"/>
            </w:tcBorders>
            <w:shd w:val="clear" w:color="auto" w:fill="auto"/>
            <w:noWrap/>
            <w:hideMark/>
          </w:tcPr>
          <w:p w14:paraId="3577CF4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38</w:t>
            </w:r>
          </w:p>
        </w:tc>
        <w:tc>
          <w:tcPr>
            <w:tcW w:w="9340" w:type="dxa"/>
            <w:tcBorders>
              <w:top w:val="nil"/>
              <w:left w:val="nil"/>
              <w:bottom w:val="nil"/>
              <w:right w:val="nil"/>
            </w:tcBorders>
            <w:shd w:val="clear" w:color="auto" w:fill="auto"/>
            <w:hideMark/>
          </w:tcPr>
          <w:p w14:paraId="5056A8E2"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Комисия за финансов надзор</w:t>
            </w:r>
          </w:p>
        </w:tc>
        <w:tc>
          <w:tcPr>
            <w:tcW w:w="1660" w:type="dxa"/>
            <w:tcBorders>
              <w:top w:val="nil"/>
              <w:left w:val="nil"/>
              <w:bottom w:val="nil"/>
              <w:right w:val="nil"/>
            </w:tcBorders>
            <w:shd w:val="clear" w:color="auto" w:fill="auto"/>
            <w:noWrap/>
            <w:hideMark/>
          </w:tcPr>
          <w:p w14:paraId="2799CFC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17 926,0</w:t>
            </w:r>
          </w:p>
        </w:tc>
        <w:tc>
          <w:tcPr>
            <w:tcW w:w="1700" w:type="dxa"/>
            <w:tcBorders>
              <w:top w:val="nil"/>
              <w:left w:val="nil"/>
              <w:bottom w:val="nil"/>
              <w:right w:val="nil"/>
            </w:tcBorders>
            <w:shd w:val="clear" w:color="auto" w:fill="auto"/>
            <w:noWrap/>
            <w:hideMark/>
          </w:tcPr>
          <w:p w14:paraId="52C3D6E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14 901,6</w:t>
            </w:r>
          </w:p>
        </w:tc>
        <w:tc>
          <w:tcPr>
            <w:tcW w:w="1700" w:type="dxa"/>
            <w:tcBorders>
              <w:top w:val="nil"/>
              <w:left w:val="nil"/>
              <w:bottom w:val="nil"/>
              <w:right w:val="nil"/>
            </w:tcBorders>
            <w:shd w:val="clear" w:color="auto" w:fill="auto"/>
            <w:noWrap/>
            <w:hideMark/>
          </w:tcPr>
          <w:p w14:paraId="3E19750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14 901,6</w:t>
            </w:r>
          </w:p>
        </w:tc>
      </w:tr>
      <w:tr w:rsidR="00761800" w:rsidRPr="00761800" w14:paraId="46AE5C67" w14:textId="77777777" w:rsidTr="00406B4D">
        <w:trPr>
          <w:trHeight w:val="255"/>
        </w:trPr>
        <w:tc>
          <w:tcPr>
            <w:tcW w:w="500" w:type="dxa"/>
            <w:tcBorders>
              <w:top w:val="nil"/>
              <w:left w:val="nil"/>
              <w:bottom w:val="nil"/>
              <w:right w:val="nil"/>
            </w:tcBorders>
            <w:shd w:val="clear" w:color="auto" w:fill="auto"/>
            <w:noWrap/>
            <w:hideMark/>
          </w:tcPr>
          <w:p w14:paraId="56457C4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39</w:t>
            </w:r>
          </w:p>
        </w:tc>
        <w:tc>
          <w:tcPr>
            <w:tcW w:w="9340" w:type="dxa"/>
            <w:tcBorders>
              <w:top w:val="nil"/>
              <w:left w:val="nil"/>
              <w:bottom w:val="nil"/>
              <w:right w:val="nil"/>
            </w:tcBorders>
            <w:shd w:val="clear" w:color="auto" w:fill="auto"/>
            <w:hideMark/>
          </w:tcPr>
          <w:p w14:paraId="42BEC88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Комисия за публичен надзор над регистрираните одитори</w:t>
            </w:r>
          </w:p>
        </w:tc>
        <w:tc>
          <w:tcPr>
            <w:tcW w:w="1660" w:type="dxa"/>
            <w:tcBorders>
              <w:top w:val="nil"/>
              <w:left w:val="nil"/>
              <w:bottom w:val="nil"/>
              <w:right w:val="nil"/>
            </w:tcBorders>
            <w:shd w:val="clear" w:color="auto" w:fill="auto"/>
            <w:noWrap/>
            <w:hideMark/>
          </w:tcPr>
          <w:p w14:paraId="2C1FB71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1 465,6</w:t>
            </w:r>
          </w:p>
        </w:tc>
        <w:tc>
          <w:tcPr>
            <w:tcW w:w="1700" w:type="dxa"/>
            <w:tcBorders>
              <w:top w:val="nil"/>
              <w:left w:val="nil"/>
              <w:bottom w:val="nil"/>
              <w:right w:val="nil"/>
            </w:tcBorders>
            <w:shd w:val="clear" w:color="auto" w:fill="auto"/>
            <w:noWrap/>
            <w:hideMark/>
          </w:tcPr>
          <w:p w14:paraId="57C0A5B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1 388,7</w:t>
            </w:r>
          </w:p>
        </w:tc>
        <w:tc>
          <w:tcPr>
            <w:tcW w:w="1700" w:type="dxa"/>
            <w:tcBorders>
              <w:top w:val="nil"/>
              <w:left w:val="nil"/>
              <w:bottom w:val="nil"/>
              <w:right w:val="nil"/>
            </w:tcBorders>
            <w:shd w:val="clear" w:color="auto" w:fill="auto"/>
            <w:noWrap/>
            <w:hideMark/>
          </w:tcPr>
          <w:p w14:paraId="14A2DAB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1 388,7</w:t>
            </w:r>
          </w:p>
        </w:tc>
      </w:tr>
      <w:tr w:rsidR="00761800" w:rsidRPr="00761800" w14:paraId="654FB6B7" w14:textId="77777777" w:rsidTr="00406B4D">
        <w:trPr>
          <w:trHeight w:val="255"/>
        </w:trPr>
        <w:tc>
          <w:tcPr>
            <w:tcW w:w="500" w:type="dxa"/>
            <w:tcBorders>
              <w:top w:val="nil"/>
              <w:left w:val="nil"/>
              <w:bottom w:val="nil"/>
              <w:right w:val="nil"/>
            </w:tcBorders>
            <w:shd w:val="clear" w:color="auto" w:fill="auto"/>
            <w:noWrap/>
            <w:hideMark/>
          </w:tcPr>
          <w:p w14:paraId="2A1BA9C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40</w:t>
            </w:r>
          </w:p>
        </w:tc>
        <w:tc>
          <w:tcPr>
            <w:tcW w:w="9340" w:type="dxa"/>
            <w:tcBorders>
              <w:top w:val="nil"/>
              <w:left w:val="nil"/>
              <w:bottom w:val="nil"/>
              <w:right w:val="nil"/>
            </w:tcBorders>
            <w:shd w:val="clear" w:color="auto" w:fill="auto"/>
            <w:hideMark/>
          </w:tcPr>
          <w:p w14:paraId="024DAA7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Централна избирателна комисия</w:t>
            </w:r>
          </w:p>
        </w:tc>
        <w:tc>
          <w:tcPr>
            <w:tcW w:w="1660" w:type="dxa"/>
            <w:tcBorders>
              <w:top w:val="nil"/>
              <w:left w:val="nil"/>
              <w:bottom w:val="nil"/>
              <w:right w:val="nil"/>
            </w:tcBorders>
            <w:shd w:val="clear" w:color="auto" w:fill="auto"/>
            <w:noWrap/>
            <w:hideMark/>
          </w:tcPr>
          <w:p w14:paraId="78904E6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3 792,5</w:t>
            </w:r>
          </w:p>
        </w:tc>
        <w:tc>
          <w:tcPr>
            <w:tcW w:w="1700" w:type="dxa"/>
            <w:tcBorders>
              <w:top w:val="nil"/>
              <w:left w:val="nil"/>
              <w:bottom w:val="nil"/>
              <w:right w:val="nil"/>
            </w:tcBorders>
            <w:shd w:val="clear" w:color="auto" w:fill="auto"/>
            <w:noWrap/>
            <w:hideMark/>
          </w:tcPr>
          <w:p w14:paraId="531D66D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3 610,8</w:t>
            </w:r>
          </w:p>
        </w:tc>
        <w:tc>
          <w:tcPr>
            <w:tcW w:w="1700" w:type="dxa"/>
            <w:tcBorders>
              <w:top w:val="nil"/>
              <w:left w:val="nil"/>
              <w:bottom w:val="nil"/>
              <w:right w:val="nil"/>
            </w:tcBorders>
            <w:shd w:val="clear" w:color="auto" w:fill="auto"/>
            <w:noWrap/>
            <w:hideMark/>
          </w:tcPr>
          <w:p w14:paraId="2A00372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3 610,8</w:t>
            </w:r>
          </w:p>
        </w:tc>
      </w:tr>
      <w:tr w:rsidR="00761800" w:rsidRPr="00761800" w14:paraId="3FE051BE" w14:textId="77777777" w:rsidTr="00406B4D">
        <w:trPr>
          <w:trHeight w:val="285"/>
        </w:trPr>
        <w:tc>
          <w:tcPr>
            <w:tcW w:w="500" w:type="dxa"/>
            <w:tcBorders>
              <w:top w:val="nil"/>
              <w:left w:val="nil"/>
              <w:bottom w:val="nil"/>
              <w:right w:val="nil"/>
            </w:tcBorders>
            <w:shd w:val="clear" w:color="auto" w:fill="auto"/>
            <w:noWrap/>
            <w:hideMark/>
          </w:tcPr>
          <w:p w14:paraId="3E21807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41</w:t>
            </w:r>
          </w:p>
        </w:tc>
        <w:tc>
          <w:tcPr>
            <w:tcW w:w="9340" w:type="dxa"/>
            <w:tcBorders>
              <w:top w:val="nil"/>
              <w:left w:val="nil"/>
              <w:bottom w:val="nil"/>
              <w:right w:val="nil"/>
            </w:tcBorders>
            <w:shd w:val="clear" w:color="auto" w:fill="auto"/>
            <w:hideMark/>
          </w:tcPr>
          <w:p w14:paraId="264B3ED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Държавен фонд „Земеделие“</w:t>
            </w:r>
          </w:p>
        </w:tc>
        <w:tc>
          <w:tcPr>
            <w:tcW w:w="1660" w:type="dxa"/>
            <w:tcBorders>
              <w:top w:val="nil"/>
              <w:left w:val="nil"/>
              <w:bottom w:val="nil"/>
              <w:right w:val="nil"/>
            </w:tcBorders>
            <w:shd w:val="clear" w:color="auto" w:fill="auto"/>
            <w:noWrap/>
            <w:hideMark/>
          </w:tcPr>
          <w:p w14:paraId="2FB6622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300 917,5</w:t>
            </w:r>
          </w:p>
        </w:tc>
        <w:tc>
          <w:tcPr>
            <w:tcW w:w="1700" w:type="dxa"/>
            <w:tcBorders>
              <w:top w:val="nil"/>
              <w:left w:val="nil"/>
              <w:bottom w:val="nil"/>
              <w:right w:val="nil"/>
            </w:tcBorders>
            <w:shd w:val="clear" w:color="auto" w:fill="auto"/>
            <w:noWrap/>
            <w:hideMark/>
          </w:tcPr>
          <w:p w14:paraId="02E00D7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274 338,5</w:t>
            </w:r>
          </w:p>
        </w:tc>
        <w:tc>
          <w:tcPr>
            <w:tcW w:w="1700" w:type="dxa"/>
            <w:tcBorders>
              <w:top w:val="nil"/>
              <w:left w:val="nil"/>
              <w:bottom w:val="nil"/>
              <w:right w:val="nil"/>
            </w:tcBorders>
            <w:shd w:val="clear" w:color="auto" w:fill="auto"/>
            <w:noWrap/>
            <w:hideMark/>
          </w:tcPr>
          <w:p w14:paraId="6870866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274 338,5</w:t>
            </w:r>
          </w:p>
        </w:tc>
      </w:tr>
      <w:tr w:rsidR="00761800" w:rsidRPr="00761800" w14:paraId="038F0BC8" w14:textId="77777777" w:rsidTr="00406B4D">
        <w:trPr>
          <w:trHeight w:val="255"/>
        </w:trPr>
        <w:tc>
          <w:tcPr>
            <w:tcW w:w="500" w:type="dxa"/>
            <w:tcBorders>
              <w:top w:val="nil"/>
              <w:left w:val="nil"/>
              <w:bottom w:val="nil"/>
              <w:right w:val="nil"/>
            </w:tcBorders>
            <w:shd w:val="clear" w:color="auto" w:fill="auto"/>
            <w:noWrap/>
            <w:hideMark/>
          </w:tcPr>
          <w:p w14:paraId="1BACC55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42</w:t>
            </w:r>
          </w:p>
        </w:tc>
        <w:tc>
          <w:tcPr>
            <w:tcW w:w="9340" w:type="dxa"/>
            <w:tcBorders>
              <w:top w:val="nil"/>
              <w:left w:val="nil"/>
              <w:bottom w:val="nil"/>
              <w:right w:val="nil"/>
            </w:tcBorders>
            <w:shd w:val="clear" w:color="auto" w:fill="auto"/>
            <w:hideMark/>
          </w:tcPr>
          <w:p w14:paraId="4E1B298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Национално бюро за контрол на специалните разузнавателни средства</w:t>
            </w:r>
          </w:p>
        </w:tc>
        <w:tc>
          <w:tcPr>
            <w:tcW w:w="1660" w:type="dxa"/>
            <w:tcBorders>
              <w:top w:val="nil"/>
              <w:left w:val="nil"/>
              <w:bottom w:val="nil"/>
              <w:right w:val="nil"/>
            </w:tcBorders>
            <w:shd w:val="clear" w:color="auto" w:fill="auto"/>
            <w:noWrap/>
            <w:hideMark/>
          </w:tcPr>
          <w:p w14:paraId="03148C6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1 050,9</w:t>
            </w:r>
          </w:p>
        </w:tc>
        <w:tc>
          <w:tcPr>
            <w:tcW w:w="1700" w:type="dxa"/>
            <w:tcBorders>
              <w:top w:val="nil"/>
              <w:left w:val="nil"/>
              <w:bottom w:val="nil"/>
              <w:right w:val="nil"/>
            </w:tcBorders>
            <w:shd w:val="clear" w:color="auto" w:fill="auto"/>
            <w:noWrap/>
            <w:hideMark/>
          </w:tcPr>
          <w:p w14:paraId="465B81B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1 091,2</w:t>
            </w:r>
          </w:p>
        </w:tc>
        <w:tc>
          <w:tcPr>
            <w:tcW w:w="1700" w:type="dxa"/>
            <w:tcBorders>
              <w:top w:val="nil"/>
              <w:left w:val="nil"/>
              <w:bottom w:val="nil"/>
              <w:right w:val="nil"/>
            </w:tcBorders>
            <w:shd w:val="clear" w:color="auto" w:fill="auto"/>
            <w:noWrap/>
            <w:hideMark/>
          </w:tcPr>
          <w:p w14:paraId="3F8C471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1 089,1</w:t>
            </w:r>
          </w:p>
        </w:tc>
      </w:tr>
      <w:tr w:rsidR="00761800" w:rsidRPr="00761800" w14:paraId="1072C49E" w14:textId="77777777" w:rsidTr="00406B4D">
        <w:trPr>
          <w:trHeight w:val="255"/>
        </w:trPr>
        <w:tc>
          <w:tcPr>
            <w:tcW w:w="500" w:type="dxa"/>
            <w:tcBorders>
              <w:top w:val="nil"/>
              <w:left w:val="nil"/>
              <w:bottom w:val="nil"/>
              <w:right w:val="nil"/>
            </w:tcBorders>
            <w:shd w:val="clear" w:color="auto" w:fill="auto"/>
            <w:noWrap/>
            <w:hideMark/>
          </w:tcPr>
          <w:p w14:paraId="21C3986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43</w:t>
            </w:r>
          </w:p>
        </w:tc>
        <w:tc>
          <w:tcPr>
            <w:tcW w:w="9340" w:type="dxa"/>
            <w:tcBorders>
              <w:top w:val="nil"/>
              <w:left w:val="nil"/>
              <w:bottom w:val="nil"/>
              <w:right w:val="nil"/>
            </w:tcBorders>
            <w:shd w:val="clear" w:color="auto" w:fill="auto"/>
            <w:hideMark/>
          </w:tcPr>
          <w:p w14:paraId="67BA695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Държавна агенция „Технически операции“</w:t>
            </w:r>
          </w:p>
        </w:tc>
        <w:tc>
          <w:tcPr>
            <w:tcW w:w="1660" w:type="dxa"/>
            <w:tcBorders>
              <w:top w:val="nil"/>
              <w:left w:val="nil"/>
              <w:bottom w:val="nil"/>
              <w:right w:val="nil"/>
            </w:tcBorders>
            <w:shd w:val="clear" w:color="auto" w:fill="auto"/>
            <w:noWrap/>
            <w:hideMark/>
          </w:tcPr>
          <w:p w14:paraId="75689BE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76 316,0</w:t>
            </w:r>
          </w:p>
        </w:tc>
        <w:tc>
          <w:tcPr>
            <w:tcW w:w="1700" w:type="dxa"/>
            <w:tcBorders>
              <w:top w:val="nil"/>
              <w:left w:val="nil"/>
              <w:bottom w:val="nil"/>
              <w:right w:val="nil"/>
            </w:tcBorders>
            <w:shd w:val="clear" w:color="auto" w:fill="auto"/>
            <w:noWrap/>
            <w:hideMark/>
          </w:tcPr>
          <w:p w14:paraId="4931D09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76 792,1</w:t>
            </w:r>
          </w:p>
        </w:tc>
        <w:tc>
          <w:tcPr>
            <w:tcW w:w="1700" w:type="dxa"/>
            <w:tcBorders>
              <w:top w:val="nil"/>
              <w:left w:val="nil"/>
              <w:bottom w:val="nil"/>
              <w:right w:val="nil"/>
            </w:tcBorders>
            <w:shd w:val="clear" w:color="auto" w:fill="auto"/>
            <w:noWrap/>
            <w:hideMark/>
          </w:tcPr>
          <w:p w14:paraId="171B615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76 792,1</w:t>
            </w:r>
          </w:p>
        </w:tc>
      </w:tr>
      <w:tr w:rsidR="00761800" w:rsidRPr="00761800" w14:paraId="1B2765CC" w14:textId="77777777" w:rsidTr="00406B4D">
        <w:trPr>
          <w:trHeight w:val="255"/>
        </w:trPr>
        <w:tc>
          <w:tcPr>
            <w:tcW w:w="500" w:type="dxa"/>
            <w:tcBorders>
              <w:top w:val="nil"/>
              <w:left w:val="nil"/>
              <w:bottom w:val="nil"/>
              <w:right w:val="nil"/>
            </w:tcBorders>
            <w:shd w:val="clear" w:color="auto" w:fill="auto"/>
            <w:noWrap/>
            <w:hideMark/>
          </w:tcPr>
          <w:p w14:paraId="1DED8BB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44</w:t>
            </w:r>
          </w:p>
        </w:tc>
        <w:tc>
          <w:tcPr>
            <w:tcW w:w="9340" w:type="dxa"/>
            <w:tcBorders>
              <w:top w:val="nil"/>
              <w:left w:val="nil"/>
              <w:bottom w:val="nil"/>
              <w:right w:val="nil"/>
            </w:tcBorders>
            <w:shd w:val="clear" w:color="auto" w:fill="auto"/>
            <w:hideMark/>
          </w:tcPr>
          <w:p w14:paraId="3D1676D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Сметна палата</w:t>
            </w:r>
          </w:p>
        </w:tc>
        <w:tc>
          <w:tcPr>
            <w:tcW w:w="1660" w:type="dxa"/>
            <w:tcBorders>
              <w:top w:val="nil"/>
              <w:left w:val="nil"/>
              <w:bottom w:val="nil"/>
              <w:right w:val="nil"/>
            </w:tcBorders>
            <w:shd w:val="clear" w:color="auto" w:fill="auto"/>
            <w:noWrap/>
            <w:hideMark/>
          </w:tcPr>
          <w:p w14:paraId="21D95A1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23 180,5</w:t>
            </w:r>
          </w:p>
        </w:tc>
        <w:tc>
          <w:tcPr>
            <w:tcW w:w="1700" w:type="dxa"/>
            <w:tcBorders>
              <w:top w:val="nil"/>
              <w:left w:val="nil"/>
              <w:bottom w:val="nil"/>
              <w:right w:val="nil"/>
            </w:tcBorders>
            <w:shd w:val="clear" w:color="auto" w:fill="auto"/>
            <w:noWrap/>
            <w:hideMark/>
          </w:tcPr>
          <w:p w14:paraId="2A61EB3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23 467,3</w:t>
            </w:r>
          </w:p>
        </w:tc>
        <w:tc>
          <w:tcPr>
            <w:tcW w:w="1700" w:type="dxa"/>
            <w:tcBorders>
              <w:top w:val="nil"/>
              <w:left w:val="nil"/>
              <w:bottom w:val="nil"/>
              <w:right w:val="nil"/>
            </w:tcBorders>
            <w:shd w:val="clear" w:color="auto" w:fill="auto"/>
            <w:noWrap/>
            <w:hideMark/>
          </w:tcPr>
          <w:p w14:paraId="098A568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23 636,2</w:t>
            </w:r>
          </w:p>
        </w:tc>
      </w:tr>
      <w:tr w:rsidR="00761800" w:rsidRPr="00761800" w14:paraId="1DB8B705" w14:textId="77777777" w:rsidTr="00406B4D">
        <w:trPr>
          <w:trHeight w:val="255"/>
        </w:trPr>
        <w:tc>
          <w:tcPr>
            <w:tcW w:w="500" w:type="dxa"/>
            <w:tcBorders>
              <w:top w:val="nil"/>
              <w:left w:val="nil"/>
              <w:bottom w:val="nil"/>
              <w:right w:val="nil"/>
            </w:tcBorders>
            <w:shd w:val="clear" w:color="auto" w:fill="auto"/>
            <w:noWrap/>
            <w:hideMark/>
          </w:tcPr>
          <w:p w14:paraId="5178FF4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45</w:t>
            </w:r>
          </w:p>
        </w:tc>
        <w:tc>
          <w:tcPr>
            <w:tcW w:w="9340" w:type="dxa"/>
            <w:tcBorders>
              <w:top w:val="nil"/>
              <w:left w:val="nil"/>
              <w:bottom w:val="nil"/>
              <w:right w:val="nil"/>
            </w:tcBorders>
            <w:shd w:val="clear" w:color="auto" w:fill="auto"/>
            <w:hideMark/>
          </w:tcPr>
          <w:p w14:paraId="29E61B2A"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Национален осигурителен институт</w:t>
            </w:r>
          </w:p>
        </w:tc>
        <w:tc>
          <w:tcPr>
            <w:tcW w:w="1660" w:type="dxa"/>
            <w:tcBorders>
              <w:top w:val="nil"/>
              <w:left w:val="nil"/>
              <w:bottom w:val="nil"/>
              <w:right w:val="nil"/>
            </w:tcBorders>
            <w:shd w:val="clear" w:color="auto" w:fill="auto"/>
            <w:noWrap/>
            <w:hideMark/>
          </w:tcPr>
          <w:p w14:paraId="7BACE1F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15 261 998,8</w:t>
            </w:r>
          </w:p>
        </w:tc>
        <w:tc>
          <w:tcPr>
            <w:tcW w:w="1700" w:type="dxa"/>
            <w:tcBorders>
              <w:top w:val="nil"/>
              <w:left w:val="nil"/>
              <w:bottom w:val="nil"/>
              <w:right w:val="nil"/>
            </w:tcBorders>
            <w:shd w:val="clear" w:color="auto" w:fill="auto"/>
            <w:noWrap/>
            <w:hideMark/>
          </w:tcPr>
          <w:p w14:paraId="3265940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16 403 983,8</w:t>
            </w:r>
          </w:p>
        </w:tc>
        <w:tc>
          <w:tcPr>
            <w:tcW w:w="1700" w:type="dxa"/>
            <w:tcBorders>
              <w:top w:val="nil"/>
              <w:left w:val="nil"/>
              <w:bottom w:val="nil"/>
              <w:right w:val="nil"/>
            </w:tcBorders>
            <w:shd w:val="clear" w:color="auto" w:fill="auto"/>
            <w:noWrap/>
            <w:hideMark/>
          </w:tcPr>
          <w:p w14:paraId="7DED8FF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17 489 705,0</w:t>
            </w:r>
          </w:p>
        </w:tc>
      </w:tr>
      <w:tr w:rsidR="00761800" w:rsidRPr="00761800" w14:paraId="0E5897BA" w14:textId="77777777" w:rsidTr="00406B4D">
        <w:trPr>
          <w:trHeight w:val="255"/>
        </w:trPr>
        <w:tc>
          <w:tcPr>
            <w:tcW w:w="500" w:type="dxa"/>
            <w:tcBorders>
              <w:top w:val="nil"/>
              <w:left w:val="nil"/>
              <w:bottom w:val="nil"/>
              <w:right w:val="nil"/>
            </w:tcBorders>
            <w:shd w:val="clear" w:color="auto" w:fill="auto"/>
            <w:noWrap/>
            <w:hideMark/>
          </w:tcPr>
          <w:p w14:paraId="52520EF6" w14:textId="77777777" w:rsidR="00761800" w:rsidRPr="00761800" w:rsidRDefault="00761800" w:rsidP="00761800">
            <w:pPr>
              <w:jc w:val="right"/>
              <w:rPr>
                <w:rFonts w:ascii="Times New Roman" w:hAnsi="Times New Roman"/>
                <w:sz w:val="20"/>
                <w:lang w:eastAsia="bg-BG"/>
              </w:rPr>
            </w:pPr>
          </w:p>
        </w:tc>
        <w:tc>
          <w:tcPr>
            <w:tcW w:w="9340" w:type="dxa"/>
            <w:tcBorders>
              <w:top w:val="nil"/>
              <w:left w:val="nil"/>
              <w:bottom w:val="nil"/>
              <w:right w:val="nil"/>
            </w:tcBorders>
            <w:shd w:val="clear" w:color="auto" w:fill="auto"/>
            <w:hideMark/>
          </w:tcPr>
          <w:p w14:paraId="3114CC88" w14:textId="77777777" w:rsidR="00761800" w:rsidRPr="00761800" w:rsidRDefault="00761800" w:rsidP="00761800">
            <w:pPr>
              <w:ind w:firstLineChars="200" w:firstLine="400"/>
              <w:rPr>
                <w:rFonts w:ascii="Times New Roman" w:hAnsi="Times New Roman"/>
                <w:sz w:val="20"/>
                <w:lang w:eastAsia="bg-BG"/>
              </w:rPr>
            </w:pPr>
            <w:r w:rsidRPr="00761800">
              <w:rPr>
                <w:rFonts w:ascii="Times New Roman" w:hAnsi="Times New Roman"/>
                <w:sz w:val="20"/>
                <w:lang w:eastAsia="bg-BG"/>
              </w:rPr>
              <w:t>в т.ч. Пенсии</w:t>
            </w:r>
          </w:p>
        </w:tc>
        <w:tc>
          <w:tcPr>
            <w:tcW w:w="1660" w:type="dxa"/>
            <w:tcBorders>
              <w:top w:val="nil"/>
              <w:left w:val="nil"/>
              <w:bottom w:val="nil"/>
              <w:right w:val="nil"/>
            </w:tcBorders>
            <w:shd w:val="clear" w:color="auto" w:fill="auto"/>
            <w:noWrap/>
            <w:hideMark/>
          </w:tcPr>
          <w:p w14:paraId="05F75D1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13 503 887,0</w:t>
            </w:r>
          </w:p>
        </w:tc>
        <w:tc>
          <w:tcPr>
            <w:tcW w:w="1700" w:type="dxa"/>
            <w:tcBorders>
              <w:top w:val="nil"/>
              <w:left w:val="nil"/>
              <w:bottom w:val="nil"/>
              <w:right w:val="nil"/>
            </w:tcBorders>
            <w:shd w:val="clear" w:color="auto" w:fill="auto"/>
            <w:noWrap/>
            <w:hideMark/>
          </w:tcPr>
          <w:p w14:paraId="7DBB137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14 566 311,4</w:t>
            </w:r>
          </w:p>
        </w:tc>
        <w:tc>
          <w:tcPr>
            <w:tcW w:w="1700" w:type="dxa"/>
            <w:tcBorders>
              <w:top w:val="nil"/>
              <w:left w:val="nil"/>
              <w:bottom w:val="nil"/>
              <w:right w:val="nil"/>
            </w:tcBorders>
            <w:shd w:val="clear" w:color="auto" w:fill="auto"/>
            <w:noWrap/>
            <w:hideMark/>
          </w:tcPr>
          <w:p w14:paraId="0CE6D3D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15 603 829,1</w:t>
            </w:r>
          </w:p>
        </w:tc>
      </w:tr>
      <w:tr w:rsidR="00761800" w:rsidRPr="00761800" w14:paraId="14FFB3E1" w14:textId="77777777" w:rsidTr="00406B4D">
        <w:trPr>
          <w:trHeight w:val="300"/>
        </w:trPr>
        <w:tc>
          <w:tcPr>
            <w:tcW w:w="500" w:type="dxa"/>
            <w:tcBorders>
              <w:top w:val="nil"/>
              <w:left w:val="nil"/>
              <w:bottom w:val="nil"/>
              <w:right w:val="nil"/>
            </w:tcBorders>
            <w:shd w:val="clear" w:color="auto" w:fill="auto"/>
            <w:noWrap/>
            <w:hideMark/>
          </w:tcPr>
          <w:p w14:paraId="77C160C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46</w:t>
            </w:r>
          </w:p>
        </w:tc>
        <w:tc>
          <w:tcPr>
            <w:tcW w:w="9340" w:type="dxa"/>
            <w:tcBorders>
              <w:top w:val="nil"/>
              <w:left w:val="nil"/>
              <w:bottom w:val="nil"/>
              <w:right w:val="nil"/>
            </w:tcBorders>
            <w:shd w:val="clear" w:color="auto" w:fill="auto"/>
            <w:hideMark/>
          </w:tcPr>
          <w:p w14:paraId="50AACAE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Фонд „Гарантирани вземания на работниците и служителите“</w:t>
            </w:r>
          </w:p>
        </w:tc>
        <w:tc>
          <w:tcPr>
            <w:tcW w:w="1660" w:type="dxa"/>
            <w:tcBorders>
              <w:top w:val="nil"/>
              <w:left w:val="nil"/>
              <w:bottom w:val="nil"/>
              <w:right w:val="nil"/>
            </w:tcBorders>
            <w:shd w:val="clear" w:color="auto" w:fill="auto"/>
            <w:noWrap/>
            <w:hideMark/>
          </w:tcPr>
          <w:p w14:paraId="433799B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2 484,4</w:t>
            </w:r>
          </w:p>
        </w:tc>
        <w:tc>
          <w:tcPr>
            <w:tcW w:w="1700" w:type="dxa"/>
            <w:tcBorders>
              <w:top w:val="nil"/>
              <w:left w:val="nil"/>
              <w:bottom w:val="nil"/>
              <w:right w:val="nil"/>
            </w:tcBorders>
            <w:shd w:val="clear" w:color="auto" w:fill="auto"/>
            <w:noWrap/>
            <w:hideMark/>
          </w:tcPr>
          <w:p w14:paraId="47112DD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2 489,0</w:t>
            </w:r>
          </w:p>
        </w:tc>
        <w:tc>
          <w:tcPr>
            <w:tcW w:w="1700" w:type="dxa"/>
            <w:tcBorders>
              <w:top w:val="nil"/>
              <w:left w:val="nil"/>
              <w:bottom w:val="nil"/>
              <w:right w:val="nil"/>
            </w:tcBorders>
            <w:shd w:val="clear" w:color="auto" w:fill="auto"/>
            <w:noWrap/>
            <w:hideMark/>
          </w:tcPr>
          <w:p w14:paraId="79177C1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2 481,8</w:t>
            </w:r>
          </w:p>
        </w:tc>
      </w:tr>
      <w:tr w:rsidR="00761800" w:rsidRPr="00761800" w14:paraId="5E88B84A" w14:textId="77777777" w:rsidTr="00406B4D">
        <w:trPr>
          <w:trHeight w:val="255"/>
        </w:trPr>
        <w:tc>
          <w:tcPr>
            <w:tcW w:w="500" w:type="dxa"/>
            <w:tcBorders>
              <w:top w:val="nil"/>
              <w:left w:val="nil"/>
              <w:bottom w:val="nil"/>
              <w:right w:val="nil"/>
            </w:tcBorders>
            <w:shd w:val="clear" w:color="auto" w:fill="auto"/>
            <w:noWrap/>
            <w:hideMark/>
          </w:tcPr>
          <w:p w14:paraId="30A4839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47</w:t>
            </w:r>
          </w:p>
        </w:tc>
        <w:tc>
          <w:tcPr>
            <w:tcW w:w="9340" w:type="dxa"/>
            <w:tcBorders>
              <w:top w:val="nil"/>
              <w:left w:val="nil"/>
              <w:bottom w:val="nil"/>
              <w:right w:val="nil"/>
            </w:tcBorders>
            <w:shd w:val="clear" w:color="auto" w:fill="auto"/>
            <w:hideMark/>
          </w:tcPr>
          <w:p w14:paraId="32595BA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Учителски пенсионен фонд</w:t>
            </w:r>
          </w:p>
        </w:tc>
        <w:tc>
          <w:tcPr>
            <w:tcW w:w="1660" w:type="dxa"/>
            <w:tcBorders>
              <w:top w:val="nil"/>
              <w:left w:val="nil"/>
              <w:bottom w:val="nil"/>
              <w:right w:val="nil"/>
            </w:tcBorders>
            <w:shd w:val="clear" w:color="auto" w:fill="auto"/>
            <w:noWrap/>
            <w:hideMark/>
          </w:tcPr>
          <w:p w14:paraId="291DCBB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73 969,9</w:t>
            </w:r>
          </w:p>
        </w:tc>
        <w:tc>
          <w:tcPr>
            <w:tcW w:w="1700" w:type="dxa"/>
            <w:tcBorders>
              <w:top w:val="nil"/>
              <w:left w:val="nil"/>
              <w:bottom w:val="nil"/>
              <w:right w:val="nil"/>
            </w:tcBorders>
            <w:shd w:val="clear" w:color="auto" w:fill="auto"/>
            <w:noWrap/>
            <w:hideMark/>
          </w:tcPr>
          <w:p w14:paraId="771C1DB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87 830,5</w:t>
            </w:r>
          </w:p>
        </w:tc>
        <w:tc>
          <w:tcPr>
            <w:tcW w:w="1700" w:type="dxa"/>
            <w:tcBorders>
              <w:top w:val="nil"/>
              <w:left w:val="nil"/>
              <w:bottom w:val="nil"/>
              <w:right w:val="nil"/>
            </w:tcBorders>
            <w:shd w:val="clear" w:color="auto" w:fill="auto"/>
            <w:noWrap/>
            <w:hideMark/>
          </w:tcPr>
          <w:p w14:paraId="0CACDC3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103 411,6</w:t>
            </w:r>
          </w:p>
        </w:tc>
      </w:tr>
      <w:tr w:rsidR="00761800" w:rsidRPr="00761800" w14:paraId="6CB46C0F" w14:textId="77777777" w:rsidTr="00406B4D">
        <w:trPr>
          <w:trHeight w:val="255"/>
        </w:trPr>
        <w:tc>
          <w:tcPr>
            <w:tcW w:w="500" w:type="dxa"/>
            <w:tcBorders>
              <w:top w:val="nil"/>
              <w:left w:val="nil"/>
              <w:bottom w:val="single" w:sz="4" w:space="0" w:color="auto"/>
              <w:right w:val="nil"/>
            </w:tcBorders>
            <w:shd w:val="clear" w:color="auto" w:fill="auto"/>
            <w:noWrap/>
            <w:hideMark/>
          </w:tcPr>
          <w:p w14:paraId="3E12E35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48</w:t>
            </w:r>
          </w:p>
        </w:tc>
        <w:tc>
          <w:tcPr>
            <w:tcW w:w="9340" w:type="dxa"/>
            <w:tcBorders>
              <w:top w:val="nil"/>
              <w:left w:val="nil"/>
              <w:bottom w:val="single" w:sz="4" w:space="0" w:color="auto"/>
              <w:right w:val="nil"/>
            </w:tcBorders>
            <w:shd w:val="clear" w:color="auto" w:fill="auto"/>
            <w:hideMark/>
          </w:tcPr>
          <w:p w14:paraId="75A7A4F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Национална здравноосигурителна каса</w:t>
            </w:r>
          </w:p>
        </w:tc>
        <w:tc>
          <w:tcPr>
            <w:tcW w:w="1660" w:type="dxa"/>
            <w:tcBorders>
              <w:top w:val="nil"/>
              <w:left w:val="nil"/>
              <w:bottom w:val="single" w:sz="4" w:space="0" w:color="auto"/>
              <w:right w:val="nil"/>
            </w:tcBorders>
            <w:shd w:val="clear" w:color="auto" w:fill="auto"/>
            <w:noWrap/>
            <w:hideMark/>
          </w:tcPr>
          <w:p w14:paraId="3B70925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5 256 677,2</w:t>
            </w:r>
          </w:p>
        </w:tc>
        <w:tc>
          <w:tcPr>
            <w:tcW w:w="1700" w:type="dxa"/>
            <w:tcBorders>
              <w:top w:val="nil"/>
              <w:left w:val="nil"/>
              <w:bottom w:val="single" w:sz="4" w:space="0" w:color="auto"/>
              <w:right w:val="nil"/>
            </w:tcBorders>
            <w:shd w:val="clear" w:color="auto" w:fill="auto"/>
            <w:noWrap/>
            <w:hideMark/>
          </w:tcPr>
          <w:p w14:paraId="68A9E73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5 595 160,9</w:t>
            </w:r>
          </w:p>
        </w:tc>
        <w:tc>
          <w:tcPr>
            <w:tcW w:w="1700" w:type="dxa"/>
            <w:tcBorders>
              <w:top w:val="nil"/>
              <w:left w:val="nil"/>
              <w:bottom w:val="single" w:sz="4" w:space="0" w:color="auto"/>
              <w:right w:val="nil"/>
            </w:tcBorders>
            <w:shd w:val="clear" w:color="auto" w:fill="auto"/>
            <w:noWrap/>
            <w:hideMark/>
          </w:tcPr>
          <w:p w14:paraId="591744B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5 815 010,1</w:t>
            </w:r>
          </w:p>
        </w:tc>
      </w:tr>
    </w:tbl>
    <w:p w14:paraId="60A26924" w14:textId="77777777" w:rsidR="00761800" w:rsidRPr="00761800" w:rsidRDefault="00761800" w:rsidP="00761800">
      <w:pPr>
        <w:spacing w:after="120"/>
        <w:jc w:val="right"/>
        <w:rPr>
          <w:rFonts w:ascii="Times New Roman" w:hAnsi="Times New Roman"/>
          <w:b/>
          <w:bCs/>
          <w:sz w:val="20"/>
          <w:lang w:eastAsia="bg-BG"/>
        </w:rPr>
      </w:pPr>
    </w:p>
    <w:p w14:paraId="51A88748" w14:textId="77777777" w:rsidR="00761800" w:rsidRPr="00761800" w:rsidRDefault="00761800" w:rsidP="00761800">
      <w:pPr>
        <w:spacing w:after="120"/>
        <w:jc w:val="right"/>
        <w:rPr>
          <w:rFonts w:ascii="Times New Roman" w:hAnsi="Times New Roman"/>
          <w:b/>
          <w:bCs/>
          <w:sz w:val="20"/>
          <w:lang w:eastAsia="bg-BG"/>
        </w:rPr>
      </w:pPr>
    </w:p>
    <w:p w14:paraId="495AC300" w14:textId="77777777" w:rsidR="00761800" w:rsidRPr="00761800" w:rsidRDefault="00761800" w:rsidP="00761800">
      <w:pPr>
        <w:spacing w:after="120"/>
        <w:jc w:val="right"/>
        <w:rPr>
          <w:rFonts w:ascii="Times New Roman" w:hAnsi="Times New Roman"/>
          <w:b/>
          <w:bCs/>
          <w:sz w:val="20"/>
          <w:lang w:eastAsia="bg-BG"/>
        </w:rPr>
      </w:pPr>
    </w:p>
    <w:p w14:paraId="39F7BBC7" w14:textId="77777777" w:rsidR="00761800" w:rsidRPr="00761800" w:rsidRDefault="00761800" w:rsidP="00761800">
      <w:pPr>
        <w:spacing w:after="120"/>
        <w:jc w:val="right"/>
        <w:rPr>
          <w:rFonts w:ascii="Times New Roman" w:hAnsi="Times New Roman"/>
          <w:b/>
          <w:bCs/>
          <w:sz w:val="20"/>
          <w:lang w:eastAsia="bg-BG"/>
        </w:rPr>
      </w:pPr>
    </w:p>
    <w:p w14:paraId="6FEBA6E5" w14:textId="77777777" w:rsidR="00761800" w:rsidRPr="00761800" w:rsidRDefault="00761800" w:rsidP="00761800">
      <w:pPr>
        <w:spacing w:after="120"/>
        <w:jc w:val="right"/>
        <w:rPr>
          <w:rFonts w:ascii="Times New Roman" w:hAnsi="Times New Roman"/>
          <w:b/>
          <w:bCs/>
          <w:sz w:val="20"/>
          <w:lang w:eastAsia="bg-BG"/>
        </w:rPr>
      </w:pPr>
    </w:p>
    <w:p w14:paraId="3E6E84B8" w14:textId="77777777" w:rsidR="00761800" w:rsidRPr="00761800" w:rsidRDefault="00761800" w:rsidP="00761800">
      <w:pPr>
        <w:spacing w:after="120"/>
        <w:jc w:val="right"/>
        <w:rPr>
          <w:rFonts w:ascii="Times New Roman" w:hAnsi="Times New Roman"/>
          <w:b/>
          <w:bCs/>
          <w:sz w:val="20"/>
          <w:lang w:eastAsia="bg-BG"/>
        </w:rPr>
      </w:pPr>
    </w:p>
    <w:p w14:paraId="30E6657B" w14:textId="77777777" w:rsidR="00761800" w:rsidRPr="00761800" w:rsidRDefault="00761800" w:rsidP="00761800">
      <w:pPr>
        <w:spacing w:after="120"/>
        <w:jc w:val="right"/>
        <w:rPr>
          <w:rFonts w:ascii="Times New Roman" w:hAnsi="Times New Roman"/>
          <w:b/>
          <w:bCs/>
          <w:sz w:val="20"/>
          <w:lang w:eastAsia="bg-BG"/>
        </w:rPr>
      </w:pPr>
    </w:p>
    <w:p w14:paraId="11CFE2F9" w14:textId="77777777" w:rsidR="00761800" w:rsidRPr="00761800" w:rsidRDefault="00761800" w:rsidP="00761800">
      <w:pPr>
        <w:spacing w:after="120"/>
        <w:jc w:val="right"/>
        <w:rPr>
          <w:rFonts w:ascii="Times New Roman" w:hAnsi="Times New Roman"/>
          <w:b/>
          <w:bCs/>
          <w:sz w:val="20"/>
          <w:lang w:eastAsia="bg-BG"/>
        </w:rPr>
      </w:pPr>
    </w:p>
    <w:p w14:paraId="6F432247" w14:textId="77777777" w:rsidR="00761800" w:rsidRPr="00761800" w:rsidRDefault="00761800" w:rsidP="00761800">
      <w:pPr>
        <w:spacing w:after="120"/>
        <w:jc w:val="right"/>
        <w:rPr>
          <w:rFonts w:ascii="Times New Roman" w:hAnsi="Times New Roman"/>
          <w:b/>
          <w:bCs/>
          <w:sz w:val="20"/>
          <w:lang w:eastAsia="bg-BG"/>
        </w:rPr>
      </w:pPr>
    </w:p>
    <w:p w14:paraId="7D86E3FE" w14:textId="77777777" w:rsidR="00761800" w:rsidRPr="00761800" w:rsidRDefault="00761800" w:rsidP="00761800">
      <w:pPr>
        <w:spacing w:after="120"/>
        <w:jc w:val="right"/>
        <w:rPr>
          <w:rFonts w:ascii="Times New Roman" w:hAnsi="Times New Roman"/>
          <w:szCs w:val="22"/>
          <w:lang w:eastAsia="bg-BG"/>
        </w:rPr>
      </w:pPr>
    </w:p>
    <w:p w14:paraId="3AE57E2F" w14:textId="77777777" w:rsidR="00761800" w:rsidRPr="00761800" w:rsidRDefault="00761800" w:rsidP="00761800">
      <w:pPr>
        <w:keepNext/>
        <w:keepLines/>
        <w:tabs>
          <w:tab w:val="left" w:pos="426"/>
        </w:tabs>
        <w:spacing w:before="480" w:after="360"/>
        <w:outlineLvl w:val="1"/>
        <w:rPr>
          <w:rFonts w:ascii="Times New Roman" w:hAnsi="Times New Roman"/>
          <w:b/>
          <w:bCs/>
          <w:caps/>
          <w:color w:val="852010"/>
          <w:spacing w:val="10"/>
          <w:w w:val="90"/>
          <w:sz w:val="28"/>
          <w:szCs w:val="26"/>
          <w:lang w:eastAsia="bg-BG"/>
        </w:rPr>
      </w:pPr>
      <w:bookmarkStart w:id="592" w:name="_Toc464224827"/>
      <w:bookmarkStart w:id="593" w:name="_Toc464225477"/>
      <w:bookmarkStart w:id="594" w:name="_Toc464459024"/>
      <w:bookmarkStart w:id="595" w:name="_Toc464459772"/>
      <w:bookmarkStart w:id="596" w:name="_Toc464460725"/>
      <w:bookmarkStart w:id="597" w:name="_Toc464463124"/>
      <w:bookmarkStart w:id="598" w:name="_Toc464464953"/>
      <w:bookmarkStart w:id="599" w:name="_Toc464465460"/>
      <w:bookmarkStart w:id="600" w:name="_Toc464465648"/>
      <w:bookmarkStart w:id="601" w:name="_Toc464466472"/>
      <w:bookmarkStart w:id="602" w:name="_Toc464466715"/>
      <w:bookmarkStart w:id="603" w:name="_Toc464645432"/>
      <w:bookmarkStart w:id="604" w:name="_Toc465205590"/>
      <w:bookmarkStart w:id="605" w:name="_Toc233717507"/>
      <w:r w:rsidRPr="00761800">
        <w:rPr>
          <w:rFonts w:ascii="Times New Roman" w:hAnsi="Times New Roman"/>
          <w:b/>
          <w:bCs/>
          <w:caps/>
          <w:color w:val="852010"/>
          <w:spacing w:val="10"/>
          <w:w w:val="90"/>
          <w:sz w:val="28"/>
          <w:szCs w:val="26"/>
          <w:lang w:eastAsia="bg-BG"/>
        </w:rPr>
        <w:lastRenderedPageBreak/>
        <w:t xml:space="preserve">Приложение № 5: </w:t>
      </w:r>
      <w:r w:rsidRPr="00761800">
        <w:rPr>
          <w:rFonts w:ascii="Times New Roman" w:hAnsi="Times New Roman"/>
          <w:b/>
          <w:bCs/>
          <w:caps/>
          <w:color w:val="852010"/>
          <w:spacing w:val="10"/>
          <w:w w:val="90"/>
          <w:sz w:val="28"/>
          <w:szCs w:val="26"/>
          <w:lang w:eastAsia="bg-BG"/>
        </w:rPr>
        <w:br/>
        <w:t>Препоръчителни тавани на разходите по бюджетите на Народното събрание и на съдебната власт за периода 2026-2028 г.</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14:paraId="1126B51B" w14:textId="77777777" w:rsidR="00761800" w:rsidRPr="00761800" w:rsidRDefault="00761800" w:rsidP="00761800">
      <w:pPr>
        <w:spacing w:after="120"/>
        <w:jc w:val="right"/>
        <w:rPr>
          <w:rFonts w:ascii="Times New Roman" w:hAnsi="Times New Roman"/>
          <w:b/>
          <w:bCs/>
          <w:sz w:val="20"/>
          <w:lang w:eastAsia="bg-BG"/>
        </w:rPr>
      </w:pPr>
      <w:r w:rsidRPr="00761800">
        <w:rPr>
          <w:rFonts w:ascii="Times New Roman" w:hAnsi="Times New Roman"/>
          <w:b/>
          <w:bCs/>
          <w:sz w:val="20"/>
          <w:lang w:eastAsia="bg-BG"/>
        </w:rPr>
        <w:t>(в хил. евро)</w:t>
      </w:r>
    </w:p>
    <w:tbl>
      <w:tblPr>
        <w:tblW w:w="14839" w:type="dxa"/>
        <w:tblCellMar>
          <w:left w:w="70" w:type="dxa"/>
          <w:right w:w="70" w:type="dxa"/>
        </w:tblCellMar>
        <w:tblLook w:val="04A0" w:firstRow="1" w:lastRow="0" w:firstColumn="1" w:lastColumn="0" w:noHBand="0" w:noVBand="1"/>
      </w:tblPr>
      <w:tblGrid>
        <w:gridCol w:w="460"/>
        <w:gridCol w:w="9179"/>
        <w:gridCol w:w="1840"/>
        <w:gridCol w:w="1680"/>
        <w:gridCol w:w="1680"/>
      </w:tblGrid>
      <w:tr w:rsidR="00761800" w:rsidRPr="00761800" w14:paraId="6A12CE0C" w14:textId="77777777" w:rsidTr="00406B4D">
        <w:trPr>
          <w:trHeight w:val="345"/>
        </w:trPr>
        <w:tc>
          <w:tcPr>
            <w:tcW w:w="460" w:type="dxa"/>
            <w:tcBorders>
              <w:top w:val="single" w:sz="4" w:space="0" w:color="auto"/>
              <w:left w:val="nil"/>
              <w:bottom w:val="single" w:sz="4" w:space="0" w:color="auto"/>
              <w:right w:val="nil"/>
            </w:tcBorders>
            <w:shd w:val="clear" w:color="000000" w:fill="FFFFFF"/>
            <w:noWrap/>
            <w:hideMark/>
          </w:tcPr>
          <w:p w14:paraId="14FE931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9179" w:type="dxa"/>
            <w:tcBorders>
              <w:top w:val="single" w:sz="4" w:space="0" w:color="auto"/>
              <w:left w:val="nil"/>
              <w:bottom w:val="single" w:sz="4" w:space="0" w:color="auto"/>
              <w:right w:val="nil"/>
            </w:tcBorders>
            <w:shd w:val="clear" w:color="000000" w:fill="FFFFFF"/>
            <w:noWrap/>
            <w:hideMark/>
          </w:tcPr>
          <w:p w14:paraId="055DC1B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Бюджетни организации</w:t>
            </w:r>
          </w:p>
        </w:tc>
        <w:tc>
          <w:tcPr>
            <w:tcW w:w="1840" w:type="dxa"/>
            <w:tcBorders>
              <w:top w:val="single" w:sz="4" w:space="0" w:color="auto"/>
              <w:left w:val="nil"/>
              <w:bottom w:val="single" w:sz="4" w:space="0" w:color="auto"/>
              <w:right w:val="nil"/>
            </w:tcBorders>
            <w:shd w:val="clear" w:color="000000" w:fill="FFFFFF"/>
            <w:noWrap/>
            <w:hideMark/>
          </w:tcPr>
          <w:p w14:paraId="78DDFDB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2026 г.</w:t>
            </w:r>
          </w:p>
        </w:tc>
        <w:tc>
          <w:tcPr>
            <w:tcW w:w="1680" w:type="dxa"/>
            <w:tcBorders>
              <w:top w:val="single" w:sz="4" w:space="0" w:color="auto"/>
              <w:left w:val="nil"/>
              <w:bottom w:val="single" w:sz="4" w:space="0" w:color="auto"/>
              <w:right w:val="nil"/>
            </w:tcBorders>
            <w:shd w:val="clear" w:color="000000" w:fill="FFFFFF"/>
            <w:noWrap/>
            <w:hideMark/>
          </w:tcPr>
          <w:p w14:paraId="775C67E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2027 г.</w:t>
            </w:r>
          </w:p>
        </w:tc>
        <w:tc>
          <w:tcPr>
            <w:tcW w:w="1680" w:type="dxa"/>
            <w:tcBorders>
              <w:top w:val="single" w:sz="4" w:space="0" w:color="auto"/>
              <w:left w:val="nil"/>
              <w:bottom w:val="single" w:sz="4" w:space="0" w:color="auto"/>
              <w:right w:val="nil"/>
            </w:tcBorders>
            <w:shd w:val="clear" w:color="000000" w:fill="FFFFFF"/>
            <w:noWrap/>
            <w:hideMark/>
          </w:tcPr>
          <w:p w14:paraId="2F0B92F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2028 г.</w:t>
            </w:r>
          </w:p>
        </w:tc>
      </w:tr>
      <w:tr w:rsidR="00761800" w:rsidRPr="00761800" w14:paraId="117ADAB6" w14:textId="77777777" w:rsidTr="00406B4D">
        <w:trPr>
          <w:trHeight w:val="319"/>
        </w:trPr>
        <w:tc>
          <w:tcPr>
            <w:tcW w:w="460" w:type="dxa"/>
            <w:tcBorders>
              <w:top w:val="nil"/>
              <w:left w:val="nil"/>
              <w:bottom w:val="nil"/>
              <w:right w:val="nil"/>
            </w:tcBorders>
            <w:shd w:val="clear" w:color="000000" w:fill="FFFFFF"/>
            <w:noWrap/>
            <w:hideMark/>
          </w:tcPr>
          <w:p w14:paraId="6E778FE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w:t>
            </w:r>
          </w:p>
        </w:tc>
        <w:tc>
          <w:tcPr>
            <w:tcW w:w="9179" w:type="dxa"/>
            <w:tcBorders>
              <w:top w:val="nil"/>
              <w:left w:val="nil"/>
              <w:bottom w:val="nil"/>
              <w:right w:val="nil"/>
            </w:tcBorders>
            <w:shd w:val="clear" w:color="000000" w:fill="FFFFFF"/>
            <w:noWrap/>
            <w:hideMark/>
          </w:tcPr>
          <w:p w14:paraId="7BD8802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Народно събрание</w:t>
            </w:r>
          </w:p>
        </w:tc>
        <w:tc>
          <w:tcPr>
            <w:tcW w:w="1840" w:type="dxa"/>
            <w:tcBorders>
              <w:top w:val="nil"/>
              <w:left w:val="nil"/>
              <w:bottom w:val="nil"/>
              <w:right w:val="nil"/>
            </w:tcBorders>
            <w:shd w:val="clear" w:color="000000" w:fill="FFFFFF"/>
            <w:noWrap/>
            <w:hideMark/>
          </w:tcPr>
          <w:p w14:paraId="3BBA813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65 167,0</w:t>
            </w:r>
          </w:p>
        </w:tc>
        <w:tc>
          <w:tcPr>
            <w:tcW w:w="1680" w:type="dxa"/>
            <w:tcBorders>
              <w:top w:val="nil"/>
              <w:left w:val="nil"/>
              <w:bottom w:val="nil"/>
              <w:right w:val="nil"/>
            </w:tcBorders>
            <w:shd w:val="clear" w:color="000000" w:fill="FFFFFF"/>
            <w:noWrap/>
            <w:hideMark/>
          </w:tcPr>
          <w:p w14:paraId="7CFCC5D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69 413,0</w:t>
            </w:r>
          </w:p>
        </w:tc>
        <w:tc>
          <w:tcPr>
            <w:tcW w:w="1680" w:type="dxa"/>
            <w:tcBorders>
              <w:top w:val="nil"/>
              <w:left w:val="nil"/>
              <w:bottom w:val="nil"/>
              <w:right w:val="nil"/>
            </w:tcBorders>
            <w:shd w:val="clear" w:color="000000" w:fill="FFFFFF"/>
            <w:noWrap/>
            <w:hideMark/>
          </w:tcPr>
          <w:p w14:paraId="083FC52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66 846,0</w:t>
            </w:r>
          </w:p>
        </w:tc>
      </w:tr>
      <w:tr w:rsidR="00761800" w:rsidRPr="00761800" w14:paraId="2E835C70" w14:textId="77777777" w:rsidTr="00406B4D">
        <w:trPr>
          <w:trHeight w:val="319"/>
        </w:trPr>
        <w:tc>
          <w:tcPr>
            <w:tcW w:w="460" w:type="dxa"/>
            <w:tcBorders>
              <w:top w:val="nil"/>
              <w:left w:val="nil"/>
              <w:bottom w:val="single" w:sz="4" w:space="0" w:color="auto"/>
              <w:right w:val="nil"/>
            </w:tcBorders>
            <w:shd w:val="clear" w:color="000000" w:fill="FFFFFF"/>
            <w:noWrap/>
            <w:hideMark/>
          </w:tcPr>
          <w:p w14:paraId="3125296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w:t>
            </w:r>
          </w:p>
        </w:tc>
        <w:tc>
          <w:tcPr>
            <w:tcW w:w="9179" w:type="dxa"/>
            <w:tcBorders>
              <w:top w:val="nil"/>
              <w:left w:val="nil"/>
              <w:bottom w:val="single" w:sz="4" w:space="0" w:color="auto"/>
              <w:right w:val="nil"/>
            </w:tcBorders>
            <w:shd w:val="clear" w:color="000000" w:fill="FFFFFF"/>
            <w:noWrap/>
            <w:hideMark/>
          </w:tcPr>
          <w:p w14:paraId="79B2DBA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Висш съдебен съвет</w:t>
            </w:r>
          </w:p>
        </w:tc>
        <w:tc>
          <w:tcPr>
            <w:tcW w:w="1840" w:type="dxa"/>
            <w:tcBorders>
              <w:top w:val="nil"/>
              <w:left w:val="nil"/>
              <w:bottom w:val="single" w:sz="4" w:space="0" w:color="auto"/>
              <w:right w:val="nil"/>
            </w:tcBorders>
            <w:shd w:val="clear" w:color="000000" w:fill="FFFFFF"/>
            <w:noWrap/>
            <w:hideMark/>
          </w:tcPr>
          <w:p w14:paraId="5DA1006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762 033,0</w:t>
            </w:r>
          </w:p>
        </w:tc>
        <w:tc>
          <w:tcPr>
            <w:tcW w:w="1680" w:type="dxa"/>
            <w:tcBorders>
              <w:top w:val="nil"/>
              <w:left w:val="nil"/>
              <w:bottom w:val="single" w:sz="4" w:space="0" w:color="auto"/>
              <w:right w:val="nil"/>
            </w:tcBorders>
            <w:shd w:val="clear" w:color="000000" w:fill="FFFFFF"/>
            <w:noWrap/>
            <w:hideMark/>
          </w:tcPr>
          <w:p w14:paraId="0498BFB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701 847,8</w:t>
            </w:r>
          </w:p>
        </w:tc>
        <w:tc>
          <w:tcPr>
            <w:tcW w:w="1680" w:type="dxa"/>
            <w:tcBorders>
              <w:top w:val="nil"/>
              <w:left w:val="nil"/>
              <w:bottom w:val="single" w:sz="4" w:space="0" w:color="auto"/>
              <w:right w:val="nil"/>
            </w:tcBorders>
            <w:shd w:val="clear" w:color="000000" w:fill="FFFFFF"/>
            <w:noWrap/>
            <w:hideMark/>
          </w:tcPr>
          <w:p w14:paraId="72FEA81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701 847,8</w:t>
            </w:r>
          </w:p>
        </w:tc>
      </w:tr>
    </w:tbl>
    <w:p w14:paraId="007E05B0" w14:textId="77777777" w:rsidR="00761800" w:rsidRPr="00761800" w:rsidRDefault="00761800" w:rsidP="00761800">
      <w:pPr>
        <w:spacing w:after="120"/>
        <w:jc w:val="right"/>
        <w:rPr>
          <w:rFonts w:ascii="Times New Roman" w:hAnsi="Times New Roman"/>
          <w:b/>
          <w:bCs/>
          <w:sz w:val="20"/>
          <w:lang w:eastAsia="bg-BG"/>
        </w:rPr>
      </w:pPr>
    </w:p>
    <w:p w14:paraId="7DACF1F9" w14:textId="77777777" w:rsidR="00761800" w:rsidRPr="00761800" w:rsidRDefault="00761800" w:rsidP="00761800">
      <w:pPr>
        <w:spacing w:after="120"/>
        <w:jc w:val="right"/>
        <w:rPr>
          <w:rFonts w:ascii="Times New Roman" w:hAnsi="Times New Roman"/>
          <w:b/>
          <w:bCs/>
          <w:sz w:val="20"/>
          <w:lang w:eastAsia="bg-BG"/>
        </w:rPr>
      </w:pPr>
    </w:p>
    <w:p w14:paraId="6ECBD0C5" w14:textId="77777777" w:rsidR="00761800" w:rsidRPr="00761800" w:rsidRDefault="00761800" w:rsidP="00761800">
      <w:pPr>
        <w:keepNext/>
        <w:keepLines/>
        <w:tabs>
          <w:tab w:val="left" w:pos="426"/>
        </w:tabs>
        <w:spacing w:before="480" w:after="360"/>
        <w:outlineLvl w:val="1"/>
        <w:rPr>
          <w:rFonts w:ascii="Times New Roman" w:hAnsi="Times New Roman"/>
          <w:b/>
          <w:bCs/>
          <w:caps/>
          <w:color w:val="852010"/>
          <w:spacing w:val="10"/>
          <w:w w:val="90"/>
          <w:sz w:val="28"/>
          <w:szCs w:val="26"/>
          <w:lang w:eastAsia="bg-BG"/>
        </w:rPr>
      </w:pPr>
      <w:bookmarkStart w:id="606" w:name="_Toc464224828"/>
      <w:bookmarkStart w:id="607" w:name="_Toc464225478"/>
      <w:bookmarkStart w:id="608" w:name="_Toc464459025"/>
      <w:bookmarkStart w:id="609" w:name="_Toc464459773"/>
      <w:bookmarkStart w:id="610" w:name="_Toc464460726"/>
      <w:bookmarkStart w:id="611" w:name="_Toc464463125"/>
      <w:bookmarkStart w:id="612" w:name="_Toc464464954"/>
      <w:bookmarkStart w:id="613" w:name="_Toc464465461"/>
      <w:bookmarkStart w:id="614" w:name="_Toc464465649"/>
      <w:bookmarkStart w:id="615" w:name="_Toc464466473"/>
      <w:bookmarkStart w:id="616" w:name="_Toc464466716"/>
      <w:bookmarkStart w:id="617" w:name="_Toc464645433"/>
      <w:bookmarkStart w:id="618" w:name="_Toc465205591"/>
      <w:bookmarkStart w:id="619" w:name="_Toc233717508"/>
      <w:r w:rsidRPr="00761800">
        <w:rPr>
          <w:rFonts w:ascii="Times New Roman" w:hAnsi="Times New Roman"/>
          <w:b/>
          <w:bCs/>
          <w:caps/>
          <w:color w:val="852010"/>
          <w:spacing w:val="10"/>
          <w:w w:val="90"/>
          <w:sz w:val="28"/>
          <w:szCs w:val="26"/>
          <w:lang w:eastAsia="bg-BG"/>
        </w:rPr>
        <w:t xml:space="preserve">Приложение № 6: </w:t>
      </w:r>
      <w:r w:rsidRPr="00761800">
        <w:rPr>
          <w:rFonts w:ascii="Times New Roman" w:hAnsi="Times New Roman"/>
          <w:b/>
          <w:bCs/>
          <w:caps/>
          <w:color w:val="852010"/>
          <w:spacing w:val="10"/>
          <w:w w:val="90"/>
          <w:sz w:val="28"/>
          <w:szCs w:val="26"/>
          <w:lang w:eastAsia="bg-BG"/>
        </w:rPr>
        <w:br/>
        <w:t>Размери на бюджетните взаимоотношения (трансферите) на държавния бюджет с бюджетите на БНТ, БНР, БТА, БАН, държавните висши училища и държавните висши военни училища за периода 2026-2028 г.</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14:paraId="1C150FED" w14:textId="77777777" w:rsidR="00761800" w:rsidRPr="00761800" w:rsidRDefault="00761800" w:rsidP="00761800">
      <w:pPr>
        <w:spacing w:after="120"/>
        <w:jc w:val="right"/>
        <w:rPr>
          <w:rFonts w:ascii="Times New Roman" w:hAnsi="Times New Roman"/>
          <w:b/>
          <w:bCs/>
          <w:sz w:val="20"/>
          <w:lang w:eastAsia="bg-BG"/>
        </w:rPr>
      </w:pPr>
      <w:r w:rsidRPr="00761800">
        <w:rPr>
          <w:rFonts w:ascii="Times New Roman" w:hAnsi="Times New Roman"/>
          <w:b/>
          <w:bCs/>
          <w:sz w:val="20"/>
          <w:lang w:eastAsia="bg-BG"/>
        </w:rPr>
        <w:t>(в хил. евро)</w:t>
      </w:r>
    </w:p>
    <w:tbl>
      <w:tblPr>
        <w:tblW w:w="15006" w:type="dxa"/>
        <w:tblCellMar>
          <w:left w:w="70" w:type="dxa"/>
          <w:right w:w="70" w:type="dxa"/>
        </w:tblCellMar>
        <w:tblLook w:val="04A0" w:firstRow="1" w:lastRow="0" w:firstColumn="1" w:lastColumn="0" w:noHBand="0" w:noVBand="1"/>
      </w:tblPr>
      <w:tblGrid>
        <w:gridCol w:w="460"/>
        <w:gridCol w:w="9746"/>
        <w:gridCol w:w="1600"/>
        <w:gridCol w:w="1600"/>
        <w:gridCol w:w="1600"/>
      </w:tblGrid>
      <w:tr w:rsidR="00761800" w:rsidRPr="00761800" w14:paraId="0D48391B" w14:textId="77777777" w:rsidTr="00406B4D">
        <w:trPr>
          <w:trHeight w:val="330"/>
        </w:trPr>
        <w:tc>
          <w:tcPr>
            <w:tcW w:w="460" w:type="dxa"/>
            <w:tcBorders>
              <w:top w:val="single" w:sz="4" w:space="0" w:color="auto"/>
              <w:left w:val="nil"/>
              <w:bottom w:val="single" w:sz="4" w:space="0" w:color="auto"/>
              <w:right w:val="nil"/>
            </w:tcBorders>
            <w:shd w:val="clear" w:color="000000" w:fill="FFFFFF"/>
            <w:noWrap/>
            <w:hideMark/>
          </w:tcPr>
          <w:p w14:paraId="6F10C26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9746" w:type="dxa"/>
            <w:tcBorders>
              <w:top w:val="single" w:sz="4" w:space="0" w:color="auto"/>
              <w:left w:val="nil"/>
              <w:bottom w:val="single" w:sz="4" w:space="0" w:color="auto"/>
              <w:right w:val="nil"/>
            </w:tcBorders>
            <w:shd w:val="clear" w:color="000000" w:fill="FFFFFF"/>
            <w:noWrap/>
            <w:hideMark/>
          </w:tcPr>
          <w:p w14:paraId="70FEB1F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Бюджетни взаимоотношения (трансфери)</w:t>
            </w:r>
          </w:p>
        </w:tc>
        <w:tc>
          <w:tcPr>
            <w:tcW w:w="1600" w:type="dxa"/>
            <w:tcBorders>
              <w:top w:val="single" w:sz="4" w:space="0" w:color="auto"/>
              <w:left w:val="nil"/>
              <w:bottom w:val="single" w:sz="4" w:space="0" w:color="auto"/>
              <w:right w:val="nil"/>
            </w:tcBorders>
            <w:shd w:val="clear" w:color="000000" w:fill="FFFFFF"/>
            <w:hideMark/>
          </w:tcPr>
          <w:p w14:paraId="75FD8A8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2026 г.</w:t>
            </w:r>
          </w:p>
        </w:tc>
        <w:tc>
          <w:tcPr>
            <w:tcW w:w="1600" w:type="dxa"/>
            <w:tcBorders>
              <w:top w:val="single" w:sz="4" w:space="0" w:color="auto"/>
              <w:left w:val="nil"/>
              <w:bottom w:val="single" w:sz="4" w:space="0" w:color="auto"/>
              <w:right w:val="nil"/>
            </w:tcBorders>
            <w:shd w:val="clear" w:color="000000" w:fill="FFFFFF"/>
            <w:hideMark/>
          </w:tcPr>
          <w:p w14:paraId="1AB8090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2027 г.</w:t>
            </w:r>
          </w:p>
        </w:tc>
        <w:tc>
          <w:tcPr>
            <w:tcW w:w="1600" w:type="dxa"/>
            <w:tcBorders>
              <w:top w:val="single" w:sz="4" w:space="0" w:color="auto"/>
              <w:left w:val="nil"/>
              <w:bottom w:val="single" w:sz="4" w:space="0" w:color="auto"/>
              <w:right w:val="nil"/>
            </w:tcBorders>
            <w:shd w:val="clear" w:color="000000" w:fill="FFFFFF"/>
            <w:hideMark/>
          </w:tcPr>
          <w:p w14:paraId="213F1CF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2028 г.</w:t>
            </w:r>
          </w:p>
        </w:tc>
      </w:tr>
      <w:tr w:rsidR="00761800" w:rsidRPr="00761800" w14:paraId="29C04936" w14:textId="77777777" w:rsidTr="00406B4D">
        <w:trPr>
          <w:trHeight w:val="259"/>
        </w:trPr>
        <w:tc>
          <w:tcPr>
            <w:tcW w:w="460" w:type="dxa"/>
            <w:tcBorders>
              <w:top w:val="nil"/>
              <w:left w:val="nil"/>
              <w:bottom w:val="nil"/>
              <w:right w:val="nil"/>
            </w:tcBorders>
            <w:shd w:val="clear" w:color="000000" w:fill="FFFFFF"/>
            <w:noWrap/>
            <w:hideMark/>
          </w:tcPr>
          <w:p w14:paraId="26C38BD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w:t>
            </w:r>
          </w:p>
        </w:tc>
        <w:tc>
          <w:tcPr>
            <w:tcW w:w="9746" w:type="dxa"/>
            <w:tcBorders>
              <w:top w:val="nil"/>
              <w:left w:val="nil"/>
              <w:bottom w:val="nil"/>
              <w:right w:val="nil"/>
            </w:tcBorders>
            <w:shd w:val="clear" w:color="000000" w:fill="FFFFFF"/>
            <w:hideMark/>
          </w:tcPr>
          <w:p w14:paraId="36D77D9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Предоставени трансфери от централния бюджет за бюджета на Българската национална телевизия</w:t>
            </w:r>
          </w:p>
        </w:tc>
        <w:tc>
          <w:tcPr>
            <w:tcW w:w="1600" w:type="dxa"/>
            <w:tcBorders>
              <w:top w:val="nil"/>
              <w:left w:val="nil"/>
              <w:bottom w:val="nil"/>
              <w:right w:val="nil"/>
            </w:tcBorders>
            <w:shd w:val="clear" w:color="000000" w:fill="FFFFFF"/>
            <w:noWrap/>
            <w:vAlign w:val="bottom"/>
            <w:hideMark/>
          </w:tcPr>
          <w:p w14:paraId="03F9A0D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49 503,7</w:t>
            </w:r>
          </w:p>
        </w:tc>
        <w:tc>
          <w:tcPr>
            <w:tcW w:w="1600" w:type="dxa"/>
            <w:tcBorders>
              <w:top w:val="nil"/>
              <w:left w:val="nil"/>
              <w:bottom w:val="nil"/>
              <w:right w:val="nil"/>
            </w:tcBorders>
            <w:shd w:val="clear" w:color="000000" w:fill="FFFFFF"/>
            <w:noWrap/>
            <w:vAlign w:val="bottom"/>
            <w:hideMark/>
          </w:tcPr>
          <w:p w14:paraId="1A9CE8B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49 526,7</w:t>
            </w:r>
          </w:p>
        </w:tc>
        <w:tc>
          <w:tcPr>
            <w:tcW w:w="1600" w:type="dxa"/>
            <w:tcBorders>
              <w:top w:val="nil"/>
              <w:left w:val="nil"/>
              <w:bottom w:val="nil"/>
              <w:right w:val="nil"/>
            </w:tcBorders>
            <w:shd w:val="clear" w:color="000000" w:fill="FFFFFF"/>
            <w:noWrap/>
            <w:vAlign w:val="bottom"/>
            <w:hideMark/>
          </w:tcPr>
          <w:p w14:paraId="1097C72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49 526,7</w:t>
            </w:r>
          </w:p>
        </w:tc>
      </w:tr>
      <w:tr w:rsidR="00761800" w:rsidRPr="00761800" w14:paraId="3C9DBA86" w14:textId="77777777" w:rsidTr="00406B4D">
        <w:trPr>
          <w:trHeight w:val="259"/>
        </w:trPr>
        <w:tc>
          <w:tcPr>
            <w:tcW w:w="460" w:type="dxa"/>
            <w:tcBorders>
              <w:top w:val="nil"/>
              <w:left w:val="nil"/>
              <w:bottom w:val="nil"/>
              <w:right w:val="nil"/>
            </w:tcBorders>
            <w:shd w:val="clear" w:color="000000" w:fill="FFFFFF"/>
            <w:noWrap/>
            <w:hideMark/>
          </w:tcPr>
          <w:p w14:paraId="50C563E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c>
          <w:tcPr>
            <w:tcW w:w="9746" w:type="dxa"/>
            <w:tcBorders>
              <w:top w:val="nil"/>
              <w:left w:val="nil"/>
              <w:bottom w:val="nil"/>
              <w:right w:val="nil"/>
            </w:tcBorders>
            <w:shd w:val="clear" w:color="000000" w:fill="FFFFFF"/>
            <w:hideMark/>
          </w:tcPr>
          <w:p w14:paraId="3F955840" w14:textId="77777777" w:rsidR="00761800" w:rsidRPr="00761800" w:rsidRDefault="00761800" w:rsidP="00761800">
            <w:pPr>
              <w:ind w:firstLineChars="100" w:firstLine="200"/>
              <w:rPr>
                <w:rFonts w:ascii="Times New Roman" w:hAnsi="Times New Roman"/>
                <w:sz w:val="20"/>
                <w:lang w:eastAsia="bg-BG"/>
              </w:rPr>
            </w:pPr>
            <w:r w:rsidRPr="00761800">
              <w:rPr>
                <w:rFonts w:ascii="Times New Roman" w:hAnsi="Times New Roman"/>
                <w:sz w:val="20"/>
                <w:lang w:eastAsia="bg-BG"/>
              </w:rPr>
              <w:t>в т. ч. по чл. 70, ал. 4, т. 2 от Закона за радиото и телевизията</w:t>
            </w:r>
          </w:p>
        </w:tc>
        <w:tc>
          <w:tcPr>
            <w:tcW w:w="1600" w:type="dxa"/>
            <w:tcBorders>
              <w:top w:val="nil"/>
              <w:left w:val="nil"/>
              <w:bottom w:val="nil"/>
              <w:right w:val="nil"/>
            </w:tcBorders>
            <w:shd w:val="clear" w:color="000000" w:fill="FFFFFF"/>
            <w:noWrap/>
            <w:vAlign w:val="bottom"/>
            <w:hideMark/>
          </w:tcPr>
          <w:p w14:paraId="5F675AD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3 118,9</w:t>
            </w:r>
          </w:p>
        </w:tc>
        <w:tc>
          <w:tcPr>
            <w:tcW w:w="1600" w:type="dxa"/>
            <w:tcBorders>
              <w:top w:val="nil"/>
              <w:left w:val="nil"/>
              <w:bottom w:val="nil"/>
              <w:right w:val="nil"/>
            </w:tcBorders>
            <w:shd w:val="clear" w:color="000000" w:fill="FFFFFF"/>
            <w:noWrap/>
            <w:vAlign w:val="bottom"/>
            <w:hideMark/>
          </w:tcPr>
          <w:p w14:paraId="1B15419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3 118,9</w:t>
            </w:r>
          </w:p>
        </w:tc>
        <w:tc>
          <w:tcPr>
            <w:tcW w:w="1600" w:type="dxa"/>
            <w:tcBorders>
              <w:top w:val="nil"/>
              <w:left w:val="nil"/>
              <w:bottom w:val="nil"/>
              <w:right w:val="nil"/>
            </w:tcBorders>
            <w:shd w:val="clear" w:color="000000" w:fill="FFFFFF"/>
            <w:noWrap/>
            <w:vAlign w:val="bottom"/>
            <w:hideMark/>
          </w:tcPr>
          <w:p w14:paraId="198273B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3 118,9</w:t>
            </w:r>
          </w:p>
        </w:tc>
      </w:tr>
      <w:tr w:rsidR="00761800" w:rsidRPr="00761800" w14:paraId="011D8A95" w14:textId="77777777" w:rsidTr="00406B4D">
        <w:trPr>
          <w:trHeight w:val="300"/>
        </w:trPr>
        <w:tc>
          <w:tcPr>
            <w:tcW w:w="460" w:type="dxa"/>
            <w:tcBorders>
              <w:top w:val="nil"/>
              <w:left w:val="nil"/>
              <w:bottom w:val="nil"/>
              <w:right w:val="nil"/>
            </w:tcBorders>
            <w:shd w:val="clear" w:color="000000" w:fill="FFFFFF"/>
            <w:noWrap/>
            <w:hideMark/>
          </w:tcPr>
          <w:p w14:paraId="0A09835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w:t>
            </w:r>
          </w:p>
        </w:tc>
        <w:tc>
          <w:tcPr>
            <w:tcW w:w="9746" w:type="dxa"/>
            <w:tcBorders>
              <w:top w:val="nil"/>
              <w:left w:val="nil"/>
              <w:bottom w:val="nil"/>
              <w:right w:val="nil"/>
            </w:tcBorders>
            <w:shd w:val="clear" w:color="000000" w:fill="FFFFFF"/>
            <w:hideMark/>
          </w:tcPr>
          <w:p w14:paraId="2A017B1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Предоставени трансфери от централния бюджет за бюджета на Българското национално радио</w:t>
            </w:r>
          </w:p>
        </w:tc>
        <w:tc>
          <w:tcPr>
            <w:tcW w:w="1600" w:type="dxa"/>
            <w:tcBorders>
              <w:top w:val="nil"/>
              <w:left w:val="nil"/>
              <w:bottom w:val="nil"/>
              <w:right w:val="nil"/>
            </w:tcBorders>
            <w:shd w:val="clear" w:color="000000" w:fill="FFFFFF"/>
            <w:noWrap/>
            <w:vAlign w:val="bottom"/>
            <w:hideMark/>
          </w:tcPr>
          <w:p w14:paraId="15DB5E2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35 299,2</w:t>
            </w:r>
          </w:p>
        </w:tc>
        <w:tc>
          <w:tcPr>
            <w:tcW w:w="1600" w:type="dxa"/>
            <w:tcBorders>
              <w:top w:val="nil"/>
              <w:left w:val="nil"/>
              <w:bottom w:val="nil"/>
              <w:right w:val="nil"/>
            </w:tcBorders>
            <w:shd w:val="clear" w:color="000000" w:fill="FFFFFF"/>
            <w:noWrap/>
            <w:vAlign w:val="bottom"/>
            <w:hideMark/>
          </w:tcPr>
          <w:p w14:paraId="1BB78DE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35 355,9</w:t>
            </w:r>
          </w:p>
        </w:tc>
        <w:tc>
          <w:tcPr>
            <w:tcW w:w="1600" w:type="dxa"/>
            <w:tcBorders>
              <w:top w:val="nil"/>
              <w:left w:val="nil"/>
              <w:bottom w:val="nil"/>
              <w:right w:val="nil"/>
            </w:tcBorders>
            <w:shd w:val="clear" w:color="000000" w:fill="FFFFFF"/>
            <w:noWrap/>
            <w:vAlign w:val="bottom"/>
            <w:hideMark/>
          </w:tcPr>
          <w:p w14:paraId="6BCBB64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35 355,9</w:t>
            </w:r>
          </w:p>
        </w:tc>
      </w:tr>
      <w:tr w:rsidR="00761800" w:rsidRPr="00761800" w14:paraId="2B5576A8" w14:textId="77777777" w:rsidTr="00406B4D">
        <w:trPr>
          <w:trHeight w:val="259"/>
        </w:trPr>
        <w:tc>
          <w:tcPr>
            <w:tcW w:w="460" w:type="dxa"/>
            <w:tcBorders>
              <w:top w:val="nil"/>
              <w:left w:val="nil"/>
              <w:bottom w:val="nil"/>
              <w:right w:val="nil"/>
            </w:tcBorders>
            <w:shd w:val="clear" w:color="000000" w:fill="FFFFFF"/>
            <w:noWrap/>
            <w:hideMark/>
          </w:tcPr>
          <w:p w14:paraId="655A2B1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 </w:t>
            </w:r>
          </w:p>
        </w:tc>
        <w:tc>
          <w:tcPr>
            <w:tcW w:w="9746" w:type="dxa"/>
            <w:tcBorders>
              <w:top w:val="nil"/>
              <w:left w:val="nil"/>
              <w:bottom w:val="nil"/>
              <w:right w:val="nil"/>
            </w:tcBorders>
            <w:shd w:val="clear" w:color="000000" w:fill="FFFFFF"/>
            <w:hideMark/>
          </w:tcPr>
          <w:p w14:paraId="4F346E65" w14:textId="77777777" w:rsidR="00761800" w:rsidRPr="00761800" w:rsidRDefault="00761800" w:rsidP="00761800">
            <w:pPr>
              <w:ind w:firstLineChars="100" w:firstLine="200"/>
              <w:rPr>
                <w:rFonts w:ascii="Times New Roman" w:hAnsi="Times New Roman"/>
                <w:sz w:val="20"/>
                <w:lang w:eastAsia="bg-BG"/>
              </w:rPr>
            </w:pPr>
            <w:r w:rsidRPr="00761800">
              <w:rPr>
                <w:rFonts w:ascii="Times New Roman" w:hAnsi="Times New Roman"/>
                <w:sz w:val="20"/>
                <w:lang w:eastAsia="bg-BG"/>
              </w:rPr>
              <w:t>в т. ч. по чл. 70, ал. 4, т. 2 от Закона за радиото и телевизията</w:t>
            </w:r>
          </w:p>
        </w:tc>
        <w:tc>
          <w:tcPr>
            <w:tcW w:w="1600" w:type="dxa"/>
            <w:tcBorders>
              <w:top w:val="nil"/>
              <w:left w:val="nil"/>
              <w:bottom w:val="nil"/>
              <w:right w:val="nil"/>
            </w:tcBorders>
            <w:shd w:val="clear" w:color="000000" w:fill="FFFFFF"/>
            <w:noWrap/>
            <w:vAlign w:val="bottom"/>
            <w:hideMark/>
          </w:tcPr>
          <w:p w14:paraId="297BF7D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1 994,0</w:t>
            </w:r>
          </w:p>
        </w:tc>
        <w:tc>
          <w:tcPr>
            <w:tcW w:w="1600" w:type="dxa"/>
            <w:tcBorders>
              <w:top w:val="nil"/>
              <w:left w:val="nil"/>
              <w:bottom w:val="nil"/>
              <w:right w:val="nil"/>
            </w:tcBorders>
            <w:shd w:val="clear" w:color="000000" w:fill="FFFFFF"/>
            <w:noWrap/>
            <w:vAlign w:val="bottom"/>
            <w:hideMark/>
          </w:tcPr>
          <w:p w14:paraId="13E033E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1 994,0</w:t>
            </w:r>
          </w:p>
        </w:tc>
        <w:tc>
          <w:tcPr>
            <w:tcW w:w="1600" w:type="dxa"/>
            <w:tcBorders>
              <w:top w:val="nil"/>
              <w:left w:val="nil"/>
              <w:bottom w:val="nil"/>
              <w:right w:val="nil"/>
            </w:tcBorders>
            <w:shd w:val="clear" w:color="000000" w:fill="FFFFFF"/>
            <w:noWrap/>
            <w:vAlign w:val="bottom"/>
            <w:hideMark/>
          </w:tcPr>
          <w:p w14:paraId="1B33BFE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1 994,0</w:t>
            </w:r>
          </w:p>
        </w:tc>
      </w:tr>
      <w:tr w:rsidR="00761800" w:rsidRPr="00761800" w14:paraId="137516B6" w14:textId="77777777" w:rsidTr="00406B4D">
        <w:trPr>
          <w:trHeight w:val="259"/>
        </w:trPr>
        <w:tc>
          <w:tcPr>
            <w:tcW w:w="460" w:type="dxa"/>
            <w:tcBorders>
              <w:top w:val="nil"/>
              <w:left w:val="nil"/>
              <w:bottom w:val="nil"/>
              <w:right w:val="nil"/>
            </w:tcBorders>
            <w:shd w:val="clear" w:color="000000" w:fill="FFFFFF"/>
            <w:noWrap/>
            <w:hideMark/>
          </w:tcPr>
          <w:p w14:paraId="08B5C2E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w:t>
            </w:r>
          </w:p>
        </w:tc>
        <w:tc>
          <w:tcPr>
            <w:tcW w:w="9746" w:type="dxa"/>
            <w:tcBorders>
              <w:top w:val="nil"/>
              <w:left w:val="nil"/>
              <w:bottom w:val="nil"/>
              <w:right w:val="nil"/>
            </w:tcBorders>
            <w:shd w:val="clear" w:color="000000" w:fill="FFFFFF"/>
            <w:hideMark/>
          </w:tcPr>
          <w:p w14:paraId="4003EB4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Предоставени трансфери от централния бюджет за бюджета на Българската телеграфна агенция</w:t>
            </w:r>
          </w:p>
        </w:tc>
        <w:tc>
          <w:tcPr>
            <w:tcW w:w="1600" w:type="dxa"/>
            <w:tcBorders>
              <w:top w:val="nil"/>
              <w:left w:val="nil"/>
              <w:bottom w:val="nil"/>
              <w:right w:val="nil"/>
            </w:tcBorders>
            <w:shd w:val="clear" w:color="000000" w:fill="FFFFFF"/>
            <w:noWrap/>
            <w:vAlign w:val="bottom"/>
            <w:hideMark/>
          </w:tcPr>
          <w:p w14:paraId="7165827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9 761,6</w:t>
            </w:r>
          </w:p>
        </w:tc>
        <w:tc>
          <w:tcPr>
            <w:tcW w:w="1600" w:type="dxa"/>
            <w:tcBorders>
              <w:top w:val="nil"/>
              <w:left w:val="nil"/>
              <w:bottom w:val="nil"/>
              <w:right w:val="nil"/>
            </w:tcBorders>
            <w:shd w:val="clear" w:color="000000" w:fill="FFFFFF"/>
            <w:noWrap/>
            <w:vAlign w:val="bottom"/>
            <w:hideMark/>
          </w:tcPr>
          <w:p w14:paraId="5E4C001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8 343,1</w:t>
            </w:r>
          </w:p>
        </w:tc>
        <w:tc>
          <w:tcPr>
            <w:tcW w:w="1600" w:type="dxa"/>
            <w:tcBorders>
              <w:top w:val="nil"/>
              <w:left w:val="nil"/>
              <w:bottom w:val="nil"/>
              <w:right w:val="nil"/>
            </w:tcBorders>
            <w:shd w:val="clear" w:color="000000" w:fill="FFFFFF"/>
            <w:noWrap/>
            <w:vAlign w:val="bottom"/>
            <w:hideMark/>
          </w:tcPr>
          <w:p w14:paraId="24ACC7A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8 343,1</w:t>
            </w:r>
          </w:p>
        </w:tc>
      </w:tr>
      <w:tr w:rsidR="00761800" w:rsidRPr="00761800" w14:paraId="577F0CC8" w14:textId="77777777" w:rsidTr="00406B4D">
        <w:trPr>
          <w:trHeight w:val="570"/>
        </w:trPr>
        <w:tc>
          <w:tcPr>
            <w:tcW w:w="460" w:type="dxa"/>
            <w:tcBorders>
              <w:top w:val="nil"/>
              <w:left w:val="nil"/>
              <w:bottom w:val="nil"/>
              <w:right w:val="nil"/>
            </w:tcBorders>
            <w:shd w:val="clear" w:color="000000" w:fill="FFFFFF"/>
            <w:noWrap/>
            <w:hideMark/>
          </w:tcPr>
          <w:p w14:paraId="0DF4F5F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w:t>
            </w:r>
          </w:p>
        </w:tc>
        <w:tc>
          <w:tcPr>
            <w:tcW w:w="9746" w:type="dxa"/>
            <w:tcBorders>
              <w:top w:val="nil"/>
              <w:left w:val="nil"/>
              <w:bottom w:val="nil"/>
              <w:right w:val="nil"/>
            </w:tcBorders>
            <w:shd w:val="clear" w:color="000000" w:fill="FFFFFF"/>
            <w:hideMark/>
          </w:tcPr>
          <w:p w14:paraId="098C16B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Предоставени трансфери от бюджета на Министерството на образованието и науката за бюджетите на Българската академия на науките и държавните висши училища - общо</w:t>
            </w:r>
          </w:p>
        </w:tc>
        <w:tc>
          <w:tcPr>
            <w:tcW w:w="1600" w:type="dxa"/>
            <w:tcBorders>
              <w:top w:val="nil"/>
              <w:left w:val="nil"/>
              <w:bottom w:val="nil"/>
              <w:right w:val="nil"/>
            </w:tcBorders>
            <w:shd w:val="clear" w:color="000000" w:fill="FFFFFF"/>
            <w:noWrap/>
            <w:vAlign w:val="bottom"/>
            <w:hideMark/>
          </w:tcPr>
          <w:p w14:paraId="5E51119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792 877,6</w:t>
            </w:r>
          </w:p>
        </w:tc>
        <w:tc>
          <w:tcPr>
            <w:tcW w:w="1600" w:type="dxa"/>
            <w:tcBorders>
              <w:top w:val="nil"/>
              <w:left w:val="nil"/>
              <w:bottom w:val="nil"/>
              <w:right w:val="nil"/>
            </w:tcBorders>
            <w:shd w:val="clear" w:color="000000" w:fill="FFFFFF"/>
            <w:noWrap/>
            <w:vAlign w:val="bottom"/>
            <w:hideMark/>
          </w:tcPr>
          <w:p w14:paraId="671DED1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796 495,8</w:t>
            </w:r>
          </w:p>
        </w:tc>
        <w:tc>
          <w:tcPr>
            <w:tcW w:w="1600" w:type="dxa"/>
            <w:tcBorders>
              <w:top w:val="nil"/>
              <w:left w:val="nil"/>
              <w:bottom w:val="nil"/>
              <w:right w:val="nil"/>
            </w:tcBorders>
            <w:shd w:val="clear" w:color="000000" w:fill="FFFFFF"/>
            <w:noWrap/>
            <w:vAlign w:val="bottom"/>
            <w:hideMark/>
          </w:tcPr>
          <w:p w14:paraId="021E17A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797 355,4</w:t>
            </w:r>
          </w:p>
        </w:tc>
      </w:tr>
      <w:tr w:rsidR="00761800" w:rsidRPr="00761800" w14:paraId="12512DA0" w14:textId="77777777" w:rsidTr="00406B4D">
        <w:trPr>
          <w:trHeight w:val="259"/>
        </w:trPr>
        <w:tc>
          <w:tcPr>
            <w:tcW w:w="460" w:type="dxa"/>
            <w:tcBorders>
              <w:top w:val="nil"/>
              <w:left w:val="nil"/>
              <w:bottom w:val="nil"/>
              <w:right w:val="nil"/>
            </w:tcBorders>
            <w:shd w:val="clear" w:color="000000" w:fill="FFFFFF"/>
            <w:noWrap/>
            <w:hideMark/>
          </w:tcPr>
          <w:p w14:paraId="401A32B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4,1</w:t>
            </w:r>
          </w:p>
        </w:tc>
        <w:tc>
          <w:tcPr>
            <w:tcW w:w="9746" w:type="dxa"/>
            <w:tcBorders>
              <w:top w:val="nil"/>
              <w:left w:val="nil"/>
              <w:bottom w:val="nil"/>
              <w:right w:val="nil"/>
            </w:tcBorders>
            <w:shd w:val="clear" w:color="000000" w:fill="FFFFFF"/>
            <w:hideMark/>
          </w:tcPr>
          <w:p w14:paraId="48179F92" w14:textId="77777777" w:rsidR="00761800" w:rsidRPr="00761800" w:rsidRDefault="00761800" w:rsidP="00761800">
            <w:pPr>
              <w:ind w:firstLineChars="200" w:firstLine="400"/>
              <w:rPr>
                <w:rFonts w:ascii="Times New Roman" w:hAnsi="Times New Roman"/>
                <w:sz w:val="20"/>
                <w:lang w:eastAsia="bg-BG"/>
              </w:rPr>
            </w:pPr>
            <w:r w:rsidRPr="00761800">
              <w:rPr>
                <w:rFonts w:ascii="Times New Roman" w:hAnsi="Times New Roman"/>
                <w:sz w:val="20"/>
                <w:lang w:eastAsia="bg-BG"/>
              </w:rPr>
              <w:t xml:space="preserve"> - за бюджета на Българската академия на науките</w:t>
            </w:r>
          </w:p>
        </w:tc>
        <w:tc>
          <w:tcPr>
            <w:tcW w:w="1600" w:type="dxa"/>
            <w:tcBorders>
              <w:top w:val="nil"/>
              <w:left w:val="nil"/>
              <w:bottom w:val="nil"/>
              <w:right w:val="nil"/>
            </w:tcBorders>
            <w:shd w:val="clear" w:color="000000" w:fill="FFFFFF"/>
            <w:noWrap/>
            <w:vAlign w:val="bottom"/>
            <w:hideMark/>
          </w:tcPr>
          <w:p w14:paraId="4D5173C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131 577,7</w:t>
            </w:r>
          </w:p>
        </w:tc>
        <w:tc>
          <w:tcPr>
            <w:tcW w:w="1600" w:type="dxa"/>
            <w:tcBorders>
              <w:top w:val="nil"/>
              <w:left w:val="nil"/>
              <w:bottom w:val="nil"/>
              <w:right w:val="nil"/>
            </w:tcBorders>
            <w:shd w:val="clear" w:color="000000" w:fill="FFFFFF"/>
            <w:noWrap/>
            <w:vAlign w:val="bottom"/>
            <w:hideMark/>
          </w:tcPr>
          <w:p w14:paraId="48D2E3D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131 794,2</w:t>
            </w:r>
          </w:p>
        </w:tc>
        <w:tc>
          <w:tcPr>
            <w:tcW w:w="1600" w:type="dxa"/>
            <w:tcBorders>
              <w:top w:val="nil"/>
              <w:left w:val="nil"/>
              <w:bottom w:val="nil"/>
              <w:right w:val="nil"/>
            </w:tcBorders>
            <w:shd w:val="clear" w:color="000000" w:fill="FFFFFF"/>
            <w:noWrap/>
            <w:vAlign w:val="bottom"/>
            <w:hideMark/>
          </w:tcPr>
          <w:p w14:paraId="5D7CA84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131 794,2</w:t>
            </w:r>
          </w:p>
        </w:tc>
      </w:tr>
      <w:tr w:rsidR="00761800" w:rsidRPr="00761800" w14:paraId="53288F5C" w14:textId="77777777" w:rsidTr="00406B4D">
        <w:trPr>
          <w:trHeight w:val="259"/>
        </w:trPr>
        <w:tc>
          <w:tcPr>
            <w:tcW w:w="460" w:type="dxa"/>
            <w:tcBorders>
              <w:top w:val="nil"/>
              <w:left w:val="nil"/>
              <w:bottom w:val="nil"/>
              <w:right w:val="nil"/>
            </w:tcBorders>
            <w:shd w:val="clear" w:color="000000" w:fill="FFFFFF"/>
            <w:noWrap/>
            <w:hideMark/>
          </w:tcPr>
          <w:p w14:paraId="4F50079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4,2</w:t>
            </w:r>
          </w:p>
        </w:tc>
        <w:tc>
          <w:tcPr>
            <w:tcW w:w="9746" w:type="dxa"/>
            <w:tcBorders>
              <w:top w:val="nil"/>
              <w:left w:val="nil"/>
              <w:bottom w:val="nil"/>
              <w:right w:val="nil"/>
            </w:tcBorders>
            <w:shd w:val="clear" w:color="000000" w:fill="FFFFFF"/>
            <w:hideMark/>
          </w:tcPr>
          <w:p w14:paraId="4C3F71EF" w14:textId="77777777" w:rsidR="00761800" w:rsidRPr="00761800" w:rsidRDefault="00761800" w:rsidP="00761800">
            <w:pPr>
              <w:ind w:firstLineChars="200" w:firstLine="400"/>
              <w:rPr>
                <w:rFonts w:ascii="Times New Roman" w:hAnsi="Times New Roman"/>
                <w:sz w:val="20"/>
                <w:lang w:eastAsia="bg-BG"/>
              </w:rPr>
            </w:pPr>
            <w:r w:rsidRPr="00761800">
              <w:rPr>
                <w:rFonts w:ascii="Times New Roman" w:hAnsi="Times New Roman"/>
                <w:sz w:val="20"/>
                <w:lang w:eastAsia="bg-BG"/>
              </w:rPr>
              <w:t xml:space="preserve"> - за бюджетите на държавните висши училища</w:t>
            </w:r>
          </w:p>
        </w:tc>
        <w:tc>
          <w:tcPr>
            <w:tcW w:w="1600" w:type="dxa"/>
            <w:tcBorders>
              <w:top w:val="nil"/>
              <w:left w:val="nil"/>
              <w:bottom w:val="nil"/>
              <w:right w:val="nil"/>
            </w:tcBorders>
            <w:shd w:val="clear" w:color="000000" w:fill="FFFFFF"/>
            <w:noWrap/>
            <w:vAlign w:val="bottom"/>
            <w:hideMark/>
          </w:tcPr>
          <w:p w14:paraId="3902CE5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661 299,9</w:t>
            </w:r>
          </w:p>
        </w:tc>
        <w:tc>
          <w:tcPr>
            <w:tcW w:w="1600" w:type="dxa"/>
            <w:tcBorders>
              <w:top w:val="nil"/>
              <w:left w:val="nil"/>
              <w:bottom w:val="nil"/>
              <w:right w:val="nil"/>
            </w:tcBorders>
            <w:shd w:val="clear" w:color="000000" w:fill="FFFFFF"/>
            <w:noWrap/>
            <w:vAlign w:val="bottom"/>
            <w:hideMark/>
          </w:tcPr>
          <w:p w14:paraId="3BB3BF3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664 701,6</w:t>
            </w:r>
          </w:p>
        </w:tc>
        <w:tc>
          <w:tcPr>
            <w:tcW w:w="1600" w:type="dxa"/>
            <w:tcBorders>
              <w:top w:val="nil"/>
              <w:left w:val="nil"/>
              <w:bottom w:val="nil"/>
              <w:right w:val="nil"/>
            </w:tcBorders>
            <w:shd w:val="clear" w:color="000000" w:fill="FFFFFF"/>
            <w:noWrap/>
            <w:vAlign w:val="bottom"/>
            <w:hideMark/>
          </w:tcPr>
          <w:p w14:paraId="79BC983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665 561,2</w:t>
            </w:r>
          </w:p>
        </w:tc>
      </w:tr>
      <w:tr w:rsidR="00761800" w:rsidRPr="00761800" w14:paraId="58DA39A3" w14:textId="77777777" w:rsidTr="00406B4D">
        <w:trPr>
          <w:trHeight w:val="540"/>
        </w:trPr>
        <w:tc>
          <w:tcPr>
            <w:tcW w:w="460" w:type="dxa"/>
            <w:tcBorders>
              <w:top w:val="nil"/>
              <w:left w:val="nil"/>
              <w:bottom w:val="nil"/>
              <w:right w:val="nil"/>
            </w:tcBorders>
            <w:shd w:val="clear" w:color="000000" w:fill="FFFFFF"/>
            <w:noWrap/>
            <w:hideMark/>
          </w:tcPr>
          <w:p w14:paraId="56108F5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w:t>
            </w:r>
          </w:p>
        </w:tc>
        <w:tc>
          <w:tcPr>
            <w:tcW w:w="9746" w:type="dxa"/>
            <w:tcBorders>
              <w:top w:val="nil"/>
              <w:left w:val="nil"/>
              <w:bottom w:val="nil"/>
              <w:right w:val="nil"/>
            </w:tcBorders>
            <w:shd w:val="clear" w:color="000000" w:fill="FFFFFF"/>
            <w:hideMark/>
          </w:tcPr>
          <w:p w14:paraId="5458E5E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Предоставени трансфери от бюджета на Министерството на околната среда и водите за бюджета на Българската академия на науките</w:t>
            </w:r>
          </w:p>
        </w:tc>
        <w:tc>
          <w:tcPr>
            <w:tcW w:w="1600" w:type="dxa"/>
            <w:tcBorders>
              <w:top w:val="nil"/>
              <w:left w:val="nil"/>
              <w:bottom w:val="nil"/>
              <w:right w:val="nil"/>
            </w:tcBorders>
            <w:shd w:val="clear" w:color="000000" w:fill="FFFFFF"/>
            <w:noWrap/>
            <w:vAlign w:val="bottom"/>
            <w:hideMark/>
          </w:tcPr>
          <w:p w14:paraId="7178F08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345,1</w:t>
            </w:r>
          </w:p>
        </w:tc>
        <w:tc>
          <w:tcPr>
            <w:tcW w:w="1600" w:type="dxa"/>
            <w:tcBorders>
              <w:top w:val="nil"/>
              <w:left w:val="nil"/>
              <w:bottom w:val="nil"/>
              <w:right w:val="nil"/>
            </w:tcBorders>
            <w:shd w:val="clear" w:color="000000" w:fill="FFFFFF"/>
            <w:noWrap/>
            <w:vAlign w:val="bottom"/>
            <w:hideMark/>
          </w:tcPr>
          <w:p w14:paraId="47B0B04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345,1</w:t>
            </w:r>
          </w:p>
        </w:tc>
        <w:tc>
          <w:tcPr>
            <w:tcW w:w="1600" w:type="dxa"/>
            <w:tcBorders>
              <w:top w:val="nil"/>
              <w:left w:val="nil"/>
              <w:bottom w:val="nil"/>
              <w:right w:val="nil"/>
            </w:tcBorders>
            <w:shd w:val="clear" w:color="000000" w:fill="FFFFFF"/>
            <w:noWrap/>
            <w:vAlign w:val="bottom"/>
            <w:hideMark/>
          </w:tcPr>
          <w:p w14:paraId="60668A7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0,0</w:t>
            </w:r>
          </w:p>
        </w:tc>
      </w:tr>
      <w:tr w:rsidR="00761800" w:rsidRPr="00761800" w14:paraId="6E991AD8" w14:textId="77777777" w:rsidTr="00406B4D">
        <w:trPr>
          <w:trHeight w:val="540"/>
        </w:trPr>
        <w:tc>
          <w:tcPr>
            <w:tcW w:w="460" w:type="dxa"/>
            <w:tcBorders>
              <w:top w:val="nil"/>
              <w:left w:val="nil"/>
              <w:bottom w:val="single" w:sz="4" w:space="0" w:color="auto"/>
              <w:right w:val="nil"/>
            </w:tcBorders>
            <w:shd w:val="clear" w:color="000000" w:fill="FFFFFF"/>
            <w:noWrap/>
            <w:hideMark/>
          </w:tcPr>
          <w:p w14:paraId="46E2169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w:t>
            </w:r>
          </w:p>
        </w:tc>
        <w:tc>
          <w:tcPr>
            <w:tcW w:w="9746" w:type="dxa"/>
            <w:tcBorders>
              <w:top w:val="nil"/>
              <w:left w:val="nil"/>
              <w:bottom w:val="single" w:sz="4" w:space="0" w:color="auto"/>
              <w:right w:val="nil"/>
            </w:tcBorders>
            <w:shd w:val="clear" w:color="000000" w:fill="FFFFFF"/>
            <w:hideMark/>
          </w:tcPr>
          <w:p w14:paraId="6A8908F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Предоставени трансфери от бюджета на Министерството на отбраната за бюджетите на държавните висши военни училища</w:t>
            </w:r>
          </w:p>
        </w:tc>
        <w:tc>
          <w:tcPr>
            <w:tcW w:w="1600" w:type="dxa"/>
            <w:tcBorders>
              <w:top w:val="nil"/>
              <w:left w:val="nil"/>
              <w:bottom w:val="single" w:sz="4" w:space="0" w:color="auto"/>
              <w:right w:val="nil"/>
            </w:tcBorders>
            <w:shd w:val="clear" w:color="000000" w:fill="FFFFFF"/>
            <w:noWrap/>
            <w:vAlign w:val="bottom"/>
            <w:hideMark/>
          </w:tcPr>
          <w:p w14:paraId="262A372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45 836,8</w:t>
            </w:r>
          </w:p>
        </w:tc>
        <w:tc>
          <w:tcPr>
            <w:tcW w:w="1600" w:type="dxa"/>
            <w:tcBorders>
              <w:top w:val="nil"/>
              <w:left w:val="nil"/>
              <w:bottom w:val="single" w:sz="4" w:space="0" w:color="auto"/>
              <w:right w:val="nil"/>
            </w:tcBorders>
            <w:shd w:val="clear" w:color="000000" w:fill="FFFFFF"/>
            <w:noWrap/>
            <w:vAlign w:val="bottom"/>
            <w:hideMark/>
          </w:tcPr>
          <w:p w14:paraId="3C92FFA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46 496,9</w:t>
            </w:r>
          </w:p>
        </w:tc>
        <w:tc>
          <w:tcPr>
            <w:tcW w:w="1600" w:type="dxa"/>
            <w:tcBorders>
              <w:top w:val="nil"/>
              <w:left w:val="nil"/>
              <w:bottom w:val="single" w:sz="4" w:space="0" w:color="auto"/>
              <w:right w:val="nil"/>
            </w:tcBorders>
            <w:shd w:val="clear" w:color="000000" w:fill="FFFFFF"/>
            <w:noWrap/>
            <w:vAlign w:val="bottom"/>
            <w:hideMark/>
          </w:tcPr>
          <w:p w14:paraId="6E6688C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46 496,9</w:t>
            </w:r>
          </w:p>
        </w:tc>
      </w:tr>
    </w:tbl>
    <w:p w14:paraId="02A7BC4B" w14:textId="77777777" w:rsidR="00761800" w:rsidRPr="00761800" w:rsidRDefault="00761800" w:rsidP="00761800">
      <w:pPr>
        <w:spacing w:after="120"/>
        <w:jc w:val="right"/>
        <w:rPr>
          <w:rFonts w:ascii="Times New Roman" w:hAnsi="Times New Roman"/>
          <w:b/>
          <w:bCs/>
          <w:sz w:val="20"/>
          <w:lang w:eastAsia="bg-BG"/>
        </w:rPr>
      </w:pPr>
    </w:p>
    <w:p w14:paraId="77EF4B68" w14:textId="77777777" w:rsidR="00761800" w:rsidRPr="00761800" w:rsidRDefault="00761800" w:rsidP="00761800">
      <w:pPr>
        <w:keepNext/>
        <w:keepLines/>
        <w:tabs>
          <w:tab w:val="left" w:pos="426"/>
        </w:tabs>
        <w:spacing w:before="480" w:after="360"/>
        <w:outlineLvl w:val="1"/>
        <w:rPr>
          <w:rFonts w:ascii="Times New Roman" w:hAnsi="Times New Roman"/>
          <w:b/>
          <w:bCs/>
          <w:caps/>
          <w:color w:val="852010"/>
          <w:spacing w:val="10"/>
          <w:w w:val="90"/>
          <w:sz w:val="28"/>
          <w:szCs w:val="26"/>
          <w:lang w:eastAsia="bg-BG"/>
        </w:rPr>
      </w:pPr>
      <w:bookmarkStart w:id="620" w:name="_Toc464224829"/>
      <w:bookmarkStart w:id="621" w:name="_Toc464225479"/>
      <w:bookmarkStart w:id="622" w:name="_Toc464459026"/>
      <w:bookmarkStart w:id="623" w:name="_Toc464459774"/>
      <w:bookmarkStart w:id="624" w:name="_Toc464460727"/>
      <w:bookmarkStart w:id="625" w:name="_Toc464463126"/>
      <w:bookmarkStart w:id="626" w:name="_Toc464464955"/>
      <w:bookmarkStart w:id="627" w:name="_Toc464465462"/>
      <w:bookmarkStart w:id="628" w:name="_Toc464465650"/>
      <w:bookmarkStart w:id="629" w:name="_Toc464466474"/>
      <w:bookmarkStart w:id="630" w:name="_Toc464466717"/>
      <w:bookmarkStart w:id="631" w:name="_Toc464645434"/>
      <w:bookmarkStart w:id="632" w:name="_Toc465205592"/>
      <w:bookmarkStart w:id="633" w:name="_Toc233717509"/>
      <w:r w:rsidRPr="00761800">
        <w:rPr>
          <w:rFonts w:ascii="Times New Roman" w:hAnsi="Times New Roman"/>
          <w:b/>
          <w:bCs/>
          <w:caps/>
          <w:color w:val="852010"/>
          <w:spacing w:val="10"/>
          <w:w w:val="90"/>
          <w:sz w:val="28"/>
          <w:szCs w:val="26"/>
          <w:lang w:eastAsia="bg-BG"/>
        </w:rPr>
        <w:t xml:space="preserve">Приложение № 7: </w:t>
      </w:r>
      <w:r w:rsidRPr="00761800">
        <w:rPr>
          <w:rFonts w:ascii="Times New Roman" w:hAnsi="Times New Roman"/>
          <w:b/>
          <w:bCs/>
          <w:caps/>
          <w:color w:val="852010"/>
          <w:spacing w:val="10"/>
          <w:w w:val="90"/>
          <w:sz w:val="28"/>
          <w:szCs w:val="26"/>
          <w:lang w:eastAsia="bg-BG"/>
        </w:rPr>
        <w:br/>
        <w:t>Размери на разходите и трансферите (нето) по сметките за средствата от Европейския съюз за периода 2026-2028 г.</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322CBD89" w14:textId="77777777" w:rsidR="00761800" w:rsidRPr="00761800" w:rsidRDefault="00761800" w:rsidP="00761800">
      <w:pPr>
        <w:spacing w:after="200"/>
        <w:jc w:val="right"/>
        <w:rPr>
          <w:rFonts w:ascii="Times New Roman" w:hAnsi="Times New Roman"/>
          <w:b/>
          <w:bCs/>
          <w:sz w:val="20"/>
          <w:lang w:eastAsia="bg-BG"/>
        </w:rPr>
      </w:pPr>
      <w:r w:rsidRPr="00761800">
        <w:rPr>
          <w:rFonts w:ascii="Times New Roman" w:hAnsi="Times New Roman"/>
          <w:b/>
          <w:bCs/>
          <w:sz w:val="20"/>
          <w:lang w:eastAsia="bg-BG"/>
        </w:rPr>
        <w:t>(в хил. евро)</w:t>
      </w:r>
    </w:p>
    <w:tbl>
      <w:tblPr>
        <w:tblW w:w="15013" w:type="dxa"/>
        <w:tblCellMar>
          <w:left w:w="70" w:type="dxa"/>
          <w:right w:w="70" w:type="dxa"/>
        </w:tblCellMar>
        <w:tblLook w:val="04A0" w:firstRow="1" w:lastRow="0" w:firstColumn="1" w:lastColumn="0" w:noHBand="0" w:noVBand="1"/>
      </w:tblPr>
      <w:tblGrid>
        <w:gridCol w:w="4253"/>
        <w:gridCol w:w="1180"/>
        <w:gridCol w:w="1180"/>
        <w:gridCol w:w="1160"/>
        <w:gridCol w:w="1120"/>
        <w:gridCol w:w="1280"/>
        <w:gridCol w:w="1220"/>
        <w:gridCol w:w="1120"/>
        <w:gridCol w:w="1280"/>
        <w:gridCol w:w="1220"/>
      </w:tblGrid>
      <w:tr w:rsidR="00761800" w:rsidRPr="00761800" w14:paraId="7109823C" w14:textId="77777777" w:rsidTr="00406B4D">
        <w:trPr>
          <w:trHeight w:val="255"/>
        </w:trPr>
        <w:tc>
          <w:tcPr>
            <w:tcW w:w="4253" w:type="dxa"/>
            <w:tcBorders>
              <w:top w:val="single" w:sz="4" w:space="0" w:color="auto"/>
              <w:left w:val="nil"/>
              <w:bottom w:val="nil"/>
              <w:right w:val="nil"/>
            </w:tcBorders>
            <w:shd w:val="clear" w:color="000000" w:fill="FFFFFF"/>
            <w:noWrap/>
            <w:hideMark/>
          </w:tcPr>
          <w:p w14:paraId="796FF8C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3520" w:type="dxa"/>
            <w:gridSpan w:val="3"/>
            <w:tcBorders>
              <w:top w:val="single" w:sz="4" w:space="0" w:color="auto"/>
              <w:left w:val="nil"/>
              <w:bottom w:val="single" w:sz="4" w:space="0" w:color="595959"/>
              <w:right w:val="nil"/>
            </w:tcBorders>
            <w:shd w:val="clear" w:color="000000" w:fill="FFFFFF"/>
            <w:hideMark/>
          </w:tcPr>
          <w:p w14:paraId="57A7B31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 2026 г.</w:t>
            </w:r>
          </w:p>
        </w:tc>
        <w:tc>
          <w:tcPr>
            <w:tcW w:w="3620" w:type="dxa"/>
            <w:gridSpan w:val="3"/>
            <w:tcBorders>
              <w:top w:val="single" w:sz="4" w:space="0" w:color="auto"/>
              <w:left w:val="nil"/>
              <w:bottom w:val="single" w:sz="4" w:space="0" w:color="595959"/>
              <w:right w:val="nil"/>
            </w:tcBorders>
            <w:shd w:val="clear" w:color="000000" w:fill="FFFFFF"/>
            <w:hideMark/>
          </w:tcPr>
          <w:p w14:paraId="578F9B6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 2027 г.</w:t>
            </w:r>
          </w:p>
        </w:tc>
        <w:tc>
          <w:tcPr>
            <w:tcW w:w="3620" w:type="dxa"/>
            <w:gridSpan w:val="3"/>
            <w:tcBorders>
              <w:top w:val="single" w:sz="4" w:space="0" w:color="auto"/>
              <w:left w:val="nil"/>
              <w:bottom w:val="single" w:sz="4" w:space="0" w:color="595959"/>
              <w:right w:val="nil"/>
            </w:tcBorders>
            <w:shd w:val="clear" w:color="000000" w:fill="FFFFFF"/>
            <w:hideMark/>
          </w:tcPr>
          <w:p w14:paraId="3B48C06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xml:space="preserve"> 2028 г.</w:t>
            </w:r>
          </w:p>
        </w:tc>
      </w:tr>
      <w:tr w:rsidR="00761800" w:rsidRPr="00761800" w14:paraId="427465FC" w14:textId="77777777" w:rsidTr="00406B4D">
        <w:trPr>
          <w:trHeight w:val="1110"/>
        </w:trPr>
        <w:tc>
          <w:tcPr>
            <w:tcW w:w="4253" w:type="dxa"/>
            <w:tcBorders>
              <w:top w:val="nil"/>
              <w:left w:val="nil"/>
              <w:bottom w:val="nil"/>
              <w:right w:val="nil"/>
            </w:tcBorders>
            <w:shd w:val="clear" w:color="000000" w:fill="FFFFFF"/>
            <w:hideMark/>
          </w:tcPr>
          <w:p w14:paraId="14D623B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Сметки за средствата от Европейския съюз</w:t>
            </w:r>
          </w:p>
        </w:tc>
        <w:tc>
          <w:tcPr>
            <w:tcW w:w="1180" w:type="dxa"/>
            <w:tcBorders>
              <w:top w:val="nil"/>
              <w:left w:val="nil"/>
              <w:bottom w:val="single" w:sz="4" w:space="0" w:color="auto"/>
              <w:right w:val="nil"/>
            </w:tcBorders>
            <w:shd w:val="clear" w:color="000000" w:fill="FFFFFF"/>
            <w:hideMark/>
          </w:tcPr>
          <w:p w14:paraId="76242CB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Общо разходи и трансфери (нето)</w:t>
            </w:r>
          </w:p>
        </w:tc>
        <w:tc>
          <w:tcPr>
            <w:tcW w:w="2340" w:type="dxa"/>
            <w:gridSpan w:val="2"/>
            <w:tcBorders>
              <w:top w:val="single" w:sz="4" w:space="0" w:color="595959"/>
              <w:left w:val="nil"/>
              <w:bottom w:val="single" w:sz="4" w:space="0" w:color="auto"/>
              <w:right w:val="nil"/>
            </w:tcBorders>
            <w:shd w:val="clear" w:color="000000" w:fill="FFFFFF"/>
            <w:hideMark/>
          </w:tcPr>
          <w:p w14:paraId="64D46C8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в т.ч.</w:t>
            </w:r>
          </w:p>
        </w:tc>
        <w:tc>
          <w:tcPr>
            <w:tcW w:w="1120" w:type="dxa"/>
            <w:tcBorders>
              <w:top w:val="nil"/>
              <w:left w:val="nil"/>
              <w:bottom w:val="single" w:sz="4" w:space="0" w:color="auto"/>
              <w:right w:val="nil"/>
            </w:tcBorders>
            <w:shd w:val="clear" w:color="000000" w:fill="FFFFFF"/>
            <w:hideMark/>
          </w:tcPr>
          <w:p w14:paraId="44536CC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Общо разходи и трансфери (нето)</w:t>
            </w:r>
          </w:p>
        </w:tc>
        <w:tc>
          <w:tcPr>
            <w:tcW w:w="2500" w:type="dxa"/>
            <w:gridSpan w:val="2"/>
            <w:tcBorders>
              <w:top w:val="single" w:sz="4" w:space="0" w:color="595959"/>
              <w:left w:val="nil"/>
              <w:bottom w:val="single" w:sz="4" w:space="0" w:color="auto"/>
              <w:right w:val="nil"/>
            </w:tcBorders>
            <w:shd w:val="clear" w:color="000000" w:fill="FFFFFF"/>
            <w:hideMark/>
          </w:tcPr>
          <w:p w14:paraId="4F81C97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в т.ч.</w:t>
            </w:r>
          </w:p>
        </w:tc>
        <w:tc>
          <w:tcPr>
            <w:tcW w:w="1120" w:type="dxa"/>
            <w:tcBorders>
              <w:top w:val="nil"/>
              <w:left w:val="nil"/>
              <w:bottom w:val="single" w:sz="4" w:space="0" w:color="auto"/>
              <w:right w:val="nil"/>
            </w:tcBorders>
            <w:shd w:val="clear" w:color="000000" w:fill="FFFFFF"/>
            <w:hideMark/>
          </w:tcPr>
          <w:p w14:paraId="4119CD2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Общо разходи и трансфери (нето)</w:t>
            </w:r>
          </w:p>
        </w:tc>
        <w:tc>
          <w:tcPr>
            <w:tcW w:w="2500" w:type="dxa"/>
            <w:gridSpan w:val="2"/>
            <w:tcBorders>
              <w:top w:val="single" w:sz="4" w:space="0" w:color="595959"/>
              <w:left w:val="nil"/>
              <w:bottom w:val="single" w:sz="4" w:space="0" w:color="auto"/>
              <w:right w:val="nil"/>
            </w:tcBorders>
            <w:shd w:val="clear" w:color="000000" w:fill="FFFFFF"/>
            <w:hideMark/>
          </w:tcPr>
          <w:p w14:paraId="15DFB6C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в т.ч.</w:t>
            </w:r>
          </w:p>
        </w:tc>
      </w:tr>
      <w:tr w:rsidR="00761800" w:rsidRPr="00761800" w14:paraId="03BC8E14" w14:textId="77777777" w:rsidTr="00406B4D">
        <w:trPr>
          <w:trHeight w:val="510"/>
        </w:trPr>
        <w:tc>
          <w:tcPr>
            <w:tcW w:w="4253" w:type="dxa"/>
            <w:tcBorders>
              <w:top w:val="nil"/>
              <w:left w:val="nil"/>
              <w:bottom w:val="single" w:sz="4" w:space="0" w:color="auto"/>
              <w:right w:val="nil"/>
            </w:tcBorders>
            <w:shd w:val="clear" w:color="000000" w:fill="FFFFFF"/>
            <w:noWrap/>
            <w:hideMark/>
          </w:tcPr>
          <w:p w14:paraId="06793F0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1180" w:type="dxa"/>
            <w:tcBorders>
              <w:top w:val="nil"/>
              <w:left w:val="nil"/>
              <w:bottom w:val="single" w:sz="4" w:space="0" w:color="auto"/>
              <w:right w:val="nil"/>
            </w:tcBorders>
            <w:shd w:val="clear" w:color="000000" w:fill="FFFFFF"/>
            <w:vAlign w:val="center"/>
            <w:hideMark/>
          </w:tcPr>
          <w:p w14:paraId="7473B82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к.2.1-к.2.2</w:t>
            </w:r>
          </w:p>
        </w:tc>
        <w:tc>
          <w:tcPr>
            <w:tcW w:w="1180" w:type="dxa"/>
            <w:tcBorders>
              <w:top w:val="nil"/>
              <w:left w:val="nil"/>
              <w:bottom w:val="single" w:sz="4" w:space="0" w:color="auto"/>
              <w:right w:val="nil"/>
            </w:tcBorders>
            <w:shd w:val="clear" w:color="000000" w:fill="FFFFFF"/>
            <w:hideMark/>
          </w:tcPr>
          <w:p w14:paraId="166C640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Разходи</w:t>
            </w:r>
          </w:p>
        </w:tc>
        <w:tc>
          <w:tcPr>
            <w:tcW w:w="1160" w:type="dxa"/>
            <w:tcBorders>
              <w:top w:val="nil"/>
              <w:left w:val="nil"/>
              <w:bottom w:val="single" w:sz="4" w:space="0" w:color="auto"/>
              <w:right w:val="nil"/>
            </w:tcBorders>
            <w:shd w:val="clear" w:color="000000" w:fill="FFFFFF"/>
            <w:hideMark/>
          </w:tcPr>
          <w:p w14:paraId="5745E1F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Трансфери (нето)</w:t>
            </w:r>
          </w:p>
        </w:tc>
        <w:tc>
          <w:tcPr>
            <w:tcW w:w="1120" w:type="dxa"/>
            <w:tcBorders>
              <w:top w:val="nil"/>
              <w:left w:val="nil"/>
              <w:bottom w:val="single" w:sz="4" w:space="0" w:color="auto"/>
              <w:right w:val="nil"/>
            </w:tcBorders>
            <w:shd w:val="clear" w:color="000000" w:fill="FFFFFF"/>
            <w:vAlign w:val="center"/>
            <w:hideMark/>
          </w:tcPr>
          <w:p w14:paraId="2EFAABE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к.3.1-к.3.2</w:t>
            </w:r>
          </w:p>
        </w:tc>
        <w:tc>
          <w:tcPr>
            <w:tcW w:w="1280" w:type="dxa"/>
            <w:tcBorders>
              <w:top w:val="nil"/>
              <w:left w:val="nil"/>
              <w:bottom w:val="single" w:sz="4" w:space="0" w:color="auto"/>
              <w:right w:val="nil"/>
            </w:tcBorders>
            <w:shd w:val="clear" w:color="000000" w:fill="FFFFFF"/>
            <w:hideMark/>
          </w:tcPr>
          <w:p w14:paraId="61A0A6D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Разходи</w:t>
            </w:r>
          </w:p>
        </w:tc>
        <w:tc>
          <w:tcPr>
            <w:tcW w:w="1220" w:type="dxa"/>
            <w:tcBorders>
              <w:top w:val="nil"/>
              <w:left w:val="nil"/>
              <w:bottom w:val="single" w:sz="4" w:space="0" w:color="auto"/>
              <w:right w:val="nil"/>
            </w:tcBorders>
            <w:shd w:val="clear" w:color="000000" w:fill="FFFFFF"/>
            <w:hideMark/>
          </w:tcPr>
          <w:p w14:paraId="6B2D403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Трансфери (нето)</w:t>
            </w:r>
          </w:p>
        </w:tc>
        <w:tc>
          <w:tcPr>
            <w:tcW w:w="1120" w:type="dxa"/>
            <w:tcBorders>
              <w:top w:val="nil"/>
              <w:left w:val="nil"/>
              <w:bottom w:val="single" w:sz="4" w:space="0" w:color="auto"/>
              <w:right w:val="nil"/>
            </w:tcBorders>
            <w:shd w:val="clear" w:color="000000" w:fill="FFFFFF"/>
            <w:vAlign w:val="center"/>
            <w:hideMark/>
          </w:tcPr>
          <w:p w14:paraId="4206AF4A"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к.4.1-к.4.2</w:t>
            </w:r>
          </w:p>
        </w:tc>
        <w:tc>
          <w:tcPr>
            <w:tcW w:w="1280" w:type="dxa"/>
            <w:tcBorders>
              <w:top w:val="nil"/>
              <w:left w:val="nil"/>
              <w:bottom w:val="single" w:sz="4" w:space="0" w:color="auto"/>
              <w:right w:val="nil"/>
            </w:tcBorders>
            <w:shd w:val="clear" w:color="000000" w:fill="FFFFFF"/>
            <w:hideMark/>
          </w:tcPr>
          <w:p w14:paraId="157F943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Разходи</w:t>
            </w:r>
          </w:p>
        </w:tc>
        <w:tc>
          <w:tcPr>
            <w:tcW w:w="1220" w:type="dxa"/>
            <w:tcBorders>
              <w:top w:val="nil"/>
              <w:left w:val="nil"/>
              <w:bottom w:val="single" w:sz="4" w:space="0" w:color="auto"/>
              <w:right w:val="nil"/>
            </w:tcBorders>
            <w:shd w:val="clear" w:color="000000" w:fill="FFFFFF"/>
            <w:hideMark/>
          </w:tcPr>
          <w:p w14:paraId="5A65856D"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Трансфери (нето)</w:t>
            </w:r>
          </w:p>
        </w:tc>
      </w:tr>
      <w:tr w:rsidR="00761800" w:rsidRPr="00761800" w14:paraId="411DA089" w14:textId="77777777" w:rsidTr="00406B4D">
        <w:trPr>
          <w:trHeight w:val="255"/>
        </w:trPr>
        <w:tc>
          <w:tcPr>
            <w:tcW w:w="4253" w:type="dxa"/>
            <w:tcBorders>
              <w:top w:val="nil"/>
              <w:left w:val="nil"/>
              <w:bottom w:val="single" w:sz="4" w:space="0" w:color="auto"/>
              <w:right w:val="nil"/>
            </w:tcBorders>
            <w:shd w:val="clear" w:color="000000" w:fill="FFFFFF"/>
            <w:noWrap/>
            <w:hideMark/>
          </w:tcPr>
          <w:p w14:paraId="73A342D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w:t>
            </w:r>
          </w:p>
        </w:tc>
        <w:tc>
          <w:tcPr>
            <w:tcW w:w="1180" w:type="dxa"/>
            <w:tcBorders>
              <w:top w:val="nil"/>
              <w:left w:val="nil"/>
              <w:bottom w:val="single" w:sz="4" w:space="0" w:color="auto"/>
              <w:right w:val="nil"/>
            </w:tcBorders>
            <w:shd w:val="clear" w:color="000000" w:fill="FFFFFF"/>
            <w:noWrap/>
            <w:hideMark/>
          </w:tcPr>
          <w:p w14:paraId="59475CE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w:t>
            </w:r>
          </w:p>
        </w:tc>
        <w:tc>
          <w:tcPr>
            <w:tcW w:w="1180" w:type="dxa"/>
            <w:tcBorders>
              <w:top w:val="nil"/>
              <w:left w:val="nil"/>
              <w:bottom w:val="single" w:sz="4" w:space="0" w:color="auto"/>
              <w:right w:val="nil"/>
            </w:tcBorders>
            <w:shd w:val="clear" w:color="000000" w:fill="FFFFFF"/>
            <w:noWrap/>
            <w:hideMark/>
          </w:tcPr>
          <w:p w14:paraId="21C442C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2.1</w:t>
            </w:r>
          </w:p>
        </w:tc>
        <w:tc>
          <w:tcPr>
            <w:tcW w:w="1160" w:type="dxa"/>
            <w:tcBorders>
              <w:top w:val="nil"/>
              <w:left w:val="nil"/>
              <w:bottom w:val="single" w:sz="4" w:space="0" w:color="auto"/>
              <w:right w:val="nil"/>
            </w:tcBorders>
            <w:shd w:val="clear" w:color="000000" w:fill="FFFFFF"/>
            <w:noWrap/>
            <w:hideMark/>
          </w:tcPr>
          <w:p w14:paraId="0142372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2.2</w:t>
            </w:r>
          </w:p>
        </w:tc>
        <w:tc>
          <w:tcPr>
            <w:tcW w:w="1120" w:type="dxa"/>
            <w:tcBorders>
              <w:top w:val="nil"/>
              <w:left w:val="nil"/>
              <w:bottom w:val="single" w:sz="4" w:space="0" w:color="auto"/>
              <w:right w:val="nil"/>
            </w:tcBorders>
            <w:shd w:val="clear" w:color="000000" w:fill="FFFFFF"/>
            <w:noWrap/>
            <w:hideMark/>
          </w:tcPr>
          <w:p w14:paraId="644B178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w:t>
            </w:r>
          </w:p>
        </w:tc>
        <w:tc>
          <w:tcPr>
            <w:tcW w:w="1280" w:type="dxa"/>
            <w:tcBorders>
              <w:top w:val="nil"/>
              <w:left w:val="nil"/>
              <w:bottom w:val="single" w:sz="4" w:space="0" w:color="auto"/>
              <w:right w:val="nil"/>
            </w:tcBorders>
            <w:shd w:val="clear" w:color="000000" w:fill="FFFFFF"/>
            <w:noWrap/>
            <w:hideMark/>
          </w:tcPr>
          <w:p w14:paraId="2FD37F8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3.1</w:t>
            </w:r>
          </w:p>
        </w:tc>
        <w:tc>
          <w:tcPr>
            <w:tcW w:w="1220" w:type="dxa"/>
            <w:tcBorders>
              <w:top w:val="nil"/>
              <w:left w:val="nil"/>
              <w:bottom w:val="single" w:sz="4" w:space="0" w:color="auto"/>
              <w:right w:val="nil"/>
            </w:tcBorders>
            <w:shd w:val="clear" w:color="000000" w:fill="FFFFFF"/>
            <w:noWrap/>
            <w:hideMark/>
          </w:tcPr>
          <w:p w14:paraId="5FCF196E"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3.2</w:t>
            </w:r>
          </w:p>
        </w:tc>
        <w:tc>
          <w:tcPr>
            <w:tcW w:w="1120" w:type="dxa"/>
            <w:tcBorders>
              <w:top w:val="nil"/>
              <w:left w:val="nil"/>
              <w:bottom w:val="single" w:sz="4" w:space="0" w:color="auto"/>
              <w:right w:val="nil"/>
            </w:tcBorders>
            <w:shd w:val="clear" w:color="000000" w:fill="FFFFFF"/>
            <w:noWrap/>
            <w:hideMark/>
          </w:tcPr>
          <w:p w14:paraId="270F793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w:t>
            </w:r>
          </w:p>
        </w:tc>
        <w:tc>
          <w:tcPr>
            <w:tcW w:w="1280" w:type="dxa"/>
            <w:tcBorders>
              <w:top w:val="nil"/>
              <w:left w:val="nil"/>
              <w:bottom w:val="single" w:sz="4" w:space="0" w:color="auto"/>
              <w:right w:val="nil"/>
            </w:tcBorders>
            <w:shd w:val="clear" w:color="000000" w:fill="FFFFFF"/>
            <w:noWrap/>
            <w:hideMark/>
          </w:tcPr>
          <w:p w14:paraId="17A8F35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4.1</w:t>
            </w:r>
          </w:p>
        </w:tc>
        <w:tc>
          <w:tcPr>
            <w:tcW w:w="1220" w:type="dxa"/>
            <w:tcBorders>
              <w:top w:val="nil"/>
              <w:left w:val="nil"/>
              <w:bottom w:val="single" w:sz="4" w:space="0" w:color="auto"/>
              <w:right w:val="nil"/>
            </w:tcBorders>
            <w:shd w:val="clear" w:color="000000" w:fill="FFFFFF"/>
            <w:noWrap/>
            <w:hideMark/>
          </w:tcPr>
          <w:p w14:paraId="478B2BD7"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4.2</w:t>
            </w:r>
          </w:p>
        </w:tc>
      </w:tr>
      <w:tr w:rsidR="00761800" w:rsidRPr="00761800" w14:paraId="4490EBD8" w14:textId="77777777" w:rsidTr="00406B4D">
        <w:trPr>
          <w:trHeight w:val="525"/>
        </w:trPr>
        <w:tc>
          <w:tcPr>
            <w:tcW w:w="4253" w:type="dxa"/>
            <w:tcBorders>
              <w:top w:val="nil"/>
              <w:left w:val="nil"/>
              <w:bottom w:val="nil"/>
              <w:right w:val="nil"/>
            </w:tcBorders>
            <w:shd w:val="clear" w:color="000000" w:fill="FFFFFF"/>
            <w:hideMark/>
          </w:tcPr>
          <w:p w14:paraId="28A481E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Сметка за средствата от Европейския съюз на Държавния фонд „Земеделие“</w:t>
            </w:r>
          </w:p>
        </w:tc>
        <w:tc>
          <w:tcPr>
            <w:tcW w:w="1180" w:type="dxa"/>
            <w:tcBorders>
              <w:top w:val="nil"/>
              <w:left w:val="nil"/>
              <w:bottom w:val="nil"/>
              <w:right w:val="nil"/>
            </w:tcBorders>
            <w:shd w:val="clear" w:color="000000" w:fill="FFFFFF"/>
            <w:noWrap/>
            <w:vAlign w:val="bottom"/>
            <w:hideMark/>
          </w:tcPr>
          <w:p w14:paraId="4A188ED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210 206,9</w:t>
            </w:r>
          </w:p>
        </w:tc>
        <w:tc>
          <w:tcPr>
            <w:tcW w:w="1180" w:type="dxa"/>
            <w:tcBorders>
              <w:top w:val="nil"/>
              <w:left w:val="nil"/>
              <w:bottom w:val="nil"/>
              <w:right w:val="nil"/>
            </w:tcBorders>
            <w:shd w:val="clear" w:color="000000" w:fill="FFFFFF"/>
            <w:noWrap/>
            <w:vAlign w:val="bottom"/>
            <w:hideMark/>
          </w:tcPr>
          <w:p w14:paraId="2B2C23E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692 956,5</w:t>
            </w:r>
          </w:p>
        </w:tc>
        <w:tc>
          <w:tcPr>
            <w:tcW w:w="1160" w:type="dxa"/>
            <w:tcBorders>
              <w:top w:val="nil"/>
              <w:left w:val="nil"/>
              <w:bottom w:val="nil"/>
              <w:right w:val="nil"/>
            </w:tcBorders>
            <w:shd w:val="clear" w:color="000000" w:fill="FFFFFF"/>
            <w:noWrap/>
            <w:vAlign w:val="bottom"/>
            <w:hideMark/>
          </w:tcPr>
          <w:p w14:paraId="576AE47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482 749,6</w:t>
            </w:r>
          </w:p>
        </w:tc>
        <w:tc>
          <w:tcPr>
            <w:tcW w:w="1120" w:type="dxa"/>
            <w:tcBorders>
              <w:top w:val="nil"/>
              <w:left w:val="nil"/>
              <w:bottom w:val="nil"/>
              <w:right w:val="nil"/>
            </w:tcBorders>
            <w:shd w:val="clear" w:color="000000" w:fill="FFFFFF"/>
            <w:noWrap/>
            <w:vAlign w:val="bottom"/>
            <w:hideMark/>
          </w:tcPr>
          <w:p w14:paraId="3ACB408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220 338,3</w:t>
            </w:r>
          </w:p>
        </w:tc>
        <w:tc>
          <w:tcPr>
            <w:tcW w:w="1280" w:type="dxa"/>
            <w:tcBorders>
              <w:top w:val="nil"/>
              <w:left w:val="nil"/>
              <w:bottom w:val="nil"/>
              <w:right w:val="nil"/>
            </w:tcBorders>
            <w:shd w:val="clear" w:color="000000" w:fill="FFFFFF"/>
            <w:noWrap/>
            <w:vAlign w:val="bottom"/>
            <w:hideMark/>
          </w:tcPr>
          <w:p w14:paraId="22778E0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728 987,2</w:t>
            </w:r>
          </w:p>
        </w:tc>
        <w:tc>
          <w:tcPr>
            <w:tcW w:w="1220" w:type="dxa"/>
            <w:tcBorders>
              <w:top w:val="nil"/>
              <w:left w:val="nil"/>
              <w:bottom w:val="nil"/>
              <w:right w:val="nil"/>
            </w:tcBorders>
            <w:shd w:val="clear" w:color="000000" w:fill="FFFFFF"/>
            <w:noWrap/>
            <w:vAlign w:val="bottom"/>
            <w:hideMark/>
          </w:tcPr>
          <w:p w14:paraId="5F91711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508 648,9</w:t>
            </w:r>
          </w:p>
        </w:tc>
        <w:tc>
          <w:tcPr>
            <w:tcW w:w="1120" w:type="dxa"/>
            <w:tcBorders>
              <w:top w:val="nil"/>
              <w:left w:val="nil"/>
              <w:bottom w:val="nil"/>
              <w:right w:val="nil"/>
            </w:tcBorders>
            <w:shd w:val="clear" w:color="000000" w:fill="FFFFFF"/>
            <w:noWrap/>
            <w:vAlign w:val="bottom"/>
            <w:hideMark/>
          </w:tcPr>
          <w:p w14:paraId="69ACA6E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223 631,5</w:t>
            </w:r>
          </w:p>
        </w:tc>
        <w:tc>
          <w:tcPr>
            <w:tcW w:w="1280" w:type="dxa"/>
            <w:tcBorders>
              <w:top w:val="nil"/>
              <w:left w:val="nil"/>
              <w:bottom w:val="nil"/>
              <w:right w:val="nil"/>
            </w:tcBorders>
            <w:shd w:val="clear" w:color="000000" w:fill="FFFFFF"/>
            <w:noWrap/>
            <w:vAlign w:val="bottom"/>
            <w:hideMark/>
          </w:tcPr>
          <w:p w14:paraId="1F8B7EB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734 248,0</w:t>
            </w:r>
          </w:p>
        </w:tc>
        <w:tc>
          <w:tcPr>
            <w:tcW w:w="1220" w:type="dxa"/>
            <w:tcBorders>
              <w:top w:val="nil"/>
              <w:left w:val="nil"/>
              <w:bottom w:val="nil"/>
              <w:right w:val="nil"/>
            </w:tcBorders>
            <w:shd w:val="clear" w:color="000000" w:fill="FFFFFF"/>
            <w:noWrap/>
            <w:vAlign w:val="bottom"/>
            <w:hideMark/>
          </w:tcPr>
          <w:p w14:paraId="45896FC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510 616,5</w:t>
            </w:r>
          </w:p>
        </w:tc>
      </w:tr>
      <w:tr w:rsidR="00761800" w:rsidRPr="00761800" w14:paraId="4C5E919F" w14:textId="77777777" w:rsidTr="00406B4D">
        <w:trPr>
          <w:trHeight w:val="525"/>
        </w:trPr>
        <w:tc>
          <w:tcPr>
            <w:tcW w:w="4253" w:type="dxa"/>
            <w:tcBorders>
              <w:top w:val="nil"/>
              <w:left w:val="nil"/>
              <w:bottom w:val="nil"/>
              <w:right w:val="nil"/>
            </w:tcBorders>
            <w:shd w:val="clear" w:color="000000" w:fill="FFFFFF"/>
            <w:hideMark/>
          </w:tcPr>
          <w:p w14:paraId="06B4A82C"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Сметка за средствата от Европейския съюз на Националния фонд</w:t>
            </w:r>
          </w:p>
        </w:tc>
        <w:tc>
          <w:tcPr>
            <w:tcW w:w="1180" w:type="dxa"/>
            <w:tcBorders>
              <w:top w:val="nil"/>
              <w:left w:val="nil"/>
              <w:bottom w:val="nil"/>
              <w:right w:val="nil"/>
            </w:tcBorders>
            <w:shd w:val="clear" w:color="000000" w:fill="FFFFFF"/>
            <w:noWrap/>
            <w:vAlign w:val="bottom"/>
            <w:hideMark/>
          </w:tcPr>
          <w:p w14:paraId="5BA4464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4 919 989,8</w:t>
            </w:r>
          </w:p>
        </w:tc>
        <w:tc>
          <w:tcPr>
            <w:tcW w:w="1180" w:type="dxa"/>
            <w:tcBorders>
              <w:top w:val="nil"/>
              <w:left w:val="nil"/>
              <w:bottom w:val="nil"/>
              <w:right w:val="nil"/>
            </w:tcBorders>
            <w:shd w:val="clear" w:color="000000" w:fill="FFFFFF"/>
            <w:noWrap/>
            <w:vAlign w:val="bottom"/>
            <w:hideMark/>
          </w:tcPr>
          <w:p w14:paraId="4828BE4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6 458 247,9</w:t>
            </w:r>
          </w:p>
        </w:tc>
        <w:tc>
          <w:tcPr>
            <w:tcW w:w="1160" w:type="dxa"/>
            <w:tcBorders>
              <w:top w:val="nil"/>
              <w:left w:val="nil"/>
              <w:bottom w:val="nil"/>
              <w:right w:val="nil"/>
            </w:tcBorders>
            <w:shd w:val="clear" w:color="000000" w:fill="FFFFFF"/>
            <w:noWrap/>
            <w:vAlign w:val="bottom"/>
            <w:hideMark/>
          </w:tcPr>
          <w:p w14:paraId="5E1965C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1 538 258,1</w:t>
            </w:r>
          </w:p>
        </w:tc>
        <w:tc>
          <w:tcPr>
            <w:tcW w:w="1120" w:type="dxa"/>
            <w:tcBorders>
              <w:top w:val="nil"/>
              <w:left w:val="nil"/>
              <w:bottom w:val="nil"/>
              <w:right w:val="nil"/>
            </w:tcBorders>
            <w:shd w:val="clear" w:color="000000" w:fill="FFFFFF"/>
            <w:noWrap/>
            <w:vAlign w:val="bottom"/>
            <w:hideMark/>
          </w:tcPr>
          <w:p w14:paraId="0F61E93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2 570 320,0</w:t>
            </w:r>
          </w:p>
        </w:tc>
        <w:tc>
          <w:tcPr>
            <w:tcW w:w="1280" w:type="dxa"/>
            <w:tcBorders>
              <w:top w:val="nil"/>
              <w:left w:val="nil"/>
              <w:bottom w:val="nil"/>
              <w:right w:val="nil"/>
            </w:tcBorders>
            <w:shd w:val="clear" w:color="000000" w:fill="FFFFFF"/>
            <w:noWrap/>
            <w:vAlign w:val="bottom"/>
            <w:hideMark/>
          </w:tcPr>
          <w:p w14:paraId="3A3CDB1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3 229 246,1</w:t>
            </w:r>
          </w:p>
        </w:tc>
        <w:tc>
          <w:tcPr>
            <w:tcW w:w="1220" w:type="dxa"/>
            <w:tcBorders>
              <w:top w:val="nil"/>
              <w:left w:val="nil"/>
              <w:bottom w:val="nil"/>
              <w:right w:val="nil"/>
            </w:tcBorders>
            <w:shd w:val="clear" w:color="000000" w:fill="FFFFFF"/>
            <w:noWrap/>
            <w:vAlign w:val="bottom"/>
            <w:hideMark/>
          </w:tcPr>
          <w:p w14:paraId="4BADE1B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658 926,1</w:t>
            </w:r>
          </w:p>
        </w:tc>
        <w:tc>
          <w:tcPr>
            <w:tcW w:w="1120" w:type="dxa"/>
            <w:tcBorders>
              <w:top w:val="nil"/>
              <w:left w:val="nil"/>
              <w:bottom w:val="nil"/>
              <w:right w:val="nil"/>
            </w:tcBorders>
            <w:shd w:val="clear" w:color="000000" w:fill="FFFFFF"/>
            <w:noWrap/>
            <w:vAlign w:val="bottom"/>
            <w:hideMark/>
          </w:tcPr>
          <w:p w14:paraId="68B8F39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2 772 504,6</w:t>
            </w:r>
          </w:p>
        </w:tc>
        <w:tc>
          <w:tcPr>
            <w:tcW w:w="1280" w:type="dxa"/>
            <w:tcBorders>
              <w:top w:val="nil"/>
              <w:left w:val="nil"/>
              <w:bottom w:val="nil"/>
              <w:right w:val="nil"/>
            </w:tcBorders>
            <w:shd w:val="clear" w:color="000000" w:fill="FFFFFF"/>
            <w:noWrap/>
            <w:vAlign w:val="bottom"/>
            <w:hideMark/>
          </w:tcPr>
          <w:p w14:paraId="1A658D9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3 446 106,0</w:t>
            </w:r>
          </w:p>
        </w:tc>
        <w:tc>
          <w:tcPr>
            <w:tcW w:w="1220" w:type="dxa"/>
            <w:tcBorders>
              <w:top w:val="nil"/>
              <w:left w:val="nil"/>
              <w:bottom w:val="nil"/>
              <w:right w:val="nil"/>
            </w:tcBorders>
            <w:shd w:val="clear" w:color="000000" w:fill="FFFFFF"/>
            <w:noWrap/>
            <w:vAlign w:val="bottom"/>
            <w:hideMark/>
          </w:tcPr>
          <w:p w14:paraId="44F6D53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673 601,4</w:t>
            </w:r>
          </w:p>
        </w:tc>
      </w:tr>
      <w:tr w:rsidR="00761800" w:rsidRPr="00761800" w14:paraId="650BA3B7" w14:textId="77777777" w:rsidTr="00406B4D">
        <w:trPr>
          <w:trHeight w:val="1350"/>
        </w:trPr>
        <w:tc>
          <w:tcPr>
            <w:tcW w:w="4253" w:type="dxa"/>
            <w:tcBorders>
              <w:top w:val="nil"/>
              <w:left w:val="nil"/>
              <w:bottom w:val="single" w:sz="4" w:space="0" w:color="auto"/>
              <w:right w:val="nil"/>
            </w:tcBorders>
            <w:shd w:val="clear" w:color="000000" w:fill="FFFFFF"/>
            <w:hideMark/>
          </w:tcPr>
          <w:p w14:paraId="6305572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Други сметки за средства от Европейския съюз и средства по други международни програми и договори, за които се прилага режимът на сметките за средства от Европейския съюз</w:t>
            </w:r>
          </w:p>
        </w:tc>
        <w:tc>
          <w:tcPr>
            <w:tcW w:w="1180" w:type="dxa"/>
            <w:tcBorders>
              <w:top w:val="nil"/>
              <w:left w:val="nil"/>
              <w:bottom w:val="single" w:sz="4" w:space="0" w:color="auto"/>
              <w:right w:val="nil"/>
            </w:tcBorders>
            <w:shd w:val="clear" w:color="000000" w:fill="FFFFFF"/>
            <w:noWrap/>
            <w:vAlign w:val="bottom"/>
            <w:hideMark/>
          </w:tcPr>
          <w:p w14:paraId="5EED5D9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348 349,9</w:t>
            </w:r>
          </w:p>
        </w:tc>
        <w:tc>
          <w:tcPr>
            <w:tcW w:w="1180" w:type="dxa"/>
            <w:tcBorders>
              <w:top w:val="nil"/>
              <w:left w:val="nil"/>
              <w:bottom w:val="single" w:sz="4" w:space="0" w:color="auto"/>
              <w:right w:val="nil"/>
            </w:tcBorders>
            <w:shd w:val="clear" w:color="000000" w:fill="FFFFFF"/>
            <w:noWrap/>
            <w:vAlign w:val="bottom"/>
            <w:hideMark/>
          </w:tcPr>
          <w:p w14:paraId="532B5AD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461 484,2</w:t>
            </w:r>
          </w:p>
        </w:tc>
        <w:tc>
          <w:tcPr>
            <w:tcW w:w="1160" w:type="dxa"/>
            <w:tcBorders>
              <w:top w:val="nil"/>
              <w:left w:val="nil"/>
              <w:bottom w:val="single" w:sz="4" w:space="0" w:color="auto"/>
              <w:right w:val="nil"/>
            </w:tcBorders>
            <w:shd w:val="clear" w:color="000000" w:fill="FFFFFF"/>
            <w:noWrap/>
            <w:vAlign w:val="bottom"/>
            <w:hideMark/>
          </w:tcPr>
          <w:p w14:paraId="4147E74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113 134,3</w:t>
            </w:r>
          </w:p>
        </w:tc>
        <w:tc>
          <w:tcPr>
            <w:tcW w:w="1120" w:type="dxa"/>
            <w:tcBorders>
              <w:top w:val="nil"/>
              <w:left w:val="nil"/>
              <w:bottom w:val="single" w:sz="4" w:space="0" w:color="auto"/>
              <w:right w:val="nil"/>
            </w:tcBorders>
            <w:shd w:val="clear" w:color="000000" w:fill="FFFFFF"/>
            <w:noWrap/>
            <w:vAlign w:val="bottom"/>
            <w:hideMark/>
          </w:tcPr>
          <w:p w14:paraId="7E80897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394 887,2</w:t>
            </w:r>
          </w:p>
        </w:tc>
        <w:tc>
          <w:tcPr>
            <w:tcW w:w="1280" w:type="dxa"/>
            <w:tcBorders>
              <w:top w:val="nil"/>
              <w:left w:val="nil"/>
              <w:bottom w:val="single" w:sz="4" w:space="0" w:color="auto"/>
              <w:right w:val="nil"/>
            </w:tcBorders>
            <w:shd w:val="clear" w:color="000000" w:fill="FFFFFF"/>
            <w:noWrap/>
            <w:vAlign w:val="bottom"/>
            <w:hideMark/>
          </w:tcPr>
          <w:p w14:paraId="2425E7E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593 773,5</w:t>
            </w:r>
          </w:p>
        </w:tc>
        <w:tc>
          <w:tcPr>
            <w:tcW w:w="1220" w:type="dxa"/>
            <w:tcBorders>
              <w:top w:val="nil"/>
              <w:left w:val="nil"/>
              <w:bottom w:val="single" w:sz="4" w:space="0" w:color="auto"/>
              <w:right w:val="nil"/>
            </w:tcBorders>
            <w:shd w:val="clear" w:color="000000" w:fill="FFFFFF"/>
            <w:noWrap/>
            <w:vAlign w:val="bottom"/>
            <w:hideMark/>
          </w:tcPr>
          <w:p w14:paraId="5D3D7A2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198 886,3</w:t>
            </w:r>
          </w:p>
        </w:tc>
        <w:tc>
          <w:tcPr>
            <w:tcW w:w="1120" w:type="dxa"/>
            <w:tcBorders>
              <w:top w:val="nil"/>
              <w:left w:val="nil"/>
              <w:bottom w:val="single" w:sz="4" w:space="0" w:color="auto"/>
              <w:right w:val="nil"/>
            </w:tcBorders>
            <w:shd w:val="clear" w:color="000000" w:fill="FFFFFF"/>
            <w:noWrap/>
            <w:vAlign w:val="bottom"/>
            <w:hideMark/>
          </w:tcPr>
          <w:p w14:paraId="1A850F9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284 162,3</w:t>
            </w:r>
          </w:p>
        </w:tc>
        <w:tc>
          <w:tcPr>
            <w:tcW w:w="1280" w:type="dxa"/>
            <w:tcBorders>
              <w:top w:val="nil"/>
              <w:left w:val="nil"/>
              <w:bottom w:val="single" w:sz="4" w:space="0" w:color="auto"/>
              <w:right w:val="nil"/>
            </w:tcBorders>
            <w:shd w:val="clear" w:color="000000" w:fill="FFFFFF"/>
            <w:noWrap/>
            <w:vAlign w:val="bottom"/>
            <w:hideMark/>
          </w:tcPr>
          <w:p w14:paraId="7DB3649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430 906,1</w:t>
            </w:r>
          </w:p>
        </w:tc>
        <w:tc>
          <w:tcPr>
            <w:tcW w:w="1220" w:type="dxa"/>
            <w:tcBorders>
              <w:top w:val="nil"/>
              <w:left w:val="nil"/>
              <w:bottom w:val="single" w:sz="4" w:space="0" w:color="auto"/>
              <w:right w:val="nil"/>
            </w:tcBorders>
            <w:shd w:val="clear" w:color="000000" w:fill="FFFFFF"/>
            <w:noWrap/>
            <w:vAlign w:val="bottom"/>
            <w:hideMark/>
          </w:tcPr>
          <w:p w14:paraId="66264400"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146 743,8</w:t>
            </w:r>
          </w:p>
        </w:tc>
      </w:tr>
    </w:tbl>
    <w:p w14:paraId="0A949D05" w14:textId="77777777" w:rsidR="00761800" w:rsidRPr="00761800" w:rsidRDefault="00761800" w:rsidP="00761800">
      <w:pPr>
        <w:spacing w:after="200"/>
        <w:jc w:val="right"/>
        <w:rPr>
          <w:rFonts w:ascii="Times New Roman" w:hAnsi="Times New Roman"/>
          <w:b/>
          <w:bCs/>
          <w:sz w:val="20"/>
          <w:lang w:eastAsia="bg-BG"/>
        </w:rPr>
      </w:pPr>
    </w:p>
    <w:p w14:paraId="02586DC3" w14:textId="77777777" w:rsidR="00761800" w:rsidRPr="00761800" w:rsidRDefault="00761800" w:rsidP="00761800">
      <w:pPr>
        <w:spacing w:after="200"/>
        <w:jc w:val="right"/>
        <w:rPr>
          <w:rFonts w:ascii="Times New Roman" w:hAnsi="Times New Roman"/>
          <w:b/>
          <w:bCs/>
          <w:sz w:val="20"/>
          <w:lang w:eastAsia="bg-BG"/>
        </w:rPr>
      </w:pPr>
    </w:p>
    <w:p w14:paraId="15777403" w14:textId="77777777" w:rsidR="00761800" w:rsidRPr="00761800" w:rsidRDefault="00761800" w:rsidP="00761800">
      <w:pPr>
        <w:spacing w:after="200"/>
        <w:jc w:val="right"/>
        <w:rPr>
          <w:rFonts w:ascii="Times New Roman" w:hAnsi="Times New Roman"/>
          <w:sz w:val="18"/>
          <w:szCs w:val="18"/>
          <w:lang w:eastAsia="bg-BG"/>
        </w:rPr>
      </w:pPr>
    </w:p>
    <w:p w14:paraId="22AA43FA" w14:textId="77777777" w:rsidR="00761800" w:rsidRPr="00761800" w:rsidRDefault="00761800" w:rsidP="00761800">
      <w:pPr>
        <w:spacing w:after="200"/>
        <w:jc w:val="both"/>
        <w:rPr>
          <w:rFonts w:ascii="Times New Roman" w:hAnsi="Times New Roman"/>
          <w:szCs w:val="22"/>
          <w:lang w:eastAsia="bg-BG"/>
        </w:rPr>
      </w:pPr>
    </w:p>
    <w:p w14:paraId="78FE90BA" w14:textId="77777777" w:rsidR="00761800" w:rsidRPr="00761800" w:rsidRDefault="00761800" w:rsidP="00761800">
      <w:pPr>
        <w:spacing w:after="120"/>
        <w:jc w:val="right"/>
        <w:rPr>
          <w:rFonts w:ascii="Times New Roman" w:hAnsi="Times New Roman"/>
          <w:sz w:val="20"/>
          <w:lang w:eastAsia="bg-BG"/>
        </w:rPr>
      </w:pPr>
    </w:p>
    <w:p w14:paraId="590337A4" w14:textId="77777777" w:rsidR="00761800" w:rsidRPr="00761800" w:rsidRDefault="00761800" w:rsidP="00761800">
      <w:pPr>
        <w:spacing w:after="200" w:line="276" w:lineRule="auto"/>
        <w:rPr>
          <w:rFonts w:ascii="Times New Roman" w:hAnsi="Times New Roman"/>
          <w:sz w:val="20"/>
          <w:lang w:eastAsia="bg-BG"/>
        </w:rPr>
      </w:pPr>
      <w:r w:rsidRPr="00761800">
        <w:rPr>
          <w:rFonts w:ascii="Times New Roman" w:hAnsi="Times New Roman"/>
          <w:sz w:val="20"/>
          <w:lang w:eastAsia="bg-BG"/>
        </w:rPr>
        <w:br w:type="page"/>
      </w:r>
    </w:p>
    <w:p w14:paraId="6B7A6305" w14:textId="77777777" w:rsidR="00761800" w:rsidRPr="00761800" w:rsidRDefault="00761800" w:rsidP="00761800">
      <w:pPr>
        <w:spacing w:after="120"/>
        <w:jc w:val="right"/>
        <w:rPr>
          <w:rFonts w:ascii="Times New Roman" w:hAnsi="Times New Roman"/>
          <w:sz w:val="20"/>
          <w:lang w:eastAsia="bg-BG"/>
        </w:rPr>
      </w:pPr>
    </w:p>
    <w:p w14:paraId="5135ABDB" w14:textId="77777777" w:rsidR="00761800" w:rsidRPr="00761800" w:rsidRDefault="00761800" w:rsidP="00761800">
      <w:pPr>
        <w:keepNext/>
        <w:keepLines/>
        <w:tabs>
          <w:tab w:val="left" w:pos="426"/>
        </w:tabs>
        <w:spacing w:before="480" w:after="360"/>
        <w:outlineLvl w:val="1"/>
        <w:rPr>
          <w:rFonts w:ascii="Times New Roman" w:hAnsi="Times New Roman"/>
          <w:b/>
          <w:bCs/>
          <w:caps/>
          <w:color w:val="852010"/>
          <w:spacing w:val="10"/>
          <w:w w:val="90"/>
          <w:sz w:val="28"/>
          <w:szCs w:val="26"/>
          <w:lang w:eastAsia="bg-BG"/>
        </w:rPr>
      </w:pPr>
      <w:bookmarkStart w:id="634" w:name="_Toc464224830"/>
      <w:bookmarkStart w:id="635" w:name="_Toc464225480"/>
      <w:bookmarkStart w:id="636" w:name="_Toc464459027"/>
      <w:bookmarkStart w:id="637" w:name="_Toc464459775"/>
      <w:bookmarkStart w:id="638" w:name="_Toc464460728"/>
      <w:bookmarkStart w:id="639" w:name="_Toc464463127"/>
      <w:bookmarkStart w:id="640" w:name="_Toc464464956"/>
      <w:bookmarkStart w:id="641" w:name="_Toc464465463"/>
      <w:bookmarkStart w:id="642" w:name="_Toc464465651"/>
      <w:bookmarkStart w:id="643" w:name="_Toc464466475"/>
      <w:bookmarkStart w:id="644" w:name="_Toc464466718"/>
      <w:bookmarkStart w:id="645" w:name="_Toc464645435"/>
      <w:bookmarkStart w:id="646" w:name="_Toc465205593"/>
      <w:bookmarkStart w:id="647" w:name="_Toc233717510"/>
      <w:r w:rsidRPr="00761800">
        <w:rPr>
          <w:rFonts w:ascii="Times New Roman" w:hAnsi="Times New Roman"/>
          <w:b/>
          <w:bCs/>
          <w:caps/>
          <w:color w:val="852010"/>
          <w:spacing w:val="10"/>
          <w:w w:val="90"/>
          <w:sz w:val="28"/>
          <w:szCs w:val="26"/>
          <w:lang w:eastAsia="bg-BG"/>
        </w:rPr>
        <w:t xml:space="preserve">Приложение № 8: </w:t>
      </w:r>
      <w:r w:rsidRPr="00761800">
        <w:rPr>
          <w:rFonts w:ascii="Times New Roman" w:hAnsi="Times New Roman"/>
          <w:b/>
          <w:bCs/>
          <w:caps/>
          <w:color w:val="852010"/>
          <w:spacing w:val="10"/>
          <w:w w:val="90"/>
          <w:sz w:val="28"/>
          <w:szCs w:val="26"/>
          <w:lang w:eastAsia="bg-BG"/>
        </w:rPr>
        <w:br/>
        <w:t>Размери на разходите и трансферите (нето) по други икономически обособени лица и структурни единици, включени в КФП за периода 2026-2028 г.</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130EBFE9" w14:textId="77777777" w:rsidR="00761800" w:rsidRPr="00761800" w:rsidRDefault="00761800" w:rsidP="00761800">
      <w:pPr>
        <w:spacing w:after="200"/>
        <w:jc w:val="right"/>
        <w:rPr>
          <w:rFonts w:ascii="Times New Roman" w:hAnsi="Times New Roman"/>
          <w:b/>
          <w:bCs/>
          <w:sz w:val="20"/>
          <w:lang w:eastAsia="bg-BG"/>
        </w:rPr>
      </w:pPr>
      <w:r w:rsidRPr="00761800">
        <w:rPr>
          <w:rFonts w:ascii="Times New Roman" w:hAnsi="Times New Roman"/>
          <w:b/>
          <w:bCs/>
          <w:sz w:val="20"/>
          <w:lang w:eastAsia="bg-BG"/>
        </w:rPr>
        <w:t>(в хил. евро)</w:t>
      </w:r>
    </w:p>
    <w:tbl>
      <w:tblPr>
        <w:tblW w:w="14780" w:type="dxa"/>
        <w:tblCellMar>
          <w:left w:w="70" w:type="dxa"/>
          <w:right w:w="70" w:type="dxa"/>
        </w:tblCellMar>
        <w:tblLook w:val="04A0" w:firstRow="1" w:lastRow="0" w:firstColumn="1" w:lastColumn="0" w:noHBand="0" w:noVBand="1"/>
      </w:tblPr>
      <w:tblGrid>
        <w:gridCol w:w="341"/>
        <w:gridCol w:w="3640"/>
        <w:gridCol w:w="1180"/>
        <w:gridCol w:w="1180"/>
        <w:gridCol w:w="1160"/>
        <w:gridCol w:w="1240"/>
        <w:gridCol w:w="1200"/>
        <w:gridCol w:w="1220"/>
        <w:gridCol w:w="1240"/>
        <w:gridCol w:w="1200"/>
        <w:gridCol w:w="1220"/>
      </w:tblGrid>
      <w:tr w:rsidR="00761800" w:rsidRPr="00761800" w14:paraId="2C5C9696" w14:textId="77777777" w:rsidTr="00406B4D">
        <w:trPr>
          <w:trHeight w:val="255"/>
        </w:trPr>
        <w:tc>
          <w:tcPr>
            <w:tcW w:w="300" w:type="dxa"/>
            <w:tcBorders>
              <w:top w:val="single" w:sz="4" w:space="0" w:color="auto"/>
              <w:left w:val="nil"/>
              <w:bottom w:val="nil"/>
              <w:right w:val="nil"/>
            </w:tcBorders>
            <w:shd w:val="clear" w:color="000000" w:fill="FFFFFF"/>
            <w:noWrap/>
            <w:hideMark/>
          </w:tcPr>
          <w:p w14:paraId="37E50ED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3640" w:type="dxa"/>
            <w:tcBorders>
              <w:top w:val="single" w:sz="4" w:space="0" w:color="auto"/>
              <w:left w:val="nil"/>
              <w:bottom w:val="nil"/>
              <w:right w:val="nil"/>
            </w:tcBorders>
            <w:shd w:val="clear" w:color="000000" w:fill="FFFFFF"/>
            <w:noWrap/>
            <w:hideMark/>
          </w:tcPr>
          <w:p w14:paraId="6976DC4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3520" w:type="dxa"/>
            <w:gridSpan w:val="3"/>
            <w:tcBorders>
              <w:top w:val="single" w:sz="4" w:space="0" w:color="auto"/>
              <w:left w:val="nil"/>
              <w:bottom w:val="single" w:sz="4" w:space="0" w:color="595959"/>
              <w:right w:val="nil"/>
            </w:tcBorders>
            <w:shd w:val="clear" w:color="000000" w:fill="FFFFFF"/>
            <w:hideMark/>
          </w:tcPr>
          <w:p w14:paraId="0FED033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2026 г.</w:t>
            </w:r>
          </w:p>
        </w:tc>
        <w:tc>
          <w:tcPr>
            <w:tcW w:w="3660" w:type="dxa"/>
            <w:gridSpan w:val="3"/>
            <w:tcBorders>
              <w:top w:val="single" w:sz="4" w:space="0" w:color="auto"/>
              <w:left w:val="nil"/>
              <w:bottom w:val="single" w:sz="4" w:space="0" w:color="595959"/>
              <w:right w:val="nil"/>
            </w:tcBorders>
            <w:shd w:val="clear" w:color="000000" w:fill="FFFFFF"/>
            <w:hideMark/>
          </w:tcPr>
          <w:p w14:paraId="12A0CE5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2027 г.</w:t>
            </w:r>
          </w:p>
        </w:tc>
        <w:tc>
          <w:tcPr>
            <w:tcW w:w="3660" w:type="dxa"/>
            <w:gridSpan w:val="3"/>
            <w:tcBorders>
              <w:top w:val="single" w:sz="4" w:space="0" w:color="auto"/>
              <w:left w:val="nil"/>
              <w:bottom w:val="single" w:sz="4" w:space="0" w:color="595959"/>
              <w:right w:val="nil"/>
            </w:tcBorders>
            <w:shd w:val="clear" w:color="000000" w:fill="FFFFFF"/>
            <w:hideMark/>
          </w:tcPr>
          <w:p w14:paraId="3E17A68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2028 г.</w:t>
            </w:r>
          </w:p>
        </w:tc>
      </w:tr>
      <w:tr w:rsidR="00761800" w:rsidRPr="00761800" w14:paraId="0EA8AD5E" w14:textId="77777777" w:rsidTr="00406B4D">
        <w:trPr>
          <w:trHeight w:val="1110"/>
        </w:trPr>
        <w:tc>
          <w:tcPr>
            <w:tcW w:w="300" w:type="dxa"/>
            <w:tcBorders>
              <w:top w:val="nil"/>
              <w:left w:val="nil"/>
              <w:bottom w:val="nil"/>
              <w:right w:val="nil"/>
            </w:tcBorders>
            <w:shd w:val="clear" w:color="000000" w:fill="FFFFFF"/>
            <w:noWrap/>
            <w:hideMark/>
          </w:tcPr>
          <w:p w14:paraId="7709B08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w:t>
            </w:r>
          </w:p>
        </w:tc>
        <w:tc>
          <w:tcPr>
            <w:tcW w:w="3640" w:type="dxa"/>
            <w:tcBorders>
              <w:top w:val="nil"/>
              <w:left w:val="nil"/>
              <w:bottom w:val="nil"/>
              <w:right w:val="nil"/>
            </w:tcBorders>
            <w:shd w:val="clear" w:color="000000" w:fill="FFFFFF"/>
            <w:hideMark/>
          </w:tcPr>
          <w:p w14:paraId="49C672E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Други икономически обособени лица, включени в КФП</w:t>
            </w:r>
          </w:p>
        </w:tc>
        <w:tc>
          <w:tcPr>
            <w:tcW w:w="1180" w:type="dxa"/>
            <w:tcBorders>
              <w:top w:val="nil"/>
              <w:left w:val="nil"/>
              <w:bottom w:val="single" w:sz="4" w:space="0" w:color="auto"/>
              <w:right w:val="nil"/>
            </w:tcBorders>
            <w:shd w:val="clear" w:color="000000" w:fill="FFFFFF"/>
            <w:hideMark/>
          </w:tcPr>
          <w:p w14:paraId="5D31E5F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Общо разходи и трансфери (нето)</w:t>
            </w:r>
          </w:p>
        </w:tc>
        <w:tc>
          <w:tcPr>
            <w:tcW w:w="2340" w:type="dxa"/>
            <w:gridSpan w:val="2"/>
            <w:tcBorders>
              <w:top w:val="single" w:sz="4" w:space="0" w:color="595959"/>
              <w:left w:val="nil"/>
              <w:bottom w:val="single" w:sz="4" w:space="0" w:color="auto"/>
              <w:right w:val="nil"/>
            </w:tcBorders>
            <w:shd w:val="clear" w:color="000000" w:fill="FFFFFF"/>
            <w:hideMark/>
          </w:tcPr>
          <w:p w14:paraId="5E5153A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в т.ч.</w:t>
            </w:r>
          </w:p>
        </w:tc>
        <w:tc>
          <w:tcPr>
            <w:tcW w:w="1240" w:type="dxa"/>
            <w:tcBorders>
              <w:top w:val="nil"/>
              <w:left w:val="nil"/>
              <w:bottom w:val="single" w:sz="4" w:space="0" w:color="auto"/>
              <w:right w:val="nil"/>
            </w:tcBorders>
            <w:shd w:val="clear" w:color="000000" w:fill="FFFFFF"/>
            <w:hideMark/>
          </w:tcPr>
          <w:p w14:paraId="7104379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Общо разходи и трансфери (нето)</w:t>
            </w:r>
          </w:p>
        </w:tc>
        <w:tc>
          <w:tcPr>
            <w:tcW w:w="2420" w:type="dxa"/>
            <w:gridSpan w:val="2"/>
            <w:tcBorders>
              <w:top w:val="single" w:sz="4" w:space="0" w:color="595959"/>
              <w:left w:val="nil"/>
              <w:bottom w:val="single" w:sz="4" w:space="0" w:color="auto"/>
              <w:right w:val="nil"/>
            </w:tcBorders>
            <w:shd w:val="clear" w:color="000000" w:fill="FFFFFF"/>
            <w:hideMark/>
          </w:tcPr>
          <w:p w14:paraId="49D48B1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в т.ч.</w:t>
            </w:r>
          </w:p>
        </w:tc>
        <w:tc>
          <w:tcPr>
            <w:tcW w:w="1240" w:type="dxa"/>
            <w:tcBorders>
              <w:top w:val="nil"/>
              <w:left w:val="nil"/>
              <w:bottom w:val="single" w:sz="4" w:space="0" w:color="auto"/>
              <w:right w:val="nil"/>
            </w:tcBorders>
            <w:shd w:val="clear" w:color="000000" w:fill="FFFFFF"/>
            <w:hideMark/>
          </w:tcPr>
          <w:p w14:paraId="79E8F441"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Общо разходи и трансфери (нето)</w:t>
            </w:r>
          </w:p>
        </w:tc>
        <w:tc>
          <w:tcPr>
            <w:tcW w:w="2420" w:type="dxa"/>
            <w:gridSpan w:val="2"/>
            <w:tcBorders>
              <w:top w:val="single" w:sz="4" w:space="0" w:color="595959"/>
              <w:left w:val="nil"/>
              <w:bottom w:val="single" w:sz="4" w:space="0" w:color="auto"/>
              <w:right w:val="nil"/>
            </w:tcBorders>
            <w:shd w:val="clear" w:color="000000" w:fill="FFFFFF"/>
            <w:hideMark/>
          </w:tcPr>
          <w:p w14:paraId="78EF47F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в т.ч.</w:t>
            </w:r>
          </w:p>
        </w:tc>
      </w:tr>
      <w:tr w:rsidR="00761800" w:rsidRPr="00761800" w14:paraId="389DA4C1" w14:textId="77777777" w:rsidTr="00406B4D">
        <w:trPr>
          <w:trHeight w:val="510"/>
        </w:trPr>
        <w:tc>
          <w:tcPr>
            <w:tcW w:w="300" w:type="dxa"/>
            <w:tcBorders>
              <w:top w:val="nil"/>
              <w:left w:val="nil"/>
              <w:bottom w:val="single" w:sz="4" w:space="0" w:color="auto"/>
              <w:right w:val="nil"/>
            </w:tcBorders>
            <w:shd w:val="clear" w:color="000000" w:fill="FFFFFF"/>
            <w:noWrap/>
            <w:hideMark/>
          </w:tcPr>
          <w:p w14:paraId="780FB28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3640" w:type="dxa"/>
            <w:tcBorders>
              <w:top w:val="nil"/>
              <w:left w:val="nil"/>
              <w:bottom w:val="single" w:sz="4" w:space="0" w:color="auto"/>
              <w:right w:val="nil"/>
            </w:tcBorders>
            <w:shd w:val="clear" w:color="000000" w:fill="FFFFFF"/>
            <w:noWrap/>
            <w:hideMark/>
          </w:tcPr>
          <w:p w14:paraId="0D400A6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1180" w:type="dxa"/>
            <w:tcBorders>
              <w:top w:val="nil"/>
              <w:left w:val="nil"/>
              <w:bottom w:val="single" w:sz="4" w:space="0" w:color="auto"/>
              <w:right w:val="nil"/>
            </w:tcBorders>
            <w:shd w:val="clear" w:color="000000" w:fill="FFFFFF"/>
            <w:vAlign w:val="center"/>
            <w:hideMark/>
          </w:tcPr>
          <w:p w14:paraId="6CDB0D7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к.2.1-к.2.2</w:t>
            </w:r>
          </w:p>
        </w:tc>
        <w:tc>
          <w:tcPr>
            <w:tcW w:w="1180" w:type="dxa"/>
            <w:tcBorders>
              <w:top w:val="nil"/>
              <w:left w:val="nil"/>
              <w:bottom w:val="single" w:sz="4" w:space="0" w:color="auto"/>
              <w:right w:val="nil"/>
            </w:tcBorders>
            <w:shd w:val="clear" w:color="000000" w:fill="FFFFFF"/>
            <w:hideMark/>
          </w:tcPr>
          <w:p w14:paraId="2AA09374"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Разходи</w:t>
            </w:r>
          </w:p>
        </w:tc>
        <w:tc>
          <w:tcPr>
            <w:tcW w:w="1160" w:type="dxa"/>
            <w:tcBorders>
              <w:top w:val="nil"/>
              <w:left w:val="nil"/>
              <w:bottom w:val="single" w:sz="4" w:space="0" w:color="auto"/>
              <w:right w:val="nil"/>
            </w:tcBorders>
            <w:shd w:val="clear" w:color="000000" w:fill="FFFFFF"/>
            <w:hideMark/>
          </w:tcPr>
          <w:p w14:paraId="6D45A17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Трансфери (нето)</w:t>
            </w:r>
          </w:p>
        </w:tc>
        <w:tc>
          <w:tcPr>
            <w:tcW w:w="1240" w:type="dxa"/>
            <w:tcBorders>
              <w:top w:val="nil"/>
              <w:left w:val="nil"/>
              <w:bottom w:val="single" w:sz="4" w:space="0" w:color="auto"/>
              <w:right w:val="nil"/>
            </w:tcBorders>
            <w:shd w:val="clear" w:color="000000" w:fill="FFFFFF"/>
            <w:vAlign w:val="center"/>
            <w:hideMark/>
          </w:tcPr>
          <w:p w14:paraId="2350CB7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к.3.1-к.3.2</w:t>
            </w:r>
          </w:p>
        </w:tc>
        <w:tc>
          <w:tcPr>
            <w:tcW w:w="1200" w:type="dxa"/>
            <w:tcBorders>
              <w:top w:val="nil"/>
              <w:left w:val="nil"/>
              <w:bottom w:val="single" w:sz="4" w:space="0" w:color="auto"/>
              <w:right w:val="nil"/>
            </w:tcBorders>
            <w:shd w:val="clear" w:color="000000" w:fill="FFFFFF"/>
            <w:hideMark/>
          </w:tcPr>
          <w:p w14:paraId="6D998D48"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Разходи</w:t>
            </w:r>
          </w:p>
        </w:tc>
        <w:tc>
          <w:tcPr>
            <w:tcW w:w="1220" w:type="dxa"/>
            <w:tcBorders>
              <w:top w:val="nil"/>
              <w:left w:val="nil"/>
              <w:bottom w:val="single" w:sz="4" w:space="0" w:color="auto"/>
              <w:right w:val="nil"/>
            </w:tcBorders>
            <w:shd w:val="clear" w:color="000000" w:fill="FFFFFF"/>
            <w:hideMark/>
          </w:tcPr>
          <w:p w14:paraId="36CDFE3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Трансфери (нето)</w:t>
            </w:r>
          </w:p>
        </w:tc>
        <w:tc>
          <w:tcPr>
            <w:tcW w:w="1240" w:type="dxa"/>
            <w:tcBorders>
              <w:top w:val="nil"/>
              <w:left w:val="nil"/>
              <w:bottom w:val="single" w:sz="4" w:space="0" w:color="auto"/>
              <w:right w:val="nil"/>
            </w:tcBorders>
            <w:shd w:val="clear" w:color="000000" w:fill="FFFFFF"/>
            <w:vAlign w:val="center"/>
            <w:hideMark/>
          </w:tcPr>
          <w:p w14:paraId="179D5B2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к.4.1-к.4.2</w:t>
            </w:r>
          </w:p>
        </w:tc>
        <w:tc>
          <w:tcPr>
            <w:tcW w:w="1200" w:type="dxa"/>
            <w:tcBorders>
              <w:top w:val="nil"/>
              <w:left w:val="nil"/>
              <w:bottom w:val="single" w:sz="4" w:space="0" w:color="auto"/>
              <w:right w:val="nil"/>
            </w:tcBorders>
            <w:shd w:val="clear" w:color="000000" w:fill="FFFFFF"/>
            <w:hideMark/>
          </w:tcPr>
          <w:p w14:paraId="0ABF516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Разходи</w:t>
            </w:r>
          </w:p>
        </w:tc>
        <w:tc>
          <w:tcPr>
            <w:tcW w:w="1220" w:type="dxa"/>
            <w:tcBorders>
              <w:top w:val="nil"/>
              <w:left w:val="nil"/>
              <w:bottom w:val="single" w:sz="4" w:space="0" w:color="auto"/>
              <w:right w:val="nil"/>
            </w:tcBorders>
            <w:shd w:val="clear" w:color="000000" w:fill="FFFFFF"/>
            <w:hideMark/>
          </w:tcPr>
          <w:p w14:paraId="68A2622F"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Трансфери (нето)</w:t>
            </w:r>
          </w:p>
        </w:tc>
      </w:tr>
      <w:tr w:rsidR="00761800" w:rsidRPr="00761800" w14:paraId="5549D8A3" w14:textId="77777777" w:rsidTr="00406B4D">
        <w:trPr>
          <w:trHeight w:val="255"/>
        </w:trPr>
        <w:tc>
          <w:tcPr>
            <w:tcW w:w="300" w:type="dxa"/>
            <w:tcBorders>
              <w:top w:val="nil"/>
              <w:left w:val="nil"/>
              <w:bottom w:val="single" w:sz="4" w:space="0" w:color="366092"/>
              <w:right w:val="nil"/>
            </w:tcBorders>
            <w:shd w:val="clear" w:color="000000" w:fill="FFFFFF"/>
            <w:noWrap/>
            <w:hideMark/>
          </w:tcPr>
          <w:p w14:paraId="12C6476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 </w:t>
            </w:r>
          </w:p>
        </w:tc>
        <w:tc>
          <w:tcPr>
            <w:tcW w:w="3640" w:type="dxa"/>
            <w:tcBorders>
              <w:top w:val="nil"/>
              <w:left w:val="nil"/>
              <w:bottom w:val="single" w:sz="4" w:space="0" w:color="366092"/>
              <w:right w:val="nil"/>
            </w:tcBorders>
            <w:shd w:val="clear" w:color="000000" w:fill="FFFFFF"/>
            <w:noWrap/>
            <w:hideMark/>
          </w:tcPr>
          <w:p w14:paraId="5BACD76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1</w:t>
            </w:r>
          </w:p>
        </w:tc>
        <w:tc>
          <w:tcPr>
            <w:tcW w:w="1180" w:type="dxa"/>
            <w:tcBorders>
              <w:top w:val="nil"/>
              <w:left w:val="nil"/>
              <w:bottom w:val="single" w:sz="4" w:space="0" w:color="auto"/>
              <w:right w:val="nil"/>
            </w:tcBorders>
            <w:shd w:val="clear" w:color="000000" w:fill="FFFFFF"/>
            <w:noWrap/>
            <w:hideMark/>
          </w:tcPr>
          <w:p w14:paraId="10CFBC92"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w:t>
            </w:r>
          </w:p>
        </w:tc>
        <w:tc>
          <w:tcPr>
            <w:tcW w:w="1180" w:type="dxa"/>
            <w:tcBorders>
              <w:top w:val="nil"/>
              <w:left w:val="nil"/>
              <w:bottom w:val="single" w:sz="4" w:space="0" w:color="auto"/>
              <w:right w:val="nil"/>
            </w:tcBorders>
            <w:shd w:val="clear" w:color="000000" w:fill="FFFFFF"/>
            <w:noWrap/>
            <w:hideMark/>
          </w:tcPr>
          <w:p w14:paraId="0C81EB15"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2.1</w:t>
            </w:r>
          </w:p>
        </w:tc>
        <w:tc>
          <w:tcPr>
            <w:tcW w:w="1160" w:type="dxa"/>
            <w:tcBorders>
              <w:top w:val="nil"/>
              <w:left w:val="nil"/>
              <w:bottom w:val="single" w:sz="4" w:space="0" w:color="auto"/>
              <w:right w:val="nil"/>
            </w:tcBorders>
            <w:shd w:val="clear" w:color="000000" w:fill="FFFFFF"/>
            <w:noWrap/>
            <w:hideMark/>
          </w:tcPr>
          <w:p w14:paraId="6F244763"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2.2</w:t>
            </w:r>
          </w:p>
        </w:tc>
        <w:tc>
          <w:tcPr>
            <w:tcW w:w="1240" w:type="dxa"/>
            <w:tcBorders>
              <w:top w:val="nil"/>
              <w:left w:val="nil"/>
              <w:bottom w:val="single" w:sz="4" w:space="0" w:color="auto"/>
              <w:right w:val="nil"/>
            </w:tcBorders>
            <w:shd w:val="clear" w:color="000000" w:fill="FFFFFF"/>
            <w:noWrap/>
            <w:hideMark/>
          </w:tcPr>
          <w:p w14:paraId="5DD39B19"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w:t>
            </w:r>
          </w:p>
        </w:tc>
        <w:tc>
          <w:tcPr>
            <w:tcW w:w="1200" w:type="dxa"/>
            <w:tcBorders>
              <w:top w:val="nil"/>
              <w:left w:val="nil"/>
              <w:bottom w:val="single" w:sz="4" w:space="0" w:color="auto"/>
              <w:right w:val="nil"/>
            </w:tcBorders>
            <w:shd w:val="clear" w:color="000000" w:fill="FFFFFF"/>
            <w:noWrap/>
            <w:hideMark/>
          </w:tcPr>
          <w:p w14:paraId="19F1EAE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3.1</w:t>
            </w:r>
          </w:p>
        </w:tc>
        <w:tc>
          <w:tcPr>
            <w:tcW w:w="1220" w:type="dxa"/>
            <w:tcBorders>
              <w:top w:val="nil"/>
              <w:left w:val="nil"/>
              <w:bottom w:val="single" w:sz="4" w:space="0" w:color="auto"/>
              <w:right w:val="nil"/>
            </w:tcBorders>
            <w:shd w:val="clear" w:color="000000" w:fill="FFFFFF"/>
            <w:noWrap/>
            <w:hideMark/>
          </w:tcPr>
          <w:p w14:paraId="70CE153B"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3.2</w:t>
            </w:r>
          </w:p>
        </w:tc>
        <w:tc>
          <w:tcPr>
            <w:tcW w:w="1240" w:type="dxa"/>
            <w:tcBorders>
              <w:top w:val="nil"/>
              <w:left w:val="nil"/>
              <w:bottom w:val="single" w:sz="4" w:space="0" w:color="auto"/>
              <w:right w:val="nil"/>
            </w:tcBorders>
            <w:shd w:val="clear" w:color="000000" w:fill="FFFFFF"/>
            <w:noWrap/>
            <w:hideMark/>
          </w:tcPr>
          <w:p w14:paraId="2D116CCC"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w:t>
            </w:r>
          </w:p>
        </w:tc>
        <w:tc>
          <w:tcPr>
            <w:tcW w:w="1200" w:type="dxa"/>
            <w:tcBorders>
              <w:top w:val="nil"/>
              <w:left w:val="nil"/>
              <w:bottom w:val="single" w:sz="4" w:space="0" w:color="auto"/>
              <w:right w:val="nil"/>
            </w:tcBorders>
            <w:shd w:val="clear" w:color="000000" w:fill="FFFFFF"/>
            <w:noWrap/>
            <w:hideMark/>
          </w:tcPr>
          <w:p w14:paraId="1087AB66"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4.1</w:t>
            </w:r>
          </w:p>
        </w:tc>
        <w:tc>
          <w:tcPr>
            <w:tcW w:w="1220" w:type="dxa"/>
            <w:tcBorders>
              <w:top w:val="nil"/>
              <w:left w:val="nil"/>
              <w:bottom w:val="single" w:sz="4" w:space="0" w:color="auto"/>
              <w:right w:val="nil"/>
            </w:tcBorders>
            <w:shd w:val="clear" w:color="000000" w:fill="FFFFFF"/>
            <w:noWrap/>
            <w:hideMark/>
          </w:tcPr>
          <w:p w14:paraId="3FC72100" w14:textId="77777777" w:rsidR="00761800" w:rsidRPr="00761800" w:rsidRDefault="00761800" w:rsidP="00761800">
            <w:pPr>
              <w:jc w:val="center"/>
              <w:rPr>
                <w:rFonts w:ascii="Times New Roman" w:hAnsi="Times New Roman"/>
                <w:b/>
                <w:bCs/>
                <w:sz w:val="20"/>
                <w:lang w:eastAsia="bg-BG"/>
              </w:rPr>
            </w:pPr>
            <w:r w:rsidRPr="00761800">
              <w:rPr>
                <w:rFonts w:ascii="Times New Roman" w:hAnsi="Times New Roman"/>
                <w:b/>
                <w:bCs/>
                <w:sz w:val="20"/>
                <w:lang w:eastAsia="bg-BG"/>
              </w:rPr>
              <w:t>4.2</w:t>
            </w:r>
          </w:p>
        </w:tc>
      </w:tr>
      <w:tr w:rsidR="00761800" w:rsidRPr="00761800" w14:paraId="6BA84771" w14:textId="77777777" w:rsidTr="00406B4D">
        <w:trPr>
          <w:trHeight w:val="585"/>
        </w:trPr>
        <w:tc>
          <w:tcPr>
            <w:tcW w:w="300" w:type="dxa"/>
            <w:tcBorders>
              <w:top w:val="single" w:sz="4" w:space="0" w:color="auto"/>
              <w:left w:val="nil"/>
              <w:bottom w:val="nil"/>
              <w:right w:val="nil"/>
            </w:tcBorders>
            <w:shd w:val="clear" w:color="000000" w:fill="FFFFFF"/>
            <w:noWrap/>
            <w:hideMark/>
          </w:tcPr>
          <w:p w14:paraId="0D08C4A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w:t>
            </w:r>
          </w:p>
        </w:tc>
        <w:tc>
          <w:tcPr>
            <w:tcW w:w="3640" w:type="dxa"/>
            <w:tcBorders>
              <w:top w:val="single" w:sz="4" w:space="0" w:color="auto"/>
              <w:left w:val="nil"/>
              <w:bottom w:val="nil"/>
              <w:right w:val="nil"/>
            </w:tcBorders>
            <w:shd w:val="clear" w:color="000000" w:fill="FFFFFF"/>
            <w:hideMark/>
          </w:tcPr>
          <w:p w14:paraId="246DE40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Предприятие за управление на дейностите по опазване на околната среда</w:t>
            </w:r>
          </w:p>
        </w:tc>
        <w:tc>
          <w:tcPr>
            <w:tcW w:w="1180" w:type="dxa"/>
            <w:tcBorders>
              <w:top w:val="nil"/>
              <w:left w:val="nil"/>
              <w:bottom w:val="nil"/>
              <w:right w:val="nil"/>
            </w:tcBorders>
            <w:shd w:val="clear" w:color="000000" w:fill="FFFFFF"/>
            <w:noWrap/>
            <w:vAlign w:val="bottom"/>
            <w:hideMark/>
          </w:tcPr>
          <w:p w14:paraId="26D2EAA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12 654,9</w:t>
            </w:r>
          </w:p>
        </w:tc>
        <w:tc>
          <w:tcPr>
            <w:tcW w:w="1180" w:type="dxa"/>
            <w:tcBorders>
              <w:top w:val="nil"/>
              <w:left w:val="nil"/>
              <w:bottom w:val="nil"/>
              <w:right w:val="nil"/>
            </w:tcBorders>
            <w:shd w:val="clear" w:color="000000" w:fill="FFFFFF"/>
            <w:noWrap/>
            <w:vAlign w:val="bottom"/>
            <w:hideMark/>
          </w:tcPr>
          <w:p w14:paraId="0481661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32 087,1</w:t>
            </w:r>
          </w:p>
        </w:tc>
        <w:tc>
          <w:tcPr>
            <w:tcW w:w="1160" w:type="dxa"/>
            <w:tcBorders>
              <w:top w:val="nil"/>
              <w:left w:val="nil"/>
              <w:bottom w:val="nil"/>
              <w:right w:val="nil"/>
            </w:tcBorders>
            <w:shd w:val="clear" w:color="000000" w:fill="FFFFFF"/>
            <w:noWrap/>
            <w:vAlign w:val="bottom"/>
            <w:hideMark/>
          </w:tcPr>
          <w:p w14:paraId="733603C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19 432,2</w:t>
            </w:r>
          </w:p>
        </w:tc>
        <w:tc>
          <w:tcPr>
            <w:tcW w:w="1240" w:type="dxa"/>
            <w:tcBorders>
              <w:top w:val="nil"/>
              <w:left w:val="nil"/>
              <w:bottom w:val="nil"/>
              <w:right w:val="nil"/>
            </w:tcBorders>
            <w:shd w:val="clear" w:color="000000" w:fill="FFFFFF"/>
            <w:noWrap/>
            <w:vAlign w:val="bottom"/>
            <w:hideMark/>
          </w:tcPr>
          <w:p w14:paraId="7A3CB6F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26 589,7</w:t>
            </w:r>
          </w:p>
        </w:tc>
        <w:tc>
          <w:tcPr>
            <w:tcW w:w="1200" w:type="dxa"/>
            <w:tcBorders>
              <w:top w:val="nil"/>
              <w:left w:val="nil"/>
              <w:bottom w:val="nil"/>
              <w:right w:val="nil"/>
            </w:tcBorders>
            <w:shd w:val="clear" w:color="000000" w:fill="FFFFFF"/>
            <w:noWrap/>
            <w:vAlign w:val="bottom"/>
            <w:hideMark/>
          </w:tcPr>
          <w:p w14:paraId="06435C4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44 446,9</w:t>
            </w:r>
          </w:p>
        </w:tc>
        <w:tc>
          <w:tcPr>
            <w:tcW w:w="1220" w:type="dxa"/>
            <w:tcBorders>
              <w:top w:val="nil"/>
              <w:left w:val="nil"/>
              <w:bottom w:val="nil"/>
              <w:right w:val="nil"/>
            </w:tcBorders>
            <w:shd w:val="clear" w:color="000000" w:fill="FFFFFF"/>
            <w:noWrap/>
            <w:vAlign w:val="bottom"/>
            <w:hideMark/>
          </w:tcPr>
          <w:p w14:paraId="6137B4B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17 857,2</w:t>
            </w:r>
          </w:p>
        </w:tc>
        <w:tc>
          <w:tcPr>
            <w:tcW w:w="1240" w:type="dxa"/>
            <w:tcBorders>
              <w:top w:val="nil"/>
              <w:left w:val="nil"/>
              <w:bottom w:val="nil"/>
              <w:right w:val="nil"/>
            </w:tcBorders>
            <w:shd w:val="clear" w:color="000000" w:fill="FFFFFF"/>
            <w:noWrap/>
            <w:vAlign w:val="bottom"/>
            <w:hideMark/>
          </w:tcPr>
          <w:p w14:paraId="311D58D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25 767,1</w:t>
            </w:r>
          </w:p>
        </w:tc>
        <w:tc>
          <w:tcPr>
            <w:tcW w:w="1200" w:type="dxa"/>
            <w:tcBorders>
              <w:top w:val="nil"/>
              <w:left w:val="nil"/>
              <w:bottom w:val="nil"/>
              <w:right w:val="nil"/>
            </w:tcBorders>
            <w:shd w:val="clear" w:color="000000" w:fill="FFFFFF"/>
            <w:noWrap/>
            <w:vAlign w:val="bottom"/>
            <w:hideMark/>
          </w:tcPr>
          <w:p w14:paraId="4DE5904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43 824,3</w:t>
            </w:r>
          </w:p>
        </w:tc>
        <w:tc>
          <w:tcPr>
            <w:tcW w:w="1220" w:type="dxa"/>
            <w:tcBorders>
              <w:top w:val="nil"/>
              <w:left w:val="nil"/>
              <w:bottom w:val="nil"/>
              <w:right w:val="nil"/>
            </w:tcBorders>
            <w:shd w:val="clear" w:color="000000" w:fill="FFFFFF"/>
            <w:noWrap/>
            <w:vAlign w:val="bottom"/>
            <w:hideMark/>
          </w:tcPr>
          <w:p w14:paraId="7ADC2C9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18 057,2</w:t>
            </w:r>
          </w:p>
        </w:tc>
      </w:tr>
      <w:tr w:rsidR="00761800" w:rsidRPr="00761800" w14:paraId="5E3E4EBC" w14:textId="77777777" w:rsidTr="00406B4D">
        <w:trPr>
          <w:trHeight w:val="570"/>
        </w:trPr>
        <w:tc>
          <w:tcPr>
            <w:tcW w:w="300" w:type="dxa"/>
            <w:tcBorders>
              <w:top w:val="nil"/>
              <w:left w:val="nil"/>
              <w:bottom w:val="nil"/>
              <w:right w:val="nil"/>
            </w:tcBorders>
            <w:shd w:val="clear" w:color="000000" w:fill="FFFFFF"/>
            <w:noWrap/>
            <w:hideMark/>
          </w:tcPr>
          <w:p w14:paraId="31C9B41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2</w:t>
            </w:r>
          </w:p>
        </w:tc>
        <w:tc>
          <w:tcPr>
            <w:tcW w:w="3640" w:type="dxa"/>
            <w:tcBorders>
              <w:top w:val="nil"/>
              <w:left w:val="nil"/>
              <w:bottom w:val="nil"/>
              <w:right w:val="nil"/>
            </w:tcBorders>
            <w:shd w:val="clear" w:color="000000" w:fill="FFFFFF"/>
            <w:hideMark/>
          </w:tcPr>
          <w:p w14:paraId="220F6BF8"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Фонд „Сигурност на електроенергийната система“</w:t>
            </w:r>
          </w:p>
        </w:tc>
        <w:tc>
          <w:tcPr>
            <w:tcW w:w="1180" w:type="dxa"/>
            <w:tcBorders>
              <w:top w:val="nil"/>
              <w:left w:val="nil"/>
              <w:bottom w:val="nil"/>
              <w:right w:val="nil"/>
            </w:tcBorders>
            <w:shd w:val="clear" w:color="000000" w:fill="FFFFFF"/>
            <w:noWrap/>
            <w:vAlign w:val="bottom"/>
            <w:hideMark/>
          </w:tcPr>
          <w:p w14:paraId="44ADBBB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1 451 400,3</w:t>
            </w:r>
          </w:p>
        </w:tc>
        <w:tc>
          <w:tcPr>
            <w:tcW w:w="1180" w:type="dxa"/>
            <w:tcBorders>
              <w:top w:val="nil"/>
              <w:left w:val="nil"/>
              <w:bottom w:val="nil"/>
              <w:right w:val="nil"/>
            </w:tcBorders>
            <w:shd w:val="clear" w:color="000000" w:fill="FFFFFF"/>
            <w:noWrap/>
            <w:vAlign w:val="bottom"/>
            <w:hideMark/>
          </w:tcPr>
          <w:p w14:paraId="58086022"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1 487 826,0</w:t>
            </w:r>
          </w:p>
        </w:tc>
        <w:tc>
          <w:tcPr>
            <w:tcW w:w="1160" w:type="dxa"/>
            <w:tcBorders>
              <w:top w:val="nil"/>
              <w:left w:val="nil"/>
              <w:bottom w:val="nil"/>
              <w:right w:val="nil"/>
            </w:tcBorders>
            <w:shd w:val="clear" w:color="000000" w:fill="FFFFFF"/>
            <w:noWrap/>
            <w:vAlign w:val="bottom"/>
            <w:hideMark/>
          </w:tcPr>
          <w:p w14:paraId="545CD8B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36 425,7</w:t>
            </w:r>
          </w:p>
        </w:tc>
        <w:tc>
          <w:tcPr>
            <w:tcW w:w="1240" w:type="dxa"/>
            <w:tcBorders>
              <w:top w:val="nil"/>
              <w:left w:val="nil"/>
              <w:bottom w:val="nil"/>
              <w:right w:val="nil"/>
            </w:tcBorders>
            <w:shd w:val="clear" w:color="000000" w:fill="FFFFFF"/>
            <w:noWrap/>
            <w:vAlign w:val="bottom"/>
            <w:hideMark/>
          </w:tcPr>
          <w:p w14:paraId="08F2883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1 246 308,8</w:t>
            </w:r>
          </w:p>
        </w:tc>
        <w:tc>
          <w:tcPr>
            <w:tcW w:w="1200" w:type="dxa"/>
            <w:tcBorders>
              <w:top w:val="nil"/>
              <w:left w:val="nil"/>
              <w:bottom w:val="nil"/>
              <w:right w:val="nil"/>
            </w:tcBorders>
            <w:shd w:val="clear" w:color="000000" w:fill="FFFFFF"/>
            <w:noWrap/>
            <w:vAlign w:val="bottom"/>
            <w:hideMark/>
          </w:tcPr>
          <w:p w14:paraId="5B60BED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1 285 995,9</w:t>
            </w:r>
          </w:p>
        </w:tc>
        <w:tc>
          <w:tcPr>
            <w:tcW w:w="1220" w:type="dxa"/>
            <w:tcBorders>
              <w:top w:val="nil"/>
              <w:left w:val="nil"/>
              <w:bottom w:val="nil"/>
              <w:right w:val="nil"/>
            </w:tcBorders>
            <w:shd w:val="clear" w:color="000000" w:fill="FFFFFF"/>
            <w:noWrap/>
            <w:vAlign w:val="bottom"/>
            <w:hideMark/>
          </w:tcPr>
          <w:p w14:paraId="2985E03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39 687,1</w:t>
            </w:r>
          </w:p>
        </w:tc>
        <w:tc>
          <w:tcPr>
            <w:tcW w:w="1240" w:type="dxa"/>
            <w:tcBorders>
              <w:top w:val="nil"/>
              <w:left w:val="nil"/>
              <w:bottom w:val="nil"/>
              <w:right w:val="nil"/>
            </w:tcBorders>
            <w:shd w:val="clear" w:color="000000" w:fill="FFFFFF"/>
            <w:noWrap/>
            <w:vAlign w:val="bottom"/>
            <w:hideMark/>
          </w:tcPr>
          <w:p w14:paraId="0FF6D0CF"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1 145 757,1</w:t>
            </w:r>
          </w:p>
        </w:tc>
        <w:tc>
          <w:tcPr>
            <w:tcW w:w="1200" w:type="dxa"/>
            <w:tcBorders>
              <w:top w:val="nil"/>
              <w:left w:val="nil"/>
              <w:bottom w:val="nil"/>
              <w:right w:val="nil"/>
            </w:tcBorders>
            <w:shd w:val="clear" w:color="000000" w:fill="FFFFFF"/>
            <w:noWrap/>
            <w:vAlign w:val="bottom"/>
            <w:hideMark/>
          </w:tcPr>
          <w:p w14:paraId="0AB5453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1 145 757,1</w:t>
            </w:r>
          </w:p>
        </w:tc>
        <w:tc>
          <w:tcPr>
            <w:tcW w:w="1220" w:type="dxa"/>
            <w:tcBorders>
              <w:top w:val="nil"/>
              <w:left w:val="nil"/>
              <w:bottom w:val="nil"/>
              <w:right w:val="nil"/>
            </w:tcBorders>
            <w:shd w:val="clear" w:color="000000" w:fill="FFFFFF"/>
            <w:noWrap/>
            <w:vAlign w:val="bottom"/>
            <w:hideMark/>
          </w:tcPr>
          <w:p w14:paraId="672DAC77"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r>
      <w:tr w:rsidR="00761800" w:rsidRPr="00761800" w14:paraId="6BDBB859" w14:textId="77777777" w:rsidTr="00406B4D">
        <w:trPr>
          <w:trHeight w:val="315"/>
        </w:trPr>
        <w:tc>
          <w:tcPr>
            <w:tcW w:w="300" w:type="dxa"/>
            <w:tcBorders>
              <w:top w:val="nil"/>
              <w:left w:val="nil"/>
              <w:bottom w:val="nil"/>
              <w:right w:val="nil"/>
            </w:tcBorders>
            <w:shd w:val="clear" w:color="000000" w:fill="FFFFFF"/>
            <w:noWrap/>
            <w:hideMark/>
          </w:tcPr>
          <w:p w14:paraId="175F65A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3</w:t>
            </w:r>
          </w:p>
        </w:tc>
        <w:tc>
          <w:tcPr>
            <w:tcW w:w="3640" w:type="dxa"/>
            <w:tcBorders>
              <w:top w:val="nil"/>
              <w:left w:val="nil"/>
              <w:bottom w:val="nil"/>
              <w:right w:val="nil"/>
            </w:tcBorders>
            <w:shd w:val="clear" w:color="000000" w:fill="FFFFFF"/>
            <w:hideMark/>
          </w:tcPr>
          <w:p w14:paraId="41CB8BF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Селскостопанска академия</w:t>
            </w:r>
          </w:p>
        </w:tc>
        <w:tc>
          <w:tcPr>
            <w:tcW w:w="1180" w:type="dxa"/>
            <w:tcBorders>
              <w:top w:val="nil"/>
              <w:left w:val="nil"/>
              <w:bottom w:val="nil"/>
              <w:right w:val="nil"/>
            </w:tcBorders>
            <w:shd w:val="clear" w:color="000000" w:fill="FFFFFF"/>
            <w:noWrap/>
            <w:vAlign w:val="bottom"/>
            <w:hideMark/>
          </w:tcPr>
          <w:p w14:paraId="38C5437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9 203,3</w:t>
            </w:r>
          </w:p>
        </w:tc>
        <w:tc>
          <w:tcPr>
            <w:tcW w:w="1180" w:type="dxa"/>
            <w:tcBorders>
              <w:top w:val="nil"/>
              <w:left w:val="nil"/>
              <w:bottom w:val="nil"/>
              <w:right w:val="nil"/>
            </w:tcBorders>
            <w:shd w:val="clear" w:color="000000" w:fill="FFFFFF"/>
            <w:noWrap/>
            <w:vAlign w:val="bottom"/>
            <w:hideMark/>
          </w:tcPr>
          <w:p w14:paraId="02BA2A0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52 434,9</w:t>
            </w:r>
          </w:p>
        </w:tc>
        <w:tc>
          <w:tcPr>
            <w:tcW w:w="1160" w:type="dxa"/>
            <w:tcBorders>
              <w:top w:val="nil"/>
              <w:left w:val="nil"/>
              <w:bottom w:val="nil"/>
              <w:right w:val="nil"/>
            </w:tcBorders>
            <w:shd w:val="clear" w:color="000000" w:fill="FFFFFF"/>
            <w:noWrap/>
            <w:vAlign w:val="bottom"/>
            <w:hideMark/>
          </w:tcPr>
          <w:p w14:paraId="3AEB742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43 231,6</w:t>
            </w:r>
          </w:p>
        </w:tc>
        <w:tc>
          <w:tcPr>
            <w:tcW w:w="1240" w:type="dxa"/>
            <w:tcBorders>
              <w:top w:val="nil"/>
              <w:left w:val="nil"/>
              <w:bottom w:val="nil"/>
              <w:right w:val="nil"/>
            </w:tcBorders>
            <w:shd w:val="clear" w:color="000000" w:fill="FFFFFF"/>
            <w:noWrap/>
            <w:vAlign w:val="bottom"/>
            <w:hideMark/>
          </w:tcPr>
          <w:p w14:paraId="75D3268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9 203,3</w:t>
            </w:r>
          </w:p>
        </w:tc>
        <w:tc>
          <w:tcPr>
            <w:tcW w:w="1200" w:type="dxa"/>
            <w:tcBorders>
              <w:top w:val="nil"/>
              <w:left w:val="nil"/>
              <w:bottom w:val="nil"/>
              <w:right w:val="nil"/>
            </w:tcBorders>
            <w:shd w:val="clear" w:color="000000" w:fill="FFFFFF"/>
            <w:noWrap/>
            <w:vAlign w:val="bottom"/>
            <w:hideMark/>
          </w:tcPr>
          <w:p w14:paraId="4079E24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52 434,9</w:t>
            </w:r>
          </w:p>
        </w:tc>
        <w:tc>
          <w:tcPr>
            <w:tcW w:w="1220" w:type="dxa"/>
            <w:tcBorders>
              <w:top w:val="nil"/>
              <w:left w:val="nil"/>
              <w:bottom w:val="nil"/>
              <w:right w:val="nil"/>
            </w:tcBorders>
            <w:shd w:val="clear" w:color="000000" w:fill="FFFFFF"/>
            <w:noWrap/>
            <w:vAlign w:val="bottom"/>
            <w:hideMark/>
          </w:tcPr>
          <w:p w14:paraId="1EEACAE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43 231,6</w:t>
            </w:r>
          </w:p>
        </w:tc>
        <w:tc>
          <w:tcPr>
            <w:tcW w:w="1240" w:type="dxa"/>
            <w:tcBorders>
              <w:top w:val="nil"/>
              <w:left w:val="nil"/>
              <w:bottom w:val="nil"/>
              <w:right w:val="nil"/>
            </w:tcBorders>
            <w:shd w:val="clear" w:color="000000" w:fill="FFFFFF"/>
            <w:noWrap/>
            <w:vAlign w:val="bottom"/>
            <w:hideMark/>
          </w:tcPr>
          <w:p w14:paraId="30761B11"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9 203,3</w:t>
            </w:r>
          </w:p>
        </w:tc>
        <w:tc>
          <w:tcPr>
            <w:tcW w:w="1200" w:type="dxa"/>
            <w:tcBorders>
              <w:top w:val="nil"/>
              <w:left w:val="nil"/>
              <w:bottom w:val="nil"/>
              <w:right w:val="nil"/>
            </w:tcBorders>
            <w:shd w:val="clear" w:color="000000" w:fill="FFFFFF"/>
            <w:noWrap/>
            <w:vAlign w:val="bottom"/>
            <w:hideMark/>
          </w:tcPr>
          <w:p w14:paraId="3DF9224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52 434,9</w:t>
            </w:r>
          </w:p>
        </w:tc>
        <w:tc>
          <w:tcPr>
            <w:tcW w:w="1220" w:type="dxa"/>
            <w:tcBorders>
              <w:top w:val="nil"/>
              <w:left w:val="nil"/>
              <w:bottom w:val="nil"/>
              <w:right w:val="nil"/>
            </w:tcBorders>
            <w:shd w:val="clear" w:color="000000" w:fill="FFFFFF"/>
            <w:noWrap/>
            <w:vAlign w:val="bottom"/>
            <w:hideMark/>
          </w:tcPr>
          <w:p w14:paraId="19A50C7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43 231,6</w:t>
            </w:r>
          </w:p>
        </w:tc>
      </w:tr>
      <w:tr w:rsidR="00761800" w:rsidRPr="00761800" w14:paraId="29A09449" w14:textId="77777777" w:rsidTr="00406B4D">
        <w:trPr>
          <w:trHeight w:val="585"/>
        </w:trPr>
        <w:tc>
          <w:tcPr>
            <w:tcW w:w="300" w:type="dxa"/>
            <w:tcBorders>
              <w:top w:val="nil"/>
              <w:left w:val="nil"/>
              <w:bottom w:val="nil"/>
              <w:right w:val="nil"/>
            </w:tcBorders>
            <w:shd w:val="clear" w:color="000000" w:fill="FFFFFF"/>
            <w:noWrap/>
            <w:hideMark/>
          </w:tcPr>
          <w:p w14:paraId="673C11FC"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4</w:t>
            </w:r>
          </w:p>
        </w:tc>
        <w:tc>
          <w:tcPr>
            <w:tcW w:w="3640" w:type="dxa"/>
            <w:tcBorders>
              <w:top w:val="nil"/>
              <w:left w:val="nil"/>
              <w:bottom w:val="nil"/>
              <w:right w:val="nil"/>
            </w:tcBorders>
            <w:shd w:val="clear" w:color="000000" w:fill="FFFFFF"/>
            <w:hideMark/>
          </w:tcPr>
          <w:p w14:paraId="068AE0D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Държавно предприятие „Научно-производствен център“</w:t>
            </w:r>
          </w:p>
        </w:tc>
        <w:tc>
          <w:tcPr>
            <w:tcW w:w="1180" w:type="dxa"/>
            <w:tcBorders>
              <w:top w:val="nil"/>
              <w:left w:val="nil"/>
              <w:bottom w:val="nil"/>
              <w:right w:val="nil"/>
            </w:tcBorders>
            <w:shd w:val="clear" w:color="000000" w:fill="FFFFFF"/>
            <w:noWrap/>
            <w:vAlign w:val="bottom"/>
            <w:hideMark/>
          </w:tcPr>
          <w:p w14:paraId="18E162D7"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1 872,6</w:t>
            </w:r>
          </w:p>
        </w:tc>
        <w:tc>
          <w:tcPr>
            <w:tcW w:w="1180" w:type="dxa"/>
            <w:tcBorders>
              <w:top w:val="nil"/>
              <w:left w:val="nil"/>
              <w:bottom w:val="nil"/>
              <w:right w:val="nil"/>
            </w:tcBorders>
            <w:shd w:val="clear" w:color="000000" w:fill="FFFFFF"/>
            <w:noWrap/>
            <w:vAlign w:val="bottom"/>
            <w:hideMark/>
          </w:tcPr>
          <w:p w14:paraId="1999A2CE"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1 872,6</w:t>
            </w:r>
          </w:p>
        </w:tc>
        <w:tc>
          <w:tcPr>
            <w:tcW w:w="1160" w:type="dxa"/>
            <w:tcBorders>
              <w:top w:val="nil"/>
              <w:left w:val="nil"/>
              <w:bottom w:val="nil"/>
              <w:right w:val="nil"/>
            </w:tcBorders>
            <w:shd w:val="clear" w:color="000000" w:fill="FFFFFF"/>
            <w:noWrap/>
            <w:vAlign w:val="bottom"/>
            <w:hideMark/>
          </w:tcPr>
          <w:p w14:paraId="3607845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40" w:type="dxa"/>
            <w:tcBorders>
              <w:top w:val="nil"/>
              <w:left w:val="nil"/>
              <w:bottom w:val="nil"/>
              <w:right w:val="nil"/>
            </w:tcBorders>
            <w:shd w:val="clear" w:color="000000" w:fill="FFFFFF"/>
            <w:noWrap/>
            <w:vAlign w:val="bottom"/>
            <w:hideMark/>
          </w:tcPr>
          <w:p w14:paraId="596DC13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1 872,6</w:t>
            </w:r>
          </w:p>
        </w:tc>
        <w:tc>
          <w:tcPr>
            <w:tcW w:w="1200" w:type="dxa"/>
            <w:tcBorders>
              <w:top w:val="nil"/>
              <w:left w:val="nil"/>
              <w:bottom w:val="nil"/>
              <w:right w:val="nil"/>
            </w:tcBorders>
            <w:shd w:val="clear" w:color="000000" w:fill="FFFFFF"/>
            <w:noWrap/>
            <w:vAlign w:val="bottom"/>
            <w:hideMark/>
          </w:tcPr>
          <w:p w14:paraId="629A6E96"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1 872,6</w:t>
            </w:r>
          </w:p>
        </w:tc>
        <w:tc>
          <w:tcPr>
            <w:tcW w:w="1220" w:type="dxa"/>
            <w:tcBorders>
              <w:top w:val="nil"/>
              <w:left w:val="nil"/>
              <w:bottom w:val="nil"/>
              <w:right w:val="nil"/>
            </w:tcBorders>
            <w:shd w:val="clear" w:color="000000" w:fill="FFFFFF"/>
            <w:noWrap/>
            <w:vAlign w:val="bottom"/>
            <w:hideMark/>
          </w:tcPr>
          <w:p w14:paraId="59916A40"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40" w:type="dxa"/>
            <w:tcBorders>
              <w:top w:val="nil"/>
              <w:left w:val="nil"/>
              <w:bottom w:val="nil"/>
              <w:right w:val="nil"/>
            </w:tcBorders>
            <w:shd w:val="clear" w:color="000000" w:fill="FFFFFF"/>
            <w:noWrap/>
            <w:vAlign w:val="bottom"/>
            <w:hideMark/>
          </w:tcPr>
          <w:p w14:paraId="3AA5F97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1 872,6</w:t>
            </w:r>
          </w:p>
        </w:tc>
        <w:tc>
          <w:tcPr>
            <w:tcW w:w="1200" w:type="dxa"/>
            <w:tcBorders>
              <w:top w:val="nil"/>
              <w:left w:val="nil"/>
              <w:bottom w:val="nil"/>
              <w:right w:val="nil"/>
            </w:tcBorders>
            <w:shd w:val="clear" w:color="000000" w:fill="FFFFFF"/>
            <w:noWrap/>
            <w:vAlign w:val="bottom"/>
            <w:hideMark/>
          </w:tcPr>
          <w:p w14:paraId="0C5FE00A"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1 872,6</w:t>
            </w:r>
          </w:p>
        </w:tc>
        <w:tc>
          <w:tcPr>
            <w:tcW w:w="1220" w:type="dxa"/>
            <w:tcBorders>
              <w:top w:val="nil"/>
              <w:left w:val="nil"/>
              <w:bottom w:val="nil"/>
              <w:right w:val="nil"/>
            </w:tcBorders>
            <w:shd w:val="clear" w:color="000000" w:fill="FFFFFF"/>
            <w:noWrap/>
            <w:vAlign w:val="bottom"/>
            <w:hideMark/>
          </w:tcPr>
          <w:p w14:paraId="55228DA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r>
      <w:tr w:rsidR="00761800" w:rsidRPr="00761800" w14:paraId="237F180C" w14:textId="77777777" w:rsidTr="00406B4D">
        <w:trPr>
          <w:trHeight w:val="540"/>
        </w:trPr>
        <w:tc>
          <w:tcPr>
            <w:tcW w:w="300" w:type="dxa"/>
            <w:tcBorders>
              <w:top w:val="nil"/>
              <w:left w:val="nil"/>
              <w:bottom w:val="nil"/>
              <w:right w:val="nil"/>
            </w:tcBorders>
            <w:shd w:val="clear" w:color="000000" w:fill="FFFFFF"/>
            <w:noWrap/>
            <w:hideMark/>
          </w:tcPr>
          <w:p w14:paraId="106587D8"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5</w:t>
            </w:r>
          </w:p>
        </w:tc>
        <w:tc>
          <w:tcPr>
            <w:tcW w:w="3640" w:type="dxa"/>
            <w:tcBorders>
              <w:top w:val="nil"/>
              <w:left w:val="nil"/>
              <w:bottom w:val="nil"/>
              <w:right w:val="nil"/>
            </w:tcBorders>
            <w:shd w:val="clear" w:color="000000" w:fill="FFFFFF"/>
            <w:hideMark/>
          </w:tcPr>
          <w:p w14:paraId="22191C59"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Държавно предприятие „Управление и стопанисване на язовири“</w:t>
            </w:r>
          </w:p>
        </w:tc>
        <w:tc>
          <w:tcPr>
            <w:tcW w:w="1180" w:type="dxa"/>
            <w:tcBorders>
              <w:top w:val="nil"/>
              <w:left w:val="nil"/>
              <w:bottom w:val="nil"/>
              <w:right w:val="nil"/>
            </w:tcBorders>
            <w:shd w:val="clear" w:color="000000" w:fill="FFFFFF"/>
            <w:noWrap/>
            <w:vAlign w:val="bottom"/>
            <w:hideMark/>
          </w:tcPr>
          <w:p w14:paraId="3861429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180" w:type="dxa"/>
            <w:tcBorders>
              <w:top w:val="nil"/>
              <w:left w:val="nil"/>
              <w:bottom w:val="nil"/>
              <w:right w:val="nil"/>
            </w:tcBorders>
            <w:shd w:val="clear" w:color="000000" w:fill="FFFFFF"/>
            <w:noWrap/>
            <w:vAlign w:val="bottom"/>
            <w:hideMark/>
          </w:tcPr>
          <w:p w14:paraId="0645A1C3"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9 712,1</w:t>
            </w:r>
          </w:p>
        </w:tc>
        <w:tc>
          <w:tcPr>
            <w:tcW w:w="1160" w:type="dxa"/>
            <w:tcBorders>
              <w:top w:val="nil"/>
              <w:left w:val="nil"/>
              <w:bottom w:val="nil"/>
              <w:right w:val="nil"/>
            </w:tcBorders>
            <w:shd w:val="clear" w:color="000000" w:fill="FFFFFF"/>
            <w:noWrap/>
            <w:vAlign w:val="bottom"/>
            <w:hideMark/>
          </w:tcPr>
          <w:p w14:paraId="385B5AB5"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9 712,1</w:t>
            </w:r>
          </w:p>
        </w:tc>
        <w:tc>
          <w:tcPr>
            <w:tcW w:w="1240" w:type="dxa"/>
            <w:tcBorders>
              <w:top w:val="nil"/>
              <w:left w:val="nil"/>
              <w:bottom w:val="nil"/>
              <w:right w:val="nil"/>
            </w:tcBorders>
            <w:shd w:val="clear" w:color="000000" w:fill="FFFFFF"/>
            <w:noWrap/>
            <w:vAlign w:val="bottom"/>
            <w:hideMark/>
          </w:tcPr>
          <w:p w14:paraId="23B3935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00" w:type="dxa"/>
            <w:tcBorders>
              <w:top w:val="nil"/>
              <w:left w:val="nil"/>
              <w:bottom w:val="nil"/>
              <w:right w:val="nil"/>
            </w:tcBorders>
            <w:shd w:val="clear" w:color="000000" w:fill="FFFFFF"/>
            <w:noWrap/>
            <w:vAlign w:val="bottom"/>
            <w:hideMark/>
          </w:tcPr>
          <w:p w14:paraId="3B2761CB"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9 519,5</w:t>
            </w:r>
          </w:p>
        </w:tc>
        <w:tc>
          <w:tcPr>
            <w:tcW w:w="1220" w:type="dxa"/>
            <w:tcBorders>
              <w:top w:val="nil"/>
              <w:left w:val="nil"/>
              <w:bottom w:val="nil"/>
              <w:right w:val="nil"/>
            </w:tcBorders>
            <w:shd w:val="clear" w:color="000000" w:fill="FFFFFF"/>
            <w:noWrap/>
            <w:vAlign w:val="bottom"/>
            <w:hideMark/>
          </w:tcPr>
          <w:p w14:paraId="70DF7AA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9 519,5</w:t>
            </w:r>
          </w:p>
        </w:tc>
        <w:tc>
          <w:tcPr>
            <w:tcW w:w="1240" w:type="dxa"/>
            <w:tcBorders>
              <w:top w:val="nil"/>
              <w:left w:val="nil"/>
              <w:bottom w:val="nil"/>
              <w:right w:val="nil"/>
            </w:tcBorders>
            <w:shd w:val="clear" w:color="000000" w:fill="FFFFFF"/>
            <w:noWrap/>
            <w:vAlign w:val="bottom"/>
            <w:hideMark/>
          </w:tcPr>
          <w:p w14:paraId="4870D3D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00" w:type="dxa"/>
            <w:tcBorders>
              <w:top w:val="nil"/>
              <w:left w:val="nil"/>
              <w:bottom w:val="nil"/>
              <w:right w:val="nil"/>
            </w:tcBorders>
            <w:shd w:val="clear" w:color="000000" w:fill="FFFFFF"/>
            <w:noWrap/>
            <w:vAlign w:val="bottom"/>
            <w:hideMark/>
          </w:tcPr>
          <w:p w14:paraId="2B7CFA3D"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9 519,5</w:t>
            </w:r>
          </w:p>
        </w:tc>
        <w:tc>
          <w:tcPr>
            <w:tcW w:w="1220" w:type="dxa"/>
            <w:tcBorders>
              <w:top w:val="nil"/>
              <w:left w:val="nil"/>
              <w:bottom w:val="nil"/>
              <w:right w:val="nil"/>
            </w:tcBorders>
            <w:shd w:val="clear" w:color="000000" w:fill="FFFFFF"/>
            <w:noWrap/>
            <w:vAlign w:val="bottom"/>
            <w:hideMark/>
          </w:tcPr>
          <w:p w14:paraId="7498C309"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sz w:val="20"/>
                <w:lang w:eastAsia="bg-BG"/>
              </w:rPr>
              <w:t>9 519,5</w:t>
            </w:r>
          </w:p>
        </w:tc>
      </w:tr>
      <w:tr w:rsidR="00761800" w:rsidRPr="00761800" w14:paraId="24B20AB7" w14:textId="77777777" w:rsidTr="00406B4D">
        <w:trPr>
          <w:trHeight w:val="120"/>
        </w:trPr>
        <w:tc>
          <w:tcPr>
            <w:tcW w:w="300" w:type="dxa"/>
            <w:tcBorders>
              <w:top w:val="nil"/>
              <w:left w:val="nil"/>
              <w:bottom w:val="single" w:sz="4" w:space="0" w:color="auto"/>
              <w:right w:val="nil"/>
            </w:tcBorders>
            <w:shd w:val="clear" w:color="000000" w:fill="FFFFFF"/>
            <w:noWrap/>
            <w:hideMark/>
          </w:tcPr>
          <w:p w14:paraId="5DCA4DDD"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3640" w:type="dxa"/>
            <w:tcBorders>
              <w:top w:val="nil"/>
              <w:left w:val="nil"/>
              <w:bottom w:val="single" w:sz="4" w:space="0" w:color="auto"/>
              <w:right w:val="nil"/>
            </w:tcBorders>
            <w:shd w:val="clear" w:color="000000" w:fill="FFFFFF"/>
            <w:hideMark/>
          </w:tcPr>
          <w:p w14:paraId="3519F86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180" w:type="dxa"/>
            <w:tcBorders>
              <w:top w:val="nil"/>
              <w:left w:val="nil"/>
              <w:bottom w:val="single" w:sz="4" w:space="0" w:color="auto"/>
              <w:right w:val="nil"/>
            </w:tcBorders>
            <w:shd w:val="clear" w:color="000000" w:fill="FFFFFF"/>
            <w:noWrap/>
            <w:vAlign w:val="bottom"/>
            <w:hideMark/>
          </w:tcPr>
          <w:p w14:paraId="405AFDC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180" w:type="dxa"/>
            <w:tcBorders>
              <w:top w:val="nil"/>
              <w:left w:val="nil"/>
              <w:bottom w:val="single" w:sz="4" w:space="0" w:color="auto"/>
              <w:right w:val="nil"/>
            </w:tcBorders>
            <w:shd w:val="clear" w:color="000000" w:fill="FFFFFF"/>
            <w:noWrap/>
            <w:vAlign w:val="bottom"/>
            <w:hideMark/>
          </w:tcPr>
          <w:p w14:paraId="7DC59E64"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160" w:type="dxa"/>
            <w:tcBorders>
              <w:top w:val="nil"/>
              <w:left w:val="nil"/>
              <w:bottom w:val="single" w:sz="4" w:space="0" w:color="auto"/>
              <w:right w:val="nil"/>
            </w:tcBorders>
            <w:shd w:val="clear" w:color="000000" w:fill="FFFFFF"/>
            <w:noWrap/>
            <w:vAlign w:val="bottom"/>
            <w:hideMark/>
          </w:tcPr>
          <w:p w14:paraId="215A54E5"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40" w:type="dxa"/>
            <w:tcBorders>
              <w:top w:val="nil"/>
              <w:left w:val="nil"/>
              <w:bottom w:val="single" w:sz="4" w:space="0" w:color="auto"/>
              <w:right w:val="nil"/>
            </w:tcBorders>
            <w:shd w:val="clear" w:color="000000" w:fill="FFFFFF"/>
            <w:noWrap/>
            <w:vAlign w:val="bottom"/>
            <w:hideMark/>
          </w:tcPr>
          <w:p w14:paraId="2177A4B1"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00" w:type="dxa"/>
            <w:tcBorders>
              <w:top w:val="nil"/>
              <w:left w:val="nil"/>
              <w:bottom w:val="single" w:sz="4" w:space="0" w:color="auto"/>
              <w:right w:val="nil"/>
            </w:tcBorders>
            <w:shd w:val="clear" w:color="000000" w:fill="FFFFFF"/>
            <w:noWrap/>
            <w:vAlign w:val="bottom"/>
            <w:hideMark/>
          </w:tcPr>
          <w:p w14:paraId="05F5E96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20" w:type="dxa"/>
            <w:tcBorders>
              <w:top w:val="nil"/>
              <w:left w:val="nil"/>
              <w:bottom w:val="single" w:sz="4" w:space="0" w:color="auto"/>
              <w:right w:val="nil"/>
            </w:tcBorders>
            <w:shd w:val="clear" w:color="000000" w:fill="FFFFFF"/>
            <w:noWrap/>
            <w:vAlign w:val="bottom"/>
            <w:hideMark/>
          </w:tcPr>
          <w:p w14:paraId="4608CD3E"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40" w:type="dxa"/>
            <w:tcBorders>
              <w:top w:val="nil"/>
              <w:left w:val="nil"/>
              <w:bottom w:val="single" w:sz="4" w:space="0" w:color="auto"/>
              <w:right w:val="nil"/>
            </w:tcBorders>
            <w:shd w:val="clear" w:color="000000" w:fill="FFFFFF"/>
            <w:noWrap/>
            <w:vAlign w:val="bottom"/>
            <w:hideMark/>
          </w:tcPr>
          <w:p w14:paraId="5AB6AAC6"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00" w:type="dxa"/>
            <w:tcBorders>
              <w:top w:val="nil"/>
              <w:left w:val="nil"/>
              <w:bottom w:val="single" w:sz="4" w:space="0" w:color="auto"/>
              <w:right w:val="nil"/>
            </w:tcBorders>
            <w:shd w:val="clear" w:color="000000" w:fill="FFFFFF"/>
            <w:noWrap/>
            <w:vAlign w:val="bottom"/>
            <w:hideMark/>
          </w:tcPr>
          <w:p w14:paraId="2CC2534F"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c>
          <w:tcPr>
            <w:tcW w:w="1220" w:type="dxa"/>
            <w:tcBorders>
              <w:top w:val="nil"/>
              <w:left w:val="nil"/>
              <w:bottom w:val="single" w:sz="4" w:space="0" w:color="auto"/>
              <w:right w:val="nil"/>
            </w:tcBorders>
            <w:shd w:val="clear" w:color="000000" w:fill="FFFFFF"/>
            <w:noWrap/>
            <w:vAlign w:val="bottom"/>
            <w:hideMark/>
          </w:tcPr>
          <w:p w14:paraId="3602CE53" w14:textId="77777777" w:rsidR="00761800" w:rsidRPr="00761800" w:rsidRDefault="00761800" w:rsidP="00761800">
            <w:pPr>
              <w:rPr>
                <w:rFonts w:ascii="Times New Roman" w:hAnsi="Times New Roman"/>
                <w:sz w:val="20"/>
                <w:lang w:eastAsia="bg-BG"/>
              </w:rPr>
            </w:pPr>
            <w:r w:rsidRPr="00761800">
              <w:rPr>
                <w:rFonts w:ascii="Times New Roman" w:hAnsi="Times New Roman"/>
                <w:sz w:val="20"/>
                <w:lang w:eastAsia="bg-BG"/>
              </w:rPr>
              <w:t> </w:t>
            </w:r>
          </w:p>
        </w:tc>
      </w:tr>
    </w:tbl>
    <w:p w14:paraId="5D51C9AC" w14:textId="77777777" w:rsidR="00761800" w:rsidRPr="00761800" w:rsidRDefault="00761800" w:rsidP="00761800">
      <w:pPr>
        <w:spacing w:after="200"/>
        <w:jc w:val="right"/>
        <w:rPr>
          <w:rFonts w:ascii="Times New Roman" w:hAnsi="Times New Roman"/>
          <w:b/>
          <w:bCs/>
          <w:sz w:val="20"/>
          <w:lang w:eastAsia="bg-BG"/>
        </w:rPr>
      </w:pPr>
    </w:p>
    <w:p w14:paraId="25B2B85B" w14:textId="77777777" w:rsidR="00761800" w:rsidRPr="00761800" w:rsidRDefault="00761800" w:rsidP="00761800">
      <w:pPr>
        <w:spacing w:after="200"/>
        <w:jc w:val="right"/>
        <w:rPr>
          <w:rFonts w:ascii="Times New Roman" w:hAnsi="Times New Roman"/>
          <w:b/>
          <w:bCs/>
          <w:sz w:val="20"/>
          <w:lang w:eastAsia="bg-BG"/>
        </w:rPr>
      </w:pPr>
    </w:p>
    <w:p w14:paraId="545751F9" w14:textId="77777777" w:rsidR="00761800" w:rsidRPr="00761800" w:rsidRDefault="00761800" w:rsidP="00761800">
      <w:pPr>
        <w:spacing w:after="120"/>
        <w:jc w:val="right"/>
        <w:rPr>
          <w:rFonts w:ascii="Times New Roman" w:hAnsi="Times New Roman"/>
          <w:sz w:val="20"/>
          <w:lang w:eastAsia="bg-BG"/>
        </w:rPr>
      </w:pPr>
    </w:p>
    <w:p w14:paraId="34F0B245" w14:textId="77777777" w:rsidR="00761800" w:rsidRPr="00761800" w:rsidRDefault="00761800" w:rsidP="00761800">
      <w:pPr>
        <w:spacing w:after="120"/>
        <w:jc w:val="right"/>
        <w:rPr>
          <w:rFonts w:ascii="Times New Roman" w:hAnsi="Times New Roman"/>
          <w:sz w:val="20"/>
          <w:lang w:eastAsia="bg-BG"/>
        </w:rPr>
      </w:pPr>
    </w:p>
    <w:p w14:paraId="10F3E1BA" w14:textId="77777777" w:rsidR="00761800" w:rsidRPr="00761800" w:rsidRDefault="00761800" w:rsidP="00761800">
      <w:pPr>
        <w:spacing w:after="200"/>
        <w:jc w:val="both"/>
        <w:rPr>
          <w:rFonts w:ascii="Times New Roman" w:hAnsi="Times New Roman"/>
          <w:szCs w:val="22"/>
          <w:lang w:eastAsia="bg-BG"/>
        </w:rPr>
      </w:pPr>
      <w:r w:rsidRPr="00761800">
        <w:rPr>
          <w:rFonts w:ascii="Times New Roman" w:hAnsi="Times New Roman"/>
          <w:szCs w:val="22"/>
          <w:lang w:eastAsia="bg-BG"/>
        </w:rPr>
        <w:br w:type="page"/>
      </w:r>
    </w:p>
    <w:p w14:paraId="77275C2E" w14:textId="77777777" w:rsidR="00761800" w:rsidRPr="00761800" w:rsidRDefault="00761800" w:rsidP="00761800">
      <w:pPr>
        <w:keepNext/>
        <w:keepLines/>
        <w:tabs>
          <w:tab w:val="left" w:pos="426"/>
        </w:tabs>
        <w:spacing w:before="480" w:after="360"/>
        <w:outlineLvl w:val="1"/>
        <w:rPr>
          <w:rFonts w:ascii="Times New Roman" w:hAnsi="Times New Roman"/>
          <w:b/>
          <w:bCs/>
          <w:caps/>
          <w:color w:val="852010"/>
          <w:spacing w:val="10"/>
          <w:w w:val="90"/>
          <w:sz w:val="28"/>
          <w:szCs w:val="26"/>
          <w:lang w:eastAsia="bg-BG"/>
        </w:rPr>
      </w:pPr>
      <w:bookmarkStart w:id="648" w:name="_Toc464224831"/>
      <w:bookmarkStart w:id="649" w:name="_Toc464225481"/>
      <w:bookmarkStart w:id="650" w:name="_Toc464459028"/>
      <w:bookmarkStart w:id="651" w:name="_Toc464459776"/>
      <w:bookmarkStart w:id="652" w:name="_Toc464460729"/>
      <w:bookmarkStart w:id="653" w:name="_Toc464463128"/>
      <w:bookmarkStart w:id="654" w:name="_Toc464464957"/>
      <w:bookmarkStart w:id="655" w:name="_Toc464465464"/>
      <w:bookmarkStart w:id="656" w:name="_Toc464465652"/>
      <w:bookmarkStart w:id="657" w:name="_Toc464466476"/>
      <w:bookmarkStart w:id="658" w:name="_Toc464466719"/>
      <w:bookmarkStart w:id="659" w:name="_Toc464645436"/>
      <w:bookmarkStart w:id="660" w:name="_Toc465205594"/>
      <w:bookmarkStart w:id="661" w:name="_Toc233717511"/>
      <w:r w:rsidRPr="00761800">
        <w:rPr>
          <w:rFonts w:ascii="Times New Roman" w:hAnsi="Times New Roman"/>
          <w:b/>
          <w:bCs/>
          <w:caps/>
          <w:color w:val="852010"/>
          <w:spacing w:val="10"/>
          <w:w w:val="90"/>
          <w:sz w:val="28"/>
          <w:szCs w:val="26"/>
          <w:lang w:eastAsia="bg-BG"/>
        </w:rPr>
        <w:lastRenderedPageBreak/>
        <w:t xml:space="preserve">Приложение № 9: </w:t>
      </w:r>
      <w:r w:rsidRPr="00761800">
        <w:rPr>
          <w:rFonts w:ascii="Times New Roman" w:hAnsi="Times New Roman"/>
          <w:b/>
          <w:bCs/>
          <w:caps/>
          <w:color w:val="852010"/>
          <w:spacing w:val="10"/>
          <w:w w:val="90"/>
          <w:sz w:val="28"/>
          <w:szCs w:val="26"/>
          <w:lang w:eastAsia="bg-BG"/>
        </w:rPr>
        <w:br/>
        <w:t>Размери на основните бюджетни взаимоотношения между централния бюджет и бюджетите на общините за периода 2026-2028 г.</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14:paraId="3C085915" w14:textId="77777777" w:rsidR="00761800" w:rsidRPr="00761800" w:rsidRDefault="00761800" w:rsidP="00761800">
      <w:pPr>
        <w:spacing w:after="120"/>
        <w:ind w:right="145" w:firstLine="11198"/>
        <w:jc w:val="right"/>
        <w:rPr>
          <w:rFonts w:ascii="Times New Roman" w:hAnsi="Times New Roman"/>
          <w:b/>
          <w:bCs/>
          <w:sz w:val="20"/>
          <w:lang w:eastAsia="bg-BG"/>
        </w:rPr>
      </w:pPr>
      <w:r w:rsidRPr="00761800">
        <w:rPr>
          <w:rFonts w:ascii="Times New Roman" w:hAnsi="Times New Roman"/>
          <w:b/>
          <w:bCs/>
          <w:sz w:val="20"/>
          <w:lang w:eastAsia="bg-BG"/>
        </w:rPr>
        <w:t>(в хил. евро)</w:t>
      </w:r>
    </w:p>
    <w:p w14:paraId="274E4496" w14:textId="77777777" w:rsidR="00761800" w:rsidRPr="00761800" w:rsidRDefault="00761800" w:rsidP="00761800">
      <w:pPr>
        <w:spacing w:after="120"/>
        <w:ind w:right="145" w:firstLine="11198"/>
        <w:jc w:val="right"/>
        <w:rPr>
          <w:rFonts w:ascii="Times New Roman" w:hAnsi="Times New Roman"/>
          <w:b/>
          <w:bCs/>
          <w:sz w:val="20"/>
          <w:lang w:eastAsia="bg-BG"/>
        </w:rPr>
      </w:pPr>
    </w:p>
    <w:tbl>
      <w:tblPr>
        <w:tblW w:w="14940" w:type="dxa"/>
        <w:tblCellMar>
          <w:left w:w="70" w:type="dxa"/>
          <w:right w:w="70" w:type="dxa"/>
        </w:tblCellMar>
        <w:tblLook w:val="04A0" w:firstRow="1" w:lastRow="0" w:firstColumn="1" w:lastColumn="0" w:noHBand="0" w:noVBand="1"/>
      </w:tblPr>
      <w:tblGrid>
        <w:gridCol w:w="1063"/>
        <w:gridCol w:w="8611"/>
        <w:gridCol w:w="1816"/>
        <w:gridCol w:w="1686"/>
        <w:gridCol w:w="1764"/>
      </w:tblGrid>
      <w:tr w:rsidR="00761800" w:rsidRPr="00761800" w14:paraId="5B7D955F" w14:textId="77777777" w:rsidTr="00406B4D">
        <w:trPr>
          <w:trHeight w:val="288"/>
        </w:trPr>
        <w:tc>
          <w:tcPr>
            <w:tcW w:w="1063" w:type="dxa"/>
            <w:tcBorders>
              <w:top w:val="single" w:sz="8" w:space="0" w:color="auto"/>
              <w:left w:val="nil"/>
              <w:bottom w:val="nil"/>
              <w:right w:val="nil"/>
            </w:tcBorders>
            <w:shd w:val="clear" w:color="auto" w:fill="auto"/>
            <w:noWrap/>
            <w:hideMark/>
          </w:tcPr>
          <w:p w14:paraId="00A9ECB0" w14:textId="77777777" w:rsidR="00761800" w:rsidRPr="00761800" w:rsidRDefault="00761800" w:rsidP="00761800">
            <w:pPr>
              <w:jc w:val="center"/>
              <w:rPr>
                <w:rFonts w:ascii="Times New Roman" w:hAnsi="Times New Roman"/>
                <w:b/>
                <w:bCs/>
                <w:color w:val="000000"/>
                <w:sz w:val="20"/>
                <w:lang w:eastAsia="bg-BG"/>
              </w:rPr>
            </w:pPr>
          </w:p>
        </w:tc>
        <w:tc>
          <w:tcPr>
            <w:tcW w:w="8611" w:type="dxa"/>
            <w:tcBorders>
              <w:top w:val="single" w:sz="8" w:space="0" w:color="auto"/>
              <w:left w:val="nil"/>
              <w:bottom w:val="nil"/>
              <w:right w:val="nil"/>
            </w:tcBorders>
            <w:shd w:val="clear" w:color="auto" w:fill="auto"/>
            <w:noWrap/>
            <w:hideMark/>
          </w:tcPr>
          <w:p w14:paraId="11E9C646" w14:textId="77777777" w:rsidR="00761800" w:rsidRPr="00761800" w:rsidRDefault="00761800" w:rsidP="00761800">
            <w:pPr>
              <w:jc w:val="center"/>
              <w:rPr>
                <w:rFonts w:ascii="Times New Roman" w:hAnsi="Times New Roman"/>
                <w:b/>
                <w:bCs/>
                <w:color w:val="000000"/>
                <w:sz w:val="20"/>
                <w:lang w:eastAsia="bg-BG"/>
              </w:rPr>
            </w:pPr>
          </w:p>
        </w:tc>
        <w:tc>
          <w:tcPr>
            <w:tcW w:w="1816" w:type="dxa"/>
            <w:tcBorders>
              <w:top w:val="single" w:sz="8" w:space="0" w:color="auto"/>
              <w:left w:val="nil"/>
              <w:bottom w:val="nil"/>
              <w:right w:val="nil"/>
            </w:tcBorders>
            <w:shd w:val="clear" w:color="auto" w:fill="auto"/>
            <w:hideMark/>
          </w:tcPr>
          <w:p w14:paraId="506836F5" w14:textId="77777777" w:rsidR="00761800" w:rsidRPr="00761800" w:rsidRDefault="00761800" w:rsidP="00761800">
            <w:pPr>
              <w:jc w:val="center"/>
              <w:rPr>
                <w:rFonts w:ascii="Times New Roman" w:hAnsi="Times New Roman"/>
                <w:b/>
                <w:bCs/>
                <w:color w:val="000000"/>
                <w:sz w:val="20"/>
                <w:lang w:eastAsia="bg-BG"/>
              </w:rPr>
            </w:pPr>
          </w:p>
        </w:tc>
        <w:tc>
          <w:tcPr>
            <w:tcW w:w="1686" w:type="dxa"/>
            <w:tcBorders>
              <w:top w:val="single" w:sz="8" w:space="0" w:color="auto"/>
              <w:left w:val="nil"/>
              <w:bottom w:val="nil"/>
              <w:right w:val="nil"/>
            </w:tcBorders>
            <w:shd w:val="clear" w:color="auto" w:fill="auto"/>
            <w:hideMark/>
          </w:tcPr>
          <w:p w14:paraId="49113DF1" w14:textId="77777777" w:rsidR="00761800" w:rsidRPr="00761800" w:rsidRDefault="00761800" w:rsidP="00761800">
            <w:pPr>
              <w:jc w:val="center"/>
              <w:rPr>
                <w:rFonts w:ascii="Times New Roman" w:hAnsi="Times New Roman"/>
                <w:b/>
                <w:bCs/>
                <w:color w:val="000000"/>
                <w:sz w:val="20"/>
                <w:lang w:eastAsia="bg-BG"/>
              </w:rPr>
            </w:pPr>
          </w:p>
        </w:tc>
        <w:tc>
          <w:tcPr>
            <w:tcW w:w="1764" w:type="dxa"/>
            <w:tcBorders>
              <w:top w:val="single" w:sz="8" w:space="0" w:color="auto"/>
              <w:left w:val="nil"/>
              <w:bottom w:val="nil"/>
              <w:right w:val="nil"/>
            </w:tcBorders>
            <w:shd w:val="clear" w:color="auto" w:fill="auto"/>
            <w:hideMark/>
          </w:tcPr>
          <w:p w14:paraId="35821C1F" w14:textId="77777777" w:rsidR="00761800" w:rsidRPr="00761800" w:rsidRDefault="00761800" w:rsidP="00761800">
            <w:pPr>
              <w:jc w:val="center"/>
              <w:rPr>
                <w:rFonts w:ascii="Times New Roman" w:hAnsi="Times New Roman"/>
                <w:b/>
                <w:bCs/>
                <w:color w:val="000000"/>
                <w:sz w:val="20"/>
                <w:lang w:eastAsia="bg-BG"/>
              </w:rPr>
            </w:pPr>
          </w:p>
        </w:tc>
      </w:tr>
      <w:tr w:rsidR="00761800" w:rsidRPr="00761800" w14:paraId="686A8131" w14:textId="77777777" w:rsidTr="00406B4D">
        <w:trPr>
          <w:trHeight w:val="288"/>
        </w:trPr>
        <w:tc>
          <w:tcPr>
            <w:tcW w:w="1063" w:type="dxa"/>
            <w:tcBorders>
              <w:top w:val="nil"/>
              <w:left w:val="nil"/>
              <w:right w:val="nil"/>
            </w:tcBorders>
            <w:shd w:val="clear" w:color="auto" w:fill="auto"/>
            <w:noWrap/>
            <w:hideMark/>
          </w:tcPr>
          <w:p w14:paraId="7BD83B9E"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sz w:val="20"/>
                <w:lang w:eastAsia="bg-BG"/>
              </w:rPr>
              <w:t>№</w:t>
            </w:r>
          </w:p>
        </w:tc>
        <w:tc>
          <w:tcPr>
            <w:tcW w:w="8611" w:type="dxa"/>
            <w:tcBorders>
              <w:top w:val="nil"/>
              <w:left w:val="nil"/>
              <w:right w:val="nil"/>
            </w:tcBorders>
            <w:shd w:val="clear" w:color="auto" w:fill="auto"/>
            <w:noWrap/>
            <w:hideMark/>
          </w:tcPr>
          <w:p w14:paraId="317421FF"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sz w:val="20"/>
                <w:lang w:eastAsia="bg-BG"/>
              </w:rPr>
              <w:t>Показатели</w:t>
            </w:r>
          </w:p>
        </w:tc>
        <w:tc>
          <w:tcPr>
            <w:tcW w:w="1816" w:type="dxa"/>
            <w:tcBorders>
              <w:top w:val="nil"/>
              <w:left w:val="nil"/>
              <w:right w:val="nil"/>
            </w:tcBorders>
            <w:shd w:val="clear" w:color="auto" w:fill="auto"/>
            <w:noWrap/>
            <w:hideMark/>
          </w:tcPr>
          <w:p w14:paraId="4F490861"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sz w:val="20"/>
                <w:lang w:eastAsia="bg-BG"/>
              </w:rPr>
              <w:t xml:space="preserve"> 2026 г.</w:t>
            </w:r>
          </w:p>
        </w:tc>
        <w:tc>
          <w:tcPr>
            <w:tcW w:w="1686" w:type="dxa"/>
            <w:tcBorders>
              <w:top w:val="nil"/>
              <w:left w:val="nil"/>
              <w:right w:val="nil"/>
            </w:tcBorders>
            <w:shd w:val="clear" w:color="auto" w:fill="auto"/>
            <w:noWrap/>
            <w:hideMark/>
          </w:tcPr>
          <w:p w14:paraId="3FD35BC9"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sz w:val="20"/>
                <w:lang w:eastAsia="bg-BG"/>
              </w:rPr>
              <w:t xml:space="preserve"> 2027 г.</w:t>
            </w:r>
          </w:p>
        </w:tc>
        <w:tc>
          <w:tcPr>
            <w:tcW w:w="1764" w:type="dxa"/>
            <w:tcBorders>
              <w:top w:val="nil"/>
              <w:left w:val="nil"/>
              <w:right w:val="nil"/>
            </w:tcBorders>
            <w:shd w:val="clear" w:color="auto" w:fill="auto"/>
            <w:noWrap/>
            <w:hideMark/>
          </w:tcPr>
          <w:p w14:paraId="2A751319"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sz w:val="20"/>
                <w:lang w:eastAsia="bg-BG"/>
              </w:rPr>
              <w:t xml:space="preserve"> 2028 г.</w:t>
            </w:r>
          </w:p>
        </w:tc>
      </w:tr>
      <w:tr w:rsidR="00761800" w:rsidRPr="00761800" w14:paraId="182608EC" w14:textId="77777777" w:rsidTr="00406B4D">
        <w:trPr>
          <w:trHeight w:val="300"/>
        </w:trPr>
        <w:tc>
          <w:tcPr>
            <w:tcW w:w="1063" w:type="dxa"/>
            <w:tcBorders>
              <w:top w:val="nil"/>
              <w:left w:val="nil"/>
              <w:bottom w:val="single" w:sz="4" w:space="0" w:color="auto"/>
              <w:right w:val="nil"/>
            </w:tcBorders>
            <w:shd w:val="clear" w:color="auto" w:fill="auto"/>
            <w:noWrap/>
            <w:hideMark/>
          </w:tcPr>
          <w:p w14:paraId="58EB3035" w14:textId="77777777" w:rsidR="00761800" w:rsidRPr="00761800" w:rsidRDefault="00761800" w:rsidP="00761800">
            <w:pPr>
              <w:rPr>
                <w:rFonts w:ascii="Times New Roman" w:hAnsi="Times New Roman"/>
                <w:b/>
                <w:bCs/>
                <w:color w:val="000000"/>
                <w:sz w:val="20"/>
                <w:lang w:eastAsia="bg-BG"/>
              </w:rPr>
            </w:pPr>
          </w:p>
        </w:tc>
        <w:tc>
          <w:tcPr>
            <w:tcW w:w="8611" w:type="dxa"/>
            <w:tcBorders>
              <w:top w:val="nil"/>
              <w:left w:val="nil"/>
              <w:bottom w:val="single" w:sz="4" w:space="0" w:color="auto"/>
              <w:right w:val="nil"/>
            </w:tcBorders>
            <w:shd w:val="clear" w:color="auto" w:fill="auto"/>
            <w:noWrap/>
            <w:hideMark/>
          </w:tcPr>
          <w:p w14:paraId="51A54150" w14:textId="77777777" w:rsidR="00761800" w:rsidRPr="00761800" w:rsidRDefault="00761800" w:rsidP="00761800">
            <w:pPr>
              <w:rPr>
                <w:rFonts w:ascii="Times New Roman" w:hAnsi="Times New Roman"/>
                <w:b/>
                <w:bCs/>
                <w:color w:val="000000"/>
                <w:sz w:val="20"/>
                <w:lang w:eastAsia="bg-BG"/>
              </w:rPr>
            </w:pPr>
          </w:p>
        </w:tc>
        <w:tc>
          <w:tcPr>
            <w:tcW w:w="1816" w:type="dxa"/>
            <w:tcBorders>
              <w:top w:val="nil"/>
              <w:left w:val="nil"/>
              <w:bottom w:val="single" w:sz="4" w:space="0" w:color="auto"/>
              <w:right w:val="nil"/>
            </w:tcBorders>
            <w:shd w:val="clear" w:color="auto" w:fill="auto"/>
            <w:noWrap/>
            <w:hideMark/>
          </w:tcPr>
          <w:p w14:paraId="4BC76EA8" w14:textId="77777777" w:rsidR="00761800" w:rsidRPr="00761800" w:rsidRDefault="00761800" w:rsidP="00761800">
            <w:pPr>
              <w:rPr>
                <w:rFonts w:ascii="Times New Roman" w:hAnsi="Times New Roman"/>
                <w:b/>
                <w:bCs/>
                <w:color w:val="000000"/>
                <w:sz w:val="20"/>
                <w:lang w:eastAsia="bg-BG"/>
              </w:rPr>
            </w:pPr>
          </w:p>
        </w:tc>
        <w:tc>
          <w:tcPr>
            <w:tcW w:w="1686" w:type="dxa"/>
            <w:tcBorders>
              <w:top w:val="nil"/>
              <w:left w:val="nil"/>
              <w:bottom w:val="single" w:sz="4" w:space="0" w:color="auto"/>
              <w:right w:val="nil"/>
            </w:tcBorders>
            <w:shd w:val="clear" w:color="auto" w:fill="auto"/>
            <w:noWrap/>
            <w:hideMark/>
          </w:tcPr>
          <w:p w14:paraId="3CECFFA5" w14:textId="77777777" w:rsidR="00761800" w:rsidRPr="00761800" w:rsidRDefault="00761800" w:rsidP="00761800">
            <w:pPr>
              <w:rPr>
                <w:rFonts w:ascii="Times New Roman" w:hAnsi="Times New Roman"/>
                <w:b/>
                <w:bCs/>
                <w:color w:val="000000"/>
                <w:sz w:val="20"/>
                <w:lang w:eastAsia="bg-BG"/>
              </w:rPr>
            </w:pPr>
          </w:p>
        </w:tc>
        <w:tc>
          <w:tcPr>
            <w:tcW w:w="1764" w:type="dxa"/>
            <w:tcBorders>
              <w:top w:val="nil"/>
              <w:left w:val="nil"/>
              <w:bottom w:val="single" w:sz="4" w:space="0" w:color="auto"/>
              <w:right w:val="nil"/>
            </w:tcBorders>
            <w:shd w:val="clear" w:color="auto" w:fill="auto"/>
            <w:noWrap/>
            <w:hideMark/>
          </w:tcPr>
          <w:p w14:paraId="6B1823E5" w14:textId="77777777" w:rsidR="00761800" w:rsidRPr="00761800" w:rsidRDefault="00761800" w:rsidP="00761800">
            <w:pPr>
              <w:rPr>
                <w:rFonts w:ascii="Times New Roman" w:hAnsi="Times New Roman"/>
                <w:b/>
                <w:bCs/>
                <w:color w:val="000000"/>
                <w:sz w:val="20"/>
                <w:lang w:eastAsia="bg-BG"/>
              </w:rPr>
            </w:pPr>
          </w:p>
        </w:tc>
      </w:tr>
      <w:tr w:rsidR="00761800" w:rsidRPr="00761800" w14:paraId="3532B101" w14:textId="77777777" w:rsidTr="00406B4D">
        <w:trPr>
          <w:trHeight w:val="288"/>
        </w:trPr>
        <w:tc>
          <w:tcPr>
            <w:tcW w:w="1063" w:type="dxa"/>
            <w:tcBorders>
              <w:top w:val="single" w:sz="4" w:space="0" w:color="auto"/>
              <w:left w:val="nil"/>
              <w:bottom w:val="nil"/>
              <w:right w:val="nil"/>
            </w:tcBorders>
            <w:shd w:val="clear" w:color="auto" w:fill="auto"/>
            <w:noWrap/>
            <w:hideMark/>
          </w:tcPr>
          <w:p w14:paraId="0630FB9D" w14:textId="77777777" w:rsidR="00761800" w:rsidRPr="00761800" w:rsidRDefault="00761800" w:rsidP="00761800">
            <w:pPr>
              <w:rPr>
                <w:rFonts w:ascii="Times New Roman" w:hAnsi="Times New Roman"/>
                <w:b/>
                <w:bCs/>
                <w:color w:val="000000"/>
                <w:sz w:val="20"/>
                <w:lang w:eastAsia="bg-BG"/>
              </w:rPr>
            </w:pPr>
          </w:p>
        </w:tc>
        <w:tc>
          <w:tcPr>
            <w:tcW w:w="8611" w:type="dxa"/>
            <w:tcBorders>
              <w:top w:val="single" w:sz="4" w:space="0" w:color="auto"/>
              <w:left w:val="nil"/>
              <w:bottom w:val="nil"/>
              <w:right w:val="nil"/>
            </w:tcBorders>
            <w:shd w:val="clear" w:color="auto" w:fill="auto"/>
            <w:noWrap/>
            <w:hideMark/>
          </w:tcPr>
          <w:p w14:paraId="20315A27" w14:textId="77777777" w:rsidR="00761800" w:rsidRPr="00761800" w:rsidRDefault="00761800" w:rsidP="00761800">
            <w:pPr>
              <w:rPr>
                <w:rFonts w:ascii="Times New Roman" w:hAnsi="Times New Roman"/>
                <w:b/>
                <w:bCs/>
                <w:color w:val="000000"/>
                <w:sz w:val="20"/>
                <w:lang w:eastAsia="bg-BG"/>
              </w:rPr>
            </w:pPr>
            <w:r w:rsidRPr="00761800">
              <w:rPr>
                <w:rFonts w:ascii="Times New Roman" w:hAnsi="Times New Roman"/>
                <w:b/>
                <w:sz w:val="20"/>
                <w:lang w:eastAsia="bg-BG"/>
              </w:rPr>
              <w:t>Основни бюджетни взаимоотношения - всичко</w:t>
            </w:r>
          </w:p>
        </w:tc>
        <w:tc>
          <w:tcPr>
            <w:tcW w:w="1816" w:type="dxa"/>
            <w:tcBorders>
              <w:top w:val="single" w:sz="4" w:space="0" w:color="auto"/>
              <w:left w:val="nil"/>
              <w:bottom w:val="nil"/>
              <w:right w:val="nil"/>
            </w:tcBorders>
            <w:shd w:val="clear" w:color="auto" w:fill="auto"/>
            <w:noWrap/>
            <w:hideMark/>
          </w:tcPr>
          <w:p w14:paraId="205C52C7"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sz w:val="20"/>
                <w:lang w:eastAsia="bg-BG"/>
              </w:rPr>
              <w:t>4 887 464,0</w:t>
            </w:r>
          </w:p>
        </w:tc>
        <w:tc>
          <w:tcPr>
            <w:tcW w:w="1686" w:type="dxa"/>
            <w:tcBorders>
              <w:top w:val="single" w:sz="4" w:space="0" w:color="auto"/>
              <w:left w:val="nil"/>
              <w:bottom w:val="nil"/>
              <w:right w:val="nil"/>
            </w:tcBorders>
            <w:shd w:val="clear" w:color="auto" w:fill="auto"/>
            <w:noWrap/>
            <w:hideMark/>
          </w:tcPr>
          <w:p w14:paraId="10E05026"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sz w:val="20"/>
                <w:lang w:eastAsia="bg-BG"/>
              </w:rPr>
              <w:t>4 898 990,4</w:t>
            </w:r>
          </w:p>
        </w:tc>
        <w:tc>
          <w:tcPr>
            <w:tcW w:w="1764" w:type="dxa"/>
            <w:tcBorders>
              <w:top w:val="single" w:sz="4" w:space="0" w:color="auto"/>
              <w:left w:val="nil"/>
              <w:bottom w:val="nil"/>
              <w:right w:val="nil"/>
            </w:tcBorders>
            <w:shd w:val="clear" w:color="auto" w:fill="auto"/>
            <w:noWrap/>
            <w:hideMark/>
          </w:tcPr>
          <w:p w14:paraId="086F6998" w14:textId="77777777" w:rsidR="00761800" w:rsidRPr="00761800" w:rsidRDefault="00761800" w:rsidP="00761800">
            <w:pPr>
              <w:jc w:val="right"/>
              <w:rPr>
                <w:rFonts w:ascii="Times New Roman" w:hAnsi="Times New Roman"/>
                <w:b/>
                <w:bCs/>
                <w:color w:val="000000"/>
                <w:sz w:val="20"/>
                <w:lang w:eastAsia="bg-BG"/>
              </w:rPr>
            </w:pPr>
            <w:r w:rsidRPr="00761800">
              <w:rPr>
                <w:rFonts w:ascii="Times New Roman" w:hAnsi="Times New Roman"/>
                <w:sz w:val="20"/>
                <w:lang w:eastAsia="bg-BG"/>
              </w:rPr>
              <w:t>4 899 284,6</w:t>
            </w:r>
          </w:p>
        </w:tc>
      </w:tr>
      <w:tr w:rsidR="00761800" w:rsidRPr="00761800" w14:paraId="5EB8A44E" w14:textId="77777777" w:rsidTr="00406B4D">
        <w:trPr>
          <w:trHeight w:val="288"/>
        </w:trPr>
        <w:tc>
          <w:tcPr>
            <w:tcW w:w="1063" w:type="dxa"/>
            <w:tcBorders>
              <w:top w:val="nil"/>
              <w:left w:val="nil"/>
              <w:bottom w:val="nil"/>
              <w:right w:val="nil"/>
            </w:tcBorders>
            <w:shd w:val="clear" w:color="auto" w:fill="auto"/>
            <w:noWrap/>
            <w:hideMark/>
          </w:tcPr>
          <w:p w14:paraId="74BD4375" w14:textId="77777777" w:rsidR="00761800" w:rsidRPr="00761800" w:rsidRDefault="00761800" w:rsidP="00761800">
            <w:pPr>
              <w:jc w:val="right"/>
              <w:rPr>
                <w:rFonts w:ascii="Times New Roman" w:hAnsi="Times New Roman"/>
                <w:b/>
                <w:bCs/>
                <w:color w:val="000000"/>
                <w:sz w:val="20"/>
                <w:lang w:eastAsia="bg-BG"/>
              </w:rPr>
            </w:pPr>
          </w:p>
        </w:tc>
        <w:tc>
          <w:tcPr>
            <w:tcW w:w="8611" w:type="dxa"/>
            <w:tcBorders>
              <w:top w:val="nil"/>
              <w:left w:val="nil"/>
              <w:bottom w:val="nil"/>
              <w:right w:val="nil"/>
            </w:tcBorders>
            <w:shd w:val="clear" w:color="auto" w:fill="auto"/>
            <w:noWrap/>
            <w:hideMark/>
          </w:tcPr>
          <w:p w14:paraId="1BD1E661" w14:textId="77777777" w:rsidR="00761800" w:rsidRPr="00761800" w:rsidRDefault="00761800" w:rsidP="00761800">
            <w:pPr>
              <w:ind w:firstLineChars="100" w:firstLine="200"/>
              <w:rPr>
                <w:rFonts w:ascii="Times New Roman" w:hAnsi="Times New Roman"/>
                <w:color w:val="000000"/>
                <w:sz w:val="20"/>
                <w:lang w:eastAsia="bg-BG"/>
              </w:rPr>
            </w:pPr>
            <w:r w:rsidRPr="00761800">
              <w:rPr>
                <w:rFonts w:ascii="Times New Roman" w:hAnsi="Times New Roman"/>
                <w:sz w:val="20"/>
                <w:lang w:eastAsia="bg-BG"/>
              </w:rPr>
              <w:t>от тях:</w:t>
            </w:r>
          </w:p>
        </w:tc>
        <w:tc>
          <w:tcPr>
            <w:tcW w:w="1816" w:type="dxa"/>
            <w:tcBorders>
              <w:top w:val="nil"/>
              <w:left w:val="nil"/>
              <w:bottom w:val="nil"/>
              <w:right w:val="nil"/>
            </w:tcBorders>
            <w:shd w:val="clear" w:color="auto" w:fill="auto"/>
            <w:noWrap/>
            <w:hideMark/>
          </w:tcPr>
          <w:p w14:paraId="5E7FC8EA" w14:textId="77777777" w:rsidR="00761800" w:rsidRPr="00761800" w:rsidRDefault="00761800" w:rsidP="00761800">
            <w:pPr>
              <w:ind w:firstLineChars="100" w:firstLine="200"/>
              <w:rPr>
                <w:rFonts w:ascii="Times New Roman" w:hAnsi="Times New Roman"/>
                <w:color w:val="000000"/>
                <w:sz w:val="20"/>
                <w:lang w:eastAsia="bg-BG"/>
              </w:rPr>
            </w:pPr>
          </w:p>
        </w:tc>
        <w:tc>
          <w:tcPr>
            <w:tcW w:w="1686" w:type="dxa"/>
            <w:tcBorders>
              <w:top w:val="nil"/>
              <w:left w:val="nil"/>
              <w:bottom w:val="nil"/>
              <w:right w:val="nil"/>
            </w:tcBorders>
            <w:shd w:val="clear" w:color="auto" w:fill="auto"/>
            <w:noWrap/>
            <w:hideMark/>
          </w:tcPr>
          <w:p w14:paraId="674BA341" w14:textId="77777777" w:rsidR="00761800" w:rsidRPr="00761800" w:rsidRDefault="00761800" w:rsidP="00761800">
            <w:pPr>
              <w:rPr>
                <w:rFonts w:ascii="Times New Roman" w:hAnsi="Times New Roman"/>
                <w:sz w:val="20"/>
                <w:lang w:eastAsia="bg-BG"/>
              </w:rPr>
            </w:pPr>
          </w:p>
        </w:tc>
        <w:tc>
          <w:tcPr>
            <w:tcW w:w="1764" w:type="dxa"/>
            <w:tcBorders>
              <w:top w:val="nil"/>
              <w:left w:val="nil"/>
              <w:bottom w:val="nil"/>
              <w:right w:val="nil"/>
            </w:tcBorders>
            <w:shd w:val="clear" w:color="auto" w:fill="auto"/>
            <w:noWrap/>
            <w:hideMark/>
          </w:tcPr>
          <w:p w14:paraId="5BC2E42E" w14:textId="77777777" w:rsidR="00761800" w:rsidRPr="00761800" w:rsidRDefault="00761800" w:rsidP="00761800">
            <w:pPr>
              <w:rPr>
                <w:rFonts w:ascii="Times New Roman" w:hAnsi="Times New Roman"/>
                <w:sz w:val="20"/>
                <w:lang w:eastAsia="bg-BG"/>
              </w:rPr>
            </w:pPr>
          </w:p>
        </w:tc>
      </w:tr>
      <w:tr w:rsidR="00761800" w:rsidRPr="00761800" w14:paraId="5AFB6D07" w14:textId="77777777" w:rsidTr="00406B4D">
        <w:trPr>
          <w:trHeight w:val="600"/>
        </w:trPr>
        <w:tc>
          <w:tcPr>
            <w:tcW w:w="1063" w:type="dxa"/>
            <w:tcBorders>
              <w:top w:val="nil"/>
              <w:left w:val="nil"/>
              <w:bottom w:val="nil"/>
              <w:right w:val="nil"/>
            </w:tcBorders>
            <w:shd w:val="clear" w:color="auto" w:fill="auto"/>
            <w:noWrap/>
            <w:hideMark/>
          </w:tcPr>
          <w:p w14:paraId="6C843E3E"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sz w:val="20"/>
                <w:lang w:eastAsia="bg-BG"/>
              </w:rPr>
              <w:t>1</w:t>
            </w:r>
          </w:p>
        </w:tc>
        <w:tc>
          <w:tcPr>
            <w:tcW w:w="8611" w:type="dxa"/>
            <w:tcBorders>
              <w:top w:val="nil"/>
              <w:left w:val="nil"/>
              <w:bottom w:val="nil"/>
              <w:right w:val="nil"/>
            </w:tcBorders>
            <w:shd w:val="clear" w:color="auto" w:fill="auto"/>
            <w:hideMark/>
          </w:tcPr>
          <w:p w14:paraId="2854BEAB" w14:textId="77777777" w:rsidR="00761800" w:rsidRPr="00761800" w:rsidRDefault="00761800" w:rsidP="00761800">
            <w:pPr>
              <w:ind w:firstLineChars="100" w:firstLine="200"/>
              <w:rPr>
                <w:rFonts w:ascii="Times New Roman" w:hAnsi="Times New Roman"/>
                <w:color w:val="000000"/>
                <w:sz w:val="20"/>
                <w:lang w:eastAsia="bg-BG"/>
              </w:rPr>
            </w:pPr>
            <w:r w:rsidRPr="00761800">
              <w:rPr>
                <w:rFonts w:ascii="Times New Roman" w:hAnsi="Times New Roman"/>
                <w:sz w:val="20"/>
                <w:lang w:eastAsia="bg-BG"/>
              </w:rPr>
              <w:t>Обща субсидия за делегираните от държавата дейности</w:t>
            </w:r>
          </w:p>
        </w:tc>
        <w:tc>
          <w:tcPr>
            <w:tcW w:w="1816" w:type="dxa"/>
            <w:tcBorders>
              <w:top w:val="nil"/>
              <w:left w:val="nil"/>
              <w:bottom w:val="nil"/>
              <w:right w:val="nil"/>
            </w:tcBorders>
            <w:shd w:val="clear" w:color="auto" w:fill="auto"/>
            <w:noWrap/>
            <w:hideMark/>
          </w:tcPr>
          <w:p w14:paraId="5623808F"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4 351 706,0</w:t>
            </w:r>
          </w:p>
        </w:tc>
        <w:tc>
          <w:tcPr>
            <w:tcW w:w="1686" w:type="dxa"/>
            <w:tcBorders>
              <w:top w:val="nil"/>
              <w:left w:val="nil"/>
              <w:bottom w:val="nil"/>
              <w:right w:val="nil"/>
            </w:tcBorders>
            <w:shd w:val="clear" w:color="auto" w:fill="auto"/>
            <w:noWrap/>
            <w:hideMark/>
          </w:tcPr>
          <w:p w14:paraId="2B07D102"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4 363 232,4</w:t>
            </w:r>
          </w:p>
        </w:tc>
        <w:tc>
          <w:tcPr>
            <w:tcW w:w="1764" w:type="dxa"/>
            <w:tcBorders>
              <w:top w:val="nil"/>
              <w:left w:val="nil"/>
              <w:bottom w:val="nil"/>
              <w:right w:val="nil"/>
            </w:tcBorders>
            <w:shd w:val="clear" w:color="auto" w:fill="auto"/>
            <w:noWrap/>
            <w:hideMark/>
          </w:tcPr>
          <w:p w14:paraId="65E9F225"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4 363 526,6</w:t>
            </w:r>
          </w:p>
        </w:tc>
      </w:tr>
      <w:tr w:rsidR="00761800" w:rsidRPr="00761800" w14:paraId="34F6E401" w14:textId="77777777" w:rsidTr="00406B4D">
        <w:trPr>
          <w:trHeight w:val="288"/>
        </w:trPr>
        <w:tc>
          <w:tcPr>
            <w:tcW w:w="1063" w:type="dxa"/>
            <w:tcBorders>
              <w:top w:val="nil"/>
              <w:left w:val="nil"/>
              <w:bottom w:val="nil"/>
              <w:right w:val="nil"/>
            </w:tcBorders>
            <w:shd w:val="clear" w:color="auto" w:fill="auto"/>
            <w:noWrap/>
            <w:hideMark/>
          </w:tcPr>
          <w:p w14:paraId="7A927B7C"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sz w:val="20"/>
                <w:lang w:eastAsia="bg-BG"/>
              </w:rPr>
              <w:t>2</w:t>
            </w:r>
          </w:p>
        </w:tc>
        <w:tc>
          <w:tcPr>
            <w:tcW w:w="8611" w:type="dxa"/>
            <w:tcBorders>
              <w:top w:val="nil"/>
              <w:left w:val="nil"/>
              <w:bottom w:val="nil"/>
              <w:right w:val="nil"/>
            </w:tcBorders>
            <w:shd w:val="clear" w:color="auto" w:fill="auto"/>
            <w:noWrap/>
            <w:hideMark/>
          </w:tcPr>
          <w:p w14:paraId="60982AFF" w14:textId="77777777" w:rsidR="00761800" w:rsidRPr="00761800" w:rsidRDefault="00761800" w:rsidP="00761800">
            <w:pPr>
              <w:ind w:firstLineChars="100" w:firstLine="200"/>
              <w:rPr>
                <w:rFonts w:ascii="Times New Roman" w:hAnsi="Times New Roman"/>
                <w:color w:val="000000"/>
                <w:sz w:val="20"/>
                <w:lang w:eastAsia="bg-BG"/>
              </w:rPr>
            </w:pPr>
            <w:r w:rsidRPr="00761800">
              <w:rPr>
                <w:rFonts w:ascii="Times New Roman" w:hAnsi="Times New Roman"/>
                <w:sz w:val="20"/>
                <w:lang w:eastAsia="bg-BG"/>
              </w:rPr>
              <w:t>Трансфери за местни дейности</w:t>
            </w:r>
          </w:p>
        </w:tc>
        <w:tc>
          <w:tcPr>
            <w:tcW w:w="1816" w:type="dxa"/>
            <w:tcBorders>
              <w:top w:val="nil"/>
              <w:left w:val="nil"/>
              <w:bottom w:val="nil"/>
              <w:right w:val="nil"/>
            </w:tcBorders>
            <w:shd w:val="clear" w:color="auto" w:fill="auto"/>
            <w:noWrap/>
            <w:hideMark/>
          </w:tcPr>
          <w:p w14:paraId="48B668A8"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280 758,0</w:t>
            </w:r>
          </w:p>
        </w:tc>
        <w:tc>
          <w:tcPr>
            <w:tcW w:w="1686" w:type="dxa"/>
            <w:tcBorders>
              <w:top w:val="nil"/>
              <w:left w:val="nil"/>
              <w:bottom w:val="nil"/>
              <w:right w:val="nil"/>
            </w:tcBorders>
            <w:shd w:val="clear" w:color="auto" w:fill="auto"/>
            <w:noWrap/>
            <w:hideMark/>
          </w:tcPr>
          <w:p w14:paraId="18D9BDB7"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280 758,0</w:t>
            </w:r>
          </w:p>
        </w:tc>
        <w:tc>
          <w:tcPr>
            <w:tcW w:w="1764" w:type="dxa"/>
            <w:tcBorders>
              <w:top w:val="nil"/>
              <w:left w:val="nil"/>
              <w:bottom w:val="nil"/>
              <w:right w:val="nil"/>
            </w:tcBorders>
            <w:shd w:val="clear" w:color="auto" w:fill="auto"/>
            <w:noWrap/>
            <w:hideMark/>
          </w:tcPr>
          <w:p w14:paraId="744FD04C"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280 758,0</w:t>
            </w:r>
          </w:p>
        </w:tc>
      </w:tr>
      <w:tr w:rsidR="00761800" w:rsidRPr="00761800" w14:paraId="7D98175F" w14:textId="77777777" w:rsidTr="00406B4D">
        <w:trPr>
          <w:trHeight w:val="288"/>
        </w:trPr>
        <w:tc>
          <w:tcPr>
            <w:tcW w:w="1063" w:type="dxa"/>
            <w:tcBorders>
              <w:top w:val="nil"/>
              <w:left w:val="nil"/>
              <w:bottom w:val="nil"/>
              <w:right w:val="nil"/>
            </w:tcBorders>
            <w:shd w:val="clear" w:color="auto" w:fill="auto"/>
            <w:noWrap/>
            <w:hideMark/>
          </w:tcPr>
          <w:p w14:paraId="7E95BF85" w14:textId="77777777" w:rsidR="00761800" w:rsidRPr="00761800" w:rsidRDefault="00761800" w:rsidP="00761800">
            <w:pPr>
              <w:jc w:val="right"/>
              <w:rPr>
                <w:rFonts w:ascii="Times New Roman" w:hAnsi="Times New Roman"/>
                <w:color w:val="000000"/>
                <w:sz w:val="20"/>
                <w:lang w:eastAsia="bg-BG"/>
              </w:rPr>
            </w:pPr>
          </w:p>
        </w:tc>
        <w:tc>
          <w:tcPr>
            <w:tcW w:w="8611" w:type="dxa"/>
            <w:tcBorders>
              <w:top w:val="nil"/>
              <w:left w:val="nil"/>
              <w:bottom w:val="nil"/>
              <w:right w:val="nil"/>
            </w:tcBorders>
            <w:shd w:val="clear" w:color="auto" w:fill="auto"/>
            <w:noWrap/>
            <w:hideMark/>
          </w:tcPr>
          <w:p w14:paraId="51E14441" w14:textId="77777777" w:rsidR="00761800" w:rsidRPr="00761800" w:rsidRDefault="00761800" w:rsidP="00761800">
            <w:pPr>
              <w:ind w:firstLineChars="200" w:firstLine="400"/>
              <w:rPr>
                <w:rFonts w:ascii="Times New Roman" w:hAnsi="Times New Roman"/>
                <w:color w:val="000000"/>
                <w:sz w:val="20"/>
                <w:lang w:eastAsia="bg-BG"/>
              </w:rPr>
            </w:pPr>
            <w:r w:rsidRPr="00761800">
              <w:rPr>
                <w:rFonts w:ascii="Times New Roman" w:hAnsi="Times New Roman"/>
                <w:sz w:val="20"/>
                <w:lang w:eastAsia="bg-BG"/>
              </w:rPr>
              <w:t>от тях:</w:t>
            </w:r>
          </w:p>
        </w:tc>
        <w:tc>
          <w:tcPr>
            <w:tcW w:w="1816" w:type="dxa"/>
            <w:tcBorders>
              <w:top w:val="nil"/>
              <w:left w:val="nil"/>
              <w:bottom w:val="nil"/>
              <w:right w:val="nil"/>
            </w:tcBorders>
            <w:shd w:val="clear" w:color="auto" w:fill="auto"/>
            <w:noWrap/>
            <w:hideMark/>
          </w:tcPr>
          <w:p w14:paraId="4A046407" w14:textId="77777777" w:rsidR="00761800" w:rsidRPr="00761800" w:rsidRDefault="00761800" w:rsidP="00761800">
            <w:pPr>
              <w:ind w:firstLineChars="200" w:firstLine="400"/>
              <w:rPr>
                <w:rFonts w:ascii="Times New Roman" w:hAnsi="Times New Roman"/>
                <w:color w:val="000000"/>
                <w:sz w:val="20"/>
                <w:lang w:eastAsia="bg-BG"/>
              </w:rPr>
            </w:pPr>
          </w:p>
        </w:tc>
        <w:tc>
          <w:tcPr>
            <w:tcW w:w="1686" w:type="dxa"/>
            <w:tcBorders>
              <w:top w:val="nil"/>
              <w:left w:val="nil"/>
              <w:bottom w:val="nil"/>
              <w:right w:val="nil"/>
            </w:tcBorders>
            <w:shd w:val="clear" w:color="auto" w:fill="auto"/>
            <w:noWrap/>
            <w:hideMark/>
          </w:tcPr>
          <w:p w14:paraId="257E4865" w14:textId="77777777" w:rsidR="00761800" w:rsidRPr="00761800" w:rsidRDefault="00761800" w:rsidP="00761800">
            <w:pPr>
              <w:rPr>
                <w:rFonts w:ascii="Times New Roman" w:hAnsi="Times New Roman"/>
                <w:sz w:val="20"/>
                <w:lang w:eastAsia="bg-BG"/>
              </w:rPr>
            </w:pPr>
          </w:p>
        </w:tc>
        <w:tc>
          <w:tcPr>
            <w:tcW w:w="1764" w:type="dxa"/>
            <w:tcBorders>
              <w:top w:val="nil"/>
              <w:left w:val="nil"/>
              <w:bottom w:val="nil"/>
              <w:right w:val="nil"/>
            </w:tcBorders>
            <w:shd w:val="clear" w:color="auto" w:fill="auto"/>
            <w:noWrap/>
            <w:hideMark/>
          </w:tcPr>
          <w:p w14:paraId="78AC1B16" w14:textId="77777777" w:rsidR="00761800" w:rsidRPr="00761800" w:rsidRDefault="00761800" w:rsidP="00761800">
            <w:pPr>
              <w:rPr>
                <w:rFonts w:ascii="Times New Roman" w:hAnsi="Times New Roman"/>
                <w:sz w:val="20"/>
                <w:lang w:eastAsia="bg-BG"/>
              </w:rPr>
            </w:pPr>
          </w:p>
        </w:tc>
      </w:tr>
      <w:tr w:rsidR="00761800" w:rsidRPr="00761800" w14:paraId="003EDFA0" w14:textId="77777777" w:rsidTr="00406B4D">
        <w:trPr>
          <w:trHeight w:val="288"/>
        </w:trPr>
        <w:tc>
          <w:tcPr>
            <w:tcW w:w="1063" w:type="dxa"/>
            <w:tcBorders>
              <w:top w:val="nil"/>
              <w:left w:val="nil"/>
              <w:bottom w:val="nil"/>
              <w:right w:val="nil"/>
            </w:tcBorders>
            <w:shd w:val="clear" w:color="auto" w:fill="auto"/>
            <w:noWrap/>
            <w:hideMark/>
          </w:tcPr>
          <w:p w14:paraId="4EC5856E"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sz w:val="20"/>
                <w:lang w:eastAsia="bg-BG"/>
              </w:rPr>
              <w:t>2.1.</w:t>
            </w:r>
          </w:p>
        </w:tc>
        <w:tc>
          <w:tcPr>
            <w:tcW w:w="8611" w:type="dxa"/>
            <w:tcBorders>
              <w:top w:val="nil"/>
              <w:left w:val="nil"/>
              <w:bottom w:val="nil"/>
              <w:right w:val="nil"/>
            </w:tcBorders>
            <w:shd w:val="clear" w:color="auto" w:fill="auto"/>
            <w:noWrap/>
            <w:hideMark/>
          </w:tcPr>
          <w:p w14:paraId="0A9CB8C9" w14:textId="77777777" w:rsidR="00761800" w:rsidRPr="00761800" w:rsidRDefault="00761800" w:rsidP="00761800">
            <w:pPr>
              <w:ind w:firstLineChars="200" w:firstLine="400"/>
              <w:rPr>
                <w:rFonts w:ascii="Times New Roman" w:hAnsi="Times New Roman"/>
                <w:color w:val="000000"/>
                <w:sz w:val="20"/>
                <w:lang w:eastAsia="bg-BG"/>
              </w:rPr>
            </w:pPr>
            <w:r w:rsidRPr="00761800">
              <w:rPr>
                <w:rFonts w:ascii="Times New Roman" w:hAnsi="Times New Roman"/>
                <w:sz w:val="20"/>
                <w:lang w:eastAsia="bg-BG"/>
              </w:rPr>
              <w:t>Обща изравнителна субсидия</w:t>
            </w:r>
          </w:p>
        </w:tc>
        <w:tc>
          <w:tcPr>
            <w:tcW w:w="1816" w:type="dxa"/>
            <w:tcBorders>
              <w:top w:val="nil"/>
              <w:left w:val="nil"/>
              <w:bottom w:val="nil"/>
              <w:right w:val="nil"/>
            </w:tcBorders>
            <w:shd w:val="clear" w:color="auto" w:fill="auto"/>
            <w:noWrap/>
            <w:hideMark/>
          </w:tcPr>
          <w:p w14:paraId="3969B91B"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255 658,0</w:t>
            </w:r>
          </w:p>
        </w:tc>
        <w:tc>
          <w:tcPr>
            <w:tcW w:w="1686" w:type="dxa"/>
            <w:tcBorders>
              <w:top w:val="nil"/>
              <w:left w:val="nil"/>
              <w:bottom w:val="nil"/>
              <w:right w:val="nil"/>
            </w:tcBorders>
            <w:shd w:val="clear" w:color="auto" w:fill="auto"/>
            <w:noWrap/>
            <w:hideMark/>
          </w:tcPr>
          <w:p w14:paraId="27EF2298"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255 658,0</w:t>
            </w:r>
          </w:p>
        </w:tc>
        <w:tc>
          <w:tcPr>
            <w:tcW w:w="1764" w:type="dxa"/>
            <w:tcBorders>
              <w:top w:val="nil"/>
              <w:left w:val="nil"/>
              <w:bottom w:val="nil"/>
              <w:right w:val="nil"/>
            </w:tcBorders>
            <w:shd w:val="clear" w:color="auto" w:fill="auto"/>
            <w:noWrap/>
            <w:hideMark/>
          </w:tcPr>
          <w:p w14:paraId="1C0ED645"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255 658,0</w:t>
            </w:r>
          </w:p>
        </w:tc>
      </w:tr>
      <w:tr w:rsidR="00761800" w:rsidRPr="00761800" w14:paraId="3D8BF2BD" w14:textId="77777777" w:rsidTr="00406B4D">
        <w:trPr>
          <w:trHeight w:val="459"/>
        </w:trPr>
        <w:tc>
          <w:tcPr>
            <w:tcW w:w="1063" w:type="dxa"/>
            <w:tcBorders>
              <w:top w:val="nil"/>
              <w:left w:val="nil"/>
              <w:bottom w:val="nil"/>
              <w:right w:val="nil"/>
            </w:tcBorders>
            <w:shd w:val="clear" w:color="auto" w:fill="auto"/>
            <w:noWrap/>
            <w:hideMark/>
          </w:tcPr>
          <w:p w14:paraId="0715A657"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sz w:val="20"/>
                <w:lang w:eastAsia="bg-BG"/>
              </w:rPr>
              <w:t>2.2.</w:t>
            </w:r>
          </w:p>
        </w:tc>
        <w:tc>
          <w:tcPr>
            <w:tcW w:w="8611" w:type="dxa"/>
            <w:tcBorders>
              <w:top w:val="nil"/>
              <w:left w:val="nil"/>
              <w:bottom w:val="nil"/>
              <w:right w:val="nil"/>
            </w:tcBorders>
            <w:shd w:val="clear" w:color="auto" w:fill="auto"/>
            <w:hideMark/>
          </w:tcPr>
          <w:p w14:paraId="649B0756" w14:textId="77777777" w:rsidR="00761800" w:rsidRPr="00761800" w:rsidRDefault="00761800" w:rsidP="00761800">
            <w:pPr>
              <w:ind w:firstLineChars="200" w:firstLine="400"/>
              <w:rPr>
                <w:rFonts w:ascii="Times New Roman" w:hAnsi="Times New Roman"/>
                <w:color w:val="000000"/>
                <w:sz w:val="20"/>
                <w:lang w:eastAsia="bg-BG"/>
              </w:rPr>
            </w:pPr>
            <w:r w:rsidRPr="00761800">
              <w:rPr>
                <w:rFonts w:ascii="Times New Roman" w:hAnsi="Times New Roman"/>
                <w:sz w:val="20"/>
                <w:lang w:eastAsia="bg-BG"/>
              </w:rPr>
              <w:t>За зимно поддържане и снегопочистване на общински пътища</w:t>
            </w:r>
          </w:p>
        </w:tc>
        <w:tc>
          <w:tcPr>
            <w:tcW w:w="1816" w:type="dxa"/>
            <w:tcBorders>
              <w:top w:val="nil"/>
              <w:left w:val="nil"/>
              <w:bottom w:val="nil"/>
              <w:right w:val="nil"/>
            </w:tcBorders>
            <w:shd w:val="clear" w:color="auto" w:fill="auto"/>
            <w:noWrap/>
            <w:hideMark/>
          </w:tcPr>
          <w:p w14:paraId="2A754B25"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25 100,0</w:t>
            </w:r>
          </w:p>
        </w:tc>
        <w:tc>
          <w:tcPr>
            <w:tcW w:w="1686" w:type="dxa"/>
            <w:tcBorders>
              <w:top w:val="nil"/>
              <w:left w:val="nil"/>
              <w:bottom w:val="nil"/>
              <w:right w:val="nil"/>
            </w:tcBorders>
            <w:shd w:val="clear" w:color="auto" w:fill="auto"/>
            <w:noWrap/>
            <w:hideMark/>
          </w:tcPr>
          <w:p w14:paraId="70D09DFC"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25 100,0</w:t>
            </w:r>
          </w:p>
        </w:tc>
        <w:tc>
          <w:tcPr>
            <w:tcW w:w="1764" w:type="dxa"/>
            <w:tcBorders>
              <w:top w:val="nil"/>
              <w:left w:val="nil"/>
              <w:bottom w:val="nil"/>
              <w:right w:val="nil"/>
            </w:tcBorders>
            <w:shd w:val="clear" w:color="auto" w:fill="auto"/>
            <w:noWrap/>
            <w:hideMark/>
          </w:tcPr>
          <w:p w14:paraId="0E49BAB2"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25 100,0</w:t>
            </w:r>
          </w:p>
        </w:tc>
      </w:tr>
      <w:tr w:rsidR="00761800" w:rsidRPr="00761800" w14:paraId="3894EEFF" w14:textId="77777777" w:rsidTr="00406B4D">
        <w:trPr>
          <w:trHeight w:val="288"/>
        </w:trPr>
        <w:tc>
          <w:tcPr>
            <w:tcW w:w="1063" w:type="dxa"/>
            <w:tcBorders>
              <w:top w:val="nil"/>
              <w:left w:val="nil"/>
              <w:bottom w:val="nil"/>
              <w:right w:val="nil"/>
            </w:tcBorders>
            <w:shd w:val="clear" w:color="auto" w:fill="auto"/>
            <w:noWrap/>
            <w:hideMark/>
          </w:tcPr>
          <w:p w14:paraId="3CEC1FB7"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sz w:val="20"/>
                <w:lang w:eastAsia="bg-BG"/>
              </w:rPr>
              <w:t>3</w:t>
            </w:r>
          </w:p>
        </w:tc>
        <w:tc>
          <w:tcPr>
            <w:tcW w:w="8611" w:type="dxa"/>
            <w:tcBorders>
              <w:top w:val="nil"/>
              <w:left w:val="nil"/>
              <w:bottom w:val="nil"/>
              <w:right w:val="nil"/>
            </w:tcBorders>
            <w:shd w:val="clear" w:color="auto" w:fill="auto"/>
            <w:noWrap/>
            <w:hideMark/>
          </w:tcPr>
          <w:p w14:paraId="49898E44" w14:textId="77777777" w:rsidR="00761800" w:rsidRPr="00761800" w:rsidRDefault="00761800" w:rsidP="00761800">
            <w:pPr>
              <w:ind w:firstLineChars="100" w:firstLine="200"/>
              <w:rPr>
                <w:rFonts w:ascii="Times New Roman" w:hAnsi="Times New Roman"/>
                <w:color w:val="000000"/>
                <w:sz w:val="20"/>
                <w:lang w:eastAsia="bg-BG"/>
              </w:rPr>
            </w:pPr>
            <w:r w:rsidRPr="00761800">
              <w:rPr>
                <w:rFonts w:ascii="Times New Roman" w:hAnsi="Times New Roman"/>
                <w:sz w:val="20"/>
                <w:lang w:eastAsia="bg-BG"/>
              </w:rPr>
              <w:t>Целева субсидия за капиталови разходи</w:t>
            </w:r>
          </w:p>
        </w:tc>
        <w:tc>
          <w:tcPr>
            <w:tcW w:w="1816" w:type="dxa"/>
            <w:tcBorders>
              <w:top w:val="nil"/>
              <w:left w:val="nil"/>
              <w:bottom w:val="nil"/>
              <w:right w:val="nil"/>
            </w:tcBorders>
            <w:shd w:val="clear" w:color="auto" w:fill="auto"/>
            <w:noWrap/>
            <w:hideMark/>
          </w:tcPr>
          <w:p w14:paraId="3D2397ED"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255 000,0</w:t>
            </w:r>
          </w:p>
        </w:tc>
        <w:tc>
          <w:tcPr>
            <w:tcW w:w="1686" w:type="dxa"/>
            <w:tcBorders>
              <w:top w:val="nil"/>
              <w:left w:val="nil"/>
              <w:bottom w:val="nil"/>
              <w:right w:val="nil"/>
            </w:tcBorders>
            <w:shd w:val="clear" w:color="auto" w:fill="auto"/>
            <w:noWrap/>
            <w:hideMark/>
          </w:tcPr>
          <w:p w14:paraId="1988350B"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255 000,0</w:t>
            </w:r>
          </w:p>
        </w:tc>
        <w:tc>
          <w:tcPr>
            <w:tcW w:w="1764" w:type="dxa"/>
            <w:tcBorders>
              <w:top w:val="nil"/>
              <w:left w:val="nil"/>
              <w:bottom w:val="nil"/>
              <w:right w:val="nil"/>
            </w:tcBorders>
            <w:shd w:val="clear" w:color="auto" w:fill="auto"/>
            <w:noWrap/>
            <w:hideMark/>
          </w:tcPr>
          <w:p w14:paraId="1967A796"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255 000,0</w:t>
            </w:r>
          </w:p>
        </w:tc>
      </w:tr>
      <w:tr w:rsidR="00761800" w:rsidRPr="00761800" w14:paraId="555545BF" w14:textId="77777777" w:rsidTr="00406B4D">
        <w:trPr>
          <w:trHeight w:val="288"/>
        </w:trPr>
        <w:tc>
          <w:tcPr>
            <w:tcW w:w="1063" w:type="dxa"/>
            <w:tcBorders>
              <w:top w:val="nil"/>
              <w:left w:val="nil"/>
              <w:bottom w:val="nil"/>
              <w:right w:val="nil"/>
            </w:tcBorders>
            <w:shd w:val="clear" w:color="auto" w:fill="auto"/>
            <w:noWrap/>
            <w:hideMark/>
          </w:tcPr>
          <w:p w14:paraId="44A18DBE" w14:textId="77777777" w:rsidR="00761800" w:rsidRPr="00761800" w:rsidRDefault="00761800" w:rsidP="00761800">
            <w:pPr>
              <w:jc w:val="right"/>
              <w:rPr>
                <w:rFonts w:ascii="Times New Roman" w:hAnsi="Times New Roman"/>
                <w:color w:val="000000"/>
                <w:sz w:val="20"/>
                <w:lang w:eastAsia="bg-BG"/>
              </w:rPr>
            </w:pPr>
          </w:p>
        </w:tc>
        <w:tc>
          <w:tcPr>
            <w:tcW w:w="8611" w:type="dxa"/>
            <w:tcBorders>
              <w:top w:val="nil"/>
              <w:left w:val="nil"/>
              <w:bottom w:val="nil"/>
              <w:right w:val="nil"/>
            </w:tcBorders>
            <w:shd w:val="clear" w:color="auto" w:fill="auto"/>
            <w:noWrap/>
            <w:hideMark/>
          </w:tcPr>
          <w:p w14:paraId="04C79B74" w14:textId="77777777" w:rsidR="00761800" w:rsidRPr="00761800" w:rsidRDefault="00761800" w:rsidP="00761800">
            <w:pPr>
              <w:ind w:firstLineChars="200" w:firstLine="400"/>
              <w:rPr>
                <w:rFonts w:ascii="Times New Roman" w:hAnsi="Times New Roman"/>
                <w:color w:val="000000"/>
                <w:sz w:val="20"/>
                <w:lang w:eastAsia="bg-BG"/>
              </w:rPr>
            </w:pPr>
            <w:r w:rsidRPr="00761800">
              <w:rPr>
                <w:rFonts w:ascii="Times New Roman" w:hAnsi="Times New Roman"/>
                <w:sz w:val="20"/>
                <w:lang w:eastAsia="bg-BG"/>
              </w:rPr>
              <w:t xml:space="preserve"> от тях:</w:t>
            </w:r>
          </w:p>
        </w:tc>
        <w:tc>
          <w:tcPr>
            <w:tcW w:w="1816" w:type="dxa"/>
            <w:tcBorders>
              <w:top w:val="nil"/>
              <w:left w:val="nil"/>
              <w:bottom w:val="nil"/>
              <w:right w:val="nil"/>
            </w:tcBorders>
            <w:shd w:val="clear" w:color="auto" w:fill="auto"/>
            <w:noWrap/>
            <w:hideMark/>
          </w:tcPr>
          <w:p w14:paraId="78A3540E" w14:textId="77777777" w:rsidR="00761800" w:rsidRPr="00761800" w:rsidRDefault="00761800" w:rsidP="00761800">
            <w:pPr>
              <w:ind w:firstLineChars="200" w:firstLine="400"/>
              <w:rPr>
                <w:rFonts w:ascii="Times New Roman" w:hAnsi="Times New Roman"/>
                <w:color w:val="000000"/>
                <w:sz w:val="20"/>
                <w:lang w:eastAsia="bg-BG"/>
              </w:rPr>
            </w:pPr>
          </w:p>
        </w:tc>
        <w:tc>
          <w:tcPr>
            <w:tcW w:w="1686" w:type="dxa"/>
            <w:tcBorders>
              <w:top w:val="nil"/>
              <w:left w:val="nil"/>
              <w:bottom w:val="nil"/>
              <w:right w:val="nil"/>
            </w:tcBorders>
            <w:shd w:val="clear" w:color="auto" w:fill="auto"/>
            <w:noWrap/>
            <w:hideMark/>
          </w:tcPr>
          <w:p w14:paraId="2CDC8FA7" w14:textId="77777777" w:rsidR="00761800" w:rsidRPr="00761800" w:rsidRDefault="00761800" w:rsidP="00761800">
            <w:pPr>
              <w:rPr>
                <w:rFonts w:ascii="Times New Roman" w:hAnsi="Times New Roman"/>
                <w:sz w:val="20"/>
                <w:lang w:eastAsia="bg-BG"/>
              </w:rPr>
            </w:pPr>
          </w:p>
        </w:tc>
        <w:tc>
          <w:tcPr>
            <w:tcW w:w="1764" w:type="dxa"/>
            <w:tcBorders>
              <w:top w:val="nil"/>
              <w:left w:val="nil"/>
              <w:bottom w:val="nil"/>
              <w:right w:val="nil"/>
            </w:tcBorders>
            <w:shd w:val="clear" w:color="auto" w:fill="auto"/>
            <w:noWrap/>
            <w:hideMark/>
          </w:tcPr>
          <w:p w14:paraId="247FC92B" w14:textId="77777777" w:rsidR="00761800" w:rsidRPr="00761800" w:rsidRDefault="00761800" w:rsidP="00761800">
            <w:pPr>
              <w:rPr>
                <w:rFonts w:ascii="Times New Roman" w:hAnsi="Times New Roman"/>
                <w:sz w:val="20"/>
                <w:lang w:eastAsia="bg-BG"/>
              </w:rPr>
            </w:pPr>
          </w:p>
        </w:tc>
      </w:tr>
      <w:tr w:rsidR="00761800" w:rsidRPr="00761800" w14:paraId="673E6DAE" w14:textId="77777777" w:rsidTr="00406B4D">
        <w:trPr>
          <w:trHeight w:val="288"/>
        </w:trPr>
        <w:tc>
          <w:tcPr>
            <w:tcW w:w="1063" w:type="dxa"/>
            <w:tcBorders>
              <w:top w:val="nil"/>
              <w:left w:val="nil"/>
              <w:bottom w:val="nil"/>
              <w:right w:val="nil"/>
            </w:tcBorders>
            <w:shd w:val="clear" w:color="auto" w:fill="auto"/>
            <w:noWrap/>
            <w:hideMark/>
          </w:tcPr>
          <w:p w14:paraId="43618308"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sz w:val="20"/>
                <w:lang w:eastAsia="bg-BG"/>
              </w:rPr>
              <w:t>3.1.</w:t>
            </w:r>
          </w:p>
        </w:tc>
        <w:tc>
          <w:tcPr>
            <w:tcW w:w="8611" w:type="dxa"/>
            <w:tcBorders>
              <w:top w:val="nil"/>
              <w:left w:val="nil"/>
              <w:bottom w:val="nil"/>
              <w:right w:val="nil"/>
            </w:tcBorders>
            <w:shd w:val="clear" w:color="auto" w:fill="auto"/>
            <w:noWrap/>
            <w:hideMark/>
          </w:tcPr>
          <w:p w14:paraId="0EECB129" w14:textId="77777777" w:rsidR="00761800" w:rsidRPr="00761800" w:rsidRDefault="00761800" w:rsidP="00761800">
            <w:pPr>
              <w:ind w:firstLineChars="200" w:firstLine="400"/>
              <w:rPr>
                <w:rFonts w:ascii="Times New Roman" w:hAnsi="Times New Roman"/>
                <w:color w:val="000000"/>
                <w:sz w:val="20"/>
                <w:lang w:eastAsia="bg-BG"/>
              </w:rPr>
            </w:pPr>
            <w:r w:rsidRPr="00761800">
              <w:rPr>
                <w:rFonts w:ascii="Times New Roman" w:hAnsi="Times New Roman"/>
                <w:sz w:val="20"/>
                <w:lang w:eastAsia="bg-BG"/>
              </w:rPr>
              <w:t xml:space="preserve"> делегирани от държавата дейности</w:t>
            </w:r>
          </w:p>
        </w:tc>
        <w:tc>
          <w:tcPr>
            <w:tcW w:w="1816" w:type="dxa"/>
            <w:tcBorders>
              <w:top w:val="nil"/>
              <w:left w:val="nil"/>
              <w:bottom w:val="nil"/>
              <w:right w:val="nil"/>
            </w:tcBorders>
            <w:shd w:val="clear" w:color="auto" w:fill="auto"/>
            <w:noWrap/>
            <w:hideMark/>
          </w:tcPr>
          <w:p w14:paraId="295530E9"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70 295,7</w:t>
            </w:r>
          </w:p>
        </w:tc>
        <w:tc>
          <w:tcPr>
            <w:tcW w:w="1686" w:type="dxa"/>
            <w:tcBorders>
              <w:top w:val="nil"/>
              <w:left w:val="nil"/>
              <w:bottom w:val="nil"/>
              <w:right w:val="nil"/>
            </w:tcBorders>
            <w:shd w:val="clear" w:color="auto" w:fill="auto"/>
            <w:noWrap/>
            <w:hideMark/>
          </w:tcPr>
          <w:p w14:paraId="44422B44"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70 295,7</w:t>
            </w:r>
          </w:p>
        </w:tc>
        <w:tc>
          <w:tcPr>
            <w:tcW w:w="1764" w:type="dxa"/>
            <w:tcBorders>
              <w:top w:val="nil"/>
              <w:left w:val="nil"/>
              <w:bottom w:val="nil"/>
              <w:right w:val="nil"/>
            </w:tcBorders>
            <w:shd w:val="clear" w:color="auto" w:fill="auto"/>
            <w:noWrap/>
            <w:hideMark/>
          </w:tcPr>
          <w:p w14:paraId="3982BAA0"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70 295,7</w:t>
            </w:r>
          </w:p>
        </w:tc>
      </w:tr>
      <w:tr w:rsidR="00761800" w:rsidRPr="00761800" w14:paraId="466FFD47" w14:textId="77777777" w:rsidTr="00406B4D">
        <w:trPr>
          <w:trHeight w:val="420"/>
        </w:trPr>
        <w:tc>
          <w:tcPr>
            <w:tcW w:w="1063" w:type="dxa"/>
            <w:tcBorders>
              <w:top w:val="nil"/>
              <w:left w:val="nil"/>
              <w:bottom w:val="single" w:sz="8" w:space="0" w:color="auto"/>
              <w:right w:val="nil"/>
            </w:tcBorders>
            <w:shd w:val="clear" w:color="auto" w:fill="auto"/>
            <w:noWrap/>
            <w:hideMark/>
          </w:tcPr>
          <w:p w14:paraId="61029914" w14:textId="77777777" w:rsidR="00761800" w:rsidRPr="00761800" w:rsidRDefault="00761800" w:rsidP="00761800">
            <w:pPr>
              <w:jc w:val="center"/>
              <w:rPr>
                <w:rFonts w:ascii="Times New Roman" w:hAnsi="Times New Roman"/>
                <w:color w:val="000000"/>
                <w:sz w:val="20"/>
                <w:lang w:eastAsia="bg-BG"/>
              </w:rPr>
            </w:pPr>
            <w:r w:rsidRPr="00761800">
              <w:rPr>
                <w:rFonts w:ascii="Times New Roman" w:hAnsi="Times New Roman"/>
                <w:sz w:val="20"/>
                <w:lang w:eastAsia="bg-BG"/>
              </w:rPr>
              <w:t>3.2.</w:t>
            </w:r>
          </w:p>
        </w:tc>
        <w:tc>
          <w:tcPr>
            <w:tcW w:w="8611" w:type="dxa"/>
            <w:tcBorders>
              <w:top w:val="nil"/>
              <w:left w:val="nil"/>
              <w:bottom w:val="single" w:sz="8" w:space="0" w:color="auto"/>
              <w:right w:val="nil"/>
            </w:tcBorders>
            <w:shd w:val="clear" w:color="auto" w:fill="auto"/>
            <w:hideMark/>
          </w:tcPr>
          <w:p w14:paraId="3BB7918C" w14:textId="77777777" w:rsidR="00761800" w:rsidRPr="00761800" w:rsidRDefault="00761800" w:rsidP="00761800">
            <w:pPr>
              <w:ind w:firstLineChars="200" w:firstLine="400"/>
              <w:rPr>
                <w:rFonts w:ascii="Times New Roman" w:hAnsi="Times New Roman"/>
                <w:color w:val="000000"/>
                <w:sz w:val="20"/>
                <w:lang w:eastAsia="bg-BG"/>
              </w:rPr>
            </w:pPr>
            <w:r w:rsidRPr="00761800">
              <w:rPr>
                <w:rFonts w:ascii="Times New Roman" w:hAnsi="Times New Roman"/>
                <w:sz w:val="20"/>
                <w:lang w:eastAsia="bg-BG"/>
              </w:rPr>
              <w:t xml:space="preserve"> местни дейности</w:t>
            </w:r>
          </w:p>
        </w:tc>
        <w:tc>
          <w:tcPr>
            <w:tcW w:w="1816" w:type="dxa"/>
            <w:tcBorders>
              <w:top w:val="nil"/>
              <w:left w:val="nil"/>
              <w:bottom w:val="single" w:sz="8" w:space="0" w:color="auto"/>
              <w:right w:val="nil"/>
            </w:tcBorders>
            <w:shd w:val="clear" w:color="auto" w:fill="auto"/>
            <w:noWrap/>
            <w:hideMark/>
          </w:tcPr>
          <w:p w14:paraId="0C577650"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184 704,3</w:t>
            </w:r>
          </w:p>
        </w:tc>
        <w:tc>
          <w:tcPr>
            <w:tcW w:w="1686" w:type="dxa"/>
            <w:tcBorders>
              <w:top w:val="nil"/>
              <w:left w:val="nil"/>
              <w:bottom w:val="single" w:sz="8" w:space="0" w:color="auto"/>
              <w:right w:val="nil"/>
            </w:tcBorders>
            <w:shd w:val="clear" w:color="auto" w:fill="auto"/>
            <w:noWrap/>
            <w:hideMark/>
          </w:tcPr>
          <w:p w14:paraId="1262955C"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184 704,3</w:t>
            </w:r>
          </w:p>
        </w:tc>
        <w:tc>
          <w:tcPr>
            <w:tcW w:w="1764" w:type="dxa"/>
            <w:tcBorders>
              <w:top w:val="nil"/>
              <w:left w:val="nil"/>
              <w:bottom w:val="single" w:sz="8" w:space="0" w:color="auto"/>
              <w:right w:val="nil"/>
            </w:tcBorders>
            <w:shd w:val="clear" w:color="auto" w:fill="auto"/>
            <w:noWrap/>
            <w:hideMark/>
          </w:tcPr>
          <w:p w14:paraId="6B08AA09" w14:textId="77777777" w:rsidR="00761800" w:rsidRPr="00761800" w:rsidRDefault="00761800" w:rsidP="00761800">
            <w:pPr>
              <w:jc w:val="right"/>
              <w:rPr>
                <w:rFonts w:ascii="Times New Roman" w:hAnsi="Times New Roman"/>
                <w:color w:val="000000"/>
                <w:sz w:val="20"/>
                <w:lang w:eastAsia="bg-BG"/>
              </w:rPr>
            </w:pPr>
            <w:r w:rsidRPr="00761800">
              <w:rPr>
                <w:rFonts w:ascii="Times New Roman" w:hAnsi="Times New Roman"/>
                <w:sz w:val="20"/>
                <w:lang w:eastAsia="bg-BG"/>
              </w:rPr>
              <w:t>184 704,3</w:t>
            </w:r>
          </w:p>
        </w:tc>
      </w:tr>
    </w:tbl>
    <w:p w14:paraId="515456BF" w14:textId="77777777" w:rsidR="00761800" w:rsidRPr="00761800" w:rsidRDefault="00761800" w:rsidP="00761800">
      <w:pPr>
        <w:spacing w:after="120"/>
        <w:ind w:right="145" w:firstLine="11198"/>
        <w:jc w:val="right"/>
        <w:rPr>
          <w:rFonts w:ascii="Times New Roman" w:hAnsi="Times New Roman"/>
          <w:b/>
          <w:bCs/>
          <w:sz w:val="20"/>
          <w:lang w:eastAsia="bg-BG"/>
        </w:rPr>
      </w:pPr>
    </w:p>
    <w:p w14:paraId="2B90C1F1" w14:textId="77777777" w:rsidR="00761800" w:rsidRPr="00761800" w:rsidRDefault="00761800" w:rsidP="00761800">
      <w:pPr>
        <w:spacing w:after="120"/>
        <w:ind w:right="145" w:firstLine="11198"/>
        <w:jc w:val="center"/>
        <w:rPr>
          <w:rFonts w:ascii="Times New Roman" w:hAnsi="Times New Roman"/>
          <w:b/>
          <w:bCs/>
          <w:sz w:val="20"/>
          <w:lang w:eastAsia="bg-BG"/>
        </w:rPr>
      </w:pPr>
    </w:p>
    <w:p w14:paraId="6B6D0B3F" w14:textId="77777777" w:rsidR="00761800" w:rsidRPr="00761800" w:rsidRDefault="00761800" w:rsidP="00761800">
      <w:pPr>
        <w:spacing w:after="120"/>
        <w:ind w:firstLine="11198"/>
        <w:jc w:val="center"/>
        <w:rPr>
          <w:rFonts w:ascii="Times New Roman" w:hAnsi="Times New Roman"/>
          <w:b/>
          <w:bCs/>
          <w:sz w:val="20"/>
          <w:lang w:eastAsia="bg-BG"/>
        </w:rPr>
      </w:pPr>
    </w:p>
    <w:p w14:paraId="515561C7" w14:textId="77777777" w:rsidR="00761800" w:rsidRPr="00761800" w:rsidRDefault="00761800" w:rsidP="00761800">
      <w:pPr>
        <w:spacing w:after="120"/>
        <w:ind w:firstLine="11198"/>
        <w:jc w:val="center"/>
        <w:rPr>
          <w:rFonts w:ascii="Times New Roman" w:hAnsi="Times New Roman"/>
          <w:b/>
          <w:bCs/>
          <w:sz w:val="20"/>
          <w:lang w:eastAsia="bg-BG"/>
        </w:rPr>
      </w:pPr>
    </w:p>
    <w:p w14:paraId="5394ECBA" w14:textId="77777777" w:rsidR="00761800" w:rsidRPr="00761800" w:rsidRDefault="00761800" w:rsidP="00761800">
      <w:pPr>
        <w:spacing w:after="120"/>
        <w:ind w:firstLine="11198"/>
        <w:jc w:val="center"/>
        <w:rPr>
          <w:rFonts w:ascii="Times New Roman" w:hAnsi="Times New Roman"/>
          <w:b/>
          <w:bCs/>
          <w:sz w:val="20"/>
          <w:lang w:eastAsia="bg-BG"/>
        </w:rPr>
      </w:pPr>
    </w:p>
    <w:p w14:paraId="134A88D2" w14:textId="77777777" w:rsidR="00761800" w:rsidRPr="00761800" w:rsidRDefault="00761800" w:rsidP="00761800">
      <w:pPr>
        <w:rPr>
          <w:rFonts w:ascii="Times New Roman" w:hAnsi="Times New Roman"/>
          <w:sz w:val="20"/>
          <w:lang w:eastAsia="bg-BG"/>
        </w:rPr>
      </w:pPr>
    </w:p>
    <w:p w14:paraId="2D6F8D53" w14:textId="77777777" w:rsidR="00761800" w:rsidRPr="00761800" w:rsidRDefault="00761800" w:rsidP="00761800">
      <w:pPr>
        <w:spacing w:after="120"/>
        <w:rPr>
          <w:rFonts w:ascii="Times New Roman" w:hAnsi="Times New Roman"/>
          <w:sz w:val="20"/>
          <w:lang w:eastAsia="bg-BG"/>
        </w:rPr>
      </w:pPr>
    </w:p>
    <w:p w14:paraId="2B8D6300" w14:textId="77777777" w:rsidR="00761800" w:rsidRPr="00761800" w:rsidRDefault="00761800" w:rsidP="00761800">
      <w:pPr>
        <w:suppressAutoHyphens/>
        <w:autoSpaceDE w:val="0"/>
        <w:autoSpaceDN w:val="0"/>
        <w:adjustRightInd w:val="0"/>
        <w:spacing w:after="120" w:line="276" w:lineRule="auto"/>
        <w:jc w:val="both"/>
        <w:rPr>
          <w:rFonts w:ascii="Times New Roman" w:hAnsi="Times New Roman"/>
          <w:b/>
          <w:szCs w:val="22"/>
          <w:lang w:eastAsia="bg-BG"/>
        </w:rPr>
        <w:sectPr w:rsidR="00761800" w:rsidRPr="00761800" w:rsidSect="00406B4D">
          <w:pgSz w:w="16838" w:h="11906" w:orient="landscape" w:code="9"/>
          <w:pgMar w:top="1134" w:right="1134" w:bottom="284" w:left="709" w:header="709" w:footer="709" w:gutter="0"/>
          <w:cols w:space="708"/>
          <w:titlePg/>
          <w:docGrid w:linePitch="360"/>
        </w:sectPr>
      </w:pPr>
    </w:p>
    <w:p w14:paraId="6A1BB32A" w14:textId="77777777" w:rsidR="00761800" w:rsidRPr="00761800" w:rsidRDefault="00761800" w:rsidP="00761800">
      <w:pPr>
        <w:keepNext/>
        <w:keepLines/>
        <w:tabs>
          <w:tab w:val="left" w:pos="426"/>
        </w:tabs>
        <w:spacing w:before="480" w:after="360"/>
        <w:outlineLvl w:val="1"/>
        <w:rPr>
          <w:rFonts w:ascii="Times New Roman" w:hAnsi="Times New Roman"/>
          <w:b/>
          <w:bCs/>
          <w:caps/>
          <w:color w:val="852010"/>
          <w:spacing w:val="10"/>
          <w:w w:val="90"/>
          <w:sz w:val="28"/>
          <w:szCs w:val="26"/>
          <w:lang w:eastAsia="bg-BG"/>
        </w:rPr>
      </w:pPr>
      <w:bookmarkStart w:id="662" w:name="_Toc233717512"/>
      <w:r w:rsidRPr="00761800">
        <w:rPr>
          <w:rFonts w:ascii="Times New Roman" w:hAnsi="Times New Roman"/>
          <w:b/>
          <w:bCs/>
          <w:caps/>
          <w:color w:val="852010"/>
          <w:spacing w:val="10"/>
          <w:w w:val="90"/>
          <w:sz w:val="28"/>
          <w:szCs w:val="26"/>
          <w:lang w:eastAsia="bg-BG"/>
        </w:rPr>
        <w:lastRenderedPageBreak/>
        <w:t xml:space="preserve">Приложение № 10: </w:t>
      </w:r>
      <w:r w:rsidRPr="00761800">
        <w:rPr>
          <w:rFonts w:ascii="Times New Roman" w:hAnsi="Times New Roman"/>
          <w:b/>
          <w:bCs/>
          <w:caps/>
          <w:color w:val="852010"/>
          <w:spacing w:val="10"/>
          <w:w w:val="90"/>
          <w:sz w:val="28"/>
          <w:szCs w:val="26"/>
          <w:lang w:eastAsia="bg-BG"/>
        </w:rPr>
        <w:br/>
        <w:t>Данъчни разходи за 2024 г. и 2026 г.</w:t>
      </w:r>
      <w:bookmarkEnd w:id="662"/>
    </w:p>
    <w:p w14:paraId="43B54CFE" w14:textId="77777777" w:rsidR="00761800" w:rsidRPr="00761800" w:rsidRDefault="00761800" w:rsidP="00761800">
      <w:pPr>
        <w:suppressAutoHyphens/>
        <w:autoSpaceDE w:val="0"/>
        <w:autoSpaceDN w:val="0"/>
        <w:adjustRightInd w:val="0"/>
        <w:spacing w:after="120"/>
        <w:jc w:val="both"/>
        <w:rPr>
          <w:rFonts w:ascii="Times New Roman" w:hAnsi="Times New Roman"/>
          <w:sz w:val="20"/>
          <w:lang w:eastAsia="bg-BG"/>
        </w:rPr>
      </w:pPr>
      <w:r w:rsidRPr="00761800">
        <w:rPr>
          <w:rFonts w:ascii="Times New Roman" w:hAnsi="Times New Roman"/>
          <w:sz w:val="20"/>
          <w:lang w:eastAsia="bg-BG"/>
        </w:rPr>
        <w:t xml:space="preserve">Изготвената прогноза за данъчните разходи за 2026 г. представлява предварителна оценка на данъчните разходи по данъчни преференции и облекчения, регламентирани в Закона за данък върху добавената стойност, Закона за акцизите и данъчните складове, Закона за корпоративното подоходно облагане и Закона за данъците върху доходите на физическите лица за съответната година. </w:t>
      </w:r>
    </w:p>
    <w:p w14:paraId="1D5773FB" w14:textId="77777777" w:rsidR="00761800" w:rsidRPr="00761800" w:rsidRDefault="00761800" w:rsidP="00761800">
      <w:pPr>
        <w:suppressAutoHyphens/>
        <w:autoSpaceDE w:val="0"/>
        <w:autoSpaceDN w:val="0"/>
        <w:adjustRightInd w:val="0"/>
        <w:spacing w:after="120"/>
        <w:jc w:val="both"/>
        <w:rPr>
          <w:rFonts w:ascii="Times New Roman" w:hAnsi="Times New Roman"/>
          <w:sz w:val="20"/>
          <w:lang w:eastAsia="bg-BG"/>
        </w:rPr>
      </w:pPr>
      <w:r w:rsidRPr="00761800">
        <w:rPr>
          <w:rFonts w:ascii="Times New Roman" w:hAnsi="Times New Roman"/>
          <w:sz w:val="20"/>
          <w:lang w:eastAsia="bg-BG"/>
        </w:rPr>
        <w:t xml:space="preserve">За целите на прогнозата е използван методът на преотстъпените приходи. Това е най-често използваният метод за оценка на стойността на данъчните разходи, който се свежда до оценка на суми, които не са платени в бюджета в резултат на съществуването на определен данъчен разход. </w:t>
      </w:r>
    </w:p>
    <w:p w14:paraId="3F093781" w14:textId="77777777" w:rsidR="00761800" w:rsidRPr="00761800" w:rsidRDefault="00761800" w:rsidP="00761800">
      <w:pPr>
        <w:suppressAutoHyphens/>
        <w:autoSpaceDE w:val="0"/>
        <w:autoSpaceDN w:val="0"/>
        <w:adjustRightInd w:val="0"/>
        <w:spacing w:after="120"/>
        <w:jc w:val="both"/>
        <w:rPr>
          <w:rFonts w:ascii="Times New Roman" w:hAnsi="Times New Roman"/>
          <w:sz w:val="20"/>
          <w:lang w:eastAsia="bg-BG"/>
        </w:rPr>
      </w:pPr>
      <w:r w:rsidRPr="00761800">
        <w:rPr>
          <w:rFonts w:ascii="Times New Roman" w:hAnsi="Times New Roman"/>
          <w:sz w:val="20"/>
          <w:lang w:eastAsia="bg-BG"/>
        </w:rPr>
        <w:t>При остойностяване на данъчните разходи по различните видове данъци е използвана информацията от пролетната макроикономическа прогноза на Министерството на финансите за периода 2026-2028 г., действащата нормативна уредба, предложените промени в данъчните закони, основните допускания в актуализираната средносрочна бюджетна прогноза, разпоредбите от проекта на ЗДБРБ за 2026 г., както и отчетна информация, предоставена от Националната агенция за приходите, Агенция „Митници“, Националния статистически институт, Българска народна банка и др.</w:t>
      </w:r>
    </w:p>
    <w:p w14:paraId="5FA3291A" w14:textId="77777777" w:rsidR="00761800" w:rsidRPr="00761800" w:rsidRDefault="00761800" w:rsidP="00761800">
      <w:pPr>
        <w:suppressAutoHyphens/>
        <w:autoSpaceDE w:val="0"/>
        <w:autoSpaceDN w:val="0"/>
        <w:adjustRightInd w:val="0"/>
        <w:spacing w:after="120"/>
        <w:jc w:val="both"/>
        <w:rPr>
          <w:rFonts w:ascii="Times New Roman" w:hAnsi="Times New Roman"/>
          <w:sz w:val="20"/>
          <w:lang w:eastAsia="bg-BG"/>
        </w:rPr>
      </w:pPr>
      <w:r w:rsidRPr="00761800">
        <w:rPr>
          <w:rFonts w:ascii="Times New Roman" w:hAnsi="Times New Roman"/>
          <w:sz w:val="20"/>
          <w:lang w:eastAsia="bg-BG"/>
        </w:rPr>
        <w:t>Предвидено е през 2026 г. да се запази размера на общата годишна квота за предоставяне на ваучери за храна и общия размер на сумата, подлежаща за възстановяване на земеделските стопани от акциза за газьола, както и повишения размер на данъчните облекчения за деца.</w:t>
      </w:r>
    </w:p>
    <w:p w14:paraId="116CB11A" w14:textId="77777777" w:rsidR="00761800" w:rsidRPr="00761800" w:rsidRDefault="00761800" w:rsidP="00761800">
      <w:pPr>
        <w:suppressAutoHyphens/>
        <w:autoSpaceDE w:val="0"/>
        <w:autoSpaceDN w:val="0"/>
        <w:adjustRightInd w:val="0"/>
        <w:spacing w:after="120"/>
        <w:jc w:val="both"/>
        <w:rPr>
          <w:rFonts w:ascii="Times New Roman" w:hAnsi="Times New Roman"/>
          <w:sz w:val="20"/>
          <w:lang w:eastAsia="bg-BG"/>
        </w:rPr>
      </w:pPr>
    </w:p>
    <w:tbl>
      <w:tblPr>
        <w:tblW w:w="4903" w:type="pct"/>
        <w:jc w:val="center"/>
        <w:tblCellMar>
          <w:left w:w="70" w:type="dxa"/>
          <w:right w:w="70" w:type="dxa"/>
        </w:tblCellMar>
        <w:tblLook w:val="04A0" w:firstRow="1" w:lastRow="0" w:firstColumn="1" w:lastColumn="0" w:noHBand="0" w:noVBand="1"/>
      </w:tblPr>
      <w:tblGrid>
        <w:gridCol w:w="9128"/>
        <w:gridCol w:w="2254"/>
        <w:gridCol w:w="2348"/>
      </w:tblGrid>
      <w:tr w:rsidR="00761800" w:rsidRPr="00761800" w14:paraId="032FA966" w14:textId="77777777" w:rsidTr="00406B4D">
        <w:trPr>
          <w:trHeight w:val="311"/>
          <w:jc w:val="center"/>
        </w:trPr>
        <w:tc>
          <w:tcPr>
            <w:tcW w:w="3324" w:type="pct"/>
            <w:tcBorders>
              <w:top w:val="nil"/>
              <w:left w:val="nil"/>
              <w:bottom w:val="single" w:sz="4" w:space="0" w:color="auto"/>
              <w:right w:val="nil"/>
            </w:tcBorders>
            <w:shd w:val="clear" w:color="auto" w:fill="auto"/>
            <w:noWrap/>
            <w:vAlign w:val="bottom"/>
            <w:hideMark/>
          </w:tcPr>
          <w:p w14:paraId="11D2E014" w14:textId="77777777" w:rsidR="00761800" w:rsidRPr="00761800" w:rsidRDefault="00761800" w:rsidP="00761800">
            <w:pPr>
              <w:ind w:right="-3"/>
              <w:rPr>
                <w:rFonts w:ascii="Times New Roman" w:hAnsi="Times New Roman"/>
                <w:sz w:val="20"/>
                <w:lang w:eastAsia="bg-BG"/>
              </w:rPr>
            </w:pPr>
          </w:p>
        </w:tc>
        <w:tc>
          <w:tcPr>
            <w:tcW w:w="821" w:type="pct"/>
            <w:tcBorders>
              <w:top w:val="nil"/>
              <w:left w:val="nil"/>
              <w:bottom w:val="single" w:sz="4" w:space="0" w:color="auto"/>
              <w:right w:val="nil"/>
            </w:tcBorders>
            <w:shd w:val="clear" w:color="auto" w:fill="auto"/>
            <w:noWrap/>
            <w:vAlign w:val="bottom"/>
            <w:hideMark/>
          </w:tcPr>
          <w:p w14:paraId="61EB2A7E" w14:textId="77777777" w:rsidR="00761800" w:rsidRPr="00761800" w:rsidRDefault="00761800" w:rsidP="00761800">
            <w:pPr>
              <w:rPr>
                <w:rFonts w:ascii="Times New Roman" w:hAnsi="Times New Roman"/>
                <w:sz w:val="20"/>
                <w:lang w:eastAsia="bg-BG"/>
              </w:rPr>
            </w:pPr>
          </w:p>
        </w:tc>
        <w:tc>
          <w:tcPr>
            <w:tcW w:w="855" w:type="pct"/>
            <w:tcBorders>
              <w:top w:val="nil"/>
              <w:left w:val="nil"/>
              <w:bottom w:val="single" w:sz="4" w:space="0" w:color="auto"/>
              <w:right w:val="nil"/>
            </w:tcBorders>
            <w:shd w:val="clear" w:color="auto" w:fill="auto"/>
            <w:noWrap/>
            <w:vAlign w:val="bottom"/>
            <w:hideMark/>
          </w:tcPr>
          <w:p w14:paraId="15CA0BB4" w14:textId="77777777" w:rsidR="00761800" w:rsidRPr="00761800" w:rsidRDefault="00761800" w:rsidP="00761800">
            <w:pPr>
              <w:jc w:val="right"/>
              <w:rPr>
                <w:rFonts w:ascii="Times New Roman" w:hAnsi="Times New Roman"/>
                <w:sz w:val="20"/>
                <w:lang w:eastAsia="bg-BG"/>
              </w:rPr>
            </w:pPr>
            <w:r w:rsidRPr="00761800">
              <w:rPr>
                <w:rFonts w:ascii="Times New Roman" w:hAnsi="Times New Roman"/>
                <w:b/>
                <w:bCs/>
                <w:sz w:val="20"/>
                <w:lang w:eastAsia="bg-BG"/>
              </w:rPr>
              <w:t>(в хил. евро)</w:t>
            </w:r>
          </w:p>
        </w:tc>
      </w:tr>
      <w:tr w:rsidR="00761800" w:rsidRPr="00761800" w14:paraId="004C9A15" w14:textId="77777777" w:rsidTr="00406B4D">
        <w:trPr>
          <w:trHeight w:val="372"/>
          <w:jc w:val="center"/>
        </w:trPr>
        <w:tc>
          <w:tcPr>
            <w:tcW w:w="3324" w:type="pct"/>
            <w:tcBorders>
              <w:top w:val="single" w:sz="4" w:space="0" w:color="auto"/>
              <w:bottom w:val="single" w:sz="4" w:space="0" w:color="auto"/>
            </w:tcBorders>
            <w:shd w:val="clear" w:color="auto" w:fill="auto"/>
            <w:vAlign w:val="center"/>
            <w:hideMark/>
          </w:tcPr>
          <w:p w14:paraId="56825996" w14:textId="77777777" w:rsidR="00761800" w:rsidRPr="00761800" w:rsidRDefault="00761800" w:rsidP="00761800">
            <w:pPr>
              <w:ind w:right="-3"/>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Данъчни разходи по видове данъци, в т.ч.</w:t>
            </w:r>
          </w:p>
        </w:tc>
        <w:tc>
          <w:tcPr>
            <w:tcW w:w="821" w:type="pct"/>
            <w:tcBorders>
              <w:top w:val="single" w:sz="4" w:space="0" w:color="auto"/>
              <w:bottom w:val="single" w:sz="4" w:space="0" w:color="auto"/>
            </w:tcBorders>
            <w:shd w:val="clear" w:color="auto" w:fill="auto"/>
            <w:vAlign w:val="center"/>
            <w:hideMark/>
          </w:tcPr>
          <w:p w14:paraId="61B3BDCA" w14:textId="77777777" w:rsidR="00761800" w:rsidRPr="00761800" w:rsidRDefault="00761800" w:rsidP="00761800">
            <w:pPr>
              <w:ind w:left="213" w:firstLine="565"/>
              <w:jc w:val="both"/>
              <w:rPr>
                <w:rFonts w:ascii="Times New Roman" w:hAnsi="Times New Roman"/>
                <w:b/>
                <w:bCs/>
                <w:color w:val="000000"/>
                <w:sz w:val="20"/>
                <w:lang w:eastAsia="bg-BG"/>
              </w:rPr>
            </w:pPr>
            <w:r w:rsidRPr="00761800">
              <w:rPr>
                <w:rFonts w:ascii="Times New Roman" w:hAnsi="Times New Roman"/>
                <w:b/>
                <w:bCs/>
                <w:color w:val="000000"/>
                <w:sz w:val="20"/>
                <w:lang w:eastAsia="bg-BG"/>
              </w:rPr>
              <w:t xml:space="preserve">2024 г. </w:t>
            </w:r>
          </w:p>
          <w:p w14:paraId="4784C73F" w14:textId="77777777" w:rsidR="00761800" w:rsidRPr="00761800" w:rsidRDefault="00761800" w:rsidP="00761800">
            <w:pPr>
              <w:ind w:left="353" w:firstLine="425"/>
              <w:jc w:val="both"/>
              <w:rPr>
                <w:rFonts w:ascii="Times New Roman" w:hAnsi="Times New Roman"/>
                <w:b/>
                <w:bCs/>
                <w:color w:val="000000"/>
                <w:sz w:val="20"/>
                <w:lang w:eastAsia="bg-BG"/>
              </w:rPr>
            </w:pPr>
            <w:r w:rsidRPr="00761800">
              <w:rPr>
                <w:rFonts w:ascii="Times New Roman" w:hAnsi="Times New Roman"/>
                <w:b/>
                <w:bCs/>
                <w:color w:val="000000"/>
                <w:sz w:val="20"/>
                <w:lang w:eastAsia="bg-BG"/>
              </w:rPr>
              <w:t>Отчет</w:t>
            </w:r>
          </w:p>
        </w:tc>
        <w:tc>
          <w:tcPr>
            <w:tcW w:w="855" w:type="pct"/>
            <w:tcBorders>
              <w:top w:val="single" w:sz="4" w:space="0" w:color="auto"/>
              <w:bottom w:val="single" w:sz="4" w:space="0" w:color="auto"/>
            </w:tcBorders>
            <w:shd w:val="clear" w:color="auto" w:fill="auto"/>
            <w:vAlign w:val="center"/>
            <w:hideMark/>
          </w:tcPr>
          <w:p w14:paraId="4BDCA60F"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 xml:space="preserve"> 2026 г.</w:t>
            </w:r>
          </w:p>
          <w:p w14:paraId="6ADB760C" w14:textId="77777777" w:rsidR="00761800" w:rsidRPr="00761800" w:rsidRDefault="00761800" w:rsidP="00761800">
            <w:pPr>
              <w:jc w:val="center"/>
              <w:rPr>
                <w:rFonts w:ascii="Times New Roman" w:hAnsi="Times New Roman"/>
                <w:b/>
                <w:bCs/>
                <w:color w:val="000000"/>
                <w:sz w:val="20"/>
                <w:lang w:eastAsia="bg-BG"/>
              </w:rPr>
            </w:pPr>
            <w:r w:rsidRPr="00761800">
              <w:rPr>
                <w:rFonts w:ascii="Times New Roman" w:hAnsi="Times New Roman"/>
                <w:b/>
                <w:bCs/>
                <w:color w:val="000000"/>
                <w:sz w:val="20"/>
                <w:lang w:eastAsia="bg-BG"/>
              </w:rPr>
              <w:t>Проект</w:t>
            </w:r>
          </w:p>
        </w:tc>
      </w:tr>
      <w:tr w:rsidR="00761800" w:rsidRPr="00761800" w14:paraId="24C5E882" w14:textId="77777777" w:rsidTr="00406B4D">
        <w:trPr>
          <w:trHeight w:val="59"/>
          <w:jc w:val="center"/>
        </w:trPr>
        <w:tc>
          <w:tcPr>
            <w:tcW w:w="3324" w:type="pct"/>
            <w:tcBorders>
              <w:top w:val="single" w:sz="4" w:space="0" w:color="auto"/>
            </w:tcBorders>
            <w:shd w:val="clear" w:color="000000" w:fill="FFFFFF"/>
            <w:noWrap/>
            <w:vAlign w:val="bottom"/>
            <w:hideMark/>
          </w:tcPr>
          <w:p w14:paraId="15BFC484" w14:textId="77777777" w:rsidR="00761800" w:rsidRPr="00761800" w:rsidRDefault="00761800" w:rsidP="00761800">
            <w:pPr>
              <w:ind w:right="-3"/>
              <w:rPr>
                <w:rFonts w:ascii="Times New Roman" w:hAnsi="Times New Roman"/>
                <w:sz w:val="20"/>
                <w:lang w:eastAsia="bg-BG"/>
              </w:rPr>
            </w:pPr>
            <w:r w:rsidRPr="00761800">
              <w:rPr>
                <w:rFonts w:ascii="Times New Roman" w:hAnsi="Times New Roman"/>
                <w:sz w:val="20"/>
                <w:lang w:eastAsia="bg-BG"/>
              </w:rPr>
              <w:t>ДДС</w:t>
            </w:r>
          </w:p>
        </w:tc>
        <w:tc>
          <w:tcPr>
            <w:tcW w:w="821" w:type="pct"/>
            <w:tcBorders>
              <w:top w:val="single" w:sz="4" w:space="0" w:color="auto"/>
            </w:tcBorders>
            <w:shd w:val="clear" w:color="auto" w:fill="auto"/>
            <w:noWrap/>
            <w:hideMark/>
          </w:tcPr>
          <w:p w14:paraId="78E2A7DC"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212 819</w:t>
            </w:r>
          </w:p>
        </w:tc>
        <w:tc>
          <w:tcPr>
            <w:tcW w:w="855" w:type="pct"/>
            <w:tcBorders>
              <w:top w:val="single" w:sz="4" w:space="0" w:color="auto"/>
            </w:tcBorders>
            <w:shd w:val="clear" w:color="auto" w:fill="auto"/>
            <w:noWrap/>
            <w:hideMark/>
          </w:tcPr>
          <w:p w14:paraId="2A4E9C10"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251 121</w:t>
            </w:r>
          </w:p>
        </w:tc>
      </w:tr>
      <w:tr w:rsidR="00761800" w:rsidRPr="00761800" w14:paraId="21B68D8B" w14:textId="77777777" w:rsidTr="00406B4D">
        <w:trPr>
          <w:trHeight w:val="114"/>
          <w:jc w:val="center"/>
        </w:trPr>
        <w:tc>
          <w:tcPr>
            <w:tcW w:w="3324" w:type="pct"/>
            <w:tcBorders>
              <w:top w:val="nil"/>
            </w:tcBorders>
            <w:shd w:val="clear" w:color="000000" w:fill="FFFFFF"/>
            <w:noWrap/>
            <w:vAlign w:val="bottom"/>
            <w:hideMark/>
          </w:tcPr>
          <w:p w14:paraId="57757CC5" w14:textId="77777777" w:rsidR="00761800" w:rsidRPr="00761800" w:rsidRDefault="00761800" w:rsidP="00761800">
            <w:pPr>
              <w:ind w:right="-3"/>
              <w:rPr>
                <w:rFonts w:ascii="Times New Roman" w:hAnsi="Times New Roman"/>
                <w:sz w:val="20"/>
                <w:lang w:eastAsia="bg-BG"/>
              </w:rPr>
            </w:pPr>
            <w:r w:rsidRPr="00761800">
              <w:rPr>
                <w:rFonts w:ascii="Times New Roman" w:hAnsi="Times New Roman"/>
                <w:sz w:val="20"/>
                <w:lang w:eastAsia="bg-BG"/>
              </w:rPr>
              <w:t>Акцизи</w:t>
            </w:r>
          </w:p>
        </w:tc>
        <w:tc>
          <w:tcPr>
            <w:tcW w:w="821" w:type="pct"/>
            <w:tcBorders>
              <w:top w:val="nil"/>
            </w:tcBorders>
            <w:shd w:val="clear" w:color="auto" w:fill="auto"/>
            <w:noWrap/>
            <w:hideMark/>
          </w:tcPr>
          <w:p w14:paraId="51407E9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85 425</w:t>
            </w:r>
          </w:p>
        </w:tc>
        <w:tc>
          <w:tcPr>
            <w:tcW w:w="855" w:type="pct"/>
            <w:tcBorders>
              <w:top w:val="nil"/>
            </w:tcBorders>
            <w:shd w:val="clear" w:color="auto" w:fill="auto"/>
            <w:noWrap/>
            <w:hideMark/>
          </w:tcPr>
          <w:p w14:paraId="3245255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119 273</w:t>
            </w:r>
          </w:p>
        </w:tc>
      </w:tr>
      <w:tr w:rsidR="00761800" w:rsidRPr="00761800" w14:paraId="342D0CD1" w14:textId="77777777" w:rsidTr="00406B4D">
        <w:trPr>
          <w:trHeight w:val="69"/>
          <w:jc w:val="center"/>
        </w:trPr>
        <w:tc>
          <w:tcPr>
            <w:tcW w:w="3324" w:type="pct"/>
            <w:tcBorders>
              <w:top w:val="nil"/>
            </w:tcBorders>
            <w:shd w:val="clear" w:color="000000" w:fill="FFFFFF"/>
            <w:noWrap/>
            <w:vAlign w:val="bottom"/>
            <w:hideMark/>
          </w:tcPr>
          <w:p w14:paraId="7360C889" w14:textId="77777777" w:rsidR="00761800" w:rsidRPr="00761800" w:rsidRDefault="00761800" w:rsidP="00761800">
            <w:pPr>
              <w:ind w:right="-3"/>
              <w:rPr>
                <w:rFonts w:ascii="Times New Roman" w:hAnsi="Times New Roman"/>
                <w:sz w:val="20"/>
                <w:lang w:eastAsia="bg-BG"/>
              </w:rPr>
            </w:pPr>
            <w:r w:rsidRPr="00761800">
              <w:rPr>
                <w:rFonts w:ascii="Times New Roman" w:hAnsi="Times New Roman"/>
                <w:sz w:val="20"/>
                <w:lang w:eastAsia="bg-BG"/>
              </w:rPr>
              <w:t>Корпоративни данъци</w:t>
            </w:r>
          </w:p>
        </w:tc>
        <w:tc>
          <w:tcPr>
            <w:tcW w:w="821" w:type="pct"/>
            <w:tcBorders>
              <w:top w:val="nil"/>
            </w:tcBorders>
            <w:shd w:val="clear" w:color="auto" w:fill="auto"/>
            <w:noWrap/>
            <w:hideMark/>
          </w:tcPr>
          <w:p w14:paraId="62FA3511"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220 555</w:t>
            </w:r>
          </w:p>
        </w:tc>
        <w:tc>
          <w:tcPr>
            <w:tcW w:w="855" w:type="pct"/>
            <w:tcBorders>
              <w:top w:val="nil"/>
            </w:tcBorders>
            <w:shd w:val="clear" w:color="auto" w:fill="auto"/>
            <w:noWrap/>
            <w:hideMark/>
          </w:tcPr>
          <w:p w14:paraId="33D2AC69"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263 053</w:t>
            </w:r>
          </w:p>
        </w:tc>
      </w:tr>
      <w:tr w:rsidR="00761800" w:rsidRPr="00761800" w14:paraId="6F8254F8" w14:textId="77777777" w:rsidTr="00406B4D">
        <w:trPr>
          <w:trHeight w:val="69"/>
          <w:jc w:val="center"/>
        </w:trPr>
        <w:tc>
          <w:tcPr>
            <w:tcW w:w="3324" w:type="pct"/>
            <w:tcBorders>
              <w:top w:val="nil"/>
            </w:tcBorders>
            <w:shd w:val="clear" w:color="000000" w:fill="FFFFFF"/>
            <w:noWrap/>
            <w:vAlign w:val="bottom"/>
            <w:hideMark/>
          </w:tcPr>
          <w:p w14:paraId="3F516B24" w14:textId="77777777" w:rsidR="00761800" w:rsidRPr="00761800" w:rsidRDefault="00761800" w:rsidP="00761800">
            <w:pPr>
              <w:ind w:right="-3"/>
              <w:rPr>
                <w:rFonts w:ascii="Times New Roman" w:hAnsi="Times New Roman"/>
                <w:sz w:val="20"/>
                <w:lang w:eastAsia="bg-BG"/>
              </w:rPr>
            </w:pPr>
            <w:r w:rsidRPr="00761800">
              <w:rPr>
                <w:rFonts w:ascii="Times New Roman" w:hAnsi="Times New Roman"/>
                <w:sz w:val="20"/>
                <w:lang w:eastAsia="bg-BG"/>
              </w:rPr>
              <w:t>Данъци върху доходите на физическите лица</w:t>
            </w:r>
          </w:p>
        </w:tc>
        <w:tc>
          <w:tcPr>
            <w:tcW w:w="821" w:type="pct"/>
            <w:tcBorders>
              <w:top w:val="nil"/>
            </w:tcBorders>
            <w:shd w:val="clear" w:color="auto" w:fill="auto"/>
            <w:noWrap/>
            <w:hideMark/>
          </w:tcPr>
          <w:p w14:paraId="31882D47"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310 262</w:t>
            </w:r>
          </w:p>
        </w:tc>
        <w:tc>
          <w:tcPr>
            <w:tcW w:w="855" w:type="pct"/>
            <w:tcBorders>
              <w:top w:val="nil"/>
            </w:tcBorders>
            <w:shd w:val="clear" w:color="auto" w:fill="auto"/>
            <w:noWrap/>
            <w:hideMark/>
          </w:tcPr>
          <w:p w14:paraId="503DD788"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360 186</w:t>
            </w:r>
          </w:p>
        </w:tc>
      </w:tr>
      <w:tr w:rsidR="00761800" w:rsidRPr="00761800" w14:paraId="676B0D9E" w14:textId="77777777" w:rsidTr="00406B4D">
        <w:trPr>
          <w:trHeight w:val="170"/>
          <w:jc w:val="center"/>
        </w:trPr>
        <w:tc>
          <w:tcPr>
            <w:tcW w:w="3324" w:type="pct"/>
            <w:tcBorders>
              <w:top w:val="nil"/>
            </w:tcBorders>
            <w:shd w:val="clear" w:color="000000" w:fill="FFFFFF"/>
            <w:noWrap/>
            <w:vAlign w:val="bottom"/>
          </w:tcPr>
          <w:p w14:paraId="7602A2C1" w14:textId="77777777" w:rsidR="00761800" w:rsidRPr="00761800" w:rsidRDefault="00761800" w:rsidP="00761800">
            <w:pPr>
              <w:ind w:right="-3"/>
              <w:rPr>
                <w:rFonts w:ascii="Times New Roman" w:hAnsi="Times New Roman"/>
                <w:b/>
                <w:bCs/>
                <w:sz w:val="20"/>
                <w:lang w:eastAsia="bg-BG"/>
              </w:rPr>
            </w:pPr>
          </w:p>
        </w:tc>
        <w:tc>
          <w:tcPr>
            <w:tcW w:w="821" w:type="pct"/>
            <w:tcBorders>
              <w:top w:val="nil"/>
            </w:tcBorders>
            <w:shd w:val="clear" w:color="auto" w:fill="auto"/>
            <w:noWrap/>
            <w:vAlign w:val="bottom"/>
          </w:tcPr>
          <w:p w14:paraId="5E2ABF45" w14:textId="77777777" w:rsidR="00761800" w:rsidRPr="00761800" w:rsidRDefault="00761800" w:rsidP="00761800">
            <w:pPr>
              <w:jc w:val="center"/>
              <w:rPr>
                <w:rFonts w:ascii="Times New Roman" w:hAnsi="Times New Roman"/>
                <w:b/>
                <w:sz w:val="20"/>
                <w:lang w:eastAsia="bg-BG"/>
              </w:rPr>
            </w:pPr>
          </w:p>
        </w:tc>
        <w:tc>
          <w:tcPr>
            <w:tcW w:w="855" w:type="pct"/>
            <w:tcBorders>
              <w:top w:val="nil"/>
              <w:left w:val="nil"/>
              <w:bottom w:val="nil"/>
              <w:right w:val="nil"/>
            </w:tcBorders>
            <w:shd w:val="clear" w:color="auto" w:fill="auto"/>
            <w:noWrap/>
          </w:tcPr>
          <w:p w14:paraId="28F8AF55" w14:textId="77777777" w:rsidR="00761800" w:rsidRPr="00761800" w:rsidRDefault="00761800" w:rsidP="00761800">
            <w:pPr>
              <w:jc w:val="center"/>
              <w:rPr>
                <w:rFonts w:ascii="Times New Roman" w:hAnsi="Times New Roman"/>
                <w:sz w:val="20"/>
                <w:lang w:eastAsia="bg-BG"/>
              </w:rPr>
            </w:pPr>
          </w:p>
        </w:tc>
      </w:tr>
      <w:tr w:rsidR="00761800" w:rsidRPr="00761800" w14:paraId="49FEEA8B" w14:textId="77777777" w:rsidTr="00406B4D">
        <w:trPr>
          <w:trHeight w:val="170"/>
          <w:jc w:val="center"/>
        </w:trPr>
        <w:tc>
          <w:tcPr>
            <w:tcW w:w="3324" w:type="pct"/>
            <w:tcBorders>
              <w:top w:val="nil"/>
            </w:tcBorders>
            <w:shd w:val="clear" w:color="000000" w:fill="FFFFFF"/>
            <w:noWrap/>
            <w:vAlign w:val="bottom"/>
            <w:hideMark/>
          </w:tcPr>
          <w:p w14:paraId="10F65A04" w14:textId="77777777" w:rsidR="00761800" w:rsidRPr="00761800" w:rsidRDefault="00761800" w:rsidP="00761800">
            <w:pPr>
              <w:ind w:right="-3"/>
              <w:rPr>
                <w:rFonts w:ascii="Times New Roman" w:hAnsi="Times New Roman"/>
                <w:b/>
                <w:bCs/>
                <w:sz w:val="20"/>
                <w:lang w:eastAsia="bg-BG"/>
              </w:rPr>
            </w:pPr>
            <w:r w:rsidRPr="00761800">
              <w:rPr>
                <w:rFonts w:ascii="Times New Roman" w:hAnsi="Times New Roman"/>
                <w:b/>
                <w:bCs/>
                <w:sz w:val="20"/>
                <w:lang w:eastAsia="bg-BG"/>
              </w:rPr>
              <w:t>Общо данъчни разходи</w:t>
            </w:r>
          </w:p>
        </w:tc>
        <w:tc>
          <w:tcPr>
            <w:tcW w:w="821" w:type="pct"/>
            <w:tcBorders>
              <w:top w:val="nil"/>
            </w:tcBorders>
            <w:shd w:val="clear" w:color="auto" w:fill="auto"/>
            <w:noWrap/>
            <w:vAlign w:val="bottom"/>
            <w:hideMark/>
          </w:tcPr>
          <w:p w14:paraId="55E80958" w14:textId="77777777" w:rsidR="00761800" w:rsidRPr="00761800" w:rsidRDefault="00761800" w:rsidP="00761800">
            <w:pPr>
              <w:jc w:val="center"/>
              <w:rPr>
                <w:rFonts w:ascii="Times New Roman" w:hAnsi="Times New Roman"/>
                <w:b/>
                <w:sz w:val="20"/>
                <w:lang w:eastAsia="bg-BG"/>
              </w:rPr>
            </w:pPr>
            <w:r w:rsidRPr="00761800">
              <w:rPr>
                <w:rFonts w:ascii="Times New Roman" w:hAnsi="Times New Roman"/>
                <w:b/>
                <w:sz w:val="20"/>
                <w:lang w:eastAsia="bg-BG"/>
              </w:rPr>
              <w:t>829 061</w:t>
            </w:r>
          </w:p>
        </w:tc>
        <w:tc>
          <w:tcPr>
            <w:tcW w:w="855" w:type="pct"/>
            <w:tcBorders>
              <w:top w:val="nil"/>
              <w:left w:val="nil"/>
              <w:bottom w:val="nil"/>
              <w:right w:val="nil"/>
            </w:tcBorders>
            <w:shd w:val="clear" w:color="auto" w:fill="auto"/>
            <w:noWrap/>
            <w:hideMark/>
          </w:tcPr>
          <w:p w14:paraId="41BB5028" w14:textId="77777777" w:rsidR="00761800" w:rsidRPr="00761800" w:rsidRDefault="00761800" w:rsidP="00761800">
            <w:pPr>
              <w:jc w:val="center"/>
              <w:rPr>
                <w:rFonts w:ascii="Times New Roman" w:hAnsi="Times New Roman"/>
                <w:b/>
                <w:sz w:val="20"/>
                <w:lang w:eastAsia="bg-BG"/>
              </w:rPr>
            </w:pPr>
            <w:r w:rsidRPr="00761800">
              <w:rPr>
                <w:rFonts w:ascii="Times New Roman" w:hAnsi="Times New Roman"/>
                <w:b/>
                <w:sz w:val="20"/>
                <w:lang w:eastAsia="bg-BG"/>
              </w:rPr>
              <w:t>993 633</w:t>
            </w:r>
          </w:p>
        </w:tc>
      </w:tr>
      <w:tr w:rsidR="00761800" w:rsidRPr="00761800" w14:paraId="7C86A2F4" w14:textId="77777777" w:rsidTr="00406B4D">
        <w:trPr>
          <w:trHeight w:val="182"/>
          <w:jc w:val="center"/>
        </w:trPr>
        <w:tc>
          <w:tcPr>
            <w:tcW w:w="3324" w:type="pct"/>
            <w:tcBorders>
              <w:top w:val="nil"/>
            </w:tcBorders>
            <w:shd w:val="clear" w:color="000000" w:fill="FFFFFF"/>
            <w:noWrap/>
            <w:vAlign w:val="center"/>
            <w:hideMark/>
          </w:tcPr>
          <w:p w14:paraId="5378B26F" w14:textId="77777777" w:rsidR="00761800" w:rsidRPr="00761800" w:rsidRDefault="00761800" w:rsidP="00761800">
            <w:pPr>
              <w:ind w:right="-3"/>
              <w:rPr>
                <w:rFonts w:ascii="Times New Roman" w:hAnsi="Times New Roman"/>
                <w:sz w:val="20"/>
                <w:lang w:eastAsia="bg-BG"/>
              </w:rPr>
            </w:pPr>
            <w:r w:rsidRPr="00761800">
              <w:rPr>
                <w:rFonts w:ascii="Times New Roman" w:hAnsi="Times New Roman"/>
                <w:sz w:val="20"/>
                <w:lang w:eastAsia="bg-BG"/>
              </w:rPr>
              <w:t>БВП</w:t>
            </w:r>
          </w:p>
        </w:tc>
        <w:tc>
          <w:tcPr>
            <w:tcW w:w="821" w:type="pct"/>
            <w:tcBorders>
              <w:top w:val="nil"/>
            </w:tcBorders>
            <w:shd w:val="clear" w:color="000000" w:fill="FFFFFF"/>
            <w:noWrap/>
            <w:vAlign w:val="center"/>
            <w:hideMark/>
          </w:tcPr>
          <w:p w14:paraId="5862214B"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104 767 224</w:t>
            </w:r>
          </w:p>
        </w:tc>
        <w:tc>
          <w:tcPr>
            <w:tcW w:w="855" w:type="pct"/>
            <w:tcBorders>
              <w:top w:val="nil"/>
              <w:left w:val="nil"/>
              <w:bottom w:val="nil"/>
              <w:right w:val="nil"/>
            </w:tcBorders>
            <w:shd w:val="clear" w:color="000000" w:fill="FFFFFF"/>
            <w:noWrap/>
            <w:hideMark/>
          </w:tcPr>
          <w:p w14:paraId="47A41356" w14:textId="77777777" w:rsidR="00761800" w:rsidRPr="00761800" w:rsidRDefault="00761800" w:rsidP="00761800">
            <w:pPr>
              <w:jc w:val="center"/>
              <w:rPr>
                <w:rFonts w:ascii="Times New Roman" w:hAnsi="Times New Roman"/>
                <w:sz w:val="20"/>
                <w:lang w:eastAsia="bg-BG"/>
              </w:rPr>
            </w:pPr>
            <w:r w:rsidRPr="00761800">
              <w:rPr>
                <w:rFonts w:ascii="Times New Roman" w:hAnsi="Times New Roman"/>
                <w:sz w:val="20"/>
                <w:lang w:eastAsia="bg-BG"/>
              </w:rPr>
              <w:t>125 246 711</w:t>
            </w:r>
          </w:p>
        </w:tc>
      </w:tr>
      <w:tr w:rsidR="00761800" w:rsidRPr="00761800" w14:paraId="063E8234" w14:textId="77777777" w:rsidTr="00406B4D">
        <w:trPr>
          <w:trHeight w:val="97"/>
          <w:jc w:val="center"/>
        </w:trPr>
        <w:tc>
          <w:tcPr>
            <w:tcW w:w="3324" w:type="pct"/>
            <w:tcBorders>
              <w:top w:val="nil"/>
              <w:bottom w:val="single" w:sz="4" w:space="0" w:color="auto"/>
            </w:tcBorders>
            <w:shd w:val="clear" w:color="000000" w:fill="FFFFFF"/>
            <w:noWrap/>
            <w:vAlign w:val="center"/>
            <w:hideMark/>
          </w:tcPr>
          <w:p w14:paraId="54266D3D" w14:textId="77777777" w:rsidR="00761800" w:rsidRPr="00761800" w:rsidRDefault="00761800" w:rsidP="00761800">
            <w:pPr>
              <w:ind w:right="-3"/>
              <w:rPr>
                <w:rFonts w:ascii="Times New Roman" w:hAnsi="Times New Roman"/>
                <w:b/>
                <w:sz w:val="20"/>
                <w:lang w:eastAsia="bg-BG"/>
              </w:rPr>
            </w:pPr>
            <w:r w:rsidRPr="00761800">
              <w:rPr>
                <w:rFonts w:ascii="Times New Roman" w:hAnsi="Times New Roman"/>
                <w:b/>
                <w:sz w:val="20"/>
                <w:lang w:eastAsia="bg-BG"/>
              </w:rPr>
              <w:t>% от БВП</w:t>
            </w:r>
          </w:p>
        </w:tc>
        <w:tc>
          <w:tcPr>
            <w:tcW w:w="821" w:type="pct"/>
            <w:tcBorders>
              <w:top w:val="nil"/>
              <w:bottom w:val="single" w:sz="4" w:space="0" w:color="auto"/>
            </w:tcBorders>
            <w:shd w:val="clear" w:color="000000" w:fill="FFFFFF"/>
            <w:noWrap/>
            <w:vAlign w:val="center"/>
            <w:hideMark/>
          </w:tcPr>
          <w:p w14:paraId="6139AE13" w14:textId="77777777" w:rsidR="00761800" w:rsidRPr="00761800" w:rsidRDefault="00761800" w:rsidP="00761800">
            <w:pPr>
              <w:jc w:val="center"/>
              <w:rPr>
                <w:rFonts w:ascii="Times New Roman" w:hAnsi="Times New Roman"/>
                <w:b/>
                <w:sz w:val="20"/>
                <w:lang w:eastAsia="bg-BG"/>
              </w:rPr>
            </w:pPr>
            <w:r w:rsidRPr="00761800">
              <w:rPr>
                <w:rFonts w:ascii="Times New Roman" w:hAnsi="Times New Roman"/>
                <w:b/>
                <w:sz w:val="20"/>
                <w:lang w:eastAsia="bg-BG"/>
              </w:rPr>
              <w:t>0,79%</w:t>
            </w:r>
          </w:p>
        </w:tc>
        <w:tc>
          <w:tcPr>
            <w:tcW w:w="855" w:type="pct"/>
            <w:tcBorders>
              <w:top w:val="nil"/>
              <w:left w:val="nil"/>
              <w:bottom w:val="single" w:sz="8" w:space="0" w:color="auto"/>
              <w:right w:val="nil"/>
            </w:tcBorders>
            <w:shd w:val="clear" w:color="000000" w:fill="FFFFFF"/>
            <w:noWrap/>
            <w:hideMark/>
          </w:tcPr>
          <w:p w14:paraId="7CD804D6" w14:textId="77777777" w:rsidR="00761800" w:rsidRPr="00761800" w:rsidRDefault="00761800" w:rsidP="00761800">
            <w:pPr>
              <w:jc w:val="center"/>
              <w:rPr>
                <w:rFonts w:ascii="Times New Roman" w:hAnsi="Times New Roman"/>
                <w:b/>
                <w:sz w:val="20"/>
                <w:lang w:eastAsia="bg-BG"/>
              </w:rPr>
            </w:pPr>
            <w:r w:rsidRPr="00761800">
              <w:rPr>
                <w:rFonts w:ascii="Times New Roman" w:hAnsi="Times New Roman"/>
                <w:b/>
                <w:sz w:val="20"/>
                <w:lang w:eastAsia="bg-BG"/>
              </w:rPr>
              <w:t>0,79%</w:t>
            </w:r>
          </w:p>
        </w:tc>
      </w:tr>
    </w:tbl>
    <w:p w14:paraId="2715AD21" w14:textId="77777777" w:rsidR="00761800" w:rsidRPr="00761800" w:rsidRDefault="00761800" w:rsidP="00761800">
      <w:pPr>
        <w:suppressAutoHyphens/>
        <w:autoSpaceDE w:val="0"/>
        <w:autoSpaceDN w:val="0"/>
        <w:adjustRightInd w:val="0"/>
        <w:spacing w:after="120"/>
        <w:jc w:val="both"/>
        <w:rPr>
          <w:rFonts w:ascii="Times New Roman" w:hAnsi="Times New Roman"/>
          <w:sz w:val="20"/>
          <w:lang w:eastAsia="bg-BG"/>
        </w:rPr>
      </w:pPr>
    </w:p>
    <w:p w14:paraId="059F9339" w14:textId="77777777" w:rsidR="00761800" w:rsidRPr="00761800" w:rsidRDefault="00761800" w:rsidP="00761800">
      <w:pPr>
        <w:suppressAutoHyphens/>
        <w:autoSpaceDE w:val="0"/>
        <w:autoSpaceDN w:val="0"/>
        <w:adjustRightInd w:val="0"/>
        <w:spacing w:after="120"/>
        <w:jc w:val="both"/>
        <w:rPr>
          <w:rFonts w:ascii="Times New Roman" w:hAnsi="Times New Roman"/>
          <w:sz w:val="20"/>
          <w:lang w:eastAsia="bg-BG"/>
        </w:rPr>
      </w:pPr>
    </w:p>
    <w:p w14:paraId="55DFA914" w14:textId="77777777" w:rsidR="00761800" w:rsidRPr="00761800" w:rsidRDefault="00761800" w:rsidP="00761800">
      <w:pPr>
        <w:suppressAutoHyphens/>
        <w:autoSpaceDE w:val="0"/>
        <w:autoSpaceDN w:val="0"/>
        <w:adjustRightInd w:val="0"/>
        <w:spacing w:after="120"/>
        <w:jc w:val="both"/>
        <w:rPr>
          <w:rFonts w:ascii="Times New Roman" w:hAnsi="Times New Roman"/>
          <w:sz w:val="20"/>
          <w:lang w:eastAsia="bg-BG"/>
        </w:rPr>
      </w:pPr>
    </w:p>
    <w:p w14:paraId="00664706" w14:textId="77777777" w:rsidR="00761800" w:rsidRPr="00B67DE1" w:rsidRDefault="00761800" w:rsidP="00761800">
      <w:pPr>
        <w:suppressAutoHyphens/>
        <w:autoSpaceDE w:val="0"/>
        <w:autoSpaceDN w:val="0"/>
        <w:adjustRightInd w:val="0"/>
        <w:spacing w:after="120"/>
        <w:jc w:val="both"/>
        <w:rPr>
          <w:rFonts w:ascii="Times New Roman" w:hAnsi="Times New Roman"/>
          <w:sz w:val="20"/>
          <w:lang w:val="en-US" w:eastAsia="bg-BG"/>
        </w:rPr>
      </w:pPr>
      <w:bookmarkStart w:id="663" w:name="_GoBack"/>
      <w:bookmarkEnd w:id="663"/>
    </w:p>
    <w:sectPr w:rsidR="00761800" w:rsidRPr="00B67DE1" w:rsidSect="00406B4D">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52C083" w14:textId="77777777" w:rsidR="00E20598" w:rsidRDefault="00E20598">
      <w:r>
        <w:separator/>
      </w:r>
    </w:p>
  </w:endnote>
  <w:endnote w:type="continuationSeparator" w:id="0">
    <w:p w14:paraId="693332B0" w14:textId="77777777" w:rsidR="00E20598" w:rsidRDefault="00E20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barU">
    <w:altName w:val="Calibri"/>
    <w:charset w:val="00"/>
    <w:family w:val="auto"/>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okU">
    <w:altName w:val="Courier New"/>
    <w:charset w:val="00"/>
    <w:family w:val="auto"/>
    <w:pitch w:val="variable"/>
    <w:sig w:usb0="00000003"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B8E12" w14:textId="77777777" w:rsidR="00406B4D" w:rsidRPr="00E83B35" w:rsidRDefault="00406B4D" w:rsidP="00E83B35">
    <w:pPr>
      <w:pStyle w:val="Footer"/>
      <w:jc w:val="center"/>
      <w:rPr>
        <w:rFonts w:ascii="Times New Roman" w:hAnsi="Times New Roman"/>
        <w:i/>
        <w:sz w:val="20"/>
        <w:lang w:val="en-US"/>
      </w:rPr>
    </w:pPr>
    <w:r w:rsidRPr="00E83B35">
      <w:rPr>
        <w:rFonts w:ascii="Times New Roman" w:hAnsi="Times New Roman"/>
        <w:i/>
        <w:sz w:val="20"/>
      </w:rPr>
      <w:t xml:space="preserve">Решение №  </w:t>
    </w:r>
    <w:r>
      <w:rPr>
        <w:rFonts w:ascii="Times New Roman" w:hAnsi="Times New Roman"/>
        <w:i/>
        <w:sz w:val="20"/>
      </w:rPr>
      <w:t>………………….</w:t>
    </w:r>
    <w:r w:rsidRPr="00E83B35">
      <w:rPr>
        <w:rFonts w:ascii="Times New Roman" w:hAnsi="Times New Roman"/>
        <w:i/>
        <w:sz w:val="20"/>
      </w:rPr>
      <w:t>на Министерския съвет от 2025 г.</w:t>
    </w:r>
  </w:p>
  <w:p w14:paraId="3A56169D" w14:textId="77777777" w:rsidR="00406B4D" w:rsidRPr="00E83B35" w:rsidRDefault="00406B4D" w:rsidP="00E83B35">
    <w:pPr>
      <w:pStyle w:val="Footer"/>
      <w:jc w:val="center"/>
      <w:rPr>
        <w:rFonts w:ascii="Times New Roman" w:hAnsi="Times New Roman"/>
        <w:i/>
        <w:sz w:val="20"/>
      </w:rPr>
    </w:pPr>
    <w:r>
      <w:rPr>
        <w:rFonts w:ascii="Times New Roman" w:hAnsi="Times New Roman"/>
        <w:i/>
        <w:sz w:val="20"/>
      </w:rPr>
      <w:t>Документът</w:t>
    </w:r>
    <w:r w:rsidRPr="00E83B35">
      <w:rPr>
        <w:rFonts w:ascii="Times New Roman" w:hAnsi="Times New Roman"/>
        <w:i/>
        <w:sz w:val="20"/>
      </w:rPr>
      <w:t xml:space="preserve"> се изпраща чрез СЕОС.</w:t>
    </w:r>
  </w:p>
  <w:p w14:paraId="13AE6938" w14:textId="77777777" w:rsidR="00406B4D" w:rsidRPr="00E83B35" w:rsidRDefault="00406B4D">
    <w:pPr>
      <w:pStyle w:val="Footer"/>
      <w:jc w:val="center"/>
      <w:rPr>
        <w:rFonts w:ascii="Times New Roman" w:hAnsi="Times New Roman"/>
        <w:sz w:val="20"/>
      </w:rPr>
    </w:pPr>
    <w:r w:rsidRPr="00E83B35">
      <w:rPr>
        <w:rFonts w:ascii="Times New Roman" w:hAnsi="Times New Roman"/>
        <w:i/>
        <w:sz w:val="20"/>
      </w:rPr>
      <w:t xml:space="preserve">Страница </w:t>
    </w:r>
    <w:r w:rsidRPr="00E83B35">
      <w:rPr>
        <w:rFonts w:ascii="Times New Roman" w:hAnsi="Times New Roman"/>
        <w:b/>
        <w:bCs/>
        <w:i/>
        <w:sz w:val="20"/>
      </w:rPr>
      <w:fldChar w:fldCharType="begin"/>
    </w:r>
    <w:r w:rsidRPr="00E83B35">
      <w:rPr>
        <w:rFonts w:ascii="Times New Roman" w:hAnsi="Times New Roman"/>
        <w:b/>
        <w:bCs/>
        <w:i/>
        <w:sz w:val="20"/>
      </w:rPr>
      <w:instrText>PAGE</w:instrText>
    </w:r>
    <w:r w:rsidRPr="00E83B35">
      <w:rPr>
        <w:rFonts w:ascii="Times New Roman" w:hAnsi="Times New Roman"/>
        <w:b/>
        <w:bCs/>
        <w:i/>
        <w:sz w:val="20"/>
      </w:rPr>
      <w:fldChar w:fldCharType="separate"/>
    </w:r>
    <w:r>
      <w:rPr>
        <w:rFonts w:ascii="Times New Roman" w:hAnsi="Times New Roman"/>
        <w:b/>
        <w:bCs/>
        <w:i/>
        <w:noProof/>
        <w:sz w:val="20"/>
      </w:rPr>
      <w:t>1</w:t>
    </w:r>
    <w:r w:rsidRPr="00E83B35">
      <w:rPr>
        <w:rFonts w:ascii="Times New Roman" w:hAnsi="Times New Roman"/>
        <w:b/>
        <w:bCs/>
        <w:i/>
        <w:sz w:val="20"/>
      </w:rPr>
      <w:fldChar w:fldCharType="end"/>
    </w:r>
    <w:r w:rsidRPr="00E83B35">
      <w:rPr>
        <w:rFonts w:ascii="Times New Roman" w:hAnsi="Times New Roman"/>
        <w:i/>
        <w:sz w:val="20"/>
      </w:rPr>
      <w:t xml:space="preserve"> от </w:t>
    </w:r>
    <w:r w:rsidRPr="00E83B35">
      <w:rPr>
        <w:rFonts w:ascii="Times New Roman" w:hAnsi="Times New Roman"/>
        <w:b/>
        <w:bCs/>
        <w:i/>
        <w:sz w:val="20"/>
      </w:rPr>
      <w:fldChar w:fldCharType="begin"/>
    </w:r>
    <w:r w:rsidRPr="00E83B35">
      <w:rPr>
        <w:rFonts w:ascii="Times New Roman" w:hAnsi="Times New Roman"/>
        <w:b/>
        <w:bCs/>
        <w:i/>
        <w:sz w:val="20"/>
      </w:rPr>
      <w:instrText>NUMPAGES</w:instrText>
    </w:r>
    <w:r w:rsidRPr="00E83B35">
      <w:rPr>
        <w:rFonts w:ascii="Times New Roman" w:hAnsi="Times New Roman"/>
        <w:b/>
        <w:bCs/>
        <w:i/>
        <w:sz w:val="20"/>
      </w:rPr>
      <w:fldChar w:fldCharType="separate"/>
    </w:r>
    <w:r>
      <w:rPr>
        <w:rFonts w:ascii="Times New Roman" w:hAnsi="Times New Roman"/>
        <w:b/>
        <w:bCs/>
        <w:i/>
        <w:noProof/>
        <w:sz w:val="20"/>
      </w:rPr>
      <w:t>1</w:t>
    </w:r>
    <w:r w:rsidRPr="00E83B35">
      <w:rPr>
        <w:rFonts w:ascii="Times New Roman" w:hAnsi="Times New Roman"/>
        <w:b/>
        <w:bCs/>
        <w:i/>
        <w:sz w:val="20"/>
      </w:rPr>
      <w:fldChar w:fldCharType="end"/>
    </w:r>
  </w:p>
  <w:p w14:paraId="25073734" w14:textId="77777777" w:rsidR="00406B4D" w:rsidRPr="00E83B35" w:rsidRDefault="00406B4D" w:rsidP="00F46786">
    <w:pPr>
      <w:pStyle w:val="Footer"/>
      <w:rPr>
        <w:rFonts w:ascii="Times New Roman" w:hAnsi="Times New Roman"/>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80600"/>
      <w:docPartObj>
        <w:docPartGallery w:val="Page Numbers (Bottom of Page)"/>
        <w:docPartUnique/>
      </w:docPartObj>
    </w:sdtPr>
    <w:sdtEndPr>
      <w:rPr>
        <w:noProof/>
      </w:rPr>
    </w:sdtEndPr>
    <w:sdtContent>
      <w:p w14:paraId="3554D81F" w14:textId="77777777" w:rsidR="00406B4D" w:rsidRDefault="00406B4D">
        <w:pPr>
          <w:pStyle w:val="Footer"/>
          <w:ind w:firstLine="240"/>
          <w:jc w:val="right"/>
        </w:pPr>
        <w:r>
          <w:fldChar w:fldCharType="begin"/>
        </w:r>
        <w:r>
          <w:instrText xml:space="preserve"> PAGE   \* MERGEFORMAT </w:instrText>
        </w:r>
        <w:r>
          <w:fldChar w:fldCharType="separate"/>
        </w:r>
        <w:r>
          <w:rPr>
            <w:noProof/>
          </w:rPr>
          <w:t>2</w:t>
        </w:r>
        <w:r>
          <w:rPr>
            <w:noProof/>
          </w:rPr>
          <w:fldChar w:fldCharType="end"/>
        </w:r>
      </w:p>
    </w:sdtContent>
  </w:sdt>
  <w:p w14:paraId="12F3E1D3" w14:textId="77777777" w:rsidR="00406B4D" w:rsidRDefault="00406B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6555270"/>
      <w:docPartObj>
        <w:docPartGallery w:val="Page Numbers (Bottom of Page)"/>
        <w:docPartUnique/>
      </w:docPartObj>
    </w:sdtPr>
    <w:sdtEndPr>
      <w:rPr>
        <w:noProof/>
      </w:rPr>
    </w:sdtEndPr>
    <w:sdtContent>
      <w:p w14:paraId="661CA64A" w14:textId="77777777" w:rsidR="00406B4D" w:rsidRDefault="00406B4D">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742445E9" w14:textId="77777777" w:rsidR="00406B4D" w:rsidRPr="00F10E07" w:rsidRDefault="00406B4D" w:rsidP="00406B4D">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5242615"/>
      <w:docPartObj>
        <w:docPartGallery w:val="Page Numbers (Bottom of Page)"/>
        <w:docPartUnique/>
      </w:docPartObj>
    </w:sdtPr>
    <w:sdtEndPr>
      <w:rPr>
        <w:noProof/>
        <w:sz w:val="20"/>
      </w:rPr>
    </w:sdtEndPr>
    <w:sdtContent>
      <w:p w14:paraId="0C0716C9" w14:textId="77777777" w:rsidR="00406B4D" w:rsidRPr="00F10E07" w:rsidRDefault="00406B4D">
        <w:pPr>
          <w:pStyle w:val="Footer"/>
          <w:jc w:val="center"/>
          <w:rPr>
            <w:sz w:val="20"/>
          </w:rPr>
        </w:pPr>
        <w:r w:rsidRPr="00F10E07">
          <w:rPr>
            <w:sz w:val="20"/>
          </w:rPr>
          <w:fldChar w:fldCharType="begin"/>
        </w:r>
        <w:r w:rsidRPr="00F10E07">
          <w:rPr>
            <w:sz w:val="20"/>
          </w:rPr>
          <w:instrText xml:space="preserve"> PAGE   \* MERGEFORMAT </w:instrText>
        </w:r>
        <w:r w:rsidRPr="00F10E07">
          <w:rPr>
            <w:sz w:val="20"/>
          </w:rPr>
          <w:fldChar w:fldCharType="separate"/>
        </w:r>
        <w:r>
          <w:rPr>
            <w:noProof/>
            <w:sz w:val="20"/>
          </w:rPr>
          <w:t>200</w:t>
        </w:r>
        <w:r w:rsidRPr="00F10E07">
          <w:rPr>
            <w:noProof/>
            <w:sz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499616"/>
      <w:docPartObj>
        <w:docPartGallery w:val="Page Numbers (Bottom of Page)"/>
        <w:docPartUnique/>
      </w:docPartObj>
    </w:sdtPr>
    <w:sdtEndPr>
      <w:rPr>
        <w:noProof/>
        <w:sz w:val="20"/>
      </w:rPr>
    </w:sdtEndPr>
    <w:sdtContent>
      <w:p w14:paraId="6BA589EF" w14:textId="77777777" w:rsidR="00406B4D" w:rsidRPr="00830AE6" w:rsidRDefault="00406B4D" w:rsidP="00406B4D">
        <w:pPr>
          <w:pStyle w:val="Footer"/>
          <w:jc w:val="center"/>
          <w:rPr>
            <w:sz w:val="20"/>
          </w:rPr>
        </w:pPr>
        <w:r w:rsidRPr="00830AE6">
          <w:rPr>
            <w:sz w:val="20"/>
          </w:rPr>
          <w:fldChar w:fldCharType="begin"/>
        </w:r>
        <w:r w:rsidRPr="00830AE6">
          <w:rPr>
            <w:sz w:val="20"/>
          </w:rPr>
          <w:instrText xml:space="preserve"> PAGE   \* MERGEFORMAT </w:instrText>
        </w:r>
        <w:r w:rsidRPr="00830AE6">
          <w:rPr>
            <w:sz w:val="20"/>
          </w:rPr>
          <w:fldChar w:fldCharType="separate"/>
        </w:r>
        <w:r>
          <w:rPr>
            <w:noProof/>
            <w:sz w:val="20"/>
          </w:rPr>
          <w:t>167</w:t>
        </w:r>
        <w:r w:rsidRPr="00830AE6">
          <w:rPr>
            <w:noProof/>
            <w:sz w:val="20"/>
          </w:rPr>
          <w:fldChar w:fldCharType="end"/>
        </w:r>
      </w:p>
    </w:sdtContent>
  </w:sdt>
  <w:p w14:paraId="48A999B3" w14:textId="77777777" w:rsidR="00406B4D" w:rsidRPr="007F256C" w:rsidRDefault="00406B4D" w:rsidP="00406B4D">
    <w:pPr>
      <w:pStyle w:val="Footer"/>
      <w:spacing w:before="200"/>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D1FAD" w14:textId="77777777" w:rsidR="00406B4D" w:rsidRPr="007F256C" w:rsidRDefault="00406B4D" w:rsidP="00406B4D">
    <w:pPr>
      <w:pStyle w:val="Footer"/>
      <w:spacing w:before="200"/>
      <w:rPr>
        <w:noProof/>
        <w:sz w:val="20"/>
      </w:rPr>
    </w:pPr>
    <w:r w:rsidRPr="007F256C">
      <w:rPr>
        <w:noProof/>
        <w:sz w:val="20"/>
      </w:rPr>
      <w:fldChar w:fldCharType="begin"/>
    </w:r>
    <w:r w:rsidRPr="007F256C">
      <w:rPr>
        <w:noProof/>
        <w:sz w:val="20"/>
      </w:rPr>
      <w:instrText xml:space="preserve"> PAGE   \* MERGEFORMAT </w:instrText>
    </w:r>
    <w:r w:rsidRPr="007F256C">
      <w:rPr>
        <w:noProof/>
        <w:sz w:val="20"/>
      </w:rPr>
      <w:fldChar w:fldCharType="separate"/>
    </w:r>
    <w:r>
      <w:rPr>
        <w:noProof/>
        <w:sz w:val="20"/>
      </w:rPr>
      <w:t>246</w:t>
    </w:r>
    <w:r w:rsidRPr="007F256C">
      <w:rPr>
        <w:noProof/>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6004A" w14:textId="77777777" w:rsidR="00406B4D" w:rsidRPr="007F256C" w:rsidRDefault="00406B4D" w:rsidP="00406B4D">
    <w:pPr>
      <w:pStyle w:val="Footer"/>
      <w:spacing w:before="200"/>
      <w:rPr>
        <w:noProof/>
        <w:sz w:val="20"/>
      </w:rPr>
    </w:pPr>
    <w:r w:rsidRPr="007F256C">
      <w:rPr>
        <w:noProof/>
        <w:sz w:val="20"/>
      </w:rPr>
      <w:fldChar w:fldCharType="begin"/>
    </w:r>
    <w:r w:rsidRPr="007F256C">
      <w:rPr>
        <w:noProof/>
        <w:sz w:val="20"/>
      </w:rPr>
      <w:instrText xml:space="preserve"> PAGE   \* MERGEFORMAT </w:instrText>
    </w:r>
    <w:r w:rsidRPr="007F256C">
      <w:rPr>
        <w:noProof/>
        <w:sz w:val="20"/>
      </w:rPr>
      <w:fldChar w:fldCharType="separate"/>
    </w:r>
    <w:r>
      <w:rPr>
        <w:noProof/>
        <w:sz w:val="20"/>
      </w:rPr>
      <w:t>274</w:t>
    </w:r>
    <w:r w:rsidRPr="007F256C">
      <w:rPr>
        <w:noProof/>
        <w:sz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585851"/>
      <w:docPartObj>
        <w:docPartGallery w:val="Page Numbers (Bottom of Page)"/>
        <w:docPartUnique/>
      </w:docPartObj>
    </w:sdtPr>
    <w:sdtEndPr>
      <w:rPr>
        <w:noProof/>
      </w:rPr>
    </w:sdtEndPr>
    <w:sdtContent>
      <w:p w14:paraId="01EE50C4" w14:textId="77777777" w:rsidR="00406B4D" w:rsidRDefault="00406B4D">
        <w:pPr>
          <w:pStyle w:val="Footer"/>
        </w:pPr>
        <w:r>
          <w:fldChar w:fldCharType="begin"/>
        </w:r>
        <w:r>
          <w:instrText xml:space="preserve"> PAGE   \* MERGEFORMAT </w:instrText>
        </w:r>
        <w:r>
          <w:fldChar w:fldCharType="separate"/>
        </w:r>
        <w:r>
          <w:rPr>
            <w:noProof/>
          </w:rPr>
          <w:t>237</w:t>
        </w:r>
        <w:r>
          <w:rPr>
            <w:noProof/>
          </w:rPr>
          <w:fldChar w:fldCharType="end"/>
        </w:r>
      </w:p>
    </w:sdtContent>
  </w:sdt>
  <w:p w14:paraId="2E9D168B" w14:textId="77777777" w:rsidR="00406B4D" w:rsidRPr="007F256C" w:rsidRDefault="00406B4D" w:rsidP="00406B4D">
    <w:pPr>
      <w:pStyle w:val="Footer"/>
      <w:spacing w:before="200"/>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6106177"/>
      <w:docPartObj>
        <w:docPartGallery w:val="Page Numbers (Bottom of Page)"/>
        <w:docPartUnique/>
      </w:docPartObj>
    </w:sdtPr>
    <w:sdtEndPr>
      <w:rPr>
        <w:noProof/>
        <w:sz w:val="20"/>
      </w:rPr>
    </w:sdtEndPr>
    <w:sdtContent>
      <w:p w14:paraId="2A583F65" w14:textId="77777777" w:rsidR="00406B4D" w:rsidRPr="00C37C56" w:rsidRDefault="00406B4D" w:rsidP="00406B4D">
        <w:pPr>
          <w:pStyle w:val="Footer"/>
          <w:jc w:val="center"/>
          <w:rPr>
            <w:sz w:val="20"/>
          </w:rPr>
        </w:pPr>
        <w:r w:rsidRPr="00C37C56">
          <w:rPr>
            <w:sz w:val="20"/>
          </w:rPr>
          <w:fldChar w:fldCharType="begin"/>
        </w:r>
        <w:r w:rsidRPr="00C37C56">
          <w:rPr>
            <w:sz w:val="20"/>
          </w:rPr>
          <w:instrText xml:space="preserve"> PAGE   \* MERGEFORMAT </w:instrText>
        </w:r>
        <w:r w:rsidRPr="00C37C56">
          <w:rPr>
            <w:sz w:val="20"/>
          </w:rPr>
          <w:fldChar w:fldCharType="separate"/>
        </w:r>
        <w:r>
          <w:rPr>
            <w:noProof/>
            <w:sz w:val="20"/>
          </w:rPr>
          <w:t>177</w:t>
        </w:r>
        <w:r w:rsidRPr="00C37C56">
          <w:rPr>
            <w:noProof/>
            <w:sz w:val="20"/>
          </w:rPr>
          <w:fldChar w:fldCharType="end"/>
        </w:r>
      </w:p>
    </w:sdtContent>
  </w:sdt>
  <w:p w14:paraId="1684D0EC" w14:textId="77777777" w:rsidR="00406B4D" w:rsidRPr="007F256C" w:rsidRDefault="00406B4D" w:rsidP="00406B4D">
    <w:pPr>
      <w:pStyle w:val="Footer"/>
      <w:spacing w:before="200"/>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7561889"/>
      <w:docPartObj>
        <w:docPartGallery w:val="Page Numbers (Bottom of Page)"/>
        <w:docPartUnique/>
      </w:docPartObj>
    </w:sdtPr>
    <w:sdtEndPr>
      <w:rPr>
        <w:noProof/>
        <w:sz w:val="20"/>
      </w:rPr>
    </w:sdtEndPr>
    <w:sdtContent>
      <w:p w14:paraId="0C04CDFB" w14:textId="77777777" w:rsidR="00406B4D" w:rsidRPr="00A57F17" w:rsidRDefault="00406B4D" w:rsidP="00406B4D">
        <w:pPr>
          <w:pStyle w:val="Footer"/>
          <w:jc w:val="center"/>
          <w:rPr>
            <w:sz w:val="20"/>
          </w:rPr>
        </w:pPr>
        <w:r w:rsidRPr="00A57F17">
          <w:rPr>
            <w:sz w:val="20"/>
          </w:rPr>
          <w:fldChar w:fldCharType="begin"/>
        </w:r>
        <w:r w:rsidRPr="00A57F17">
          <w:rPr>
            <w:sz w:val="20"/>
          </w:rPr>
          <w:instrText xml:space="preserve"> PAGE   \* MERGEFORMAT </w:instrText>
        </w:r>
        <w:r w:rsidRPr="00A57F17">
          <w:rPr>
            <w:sz w:val="20"/>
          </w:rPr>
          <w:fldChar w:fldCharType="separate"/>
        </w:r>
        <w:r>
          <w:rPr>
            <w:noProof/>
            <w:sz w:val="20"/>
          </w:rPr>
          <w:t>201</w:t>
        </w:r>
        <w:r w:rsidRPr="00A57F17">
          <w:rPr>
            <w:noProof/>
            <w:sz w:val="20"/>
          </w:rPr>
          <w:fldChar w:fldCharType="end"/>
        </w:r>
      </w:p>
    </w:sdtContent>
  </w:sdt>
  <w:p w14:paraId="2F5EC1B8" w14:textId="77777777" w:rsidR="00406B4D" w:rsidRPr="007F256C" w:rsidRDefault="00406B4D" w:rsidP="00406B4D">
    <w:pPr>
      <w:pStyle w:val="Footer"/>
      <w:spacing w:before="20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0965D" w14:textId="77777777" w:rsidR="00E20598" w:rsidRDefault="00E20598">
      <w:r>
        <w:separator/>
      </w:r>
    </w:p>
  </w:footnote>
  <w:footnote w:type="continuationSeparator" w:id="0">
    <w:p w14:paraId="4F885792" w14:textId="77777777" w:rsidR="00E20598" w:rsidRDefault="00E20598">
      <w:r>
        <w:continuationSeparator/>
      </w:r>
    </w:p>
  </w:footnote>
  <w:footnote w:id="1">
    <w:p w14:paraId="2AAB9DB1" w14:textId="77777777" w:rsidR="00406B4D" w:rsidRDefault="00406B4D" w:rsidP="00761800">
      <w:pPr>
        <w:pStyle w:val="FootnoteText"/>
      </w:pPr>
      <w:r>
        <w:rPr>
          <w:rStyle w:val="FootnoteReference"/>
        </w:rPr>
        <w:footnoteRef/>
      </w:r>
      <w:r>
        <w:t xml:space="preserve"> Държавен вестник.</w:t>
      </w:r>
    </w:p>
  </w:footnote>
  <w:footnote w:id="2">
    <w:p w14:paraId="14CD49AC" w14:textId="77777777" w:rsidR="00406B4D" w:rsidRDefault="00406B4D" w:rsidP="00761800">
      <w:pPr>
        <w:pStyle w:val="FootnoteText"/>
      </w:pPr>
      <w:r>
        <w:rPr>
          <w:rStyle w:val="FootnoteReference"/>
        </w:rPr>
        <w:footnoteRef/>
      </w:r>
      <w:r>
        <w:t xml:space="preserve"> Държавно обществено осигуряване.</w:t>
      </w:r>
    </w:p>
  </w:footnote>
  <w:footnote w:id="3">
    <w:p w14:paraId="22901212" w14:textId="77777777" w:rsidR="00406B4D" w:rsidRDefault="00406B4D" w:rsidP="00761800">
      <w:pPr>
        <w:pStyle w:val="FootnoteText"/>
      </w:pPr>
      <w:r>
        <w:rPr>
          <w:rStyle w:val="FootnoteReference"/>
        </w:rPr>
        <w:footnoteRef/>
      </w:r>
      <w:r>
        <w:t xml:space="preserve"> Национална здравноосигурителна каса.</w:t>
      </w:r>
    </w:p>
  </w:footnote>
  <w:footnote w:id="4">
    <w:p w14:paraId="0C11F410" w14:textId="77777777" w:rsidR="00406B4D" w:rsidRDefault="00406B4D" w:rsidP="00761800">
      <w:pPr>
        <w:pStyle w:val="FootnoteText"/>
      </w:pPr>
      <w:r>
        <w:rPr>
          <w:rStyle w:val="FootnoteReference"/>
        </w:rPr>
        <w:footnoteRef/>
      </w:r>
      <w:r>
        <w:t xml:space="preserve"> Закон за публичните финанси.</w:t>
      </w:r>
    </w:p>
  </w:footnote>
  <w:footnote w:id="5">
    <w:p w14:paraId="27CCD425" w14:textId="77777777" w:rsidR="00406B4D" w:rsidRDefault="00406B4D" w:rsidP="00761800">
      <w:pPr>
        <w:pStyle w:val="FootnoteText"/>
      </w:pPr>
      <w:r>
        <w:rPr>
          <w:rStyle w:val="FootnoteReference"/>
        </w:rPr>
        <w:footnoteRef/>
      </w:r>
      <w:r>
        <w:t xml:space="preserve"> Договор за функционирането на Европейския съюз.</w:t>
      </w:r>
    </w:p>
  </w:footnote>
  <w:footnote w:id="6">
    <w:p w14:paraId="77F34A1B" w14:textId="77777777" w:rsidR="00406B4D" w:rsidRDefault="00406B4D" w:rsidP="00761800">
      <w:pPr>
        <w:pStyle w:val="FootnoteText"/>
      </w:pPr>
      <w:r>
        <w:rPr>
          <w:rStyle w:val="FootnoteReference"/>
        </w:rPr>
        <w:footnoteRef/>
      </w:r>
      <w:r>
        <w:t xml:space="preserve"> План за възстановяване и устойчивост.</w:t>
      </w:r>
    </w:p>
  </w:footnote>
  <w:footnote w:id="7">
    <w:p w14:paraId="4B6EF6A1" w14:textId="77777777" w:rsidR="00406B4D" w:rsidRDefault="00406B4D" w:rsidP="00761800">
      <w:pPr>
        <w:pStyle w:val="FootnoteText"/>
      </w:pPr>
      <w:r>
        <w:rPr>
          <w:rStyle w:val="FootnoteReference"/>
        </w:rPr>
        <w:footnoteRef/>
      </w:r>
      <w:r>
        <w:t xml:space="preserve"> Минимална работна заплата.</w:t>
      </w:r>
    </w:p>
  </w:footnote>
  <w:footnote w:id="8">
    <w:p w14:paraId="7AF84C09" w14:textId="77777777" w:rsidR="00406B4D" w:rsidRDefault="00406B4D" w:rsidP="00761800">
      <w:pPr>
        <w:pStyle w:val="FootnoteText"/>
      </w:pPr>
      <w:r>
        <w:rPr>
          <w:rStyle w:val="FootnoteReference"/>
        </w:rPr>
        <w:footnoteRef/>
      </w:r>
      <w:r>
        <w:t xml:space="preserve"> Първостепенни разпоредители с бюджет.</w:t>
      </w:r>
    </w:p>
  </w:footnote>
  <w:footnote w:id="9">
    <w:p w14:paraId="2289F566" w14:textId="77777777" w:rsidR="00406B4D" w:rsidRDefault="00406B4D" w:rsidP="00761800">
      <w:pPr>
        <w:pStyle w:val="FootnoteText"/>
      </w:pPr>
      <w:r>
        <w:rPr>
          <w:rStyle w:val="FootnoteReference"/>
        </w:rPr>
        <w:footnoteRef/>
      </w:r>
      <w:r>
        <w:t xml:space="preserve"> Кодекс за социално осигуряване.</w:t>
      </w:r>
    </w:p>
  </w:footnote>
  <w:footnote w:id="10">
    <w:p w14:paraId="219814E9" w14:textId="77777777" w:rsidR="00406B4D" w:rsidRDefault="00406B4D" w:rsidP="00761800">
      <w:pPr>
        <w:pStyle w:val="FootnoteText"/>
      </w:pPr>
      <w:r>
        <w:rPr>
          <w:rStyle w:val="FootnoteReference"/>
        </w:rPr>
        <w:footnoteRef/>
      </w:r>
      <w:r>
        <w:t xml:space="preserve"> Средна брутна работна заплата.</w:t>
      </w:r>
    </w:p>
  </w:footnote>
  <w:footnote w:id="11">
    <w:p w14:paraId="6266F3BA" w14:textId="77777777" w:rsidR="00406B4D" w:rsidRDefault="00406B4D" w:rsidP="00761800">
      <w:pPr>
        <w:pStyle w:val="FootnoteText"/>
      </w:pPr>
      <w:r>
        <w:rPr>
          <w:rStyle w:val="FootnoteReference"/>
        </w:rPr>
        <w:footnoteRef/>
      </w:r>
      <w:r>
        <w:t xml:space="preserve"> Министерство на регионалното развитие и благоустройството.</w:t>
      </w:r>
    </w:p>
  </w:footnote>
  <w:footnote w:id="12">
    <w:p w14:paraId="22A1128B" w14:textId="77777777" w:rsidR="00406B4D" w:rsidRDefault="00406B4D" w:rsidP="00761800">
      <w:pPr>
        <w:pStyle w:val="FootnoteText"/>
      </w:pPr>
      <w:r>
        <w:rPr>
          <w:rStyle w:val="FootnoteReference"/>
        </w:rPr>
        <w:footnoteRef/>
      </w:r>
      <w:r>
        <w:t xml:space="preserve"> Агенция „Пътна инфраструктура“.</w:t>
      </w:r>
    </w:p>
  </w:footnote>
  <w:footnote w:id="13">
    <w:p w14:paraId="18512E86" w14:textId="77777777" w:rsidR="00406B4D" w:rsidRDefault="00406B4D" w:rsidP="00761800">
      <w:pPr>
        <w:pStyle w:val="FootnoteText"/>
      </w:pPr>
      <w:r>
        <w:rPr>
          <w:rStyle w:val="FootnoteReference"/>
        </w:rPr>
        <w:footnoteRef/>
      </w:r>
      <w:r>
        <w:t xml:space="preserve"> Закон за обществените поръчки.</w:t>
      </w:r>
    </w:p>
  </w:footnote>
  <w:footnote w:id="14">
    <w:p w14:paraId="7D727DDA" w14:textId="77777777" w:rsidR="00406B4D" w:rsidRDefault="00406B4D" w:rsidP="00761800">
      <w:pPr>
        <w:pStyle w:val="FootnoteText"/>
      </w:pPr>
      <w:r>
        <w:rPr>
          <w:rStyle w:val="FootnoteReference"/>
        </w:rPr>
        <w:footnoteRef/>
      </w:r>
      <w:r>
        <w:t xml:space="preserve"> Министерство на вътрешните работи.</w:t>
      </w:r>
    </w:p>
  </w:footnote>
  <w:footnote w:id="15">
    <w:p w14:paraId="2C5316B9" w14:textId="77777777" w:rsidR="00406B4D" w:rsidRDefault="00406B4D" w:rsidP="00761800">
      <w:pPr>
        <w:pStyle w:val="FootnoteText"/>
      </w:pPr>
      <w:r>
        <w:rPr>
          <w:rStyle w:val="FootnoteReference"/>
        </w:rPr>
        <w:footnoteRef/>
      </w:r>
      <w:r>
        <w:t xml:space="preserve"> Национален план за възстановяване и устойчивост.</w:t>
      </w:r>
    </w:p>
  </w:footnote>
  <w:footnote w:id="16">
    <w:p w14:paraId="0A9B7ADF" w14:textId="77777777" w:rsidR="00406B4D" w:rsidRDefault="00406B4D" w:rsidP="00761800">
      <w:pPr>
        <w:pStyle w:val="FootnoteText"/>
      </w:pPr>
      <w:r>
        <w:rPr>
          <w:rStyle w:val="FootnoteReference"/>
        </w:rPr>
        <w:footnoteRef/>
      </w:r>
      <w:r>
        <w:t xml:space="preserve"> Българска банка за развитие.</w:t>
      </w:r>
    </w:p>
  </w:footnote>
  <w:footnote w:id="17">
    <w:p w14:paraId="09C57151" w14:textId="77777777" w:rsidR="00406B4D" w:rsidRDefault="00406B4D" w:rsidP="00761800">
      <w:pPr>
        <w:pStyle w:val="FootnoteText"/>
      </w:pPr>
      <w:r>
        <w:rPr>
          <w:rStyle w:val="FootnoteReference"/>
        </w:rPr>
        <w:footnoteRef/>
      </w:r>
      <w:r>
        <w:t xml:space="preserve"> Процентни пункта.</w:t>
      </w:r>
    </w:p>
  </w:footnote>
  <w:footnote w:id="18">
    <w:p w14:paraId="7698DBA8" w14:textId="77777777" w:rsidR="00406B4D" w:rsidRDefault="00406B4D" w:rsidP="00761800">
      <w:pPr>
        <w:pStyle w:val="FootnoteText"/>
      </w:pPr>
      <w:r>
        <w:rPr>
          <w:rStyle w:val="FootnoteReference"/>
        </w:rPr>
        <w:footnoteRef/>
      </w:r>
      <w:r>
        <w:t xml:space="preserve"> Хармонизиран индекс на потребителските цени.</w:t>
      </w:r>
    </w:p>
  </w:footnote>
  <w:footnote w:id="19">
    <w:p w14:paraId="612FB4D0" w14:textId="77777777" w:rsidR="00406B4D" w:rsidRDefault="00406B4D" w:rsidP="00761800">
      <w:pPr>
        <w:pStyle w:val="FootnoteText"/>
        <w:ind w:left="142" w:hanging="142"/>
      </w:pPr>
      <w:r>
        <w:rPr>
          <w:rStyle w:val="FootnoteReference"/>
        </w:rPr>
        <w:footnoteRef/>
      </w:r>
      <w:r>
        <w:t xml:space="preserve"> В някои сектори на икономиката като „Държавно управление“ и „Образование“, които можем да приемем, че са част от обществения сектор, нарастването на СРЗ през първото тримесечие беше съответно </w:t>
      </w:r>
      <w:r w:rsidRPr="000A43DF">
        <w:t xml:space="preserve">18,1% </w:t>
      </w:r>
      <w:r>
        <w:t>и 17</w:t>
      </w:r>
      <w:r w:rsidRPr="000A43DF">
        <w:t>,</w:t>
      </w:r>
      <w:r>
        <w:t>7%.</w:t>
      </w:r>
    </w:p>
  </w:footnote>
  <w:footnote w:id="20">
    <w:p w14:paraId="7E388845" w14:textId="77777777" w:rsidR="00406B4D" w:rsidRDefault="00406B4D" w:rsidP="00761800">
      <w:pPr>
        <w:pStyle w:val="FootnoteText"/>
      </w:pPr>
      <w:r>
        <w:rPr>
          <w:rStyle w:val="FootnoteReference"/>
        </w:rPr>
        <w:footnoteRef/>
      </w:r>
      <w:r>
        <w:t xml:space="preserve"> Международен валутен фонд.</w:t>
      </w:r>
    </w:p>
  </w:footnote>
  <w:footnote w:id="21">
    <w:p w14:paraId="59D0B0CE" w14:textId="77777777" w:rsidR="00406B4D" w:rsidRDefault="00406B4D" w:rsidP="00761800">
      <w:pPr>
        <w:pStyle w:val="FootnoteText"/>
      </w:pPr>
      <w:r>
        <w:rPr>
          <w:rStyle w:val="FootnoteReference"/>
        </w:rPr>
        <w:footnoteRef/>
      </w:r>
      <w:r>
        <w:t xml:space="preserve"> Световна банка.</w:t>
      </w:r>
    </w:p>
  </w:footnote>
  <w:footnote w:id="22">
    <w:p w14:paraId="361BC4D9" w14:textId="77777777" w:rsidR="00406B4D" w:rsidRDefault="00406B4D" w:rsidP="00761800">
      <w:pPr>
        <w:pStyle w:val="FootnoteText"/>
      </w:pPr>
      <w:r>
        <w:rPr>
          <w:rStyle w:val="FootnoteReference"/>
        </w:rPr>
        <w:footnoteRef/>
      </w:r>
      <w:r>
        <w:t xml:space="preserve"> Европейска комисия.</w:t>
      </w:r>
    </w:p>
  </w:footnote>
  <w:footnote w:id="23">
    <w:p w14:paraId="625B95E4" w14:textId="77777777" w:rsidR="00406B4D" w:rsidRDefault="00406B4D" w:rsidP="00761800">
      <w:pPr>
        <w:pStyle w:val="FootnoteText"/>
      </w:pPr>
      <w:r>
        <w:rPr>
          <w:rStyle w:val="FootnoteReference"/>
        </w:rPr>
        <w:footnoteRef/>
      </w:r>
      <w:r>
        <w:t xml:space="preserve"> </w:t>
      </w:r>
      <w:r w:rsidRPr="00AA2630">
        <w:t>Статистическа служба към Европейската комисия</w:t>
      </w:r>
      <w:r>
        <w:t>.</w:t>
      </w:r>
    </w:p>
  </w:footnote>
  <w:footnote w:id="24">
    <w:p w14:paraId="6E923C98" w14:textId="77777777" w:rsidR="00406B4D" w:rsidRDefault="00406B4D" w:rsidP="00761800">
      <w:pPr>
        <w:pStyle w:val="FootnoteText"/>
      </w:pPr>
      <w:r>
        <w:rPr>
          <w:rStyle w:val="FootnoteReference"/>
        </w:rPr>
        <w:footnoteRef/>
      </w:r>
      <w:r>
        <w:t xml:space="preserve"> Европейска централна банка.</w:t>
      </w:r>
    </w:p>
  </w:footnote>
  <w:footnote w:id="25">
    <w:p w14:paraId="7B2B7B37" w14:textId="77777777" w:rsidR="00406B4D" w:rsidRDefault="00406B4D" w:rsidP="00761800">
      <w:pPr>
        <w:pStyle w:val="FootnoteText"/>
      </w:pPr>
      <w:r>
        <w:rPr>
          <w:rStyle w:val="FootnoteReference"/>
        </w:rPr>
        <w:footnoteRef/>
      </w:r>
      <w:r>
        <w:t xml:space="preserve"> Министерство на финансите.</w:t>
      </w:r>
    </w:p>
  </w:footnote>
  <w:footnote w:id="26">
    <w:p w14:paraId="4E22F1AE" w14:textId="77777777" w:rsidR="00406B4D" w:rsidRDefault="00406B4D" w:rsidP="00761800">
      <w:pPr>
        <w:pStyle w:val="FootnoteText"/>
        <w:tabs>
          <w:tab w:val="left" w:pos="142"/>
        </w:tabs>
        <w:ind w:left="142" w:hanging="142"/>
      </w:pPr>
      <w:r>
        <w:rPr>
          <w:rStyle w:val="FootnoteReference"/>
        </w:rPr>
        <w:footnoteRef/>
      </w:r>
      <w:r>
        <w:t xml:space="preserve"> </w:t>
      </w:r>
      <w:r w:rsidRPr="003C50B1">
        <w:t xml:space="preserve">Изчислява се среден курс </w:t>
      </w:r>
      <w:r>
        <w:t>щ.д./евро</w:t>
      </w:r>
      <w:r w:rsidRPr="003C50B1">
        <w:t xml:space="preserve"> с дневни данни за последните десет работни дни към датата на изготвяне на допусканията, който се фиксира за дните до края на прогнозния хоризонт.</w:t>
      </w:r>
    </w:p>
  </w:footnote>
  <w:footnote w:id="27">
    <w:p w14:paraId="2D9E6E10" w14:textId="77777777" w:rsidR="00406B4D" w:rsidRDefault="00406B4D" w:rsidP="00761800">
      <w:pPr>
        <w:pStyle w:val="FootnoteText"/>
      </w:pPr>
      <w:r>
        <w:rPr>
          <w:rStyle w:val="FootnoteReference"/>
        </w:rPr>
        <w:footnoteRef/>
      </w:r>
      <w:r>
        <w:t xml:space="preserve"> </w:t>
      </w:r>
      <w:r w:rsidRPr="00CE45AD">
        <w:t>Система на националните сметки.</w:t>
      </w:r>
    </w:p>
  </w:footnote>
  <w:footnote w:id="28">
    <w:p w14:paraId="31F12B16" w14:textId="77777777" w:rsidR="00406B4D" w:rsidRDefault="00406B4D" w:rsidP="00761800">
      <w:pPr>
        <w:pStyle w:val="FootnoteText"/>
      </w:pPr>
      <w:r>
        <w:rPr>
          <w:rStyle w:val="FootnoteReference"/>
        </w:rPr>
        <w:footnoteRef/>
      </w:r>
      <w:r>
        <w:t xml:space="preserve"> Национален статистически институт.</w:t>
      </w:r>
    </w:p>
  </w:footnote>
  <w:footnote w:id="29">
    <w:p w14:paraId="0C0ECB94" w14:textId="77777777" w:rsidR="00406B4D" w:rsidRDefault="00406B4D" w:rsidP="00761800">
      <w:pPr>
        <w:pStyle w:val="FootnoteText"/>
      </w:pPr>
      <w:r>
        <w:rPr>
          <w:rStyle w:val="FootnoteReference"/>
        </w:rPr>
        <w:footnoteRef/>
      </w:r>
      <w:r>
        <w:t xml:space="preserve"> Българска народна банка.</w:t>
      </w:r>
    </w:p>
  </w:footnote>
  <w:footnote w:id="30">
    <w:p w14:paraId="2EA4A56A" w14:textId="77777777" w:rsidR="00406B4D" w:rsidRDefault="00406B4D" w:rsidP="00761800">
      <w:pPr>
        <w:pStyle w:val="FootnoteText"/>
      </w:pPr>
      <w:r>
        <w:rPr>
          <w:rStyle w:val="FootnoteReference"/>
        </w:rPr>
        <w:footnoteRef/>
      </w:r>
      <w:r>
        <w:t xml:space="preserve"> Европейска комисия.</w:t>
      </w:r>
    </w:p>
  </w:footnote>
  <w:footnote w:id="31">
    <w:p w14:paraId="7D6A9345" w14:textId="77777777" w:rsidR="00406B4D" w:rsidRDefault="00406B4D" w:rsidP="00761800">
      <w:pPr>
        <w:pStyle w:val="FootnoteText"/>
        <w:ind w:left="142" w:hanging="142"/>
      </w:pPr>
      <w:r>
        <w:rPr>
          <w:rStyle w:val="FootnoteReference"/>
        </w:rPr>
        <w:footnoteRef/>
      </w:r>
      <w:r>
        <w:t xml:space="preserve"> </w:t>
      </w:r>
      <w:r w:rsidRPr="00091B55">
        <w:rPr>
          <w:sz w:val="18"/>
          <w:szCs w:val="18"/>
        </w:rPr>
        <w:t>Havik, K., &amp; Kieran Mc Morrow, K., &amp; Fabrice Orlandi, F., Christophe Planas, C., Rafal Raciborski, R., Werner Roeger, W., Alessandro Rossi, A., Anna Thum-Thysen, A. &amp; Valerie Vandermeulen, V.,"The Production Function Methodology for Calculating Potential Growth Rates &amp; Output Gaps," European Economy – Economic Papers 535, 2014.</w:t>
      </w:r>
    </w:p>
  </w:footnote>
  <w:footnote w:id="32">
    <w:p w14:paraId="7CA0AE02" w14:textId="77777777" w:rsidR="00406B4D" w:rsidRDefault="00406B4D" w:rsidP="00761800">
      <w:pPr>
        <w:pStyle w:val="FootnoteText"/>
      </w:pPr>
      <w:r>
        <w:rPr>
          <w:rStyle w:val="FootnoteReference"/>
        </w:rPr>
        <w:footnoteRef/>
      </w:r>
      <w:r>
        <w:t xml:space="preserve"> Министерство на финансите.</w:t>
      </w:r>
    </w:p>
  </w:footnote>
  <w:footnote w:id="33">
    <w:p w14:paraId="3B406AF4" w14:textId="77777777" w:rsidR="00406B4D" w:rsidRDefault="00406B4D" w:rsidP="00761800">
      <w:pPr>
        <w:pStyle w:val="FootnoteText"/>
        <w:ind w:left="142" w:hanging="142"/>
      </w:pPr>
      <w:r>
        <w:rPr>
          <w:rStyle w:val="FootnoteReference"/>
        </w:rPr>
        <w:footnoteRef/>
      </w:r>
      <w:r>
        <w:t xml:space="preserve"> </w:t>
      </w:r>
      <w:r w:rsidRPr="00E47606">
        <w:rPr>
          <w:iCs/>
        </w:rPr>
        <w:t xml:space="preserve">Поради закръгление </w:t>
      </w:r>
      <w:r w:rsidRPr="00D8768E">
        <w:rPr>
          <w:iCs/>
          <w:lang w:val="ru-RU"/>
        </w:rPr>
        <w:t>(</w:t>
      </w:r>
      <w:r w:rsidRPr="00E47606">
        <w:rPr>
          <w:iCs/>
        </w:rPr>
        <w:t xml:space="preserve">в млн. </w:t>
      </w:r>
      <w:r>
        <w:rPr>
          <w:iCs/>
        </w:rPr>
        <w:t>евро</w:t>
      </w:r>
      <w:r w:rsidRPr="00D8768E">
        <w:rPr>
          <w:iCs/>
          <w:lang w:val="ru-RU"/>
        </w:rPr>
        <w:t xml:space="preserve"> </w:t>
      </w:r>
      <w:r>
        <w:rPr>
          <w:iCs/>
        </w:rPr>
        <w:t>и като процент от БВП</w:t>
      </w:r>
      <w:r w:rsidRPr="00D8768E">
        <w:rPr>
          <w:iCs/>
          <w:lang w:val="ru-RU"/>
        </w:rPr>
        <w:t>)</w:t>
      </w:r>
      <w:r w:rsidRPr="00E47606">
        <w:rPr>
          <w:iCs/>
        </w:rPr>
        <w:t xml:space="preserve"> някои сумарни позиции в таблиците и графиките в актуализираната бюджетна прогноза </w:t>
      </w:r>
      <w:r>
        <w:rPr>
          <w:iCs/>
        </w:rPr>
        <w:t xml:space="preserve">за периода </w:t>
      </w:r>
      <w:r w:rsidRPr="00E47606">
        <w:rPr>
          <w:iCs/>
        </w:rPr>
        <w:t>20</w:t>
      </w:r>
      <w:r>
        <w:rPr>
          <w:iCs/>
        </w:rPr>
        <w:t xml:space="preserve">26-2028 г. </w:t>
      </w:r>
      <w:r w:rsidRPr="00E47606">
        <w:rPr>
          <w:iCs/>
        </w:rPr>
        <w:t>и приложенията към нея не се изчерпват от съставните им числа.</w:t>
      </w:r>
    </w:p>
  </w:footnote>
  <w:footnote w:id="34">
    <w:p w14:paraId="3153DF98" w14:textId="77777777" w:rsidR="00406B4D" w:rsidRDefault="00406B4D" w:rsidP="00761800">
      <w:pPr>
        <w:pStyle w:val="FootnoteText"/>
        <w:ind w:left="142" w:hanging="142"/>
      </w:pPr>
      <w:r>
        <w:rPr>
          <w:rStyle w:val="FootnoteReference"/>
        </w:rPr>
        <w:footnoteRef/>
      </w:r>
      <w:r>
        <w:t xml:space="preserve"> </w:t>
      </w:r>
      <w:r w:rsidRPr="00327A98">
        <w:rPr>
          <w:iCs/>
        </w:rPr>
        <w:t xml:space="preserve">В таблицата са включени сметки за средства от ЕС на: </w:t>
      </w:r>
      <w:r>
        <w:rPr>
          <w:iCs/>
        </w:rPr>
        <w:t>ДФ „Земеделие“; Национален фонд</w:t>
      </w:r>
      <w:r w:rsidRPr="00327A98">
        <w:rPr>
          <w:iCs/>
        </w:rPr>
        <w:t xml:space="preserve"> и </w:t>
      </w:r>
      <w:r>
        <w:rPr>
          <w:iCs/>
        </w:rPr>
        <w:t>д</w:t>
      </w:r>
      <w:r w:rsidRPr="00327A98">
        <w:rPr>
          <w:iCs/>
        </w:rPr>
        <w:t>ругите сметки за средства от ЕС и средства по други международни програми и договори, за които се прилага режимът на сметките за средства от ЕС.</w:t>
      </w:r>
    </w:p>
  </w:footnote>
  <w:footnote w:id="35">
    <w:p w14:paraId="79B59299" w14:textId="77777777" w:rsidR="00406B4D" w:rsidRDefault="00406B4D" w:rsidP="00761800">
      <w:pPr>
        <w:pStyle w:val="FootnoteText"/>
        <w:ind w:left="142" w:hanging="142"/>
      </w:pPr>
      <w:r>
        <w:rPr>
          <w:rStyle w:val="FootnoteReference"/>
        </w:rPr>
        <w:footnoteRef/>
      </w:r>
      <w:r>
        <w:t xml:space="preserve"> </w:t>
      </w:r>
      <w:r w:rsidRPr="00AE71CA">
        <w:rPr>
          <w:iCs/>
        </w:rPr>
        <w:t xml:space="preserve">Поради закръгление </w:t>
      </w:r>
      <w:r w:rsidRPr="00AE71CA">
        <w:rPr>
          <w:iCs/>
          <w:lang w:val="ru-RU"/>
        </w:rPr>
        <w:t>(</w:t>
      </w:r>
      <w:r w:rsidRPr="00AE71CA">
        <w:rPr>
          <w:iCs/>
        </w:rPr>
        <w:t xml:space="preserve">в млн. </w:t>
      </w:r>
      <w:r>
        <w:rPr>
          <w:iCs/>
        </w:rPr>
        <w:t>евро</w:t>
      </w:r>
      <w:r w:rsidRPr="00AE71CA">
        <w:rPr>
          <w:iCs/>
          <w:lang w:val="ru-RU"/>
        </w:rPr>
        <w:t xml:space="preserve"> </w:t>
      </w:r>
      <w:r w:rsidRPr="00AE71CA">
        <w:rPr>
          <w:iCs/>
        </w:rPr>
        <w:t>и като процент от БВП</w:t>
      </w:r>
      <w:r w:rsidRPr="00AE71CA">
        <w:rPr>
          <w:iCs/>
          <w:lang w:val="ru-RU"/>
        </w:rPr>
        <w:t>)</w:t>
      </w:r>
      <w:r w:rsidRPr="00AE71CA">
        <w:rPr>
          <w:iCs/>
        </w:rPr>
        <w:t xml:space="preserve"> някои сумарни позиции в таблиците и графиките в актуализираната б</w:t>
      </w:r>
      <w:r>
        <w:rPr>
          <w:iCs/>
        </w:rPr>
        <w:t>юджетна прогноза за периода 2026-2028</w:t>
      </w:r>
      <w:r w:rsidRPr="00AE71CA">
        <w:rPr>
          <w:iCs/>
        </w:rPr>
        <w:t xml:space="preserve"> г. и приложенията към нея не се изчерпват от съставните им числа.</w:t>
      </w:r>
    </w:p>
  </w:footnote>
  <w:footnote w:id="36">
    <w:p w14:paraId="45C5E341" w14:textId="77777777" w:rsidR="00406B4D" w:rsidRDefault="00406B4D" w:rsidP="00761800">
      <w:pPr>
        <w:pStyle w:val="FootnoteText"/>
      </w:pPr>
      <w:r>
        <w:rPr>
          <w:rStyle w:val="FootnoteReference"/>
        </w:rPr>
        <w:footnoteRef/>
      </w:r>
      <w:r>
        <w:t xml:space="preserve"> </w:t>
      </w:r>
      <w:r w:rsidRPr="00B74831">
        <w:t>Въглероден диоксид.</w:t>
      </w:r>
    </w:p>
  </w:footnote>
  <w:footnote w:id="37">
    <w:p w14:paraId="53AC0F33" w14:textId="77777777" w:rsidR="00406B4D" w:rsidRPr="00AE71CA" w:rsidRDefault="00406B4D" w:rsidP="00761800">
      <w:pPr>
        <w:pStyle w:val="FootnoteText"/>
        <w:ind w:left="90" w:hanging="90"/>
      </w:pPr>
      <w:r>
        <w:rPr>
          <w:rStyle w:val="FootnoteReference"/>
        </w:rPr>
        <w:footnoteRef/>
      </w:r>
      <w:r>
        <w:t xml:space="preserve">   </w:t>
      </w:r>
      <w:r w:rsidRPr="00AE71CA">
        <w:t xml:space="preserve">Директива </w:t>
      </w:r>
      <w:r w:rsidRPr="00085933">
        <w:t xml:space="preserve">(ЕС) 2024/1265 на Съвета от 29 април 2024 година за изменение на Директива </w:t>
      </w:r>
      <w:r w:rsidRPr="00AE71CA">
        <w:t>2011/85/ЕС на Съвета от 8 ноември 2011 г. относно изискванията за бюджетните рамки на държавите членки (</w:t>
      </w:r>
      <w:hyperlink r:id="rId1" w:history="1">
        <w:r w:rsidRPr="00402B2E">
          <w:rPr>
            <w:rStyle w:val="Hyperlink"/>
          </w:rPr>
          <w:t>https://eur-lex.europa.eu/legal-content/BG/TXT/PDF/?uri=OJ:L_202401265</w:t>
        </w:r>
      </w:hyperlink>
      <w:hyperlink w:history="1"/>
      <w:r w:rsidRPr="00AE71CA">
        <w:rPr>
          <w:lang w:val="ru-RU"/>
        </w:rPr>
        <w:t>).</w:t>
      </w:r>
      <w:r w:rsidRPr="00AE71CA">
        <w:t xml:space="preserve"> Съгласно член 14, параграф 3 от тази директива: </w:t>
      </w:r>
      <w:r w:rsidRPr="00AE71CA">
        <w:rPr>
          <w:i/>
        </w:rPr>
        <w:t xml:space="preserve">„За всички подсектори на сектор „Държавно управление“ държавите членки публикуват съответна информация за условните задължения с потенциално значително въздействие върху публичните бюджети, включително държавни гаранции, необслужвани кредити и задължения, произтичащи от дейността на публични дружества, както и техния размер. </w:t>
      </w:r>
      <w:r w:rsidRPr="005F01E5">
        <w:rPr>
          <w:i/>
        </w:rPr>
        <w:t>Държавите членки публикуват също, доколкото е възможно, информация за условните задължения, свързани с бедствия и климата. В публикуваната информация се взема предвид информацията за фискалните разходи, възникнали вследствие на бедствия и сътресения, свързани с климата. Държавите членки публикуват информация за дяловете на сектор „Държавно управление“ в капитала на частни и публични дружества, които възлизат на значими в икономически план суми.“</w:t>
      </w:r>
      <w:r w:rsidRPr="00AE71CA">
        <w:rPr>
          <w:i/>
          <w:iCs/>
        </w:rPr>
        <w:t>.</w:t>
      </w:r>
      <w:r>
        <w:t xml:space="preserve"> </w:t>
      </w:r>
    </w:p>
    <w:p w14:paraId="0AD00886" w14:textId="77777777" w:rsidR="00406B4D" w:rsidRDefault="00406B4D" w:rsidP="00761800">
      <w:pPr>
        <w:pStyle w:val="FootnoteText"/>
      </w:pPr>
    </w:p>
  </w:footnote>
  <w:footnote w:id="38">
    <w:p w14:paraId="69E3ACDB" w14:textId="77777777" w:rsidR="00406B4D" w:rsidRDefault="00406B4D" w:rsidP="00761800">
      <w:pPr>
        <w:pStyle w:val="FootnoteText"/>
        <w:jc w:val="left"/>
        <w:rPr>
          <w:rStyle w:val="Hyperlink"/>
        </w:rPr>
      </w:pPr>
      <w:r>
        <w:rPr>
          <w:rStyle w:val="FootnoteReference"/>
        </w:rPr>
        <w:footnoteRef/>
      </w:r>
      <w:r>
        <w:t xml:space="preserve"> </w:t>
      </w:r>
      <w:r w:rsidRPr="00FC36AE">
        <w:t xml:space="preserve">Съгласно </w:t>
      </w:r>
      <w:r>
        <w:t>данни от Евростат,</w:t>
      </w:r>
      <w:r w:rsidRPr="00202877">
        <w:t xml:space="preserve"> </w:t>
      </w:r>
      <w:hyperlink r:id="rId2" w:history="1">
        <w:r w:rsidRPr="00537514">
          <w:rPr>
            <w:rStyle w:val="Hyperlink"/>
            <w:lang w:val="en-US"/>
          </w:rPr>
          <w:t>https</w:t>
        </w:r>
        <w:r w:rsidRPr="00202877">
          <w:rPr>
            <w:rStyle w:val="Hyperlink"/>
          </w:rPr>
          <w:t>://</w:t>
        </w:r>
        <w:r w:rsidRPr="00537514">
          <w:rPr>
            <w:rStyle w:val="Hyperlink"/>
            <w:lang w:val="en-US"/>
          </w:rPr>
          <w:t>ec</w:t>
        </w:r>
        <w:r w:rsidRPr="00202877">
          <w:rPr>
            <w:rStyle w:val="Hyperlink"/>
          </w:rPr>
          <w:t>.</w:t>
        </w:r>
        <w:r w:rsidRPr="00537514">
          <w:rPr>
            <w:rStyle w:val="Hyperlink"/>
            <w:lang w:val="en-US"/>
          </w:rPr>
          <w:t>europa</w:t>
        </w:r>
        <w:r w:rsidRPr="00202877">
          <w:rPr>
            <w:rStyle w:val="Hyperlink"/>
          </w:rPr>
          <w:t>.</w:t>
        </w:r>
        <w:r w:rsidRPr="00537514">
          <w:rPr>
            <w:rStyle w:val="Hyperlink"/>
            <w:lang w:val="en-US"/>
          </w:rPr>
          <w:t>eu</w:t>
        </w:r>
        <w:r w:rsidRPr="00202877">
          <w:rPr>
            <w:rStyle w:val="Hyperlink"/>
          </w:rPr>
          <w:t>/</w:t>
        </w:r>
        <w:r w:rsidRPr="00537514">
          <w:rPr>
            <w:rStyle w:val="Hyperlink"/>
            <w:lang w:val="en-US"/>
          </w:rPr>
          <w:t>eurostat</w:t>
        </w:r>
        <w:r w:rsidRPr="00202877">
          <w:rPr>
            <w:rStyle w:val="Hyperlink"/>
          </w:rPr>
          <w:t>/</w:t>
        </w:r>
        <w:r w:rsidRPr="00537514">
          <w:rPr>
            <w:rStyle w:val="Hyperlink"/>
            <w:lang w:val="en-US"/>
          </w:rPr>
          <w:t>databrowser</w:t>
        </w:r>
        <w:r w:rsidRPr="00202877">
          <w:rPr>
            <w:rStyle w:val="Hyperlink"/>
          </w:rPr>
          <w:t>/</w:t>
        </w:r>
        <w:r w:rsidRPr="00537514">
          <w:rPr>
            <w:rStyle w:val="Hyperlink"/>
            <w:lang w:val="en-US"/>
          </w:rPr>
          <w:t>view</w:t>
        </w:r>
        <w:r w:rsidRPr="00202877">
          <w:rPr>
            <w:rStyle w:val="Hyperlink"/>
          </w:rPr>
          <w:t>/</w:t>
        </w:r>
        <w:r w:rsidRPr="00537514">
          <w:rPr>
            <w:rStyle w:val="Hyperlink"/>
            <w:lang w:val="en-US"/>
          </w:rPr>
          <w:t>gov</w:t>
        </w:r>
        <w:r w:rsidRPr="00202877">
          <w:rPr>
            <w:rStyle w:val="Hyperlink"/>
          </w:rPr>
          <w:t>_</w:t>
        </w:r>
        <w:r w:rsidRPr="00537514">
          <w:rPr>
            <w:rStyle w:val="Hyperlink"/>
            <w:lang w:val="en-US"/>
          </w:rPr>
          <w:t>cl</w:t>
        </w:r>
        <w:r w:rsidRPr="00202877">
          <w:rPr>
            <w:rStyle w:val="Hyperlink"/>
          </w:rPr>
          <w:t>_</w:t>
        </w:r>
        <w:r w:rsidRPr="00537514">
          <w:rPr>
            <w:rStyle w:val="Hyperlink"/>
            <w:lang w:val="en-US"/>
          </w:rPr>
          <w:t>liab</w:t>
        </w:r>
        <w:r w:rsidRPr="00202877">
          <w:rPr>
            <w:rStyle w:val="Hyperlink"/>
          </w:rPr>
          <w:t>__</w:t>
        </w:r>
        <w:r w:rsidRPr="00537514">
          <w:rPr>
            <w:rStyle w:val="Hyperlink"/>
            <w:lang w:val="en-US"/>
          </w:rPr>
          <w:t>custom</w:t>
        </w:r>
        <w:r w:rsidRPr="00202877">
          <w:rPr>
            <w:rStyle w:val="Hyperlink"/>
          </w:rPr>
          <w:t>_18387252/</w:t>
        </w:r>
        <w:r w:rsidRPr="00537514">
          <w:rPr>
            <w:rStyle w:val="Hyperlink"/>
            <w:lang w:val="en-US"/>
          </w:rPr>
          <w:t>default</w:t>
        </w:r>
        <w:r w:rsidRPr="00202877">
          <w:rPr>
            <w:rStyle w:val="Hyperlink"/>
          </w:rPr>
          <w:t>/</w:t>
        </w:r>
        <w:r w:rsidRPr="00537514">
          <w:rPr>
            <w:rStyle w:val="Hyperlink"/>
            <w:lang w:val="en-US"/>
          </w:rPr>
          <w:t>table</w:t>
        </w:r>
      </w:hyperlink>
      <w:r w:rsidRPr="00202877">
        <w:t>.</w:t>
      </w:r>
    </w:p>
    <w:p w14:paraId="5E6B45E4" w14:textId="77777777" w:rsidR="00406B4D" w:rsidRDefault="00406B4D" w:rsidP="00761800">
      <w:pPr>
        <w:pStyle w:val="FootnoteText"/>
      </w:pPr>
    </w:p>
  </w:footnote>
  <w:footnote w:id="39">
    <w:p w14:paraId="54653117" w14:textId="77777777" w:rsidR="00406B4D" w:rsidRDefault="00406B4D" w:rsidP="00761800">
      <w:pPr>
        <w:pStyle w:val="FootnoteText"/>
      </w:pPr>
      <w:r>
        <w:rPr>
          <w:rStyle w:val="FootnoteReference"/>
        </w:rPr>
        <w:footnoteRef/>
      </w:r>
      <w:r>
        <w:t xml:space="preserve"> Организация</w:t>
      </w:r>
      <w:r w:rsidRPr="00533133">
        <w:t xml:space="preserve"> за икономическо сътрудничество и развитие</w:t>
      </w:r>
      <w:r>
        <w:t>.</w:t>
      </w:r>
    </w:p>
  </w:footnote>
  <w:footnote w:id="40">
    <w:p w14:paraId="49192376" w14:textId="77777777" w:rsidR="00406B4D" w:rsidRPr="00A83FF8" w:rsidRDefault="00406B4D" w:rsidP="00761800">
      <w:pPr>
        <w:pStyle w:val="FootnoteText"/>
      </w:pPr>
      <w:r>
        <w:rPr>
          <w:rStyle w:val="FootnoteReference"/>
        </w:rPr>
        <w:footnoteRef/>
      </w:r>
      <w:r>
        <w:t xml:space="preserve"> Закон</w:t>
      </w:r>
      <w:r w:rsidRPr="00A83FF8">
        <w:t xml:space="preserve"> за акцизите и данъчните складове</w:t>
      </w:r>
      <w:r>
        <w:t>.</w:t>
      </w:r>
    </w:p>
  </w:footnote>
  <w:footnote w:id="41">
    <w:p w14:paraId="6472331E" w14:textId="77777777" w:rsidR="00406B4D" w:rsidRPr="00A83FF8" w:rsidRDefault="00406B4D" w:rsidP="00761800">
      <w:pPr>
        <w:pStyle w:val="FootnoteText"/>
      </w:pPr>
      <w:r>
        <w:rPr>
          <w:rStyle w:val="FootnoteReference"/>
        </w:rPr>
        <w:footnoteRef/>
      </w:r>
      <w:r>
        <w:t xml:space="preserve"> </w:t>
      </w:r>
      <w:r w:rsidRPr="00A83FF8">
        <w:t>Данъчно-осигурителен процесуален кодекс.</w:t>
      </w:r>
    </w:p>
  </w:footnote>
  <w:footnote w:id="42">
    <w:p w14:paraId="0C1FEA28" w14:textId="77777777" w:rsidR="00406B4D" w:rsidRDefault="00406B4D" w:rsidP="00761800">
      <w:pPr>
        <w:pStyle w:val="FootnoteText"/>
      </w:pPr>
      <w:r>
        <w:rPr>
          <w:rStyle w:val="FootnoteReference"/>
        </w:rPr>
        <w:footnoteRef/>
      </w:r>
      <w:r>
        <w:t xml:space="preserve"> Национална агенция за приходите.</w:t>
      </w:r>
    </w:p>
  </w:footnote>
  <w:footnote w:id="43">
    <w:p w14:paraId="3F66B55B" w14:textId="77777777" w:rsidR="00406B4D" w:rsidRDefault="00406B4D" w:rsidP="00761800">
      <w:pPr>
        <w:pStyle w:val="FootnoteText"/>
      </w:pPr>
      <w:r>
        <w:rPr>
          <w:rStyle w:val="FootnoteReference"/>
        </w:rPr>
        <w:footnoteRef/>
      </w:r>
      <w:r>
        <w:t xml:space="preserve"> Контрол на транспортни средства в реално време.</w:t>
      </w:r>
    </w:p>
  </w:footnote>
  <w:footnote w:id="44">
    <w:p w14:paraId="62484012" w14:textId="77777777" w:rsidR="00406B4D" w:rsidRDefault="00406B4D" w:rsidP="00761800">
      <w:pPr>
        <w:pStyle w:val="FootnoteText"/>
      </w:pPr>
      <w:r>
        <w:rPr>
          <w:rStyle w:val="FootnoteReference"/>
        </w:rPr>
        <w:footnoteRef/>
      </w:r>
      <w:r>
        <w:t xml:space="preserve"> Съвет по икономически и финансови въпроси.</w:t>
      </w:r>
    </w:p>
  </w:footnote>
  <w:footnote w:id="45">
    <w:p w14:paraId="08CECE7B" w14:textId="77777777" w:rsidR="00406B4D" w:rsidRDefault="00406B4D" w:rsidP="00761800">
      <w:pPr>
        <w:pStyle w:val="FootnoteText"/>
      </w:pPr>
      <w:r>
        <w:rPr>
          <w:rStyle w:val="FootnoteReference"/>
        </w:rPr>
        <w:footnoteRef/>
      </w:r>
      <w:r>
        <w:t xml:space="preserve"> Европейска служба за борба с измамите.</w:t>
      </w:r>
    </w:p>
  </w:footnote>
  <w:footnote w:id="46">
    <w:p w14:paraId="00D3F34B" w14:textId="77777777" w:rsidR="00406B4D" w:rsidRDefault="00406B4D" w:rsidP="00761800">
      <w:pPr>
        <w:pStyle w:val="FootnoteText"/>
      </w:pPr>
      <w:r>
        <w:rPr>
          <w:rStyle w:val="FootnoteReference"/>
        </w:rPr>
        <w:footnoteRef/>
      </w:r>
      <w:r>
        <w:t xml:space="preserve"> Закон за корпоративното подоходно облагане.</w:t>
      </w:r>
    </w:p>
  </w:footnote>
  <w:footnote w:id="47">
    <w:p w14:paraId="5E2936F9" w14:textId="77777777" w:rsidR="00406B4D" w:rsidRDefault="00406B4D" w:rsidP="00761800">
      <w:pPr>
        <w:pStyle w:val="FootnoteText"/>
      </w:pPr>
      <w:r>
        <w:rPr>
          <w:rStyle w:val="FootnoteReference"/>
        </w:rPr>
        <w:footnoteRef/>
      </w:r>
      <w:r>
        <w:t xml:space="preserve"> Малки и средни предприятия.</w:t>
      </w:r>
    </w:p>
  </w:footnote>
  <w:footnote w:id="48">
    <w:p w14:paraId="6E2EC72C" w14:textId="77777777" w:rsidR="00406B4D" w:rsidRDefault="00406B4D" w:rsidP="00761800">
      <w:pPr>
        <w:pStyle w:val="FootnoteText"/>
      </w:pPr>
      <w:r>
        <w:rPr>
          <w:rStyle w:val="FootnoteReference"/>
        </w:rPr>
        <w:footnoteRef/>
      </w:r>
      <w:r>
        <w:t xml:space="preserve"> Закон за данъците върху доходите на физическите лица.</w:t>
      </w:r>
    </w:p>
  </w:footnote>
  <w:footnote w:id="49">
    <w:p w14:paraId="139BCAB0" w14:textId="77777777" w:rsidR="00406B4D" w:rsidRDefault="00406B4D" w:rsidP="00761800">
      <w:pPr>
        <w:pStyle w:val="FootnoteText"/>
      </w:pPr>
      <w:r>
        <w:rPr>
          <w:rStyle w:val="FootnoteReference"/>
        </w:rPr>
        <w:footnoteRef/>
      </w:r>
      <w:r>
        <w:t xml:space="preserve"> Договор за функционирането на Европейския съюз.</w:t>
      </w:r>
    </w:p>
  </w:footnote>
  <w:footnote w:id="50">
    <w:p w14:paraId="5ABB8466" w14:textId="77777777" w:rsidR="00406B4D" w:rsidRDefault="00406B4D" w:rsidP="00761800">
      <w:pPr>
        <w:pStyle w:val="FootnoteText"/>
      </w:pPr>
      <w:r>
        <w:rPr>
          <w:rStyle w:val="FootnoteReference"/>
        </w:rPr>
        <w:footnoteRef/>
      </w:r>
      <w:r>
        <w:t xml:space="preserve"> </w:t>
      </w:r>
      <w:r w:rsidRPr="00B96920">
        <w:t>Данък върху доходите на физическите лица.</w:t>
      </w:r>
    </w:p>
  </w:footnote>
  <w:footnote w:id="51">
    <w:p w14:paraId="66D31B50" w14:textId="77777777" w:rsidR="00406B4D" w:rsidRDefault="00406B4D" w:rsidP="00761800">
      <w:pPr>
        <w:pStyle w:val="FootnoteText"/>
      </w:pPr>
      <w:r>
        <w:rPr>
          <w:rStyle w:val="FootnoteReference"/>
        </w:rPr>
        <w:footnoteRef/>
      </w:r>
      <w:r>
        <w:t xml:space="preserve"> Закон за държавния служител.</w:t>
      </w:r>
    </w:p>
  </w:footnote>
  <w:footnote w:id="52">
    <w:p w14:paraId="4BCBB93C" w14:textId="77777777" w:rsidR="00406B4D" w:rsidRDefault="00406B4D" w:rsidP="00761800">
      <w:pPr>
        <w:pStyle w:val="FootnoteText"/>
      </w:pPr>
      <w:r>
        <w:rPr>
          <w:rStyle w:val="FootnoteReference"/>
        </w:rPr>
        <w:footnoteRef/>
      </w:r>
      <w:r>
        <w:t xml:space="preserve"> Закон за съдебната власт.</w:t>
      </w:r>
    </w:p>
  </w:footnote>
  <w:footnote w:id="53">
    <w:p w14:paraId="618DFF39" w14:textId="77777777" w:rsidR="00406B4D" w:rsidRDefault="00406B4D" w:rsidP="00761800">
      <w:pPr>
        <w:pStyle w:val="FootnoteText"/>
      </w:pPr>
      <w:r>
        <w:rPr>
          <w:rStyle w:val="FootnoteReference"/>
        </w:rPr>
        <w:footnoteRef/>
      </w:r>
      <w:r>
        <w:t xml:space="preserve"> Закон за гарантираните вземания за работниците и служителите при несъстоятелност на работодателя.</w:t>
      </w:r>
    </w:p>
  </w:footnote>
  <w:footnote w:id="54">
    <w:p w14:paraId="1F85120A" w14:textId="77777777" w:rsidR="00406B4D" w:rsidRDefault="00406B4D" w:rsidP="00761800">
      <w:pPr>
        <w:pStyle w:val="FootnoteText"/>
      </w:pPr>
      <w:r>
        <w:rPr>
          <w:rStyle w:val="FootnoteReference"/>
        </w:rPr>
        <w:footnoteRef/>
      </w:r>
      <w:r>
        <w:t xml:space="preserve"> Въглероден диоксид.</w:t>
      </w:r>
    </w:p>
  </w:footnote>
  <w:footnote w:id="55">
    <w:p w14:paraId="4F11C56D" w14:textId="77777777" w:rsidR="00406B4D" w:rsidRDefault="00406B4D" w:rsidP="00761800">
      <w:pPr>
        <w:pStyle w:val="FootnoteText"/>
      </w:pPr>
      <w:r>
        <w:rPr>
          <w:rStyle w:val="FootnoteReference"/>
        </w:rPr>
        <w:footnoteRef/>
      </w:r>
      <w:r>
        <w:t xml:space="preserve"> Закон</w:t>
      </w:r>
      <w:r w:rsidRPr="00DF79B2">
        <w:t xml:space="preserve"> за събирането на пр</w:t>
      </w:r>
      <w:r>
        <w:t>иходи и извършването на разходи.</w:t>
      </w:r>
    </w:p>
  </w:footnote>
  <w:footnote w:id="56">
    <w:p w14:paraId="77CFBE7C" w14:textId="77777777" w:rsidR="00406B4D" w:rsidRDefault="00406B4D" w:rsidP="00761800">
      <w:pPr>
        <w:pStyle w:val="FootnoteText"/>
      </w:pPr>
      <w:r>
        <w:rPr>
          <w:rStyle w:val="FootnoteReference"/>
        </w:rPr>
        <w:footnoteRef/>
      </w:r>
      <w:r>
        <w:t xml:space="preserve"> Европейско икономическо пространство.</w:t>
      </w:r>
    </w:p>
  </w:footnote>
  <w:footnote w:id="57">
    <w:p w14:paraId="77CB9DB8" w14:textId="77777777" w:rsidR="00406B4D" w:rsidRDefault="00406B4D" w:rsidP="00761800">
      <w:pPr>
        <w:pStyle w:val="FootnoteText"/>
      </w:pPr>
      <w:r>
        <w:rPr>
          <w:rStyle w:val="FootnoteReference"/>
        </w:rPr>
        <w:footnoteRef/>
      </w:r>
      <w:r>
        <w:t xml:space="preserve"> Въоръжени сили.</w:t>
      </w:r>
    </w:p>
  </w:footnote>
  <w:footnote w:id="58">
    <w:p w14:paraId="596E93A7" w14:textId="77777777" w:rsidR="00406B4D" w:rsidRDefault="00406B4D" w:rsidP="00761800">
      <w:pPr>
        <w:pStyle w:val="FootnoteText"/>
      </w:pPr>
      <w:r>
        <w:rPr>
          <w:rStyle w:val="FootnoteReference"/>
        </w:rPr>
        <w:footnoteRef/>
      </w:r>
      <w:r>
        <w:t xml:space="preserve"> Решение на Министерския съвет.</w:t>
      </w:r>
    </w:p>
  </w:footnote>
  <w:footnote w:id="59">
    <w:p w14:paraId="02235898" w14:textId="77777777" w:rsidR="00406B4D" w:rsidRDefault="00406B4D" w:rsidP="00761800">
      <w:pPr>
        <w:pStyle w:val="FootnoteText"/>
      </w:pPr>
      <w:r>
        <w:rPr>
          <w:rStyle w:val="FootnoteReference"/>
        </w:rPr>
        <w:footnoteRef/>
      </w:r>
      <w:r>
        <w:t xml:space="preserve"> Военноморски сили.</w:t>
      </w:r>
    </w:p>
  </w:footnote>
  <w:footnote w:id="60">
    <w:p w14:paraId="210A7A6A" w14:textId="77777777" w:rsidR="00406B4D" w:rsidRDefault="00406B4D" w:rsidP="00761800">
      <w:pPr>
        <w:pStyle w:val="FootnoteText"/>
      </w:pPr>
      <w:r>
        <w:rPr>
          <w:rStyle w:val="FootnoteReference"/>
        </w:rPr>
        <w:footnoteRef/>
      </w:r>
      <w:r>
        <w:t xml:space="preserve"> Министерство на отбраната.</w:t>
      </w:r>
    </w:p>
  </w:footnote>
  <w:footnote w:id="61">
    <w:p w14:paraId="2A06FB05" w14:textId="77777777" w:rsidR="00406B4D" w:rsidRDefault="00406B4D" w:rsidP="00761800">
      <w:pPr>
        <w:pStyle w:val="FootnoteText"/>
      </w:pPr>
      <w:r>
        <w:rPr>
          <w:rStyle w:val="FootnoteReference"/>
        </w:rPr>
        <w:footnoteRef/>
      </w:r>
      <w:r>
        <w:t xml:space="preserve"> Държавни висши военни училища.</w:t>
      </w:r>
    </w:p>
  </w:footnote>
  <w:footnote w:id="62">
    <w:p w14:paraId="68D8B65F" w14:textId="77777777" w:rsidR="00406B4D" w:rsidRDefault="00406B4D" w:rsidP="00761800">
      <w:pPr>
        <w:pStyle w:val="FootnoteText"/>
      </w:pPr>
      <w:r>
        <w:rPr>
          <w:rStyle w:val="FootnoteReference"/>
        </w:rPr>
        <w:footnoteRef/>
      </w:r>
      <w:r>
        <w:t xml:space="preserve"> Висш съдебен съвет.</w:t>
      </w:r>
    </w:p>
  </w:footnote>
  <w:footnote w:id="63">
    <w:p w14:paraId="5CD94642" w14:textId="77777777" w:rsidR="00406B4D" w:rsidRPr="00E90A26" w:rsidRDefault="00406B4D" w:rsidP="00761800">
      <w:pPr>
        <w:pStyle w:val="FootnoteText"/>
      </w:pPr>
      <w:r>
        <w:rPr>
          <w:rStyle w:val="FootnoteReference"/>
        </w:rPr>
        <w:footnoteRef/>
      </w:r>
      <w:r>
        <w:t xml:space="preserve"> Европейска мултидисциплинарна платформа срещу престъпни заплахи.</w:t>
      </w:r>
    </w:p>
  </w:footnote>
  <w:footnote w:id="64">
    <w:p w14:paraId="16693376" w14:textId="77777777" w:rsidR="00406B4D" w:rsidRDefault="00406B4D" w:rsidP="00761800">
      <w:pPr>
        <w:pStyle w:val="FootnoteText"/>
      </w:pPr>
      <w:r>
        <w:rPr>
          <w:rStyle w:val="FootnoteReference"/>
        </w:rPr>
        <w:footnoteRef/>
      </w:r>
      <w:r>
        <w:t xml:space="preserve"> Организация на Северноатлантическия договор.</w:t>
      </w:r>
    </w:p>
  </w:footnote>
  <w:footnote w:id="65">
    <w:p w14:paraId="5CE7F568" w14:textId="77777777" w:rsidR="00406B4D" w:rsidRDefault="00406B4D" w:rsidP="00761800">
      <w:pPr>
        <w:pStyle w:val="FootnoteText"/>
      </w:pPr>
      <w:r>
        <w:rPr>
          <w:rStyle w:val="FootnoteReference"/>
        </w:rPr>
        <w:footnoteRef/>
      </w:r>
      <w:r>
        <w:t xml:space="preserve"> Организация на обединените нации.</w:t>
      </w:r>
    </w:p>
  </w:footnote>
  <w:footnote w:id="66">
    <w:p w14:paraId="49BE71D2" w14:textId="77777777" w:rsidR="00406B4D" w:rsidRDefault="00406B4D" w:rsidP="00761800">
      <w:pPr>
        <w:pStyle w:val="FootnoteText"/>
      </w:pPr>
      <w:r>
        <w:rPr>
          <w:rStyle w:val="FootnoteReference"/>
        </w:rPr>
        <w:footnoteRef/>
      </w:r>
      <w:r>
        <w:t xml:space="preserve"> Организация за сигурност и сътрудничество в Европа.</w:t>
      </w:r>
    </w:p>
  </w:footnote>
  <w:footnote w:id="67">
    <w:p w14:paraId="2A21535E" w14:textId="77777777" w:rsidR="00406B4D" w:rsidRDefault="00406B4D" w:rsidP="00761800">
      <w:pPr>
        <w:pStyle w:val="FootnoteText"/>
      </w:pPr>
      <w:r>
        <w:rPr>
          <w:rStyle w:val="FootnoteReference"/>
        </w:rPr>
        <w:footnoteRef/>
      </w:r>
      <w:r>
        <w:t xml:space="preserve"> Европейски фонд за морско дело и рибарство.</w:t>
      </w:r>
    </w:p>
  </w:footnote>
  <w:footnote w:id="68">
    <w:p w14:paraId="5B87FAF7" w14:textId="77777777" w:rsidR="00406B4D" w:rsidRDefault="00406B4D" w:rsidP="00761800">
      <w:pPr>
        <w:pStyle w:val="FootnoteText"/>
      </w:pPr>
      <w:r>
        <w:rPr>
          <w:rStyle w:val="FootnoteReference"/>
        </w:rPr>
        <w:footnoteRef/>
      </w:r>
      <w:r>
        <w:t xml:space="preserve"> Европейски фонд за морско дело, рибарство и аквакултури.</w:t>
      </w:r>
    </w:p>
  </w:footnote>
  <w:footnote w:id="69">
    <w:p w14:paraId="0AB3A9F4" w14:textId="77777777" w:rsidR="00406B4D" w:rsidRDefault="00406B4D" w:rsidP="00761800">
      <w:pPr>
        <w:pStyle w:val="FootnoteText"/>
      </w:pPr>
      <w:r>
        <w:rPr>
          <w:rStyle w:val="FootnoteReference"/>
        </w:rPr>
        <w:footnoteRef/>
      </w:r>
      <w:r>
        <w:t xml:space="preserve"> Закон за местните данци и такси.</w:t>
      </w:r>
    </w:p>
  </w:footnote>
  <w:footnote w:id="70">
    <w:p w14:paraId="298BAF69" w14:textId="77777777" w:rsidR="00406B4D" w:rsidRDefault="00406B4D" w:rsidP="00761800">
      <w:pPr>
        <w:pStyle w:val="FootnoteText"/>
      </w:pPr>
      <w:r>
        <w:rPr>
          <w:rStyle w:val="FootnoteReference"/>
        </w:rPr>
        <w:footnoteRef/>
      </w:r>
      <w:r>
        <w:t xml:space="preserve"> Министерство на външните работи.</w:t>
      </w:r>
    </w:p>
  </w:footnote>
  <w:footnote w:id="71">
    <w:p w14:paraId="6ED52AB4" w14:textId="77777777" w:rsidR="00406B4D" w:rsidRDefault="00406B4D" w:rsidP="00761800">
      <w:pPr>
        <w:pStyle w:val="FootnoteText"/>
      </w:pPr>
      <w:r>
        <w:rPr>
          <w:rStyle w:val="FootnoteReference"/>
        </w:rPr>
        <w:footnoteRef/>
      </w:r>
      <w:r>
        <w:t xml:space="preserve"> Национална визова информационна система.</w:t>
      </w:r>
    </w:p>
  </w:footnote>
  <w:footnote w:id="72">
    <w:p w14:paraId="02D43A40" w14:textId="77777777" w:rsidR="00406B4D" w:rsidRDefault="00406B4D" w:rsidP="00761800">
      <w:pPr>
        <w:pStyle w:val="FootnoteText"/>
      </w:pPr>
      <w:r w:rsidRPr="008F07EF">
        <w:rPr>
          <w:rStyle w:val="FootnoteReference"/>
        </w:rPr>
        <w:footnoteRef/>
      </w:r>
      <w:r w:rsidRPr="008F07EF">
        <w:t xml:space="preserve"> Решение (ЕС, Евратом) 2020/2053 на Съвета oт 14 декември 2020 година относно системата на собствените ресурси на ЕС и за отмяна на Решение 2014/335/ЕС, Евратом; Регламент (ЕС, Евратом), както и Регламент 2024/765 на Съвета от 29 февруари 2024 година за изменение на Регламент (EC, Евратом) 2020/2093 за определяне на многогодишната финансова рам</w:t>
      </w:r>
      <w:r>
        <w:t>ка (МФР) за годините 2021-2027.</w:t>
      </w:r>
    </w:p>
  </w:footnote>
  <w:footnote w:id="73">
    <w:p w14:paraId="22CB4A4C" w14:textId="77777777" w:rsidR="00406B4D" w:rsidRDefault="00406B4D" w:rsidP="00761800">
      <w:pPr>
        <w:pStyle w:val="FootnoteText"/>
      </w:pPr>
      <w:r w:rsidRPr="008F07EF">
        <w:rPr>
          <w:rStyle w:val="FootnoteReference"/>
        </w:rPr>
        <w:footnoteRef/>
      </w:r>
      <w:r w:rsidRPr="008F07EF">
        <w:t xml:space="preserve">  Традиционни собствени ресурси (мита) и собствени ресурси на база брутния национален доход (БНД), данъка върху добавената стойност (ДДС), нерециклираните отпадъци от опаковки от пластмаса и участието на България във финансирането на брутното намаление за Австрия, Дания, Германия, Нидерландия и Швеция и за вноска за корекция за неучастие на съответни държави членки в някои политики за свобода, сигурност и правосъдие, вкл. съответните суми за т.нар. „ДДС- и БНД-баланси“ и очаквания размер за доплащане по баланса за нерециклираните отпадъци от опаковки от пластмаса, които следва да се платят през 2026 г. съгласно Регл</w:t>
      </w:r>
      <w:r>
        <w:t>амент (ЕС, Евратом) № 609/2014.</w:t>
      </w:r>
    </w:p>
  </w:footnote>
  <w:footnote w:id="74">
    <w:p w14:paraId="6BEDFD0E" w14:textId="77777777" w:rsidR="00406B4D" w:rsidRDefault="00406B4D" w:rsidP="00761800">
      <w:pPr>
        <w:pStyle w:val="FootnoteText"/>
      </w:pPr>
      <w:r>
        <w:rPr>
          <w:rStyle w:val="FootnoteReference"/>
        </w:rPr>
        <w:footnoteRef/>
      </w:r>
      <w:r>
        <w:t xml:space="preserve"> Държавни ценни книжа.</w:t>
      </w:r>
    </w:p>
  </w:footnote>
  <w:footnote w:id="75">
    <w:p w14:paraId="241202D1" w14:textId="77777777" w:rsidR="00406B4D" w:rsidRDefault="00406B4D" w:rsidP="00761800">
      <w:pPr>
        <w:pStyle w:val="FootnoteText"/>
      </w:pPr>
      <w:r>
        <w:rPr>
          <w:rStyle w:val="FootnoteReference"/>
        </w:rPr>
        <w:footnoteRef/>
      </w:r>
      <w:r>
        <w:t xml:space="preserve"> Международни капиталови пазари.</w:t>
      </w:r>
    </w:p>
  </w:footnote>
  <w:footnote w:id="76">
    <w:p w14:paraId="6202C1CC" w14:textId="77777777" w:rsidR="00406B4D" w:rsidRDefault="00406B4D" w:rsidP="00761800">
      <w:pPr>
        <w:pStyle w:val="FootnoteText"/>
      </w:pPr>
      <w:r>
        <w:rPr>
          <w:rStyle w:val="FootnoteReference"/>
        </w:rPr>
        <w:footnoteRef/>
      </w:r>
      <w:r>
        <w:t xml:space="preserve"> </w:t>
      </w:r>
      <w:r w:rsidRPr="00856280">
        <w:t>Европейска инвестиционна банка</w:t>
      </w:r>
      <w:r>
        <w:t>.</w:t>
      </w:r>
    </w:p>
  </w:footnote>
  <w:footnote w:id="77">
    <w:p w14:paraId="1ED19FF4" w14:textId="77777777" w:rsidR="00406B4D" w:rsidRDefault="00406B4D" w:rsidP="00761800">
      <w:pPr>
        <w:pStyle w:val="FootnoteText"/>
      </w:pPr>
      <w:r>
        <w:rPr>
          <w:rStyle w:val="FootnoteReference"/>
        </w:rPr>
        <w:footnoteRef/>
      </w:r>
      <w:r>
        <w:t xml:space="preserve"> </w:t>
      </w:r>
      <w:r w:rsidRPr="00856280">
        <w:t>Банка за развитие на Съвета на Европа.</w:t>
      </w:r>
    </w:p>
  </w:footnote>
  <w:footnote w:id="78">
    <w:p w14:paraId="6AF21C3E" w14:textId="77777777" w:rsidR="00406B4D" w:rsidRDefault="00406B4D" w:rsidP="00761800">
      <w:pPr>
        <w:pStyle w:val="FootnoteText"/>
      </w:pPr>
      <w:r>
        <w:rPr>
          <w:rStyle w:val="FootnoteReference"/>
        </w:rPr>
        <w:footnoteRef/>
      </w:r>
      <w:r>
        <w:t xml:space="preserve">  Част </w:t>
      </w:r>
      <w:r>
        <w:rPr>
          <w:lang w:val="en-US"/>
        </w:rPr>
        <w:t>VI</w:t>
      </w:r>
      <w:r>
        <w:t>.</w:t>
      </w:r>
      <w:r w:rsidRPr="00DD6ECE">
        <w:t xml:space="preserve"> Политика по дълга и финансирането за периода 2026-2028 г.</w:t>
      </w:r>
      <w:r w:rsidRPr="00811205">
        <w:t xml:space="preserve">, </w:t>
      </w:r>
      <w:r w:rsidRPr="00811205">
        <w:rPr>
          <w:szCs w:val="24"/>
        </w:rPr>
        <w:t>т.4 Други операции в частта на финансирането, т.4.4 Придобиване на дялове, акции и съучастия</w:t>
      </w:r>
      <w:r>
        <w:rPr>
          <w:szCs w:val="24"/>
        </w:rPr>
        <w:t>.</w:t>
      </w:r>
    </w:p>
  </w:footnote>
  <w:footnote w:id="79">
    <w:p w14:paraId="65327719" w14:textId="77777777" w:rsidR="00406B4D" w:rsidRDefault="00406B4D" w:rsidP="00761800">
      <w:pPr>
        <w:pStyle w:val="FootnoteText"/>
      </w:pPr>
      <w:r>
        <w:rPr>
          <w:rStyle w:val="FootnoteReference"/>
        </w:rPr>
        <w:footnoteRef/>
      </w:r>
      <w:r>
        <w:t xml:space="preserve"> </w:t>
      </w:r>
      <w:r w:rsidRPr="00333D34">
        <w:t>Международна банка за възстановяване и развитие</w:t>
      </w:r>
      <w:r>
        <w:t>.</w:t>
      </w:r>
    </w:p>
  </w:footnote>
  <w:footnote w:id="80">
    <w:p w14:paraId="5C0FEE98" w14:textId="77777777" w:rsidR="00406B4D" w:rsidRDefault="00406B4D" w:rsidP="00761800">
      <w:pPr>
        <w:pStyle w:val="FootnoteText"/>
      </w:pPr>
      <w:r>
        <w:rPr>
          <w:rStyle w:val="FootnoteReference"/>
        </w:rPr>
        <w:footnoteRef/>
      </w:r>
      <w:r>
        <w:t xml:space="preserve"> Закон за Българската банка за развитие.</w:t>
      </w:r>
    </w:p>
  </w:footnote>
  <w:footnote w:id="81">
    <w:p w14:paraId="6A41285D" w14:textId="77777777" w:rsidR="00406B4D" w:rsidRDefault="00406B4D" w:rsidP="00761800">
      <w:pPr>
        <w:pStyle w:val="FootnoteText"/>
      </w:pPr>
      <w:r>
        <w:rPr>
          <w:rStyle w:val="FootnoteReference"/>
        </w:rPr>
        <w:footnoteRef/>
      </w:r>
      <w:r>
        <w:t xml:space="preserve"> </w:t>
      </w:r>
      <w:r w:rsidRPr="000F2489">
        <w:t>Подземно газохранилище</w:t>
      </w:r>
      <w:r>
        <w:t>.</w:t>
      </w:r>
    </w:p>
  </w:footnote>
  <w:footnote w:id="82">
    <w:p w14:paraId="60B66E3F" w14:textId="77777777" w:rsidR="00406B4D" w:rsidRDefault="00406B4D" w:rsidP="00761800">
      <w:pPr>
        <w:pStyle w:val="FootnoteText"/>
      </w:pPr>
      <w:r>
        <w:rPr>
          <w:rStyle w:val="FootnoteReference"/>
        </w:rPr>
        <w:footnoteRef/>
      </w:r>
      <w:r>
        <w:t xml:space="preserve"> Помпено-акумулираща водноелектрическа централа.</w:t>
      </w:r>
    </w:p>
  </w:footnote>
  <w:footnote w:id="83">
    <w:p w14:paraId="51B04765" w14:textId="77777777" w:rsidR="00406B4D" w:rsidRDefault="00406B4D" w:rsidP="00761800">
      <w:pPr>
        <w:pStyle w:val="FootnoteText"/>
      </w:pPr>
      <w:r>
        <w:rPr>
          <w:rStyle w:val="FootnoteReference"/>
        </w:rPr>
        <w:footnoteRef/>
      </w:r>
      <w:r>
        <w:t xml:space="preserve"> Строително-монтажни работи.</w:t>
      </w:r>
    </w:p>
  </w:footnote>
  <w:footnote w:id="84">
    <w:p w14:paraId="72AFC5BB" w14:textId="77777777" w:rsidR="00406B4D" w:rsidRDefault="00406B4D" w:rsidP="00761800">
      <w:pPr>
        <w:pStyle w:val="FootnoteText"/>
      </w:pPr>
      <w:r>
        <w:rPr>
          <w:rStyle w:val="FootnoteReference"/>
        </w:rPr>
        <w:footnoteRef/>
      </w:r>
      <w:r>
        <w:t xml:space="preserve"> </w:t>
      </w:r>
      <w:r w:rsidRPr="00C479AD">
        <w:rPr>
          <w:sz w:val="18"/>
          <w:szCs w:val="18"/>
        </w:rPr>
        <w:t>European Commission (202</w:t>
      </w:r>
      <w:r>
        <w:rPr>
          <w:sz w:val="18"/>
          <w:szCs w:val="18"/>
        </w:rPr>
        <w:t>6</w:t>
      </w:r>
      <w:r w:rsidRPr="00C479AD">
        <w:rPr>
          <w:sz w:val="18"/>
          <w:szCs w:val="18"/>
        </w:rPr>
        <w:t>). “Debt Sustainability Monitor 202</w:t>
      </w:r>
      <w:r>
        <w:rPr>
          <w:sz w:val="18"/>
          <w:szCs w:val="18"/>
        </w:rPr>
        <w:t>5</w:t>
      </w:r>
      <w:r w:rsidRPr="00C479AD">
        <w:rPr>
          <w:sz w:val="18"/>
          <w:szCs w:val="18"/>
        </w:rPr>
        <w:t xml:space="preserve">”. Institutional Paper </w:t>
      </w:r>
      <w:r>
        <w:rPr>
          <w:sz w:val="18"/>
          <w:szCs w:val="18"/>
          <w:lang w:val="en-US"/>
        </w:rPr>
        <w:t>3</w:t>
      </w:r>
      <w:r>
        <w:rPr>
          <w:sz w:val="18"/>
          <w:szCs w:val="18"/>
        </w:rPr>
        <w:t>32</w:t>
      </w:r>
    </w:p>
  </w:footnote>
  <w:footnote w:id="85">
    <w:p w14:paraId="5C41812E" w14:textId="77777777" w:rsidR="00406B4D" w:rsidRPr="00166FEE" w:rsidRDefault="00406B4D" w:rsidP="00761800">
      <w:pPr>
        <w:pStyle w:val="FootnoteText"/>
        <w:rPr>
          <w:sz w:val="18"/>
          <w:szCs w:val="18"/>
        </w:rPr>
      </w:pPr>
      <w:r>
        <w:rPr>
          <w:rStyle w:val="FootnoteReference"/>
        </w:rPr>
        <w:footnoteRef/>
      </w:r>
      <w:r>
        <w:t xml:space="preserve"> </w:t>
      </w:r>
      <w:r w:rsidRPr="00166FEE">
        <w:rPr>
          <w:sz w:val="18"/>
          <w:szCs w:val="18"/>
        </w:rPr>
        <w:t>S1&lt;</w:t>
      </w:r>
      <w:r w:rsidRPr="00E26053">
        <w:rPr>
          <w:sz w:val="18"/>
          <w:szCs w:val="18"/>
        </w:rPr>
        <w:t>2</w:t>
      </w:r>
      <w:r w:rsidRPr="00166FEE">
        <w:rPr>
          <w:sz w:val="18"/>
          <w:szCs w:val="18"/>
        </w:rPr>
        <w:t xml:space="preserve">  – нисък риск; </w:t>
      </w:r>
      <w:r w:rsidRPr="00E26053">
        <w:rPr>
          <w:sz w:val="18"/>
          <w:szCs w:val="18"/>
        </w:rPr>
        <w:t>2</w:t>
      </w:r>
      <w:r w:rsidRPr="00166FEE">
        <w:rPr>
          <w:sz w:val="18"/>
          <w:szCs w:val="18"/>
        </w:rPr>
        <w:t>&lt;S1&lt;</w:t>
      </w:r>
      <w:r w:rsidRPr="00E26053">
        <w:rPr>
          <w:sz w:val="18"/>
          <w:szCs w:val="18"/>
        </w:rPr>
        <w:t>6</w:t>
      </w:r>
      <w:r w:rsidRPr="00166FEE">
        <w:rPr>
          <w:sz w:val="18"/>
          <w:szCs w:val="18"/>
        </w:rPr>
        <w:t xml:space="preserve"> – умерен риск; S1&gt;</w:t>
      </w:r>
      <w:r w:rsidRPr="00E26053">
        <w:rPr>
          <w:sz w:val="18"/>
          <w:szCs w:val="18"/>
        </w:rPr>
        <w:t>6</w:t>
      </w:r>
      <w:r w:rsidRPr="00166FEE">
        <w:rPr>
          <w:sz w:val="18"/>
          <w:szCs w:val="18"/>
        </w:rPr>
        <w:t xml:space="preserve"> – висок риск;</w:t>
      </w:r>
    </w:p>
    <w:p w14:paraId="5805B16E" w14:textId="77777777" w:rsidR="00406B4D" w:rsidRPr="007A4D05" w:rsidRDefault="00406B4D" w:rsidP="00761800">
      <w:pPr>
        <w:pStyle w:val="FootnoteText"/>
        <w:rPr>
          <w:sz w:val="18"/>
          <w:szCs w:val="18"/>
        </w:rPr>
      </w:pPr>
      <w:r w:rsidRPr="00166FEE">
        <w:rPr>
          <w:sz w:val="18"/>
          <w:szCs w:val="18"/>
        </w:rPr>
        <w:t xml:space="preserve">  </w:t>
      </w:r>
      <w:r>
        <w:rPr>
          <w:sz w:val="18"/>
          <w:szCs w:val="18"/>
        </w:rPr>
        <w:t xml:space="preserve">  </w:t>
      </w:r>
      <w:r w:rsidRPr="00166FEE">
        <w:rPr>
          <w:sz w:val="18"/>
          <w:szCs w:val="18"/>
        </w:rPr>
        <w:t>S2&lt;2 – нисък риск; 2&lt;S2&lt;6 – умерен риск; S2&gt;6 – висок риск.</w:t>
      </w:r>
    </w:p>
  </w:footnote>
  <w:footnote w:id="86">
    <w:p w14:paraId="6D749C21" w14:textId="77777777" w:rsidR="00406B4D" w:rsidRPr="00AA1E9E" w:rsidRDefault="00406B4D" w:rsidP="00761800">
      <w:pPr>
        <w:pStyle w:val="FootnoteText"/>
        <w:rPr>
          <w:sz w:val="16"/>
          <w:szCs w:val="16"/>
        </w:rPr>
      </w:pPr>
      <w:r w:rsidRPr="00AA1E9E">
        <w:rPr>
          <w:rStyle w:val="FootnoteReference"/>
          <w:sz w:val="16"/>
          <w:szCs w:val="16"/>
        </w:rPr>
        <w:footnoteRef/>
      </w:r>
      <w:r w:rsidRPr="00AA1E9E">
        <w:rPr>
          <w:sz w:val="16"/>
          <w:szCs w:val="16"/>
        </w:rPr>
        <w:t xml:space="preserve"> С оглед съпоставимост с АСБП 2026-2028 г. данните за 2023 г. и 2024 г. са представени в млн. евро.</w:t>
      </w:r>
    </w:p>
  </w:footnote>
  <w:footnote w:id="87">
    <w:p w14:paraId="2D968FA8" w14:textId="77777777" w:rsidR="00406B4D" w:rsidRPr="00AA1E9E" w:rsidRDefault="00406B4D" w:rsidP="00761800">
      <w:pPr>
        <w:pStyle w:val="FootnoteText"/>
        <w:rPr>
          <w:sz w:val="16"/>
          <w:szCs w:val="16"/>
        </w:rPr>
      </w:pPr>
      <w:r w:rsidRPr="00AA1E9E">
        <w:rPr>
          <w:rStyle w:val="FootnoteReference"/>
          <w:sz w:val="16"/>
          <w:szCs w:val="16"/>
        </w:rPr>
        <w:footnoteRef/>
      </w:r>
      <w:r w:rsidRPr="00AA1E9E">
        <w:rPr>
          <w:sz w:val="16"/>
          <w:szCs w:val="16"/>
        </w:rPr>
        <w:t xml:space="preserve"> Разчети към ЗДБРБ за 2024 г. (oбн., ДВ., бр. 108 от 30.12.2023 г.).</w:t>
      </w:r>
    </w:p>
  </w:footnote>
  <w:footnote w:id="88">
    <w:p w14:paraId="0411E8A4" w14:textId="77777777" w:rsidR="00406B4D" w:rsidRPr="00AA1E9E" w:rsidRDefault="00406B4D" w:rsidP="00761800">
      <w:pPr>
        <w:pStyle w:val="FootnoteText"/>
        <w:ind w:left="180" w:hanging="180"/>
        <w:rPr>
          <w:sz w:val="16"/>
          <w:szCs w:val="16"/>
        </w:rPr>
      </w:pPr>
      <w:r w:rsidRPr="00AA1E9E">
        <w:rPr>
          <w:rStyle w:val="FootnoteReference"/>
          <w:sz w:val="16"/>
          <w:szCs w:val="16"/>
        </w:rPr>
        <w:footnoteRef/>
      </w:r>
      <w:r w:rsidRPr="00AA1E9E">
        <w:rPr>
          <w:sz w:val="16"/>
          <w:szCs w:val="16"/>
        </w:rPr>
        <w:t xml:space="preserve"> Европейски средства - включват средствата по предприсъединителни инструменти на ЕС и по оперативни програми от Кохезионния и Структурните фондове на ЕС (управлявани от Националния фонд към МФ), Механизма за възстановяване и устойчивост, Европейския земеделски фонд за развитие на селските райони</w:t>
      </w:r>
      <w:r w:rsidRPr="00AA1E9E">
        <w:rPr>
          <w:sz w:val="16"/>
          <w:szCs w:val="16"/>
          <w:lang w:val="ru-RU"/>
        </w:rPr>
        <w:t xml:space="preserve">, </w:t>
      </w:r>
      <w:r w:rsidRPr="00AA1E9E">
        <w:rPr>
          <w:sz w:val="16"/>
          <w:szCs w:val="16"/>
        </w:rPr>
        <w:t xml:space="preserve">Европейския фонд за гарантиране на земеделието, и Европейския фонд за рибарство (управлявани от Разплащателната агенция към ДФ „Земеделие“), както и други програми и проекти, финансирани от фондове и институции на ЕС. В европейските средства участват и средствата от национално съфинансиране. </w:t>
      </w:r>
    </w:p>
  </w:footnote>
  <w:footnote w:id="89">
    <w:p w14:paraId="3E168F6E" w14:textId="77777777" w:rsidR="00406B4D" w:rsidRPr="00305124" w:rsidRDefault="00406B4D" w:rsidP="00761800">
      <w:pPr>
        <w:pStyle w:val="FootnoteText"/>
        <w:rPr>
          <w:sz w:val="16"/>
          <w:szCs w:val="16"/>
        </w:rPr>
      </w:pPr>
      <w:r w:rsidRPr="00305124">
        <w:rPr>
          <w:rStyle w:val="FootnoteReference"/>
          <w:sz w:val="16"/>
          <w:szCs w:val="16"/>
        </w:rPr>
        <w:footnoteRef/>
      </w:r>
      <w:r w:rsidRPr="00305124">
        <w:rPr>
          <w:sz w:val="16"/>
          <w:szCs w:val="16"/>
        </w:rPr>
        <w:t xml:space="preserve"> С оглед съпоставимост с АСБП 2026-2028 г. данните за 2024 г. и 2025 г. са представени в млн. евро.</w:t>
      </w:r>
    </w:p>
  </w:footnote>
  <w:footnote w:id="90">
    <w:p w14:paraId="02893D1D" w14:textId="77777777" w:rsidR="00406B4D" w:rsidRPr="00305124" w:rsidRDefault="00406B4D" w:rsidP="00761800">
      <w:pPr>
        <w:pStyle w:val="FootnoteText"/>
        <w:rPr>
          <w:sz w:val="16"/>
          <w:szCs w:val="16"/>
        </w:rPr>
      </w:pPr>
      <w:r w:rsidRPr="00305124">
        <w:rPr>
          <w:rStyle w:val="FootnoteReference"/>
          <w:sz w:val="16"/>
          <w:szCs w:val="16"/>
        </w:rPr>
        <w:footnoteRef/>
      </w:r>
      <w:r w:rsidRPr="00305124">
        <w:rPr>
          <w:sz w:val="16"/>
          <w:szCs w:val="16"/>
        </w:rPr>
        <w:t xml:space="preserve"> Разчети към ЗДБРБ за 202</w:t>
      </w:r>
      <w:r w:rsidRPr="00305124">
        <w:rPr>
          <w:sz w:val="16"/>
          <w:szCs w:val="16"/>
          <w:lang w:val="ru-RU"/>
        </w:rPr>
        <w:t>5</w:t>
      </w:r>
      <w:r w:rsidRPr="00305124">
        <w:rPr>
          <w:sz w:val="16"/>
          <w:szCs w:val="16"/>
        </w:rPr>
        <w:t xml:space="preserve"> г. (oбн., ДВ., бр. </w:t>
      </w:r>
      <w:r w:rsidRPr="00305124">
        <w:rPr>
          <w:sz w:val="16"/>
          <w:szCs w:val="16"/>
          <w:lang w:val="ru-RU"/>
        </w:rPr>
        <w:t>2</w:t>
      </w:r>
      <w:r w:rsidRPr="00305124">
        <w:rPr>
          <w:sz w:val="16"/>
          <w:szCs w:val="16"/>
        </w:rPr>
        <w:t xml:space="preserve">6 от </w:t>
      </w:r>
      <w:r w:rsidRPr="00305124">
        <w:rPr>
          <w:sz w:val="16"/>
          <w:szCs w:val="16"/>
          <w:lang w:val="ru-RU"/>
        </w:rPr>
        <w:t>27</w:t>
      </w:r>
      <w:r w:rsidRPr="00305124">
        <w:rPr>
          <w:sz w:val="16"/>
          <w:szCs w:val="16"/>
        </w:rPr>
        <w:t>.</w:t>
      </w:r>
      <w:r w:rsidRPr="00305124">
        <w:rPr>
          <w:sz w:val="16"/>
          <w:szCs w:val="16"/>
          <w:lang w:val="ru-RU"/>
        </w:rPr>
        <w:t>03</w:t>
      </w:r>
      <w:r w:rsidRPr="00305124">
        <w:rPr>
          <w:sz w:val="16"/>
          <w:szCs w:val="16"/>
        </w:rPr>
        <w:t>.202</w:t>
      </w:r>
      <w:r w:rsidRPr="00305124">
        <w:rPr>
          <w:sz w:val="16"/>
          <w:szCs w:val="16"/>
          <w:lang w:val="ru-RU"/>
        </w:rPr>
        <w:t>5</w:t>
      </w:r>
      <w:r w:rsidRPr="00305124">
        <w:rPr>
          <w:sz w:val="16"/>
          <w:szCs w:val="16"/>
        </w:rPr>
        <w:t xml:space="preserve"> г.).</w:t>
      </w:r>
    </w:p>
  </w:footnote>
  <w:footnote w:id="91">
    <w:p w14:paraId="65FA4651" w14:textId="77777777" w:rsidR="00406B4D" w:rsidRPr="00305124" w:rsidRDefault="00406B4D" w:rsidP="00761800">
      <w:pPr>
        <w:pStyle w:val="FootnoteText"/>
        <w:ind w:left="180" w:hanging="180"/>
        <w:rPr>
          <w:sz w:val="16"/>
          <w:szCs w:val="16"/>
        </w:rPr>
      </w:pPr>
      <w:r w:rsidRPr="00305124">
        <w:rPr>
          <w:rStyle w:val="FootnoteReference"/>
          <w:sz w:val="16"/>
          <w:szCs w:val="16"/>
        </w:rPr>
        <w:footnoteRef/>
      </w:r>
      <w:r w:rsidRPr="00305124">
        <w:rPr>
          <w:sz w:val="16"/>
          <w:szCs w:val="16"/>
        </w:rPr>
        <w:t xml:space="preserve"> Европейски средства - включват средствата по предприсъединителни инструменти на ЕС и по ОП от Кохезионния и Структурните фондове на ЕС (управлявани от НФ към МФ), Механизма за възстановяване и устойчивост, Европейския земеделски фонд за развитие на селските райони</w:t>
      </w:r>
      <w:r w:rsidRPr="00305124">
        <w:rPr>
          <w:sz w:val="16"/>
          <w:szCs w:val="16"/>
          <w:lang w:val="ru-RU"/>
        </w:rPr>
        <w:t xml:space="preserve">, </w:t>
      </w:r>
      <w:r w:rsidRPr="00305124">
        <w:rPr>
          <w:sz w:val="16"/>
          <w:szCs w:val="16"/>
        </w:rPr>
        <w:t xml:space="preserve">Европейския фонд за гарантиране на земеделието, и Европейския фонд за рибарство (управлявани от РА към ДФ „Земеделие“), както и други програми и проекти, финансирани от фондове и институции на ЕС. В европейските средства участват и средствата от национално съфинансиране. </w:t>
      </w:r>
    </w:p>
  </w:footnote>
  <w:footnote w:id="92">
    <w:p w14:paraId="4D6887E4" w14:textId="77777777" w:rsidR="00406B4D" w:rsidRPr="00305124" w:rsidRDefault="00406B4D" w:rsidP="00761800">
      <w:pPr>
        <w:pStyle w:val="FootnoteText"/>
        <w:rPr>
          <w:sz w:val="16"/>
          <w:szCs w:val="16"/>
        </w:rPr>
      </w:pPr>
      <w:r w:rsidRPr="00305124">
        <w:rPr>
          <w:rStyle w:val="FootnoteReference"/>
          <w:sz w:val="16"/>
          <w:szCs w:val="16"/>
        </w:rPr>
        <w:footnoteRef/>
      </w:r>
      <w:r w:rsidRPr="00305124">
        <w:rPr>
          <w:sz w:val="16"/>
          <w:szCs w:val="16"/>
        </w:rPr>
        <w:t xml:space="preserve">   Обхватът на показателя фискален резерв е в съответствие с §1, т. 41 от Допълнителните разпоредби на Закона за публичните финанси.</w:t>
      </w:r>
    </w:p>
  </w:footnote>
  <w:footnote w:id="93">
    <w:p w14:paraId="3E3206FA" w14:textId="77777777" w:rsidR="00406B4D" w:rsidRPr="00FC127B" w:rsidRDefault="00406B4D" w:rsidP="00761800">
      <w:pPr>
        <w:pStyle w:val="FootnoteText"/>
        <w:ind w:left="180" w:hanging="180"/>
        <w:rPr>
          <w:sz w:val="16"/>
          <w:szCs w:val="16"/>
        </w:rPr>
      </w:pPr>
      <w:r w:rsidRPr="00FC127B">
        <w:rPr>
          <w:rStyle w:val="FootnoteReference"/>
          <w:sz w:val="16"/>
          <w:szCs w:val="16"/>
        </w:rPr>
        <w:footnoteRef/>
      </w:r>
      <w:r w:rsidRPr="00FC127B">
        <w:rPr>
          <w:sz w:val="16"/>
          <w:szCs w:val="16"/>
        </w:rPr>
        <w:t xml:space="preserve"> Европейски средства - включват средствата по предприсъединителни инструменти на ЕС и по ОП от Кохезионния и Структурните фондове на ЕС (управлявани от НФ към МФ), Механизма за възстановяване и устойчивост, Европейския земеделски фонд за развитие на селските райони</w:t>
      </w:r>
      <w:r w:rsidRPr="00FC127B">
        <w:rPr>
          <w:sz w:val="16"/>
          <w:szCs w:val="16"/>
          <w:lang w:val="ru-RU"/>
        </w:rPr>
        <w:t xml:space="preserve">, </w:t>
      </w:r>
      <w:r w:rsidRPr="00FC127B">
        <w:rPr>
          <w:sz w:val="16"/>
          <w:szCs w:val="16"/>
        </w:rPr>
        <w:t xml:space="preserve">Европейския фонд за гарантиране на земеделието, и Европейския фонд за рибарство (управлявани от РА към ДФ „Земеделие“), както и други програми и проекти, финансирани от фондове и институции на ЕС. В европейските средства участват и средствата от национално съфинансиране. </w:t>
      </w:r>
    </w:p>
  </w:footnote>
  <w:footnote w:id="94">
    <w:p w14:paraId="204273CC" w14:textId="77777777" w:rsidR="00406B4D" w:rsidRPr="00305124" w:rsidRDefault="00406B4D" w:rsidP="00761800">
      <w:pPr>
        <w:pStyle w:val="FootnoteText"/>
        <w:rPr>
          <w:sz w:val="16"/>
          <w:szCs w:val="16"/>
        </w:rPr>
      </w:pPr>
      <w:r w:rsidRPr="00305124">
        <w:rPr>
          <w:rStyle w:val="FootnoteReference"/>
          <w:sz w:val="16"/>
          <w:szCs w:val="16"/>
        </w:rPr>
        <w:footnoteRef/>
      </w:r>
      <w:r w:rsidRPr="00305124">
        <w:rPr>
          <w:sz w:val="16"/>
          <w:szCs w:val="16"/>
        </w:rPr>
        <w:t xml:space="preserve"> </w:t>
      </w:r>
      <w:r>
        <w:rPr>
          <w:sz w:val="16"/>
          <w:szCs w:val="16"/>
        </w:rPr>
        <w:t xml:space="preserve">  </w:t>
      </w:r>
      <w:r w:rsidRPr="00305124">
        <w:rPr>
          <w:sz w:val="16"/>
          <w:szCs w:val="16"/>
        </w:rPr>
        <w:t>Обхватът на показателя фискален резерв е в съответствие с §1, т. 41 от Допълнителните разпоредби на Закона за публичните финанси.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8" w:name="OLE_LINK15"/>
  <w:bookmarkStart w:id="9" w:name="OLE_LINK16"/>
  <w:bookmarkStart w:id="10" w:name="_Hlk464223980"/>
  <w:p w14:paraId="30611DD2" w14:textId="77777777" w:rsidR="00406B4D" w:rsidRDefault="00406B4D" w:rsidP="00406B4D">
    <w:pPr>
      <w:pStyle w:val="Header"/>
    </w:pPr>
    <w:r>
      <w:rPr>
        <w:noProof/>
        <w:lang w:eastAsia="bg-BG"/>
      </w:rPr>
      <mc:AlternateContent>
        <mc:Choice Requires="wps">
          <w:drawing>
            <wp:anchor distT="4294967295" distB="4294967295" distL="114300" distR="114300" simplePos="0" relativeHeight="251659264" behindDoc="0" locked="0" layoutInCell="1" allowOverlap="1" wp14:anchorId="1D395A5A" wp14:editId="3C4BF820">
              <wp:simplePos x="0" y="0"/>
              <wp:positionH relativeFrom="column">
                <wp:posOffset>-958215</wp:posOffset>
              </wp:positionH>
              <wp:positionV relativeFrom="paragraph">
                <wp:posOffset>312419</wp:posOffset>
              </wp:positionV>
              <wp:extent cx="7623175" cy="0"/>
              <wp:effectExtent l="0" t="0" r="15875" b="19050"/>
              <wp:wrapNone/>
              <wp:docPr id="4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3175" cy="0"/>
                      </a:xfrm>
                      <a:prstGeom prst="line">
                        <a:avLst/>
                      </a:prstGeom>
                      <a:noFill/>
                      <a:ln w="6350" cap="flat" cmpd="sng" algn="ctr">
                        <a:solidFill>
                          <a:srgbClr val="B32C16">
                            <a:lumMod val="75000"/>
                          </a:srgbClr>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27C9FE5" id="Straight Connector 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5.45pt,24.6pt" to="524.8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" strokecolor="#862110" strokeweight=".5pt">
              <v:stroke joinstyle="miter"/>
              <o:lock v:ext="edit" shapetype="f"/>
            </v:line>
          </w:pict>
        </mc:Fallback>
      </mc:AlternateContent>
    </w:r>
    <w:r>
      <w:t>Въведение</w:t>
    </w:r>
    <w:bookmarkEnd w:id="8"/>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F4F80" w14:textId="77777777" w:rsidR="00406B4D" w:rsidRPr="006E0CA8" w:rsidRDefault="00406B4D" w:rsidP="00406B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16E08" w14:textId="77777777" w:rsidR="00406B4D" w:rsidRPr="006E0CA8" w:rsidRDefault="00406B4D" w:rsidP="00406B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1C803" w14:textId="77777777" w:rsidR="00406B4D" w:rsidRPr="00E22A97" w:rsidRDefault="00406B4D" w:rsidP="00406B4D">
    <w:pPr>
      <w:pStyle w:val="Header"/>
      <w:rPr>
        <w:lang w:val="ru-RU"/>
      </w:rPr>
    </w:pPr>
  </w:p>
  <w:p w14:paraId="5C12FBAC" w14:textId="77777777" w:rsidR="00406B4D" w:rsidRPr="00761800" w:rsidRDefault="00406B4D" w:rsidP="00406B4D">
    <w:pPr>
      <w:pStyle w:val="Header"/>
      <w:jc w:val="center"/>
      <w:rPr>
        <w:color w:val="FFFFFF"/>
      </w:rPr>
    </w:pPr>
    <w:r w:rsidRPr="00761800">
      <w:rPr>
        <w:color w:val="FFFFFF"/>
      </w:rPr>
      <w:t>III.</w:t>
    </w:r>
  </w:p>
  <w:p w14:paraId="5F4DD47E" w14:textId="77777777" w:rsidR="00406B4D" w:rsidRPr="00D671EF" w:rsidRDefault="00406B4D" w:rsidP="00406B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42680" w14:textId="77777777" w:rsidR="00406B4D" w:rsidRPr="00E22A97" w:rsidRDefault="00406B4D" w:rsidP="00406B4D">
    <w:pPr>
      <w:pStyle w:val="Header"/>
      <w:rPr>
        <w:lang w:val="ru-RU"/>
      </w:rPr>
    </w:pPr>
  </w:p>
  <w:p w14:paraId="25A5BE37" w14:textId="77777777" w:rsidR="00406B4D" w:rsidRPr="00761800" w:rsidRDefault="00406B4D" w:rsidP="00406B4D">
    <w:pPr>
      <w:pStyle w:val="Header"/>
      <w:jc w:val="center"/>
      <w:rPr>
        <w:color w:val="FFFFFF"/>
      </w:rPr>
    </w:pPr>
    <w:r w:rsidRPr="00761800">
      <w:rPr>
        <w:color w:val="FFFFFF"/>
      </w:rPr>
      <w:t>III.</w:t>
    </w:r>
  </w:p>
  <w:p w14:paraId="627F02EB" w14:textId="77777777" w:rsidR="00406B4D" w:rsidRPr="00D671EF" w:rsidRDefault="00406B4D" w:rsidP="00406B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68202" w14:textId="77777777" w:rsidR="00406B4D" w:rsidRPr="006E0CA8" w:rsidRDefault="00406B4D" w:rsidP="00406B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81A4E" w14:textId="77777777" w:rsidR="00406B4D" w:rsidRPr="00F74A3C" w:rsidRDefault="00406B4D" w:rsidP="00406B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E733D1" w14:textId="77777777" w:rsidR="00406B4D" w:rsidRPr="00B0159F" w:rsidRDefault="00406B4D" w:rsidP="00406B4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16AE9" w14:textId="77777777" w:rsidR="00406B4D" w:rsidRPr="006E0CA8" w:rsidRDefault="00406B4D" w:rsidP="00406B4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17FC0F" w14:textId="77777777" w:rsidR="00406B4D" w:rsidRPr="006E0CA8" w:rsidRDefault="00406B4D" w:rsidP="00406B4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25234" w14:textId="77777777" w:rsidR="00406B4D" w:rsidRPr="006E0CA8" w:rsidRDefault="00406B4D" w:rsidP="00406B4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A537B" w14:textId="77777777" w:rsidR="00406B4D" w:rsidRDefault="00406B4D" w:rsidP="00406B4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5E264" w14:textId="77777777" w:rsidR="00406B4D" w:rsidRPr="006E0CA8" w:rsidRDefault="00406B4D" w:rsidP="00406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D06BE"/>
    <w:multiLevelType w:val="hybridMultilevel"/>
    <w:tmpl w:val="BE50BEDE"/>
    <w:lvl w:ilvl="0" w:tplc="F0BA9EC8">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BA2665D"/>
    <w:multiLevelType w:val="hybridMultilevel"/>
    <w:tmpl w:val="188CFFC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66637"/>
    <w:multiLevelType w:val="hybridMultilevel"/>
    <w:tmpl w:val="4FA62B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FF6136E"/>
    <w:multiLevelType w:val="hybridMultilevel"/>
    <w:tmpl w:val="4B08C220"/>
    <w:lvl w:ilvl="0" w:tplc="F0BA9EC8">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0722471"/>
    <w:multiLevelType w:val="hybridMultilevel"/>
    <w:tmpl w:val="F642F9C4"/>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11BF00B7"/>
    <w:multiLevelType w:val="multilevel"/>
    <w:tmpl w:val="A9161A0C"/>
    <w:lvl w:ilvl="0">
      <w:start w:val="1"/>
      <w:numFmt w:val="upperRoman"/>
      <w:suff w:val="nothing"/>
      <w:lvlText w:val="Част %1."/>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right"/>
      <w:pPr>
        <w:ind w:left="450" w:hanging="166"/>
      </w:pPr>
      <w:rPr>
        <w:rFonts w:hint="default"/>
      </w:rPr>
    </w:lvl>
    <w:lvl w:ilvl="2">
      <w:start w:val="1"/>
      <w:numFmt w:val="decimal"/>
      <w:lvlText w:val="%2.%3."/>
      <w:lvlJc w:val="left"/>
      <w:pPr>
        <w:ind w:left="4537" w:firstLine="0"/>
      </w:pPr>
      <w:rPr>
        <w:rFonts w:hint="default"/>
        <w:i w:val="0"/>
        <w:color w:val="76923C" w:themeColor="accent3" w:themeShade="BF"/>
      </w:rPr>
    </w:lvl>
    <w:lvl w:ilvl="3">
      <w:start w:val="1"/>
      <w:numFmt w:val="decimal"/>
      <w:lvlText w:val="%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15AA52F4"/>
    <w:multiLevelType w:val="hybridMultilevel"/>
    <w:tmpl w:val="238ABC12"/>
    <w:lvl w:ilvl="0" w:tplc="04020001">
      <w:start w:val="1"/>
      <w:numFmt w:val="bullet"/>
      <w:lvlText w:val=""/>
      <w:lvlJc w:val="left"/>
      <w:pPr>
        <w:ind w:left="862" w:hanging="360"/>
      </w:pPr>
      <w:rPr>
        <w:rFonts w:ascii="Symbol" w:hAnsi="Symbol" w:hint="default"/>
      </w:rPr>
    </w:lvl>
    <w:lvl w:ilvl="1" w:tplc="04020003" w:tentative="1">
      <w:start w:val="1"/>
      <w:numFmt w:val="bullet"/>
      <w:lvlText w:val="o"/>
      <w:lvlJc w:val="left"/>
      <w:pPr>
        <w:ind w:left="1582" w:hanging="360"/>
      </w:pPr>
      <w:rPr>
        <w:rFonts w:ascii="Courier New" w:hAnsi="Courier New" w:cs="Courier New" w:hint="default"/>
      </w:rPr>
    </w:lvl>
    <w:lvl w:ilvl="2" w:tplc="04020005" w:tentative="1">
      <w:start w:val="1"/>
      <w:numFmt w:val="bullet"/>
      <w:lvlText w:val=""/>
      <w:lvlJc w:val="left"/>
      <w:pPr>
        <w:ind w:left="2302" w:hanging="360"/>
      </w:pPr>
      <w:rPr>
        <w:rFonts w:ascii="Wingdings" w:hAnsi="Wingdings" w:hint="default"/>
      </w:rPr>
    </w:lvl>
    <w:lvl w:ilvl="3" w:tplc="04020001" w:tentative="1">
      <w:start w:val="1"/>
      <w:numFmt w:val="bullet"/>
      <w:lvlText w:val=""/>
      <w:lvlJc w:val="left"/>
      <w:pPr>
        <w:ind w:left="3022" w:hanging="360"/>
      </w:pPr>
      <w:rPr>
        <w:rFonts w:ascii="Symbol" w:hAnsi="Symbol" w:hint="default"/>
      </w:rPr>
    </w:lvl>
    <w:lvl w:ilvl="4" w:tplc="04020003" w:tentative="1">
      <w:start w:val="1"/>
      <w:numFmt w:val="bullet"/>
      <w:lvlText w:val="o"/>
      <w:lvlJc w:val="left"/>
      <w:pPr>
        <w:ind w:left="3742" w:hanging="360"/>
      </w:pPr>
      <w:rPr>
        <w:rFonts w:ascii="Courier New" w:hAnsi="Courier New" w:cs="Courier New" w:hint="default"/>
      </w:rPr>
    </w:lvl>
    <w:lvl w:ilvl="5" w:tplc="04020005" w:tentative="1">
      <w:start w:val="1"/>
      <w:numFmt w:val="bullet"/>
      <w:lvlText w:val=""/>
      <w:lvlJc w:val="left"/>
      <w:pPr>
        <w:ind w:left="4462" w:hanging="360"/>
      </w:pPr>
      <w:rPr>
        <w:rFonts w:ascii="Wingdings" w:hAnsi="Wingdings" w:hint="default"/>
      </w:rPr>
    </w:lvl>
    <w:lvl w:ilvl="6" w:tplc="04020001" w:tentative="1">
      <w:start w:val="1"/>
      <w:numFmt w:val="bullet"/>
      <w:lvlText w:val=""/>
      <w:lvlJc w:val="left"/>
      <w:pPr>
        <w:ind w:left="5182" w:hanging="360"/>
      </w:pPr>
      <w:rPr>
        <w:rFonts w:ascii="Symbol" w:hAnsi="Symbol" w:hint="default"/>
      </w:rPr>
    </w:lvl>
    <w:lvl w:ilvl="7" w:tplc="04020003" w:tentative="1">
      <w:start w:val="1"/>
      <w:numFmt w:val="bullet"/>
      <w:lvlText w:val="o"/>
      <w:lvlJc w:val="left"/>
      <w:pPr>
        <w:ind w:left="5902" w:hanging="360"/>
      </w:pPr>
      <w:rPr>
        <w:rFonts w:ascii="Courier New" w:hAnsi="Courier New" w:cs="Courier New" w:hint="default"/>
      </w:rPr>
    </w:lvl>
    <w:lvl w:ilvl="8" w:tplc="04020005" w:tentative="1">
      <w:start w:val="1"/>
      <w:numFmt w:val="bullet"/>
      <w:lvlText w:val=""/>
      <w:lvlJc w:val="left"/>
      <w:pPr>
        <w:ind w:left="6622" w:hanging="360"/>
      </w:pPr>
      <w:rPr>
        <w:rFonts w:ascii="Wingdings" w:hAnsi="Wingdings" w:hint="default"/>
      </w:rPr>
    </w:lvl>
  </w:abstractNum>
  <w:abstractNum w:abstractNumId="7" w15:restartNumberingAfterBreak="0">
    <w:nsid w:val="24051308"/>
    <w:multiLevelType w:val="hybridMultilevel"/>
    <w:tmpl w:val="7B86692C"/>
    <w:lvl w:ilvl="0" w:tplc="C41AB4AE">
      <w:start w:val="3"/>
      <w:numFmt w:val="bullet"/>
      <w:lvlText w:val="-"/>
      <w:lvlJc w:val="left"/>
      <w:pPr>
        <w:ind w:left="720" w:hanging="360"/>
      </w:pPr>
      <w:rPr>
        <w:rFonts w:ascii="Times New Roman" w:eastAsia="Calibri" w:hAnsi="Times New Roman" w:cs="Times New Roman" w:hint="default"/>
      </w:rPr>
    </w:lvl>
    <w:lvl w:ilvl="1" w:tplc="33107A96">
      <w:numFmt w:val="bullet"/>
      <w:lvlText w:val="-"/>
      <w:lvlJc w:val="left"/>
      <w:pPr>
        <w:ind w:left="1440" w:hanging="360"/>
      </w:pPr>
      <w:rPr>
        <w:rFonts w:ascii="Times New Roman" w:eastAsiaTheme="minorEastAsia"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B871CEE"/>
    <w:multiLevelType w:val="hybridMultilevel"/>
    <w:tmpl w:val="26587A80"/>
    <w:lvl w:ilvl="0" w:tplc="8050FFA6">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EC1584"/>
    <w:multiLevelType w:val="hybridMultilevel"/>
    <w:tmpl w:val="3CBE930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EA66319"/>
    <w:multiLevelType w:val="hybridMultilevel"/>
    <w:tmpl w:val="0A804EFE"/>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1" w15:restartNumberingAfterBreak="0">
    <w:nsid w:val="2EFF3178"/>
    <w:multiLevelType w:val="hybridMultilevel"/>
    <w:tmpl w:val="CF4E6286"/>
    <w:lvl w:ilvl="0" w:tplc="8DDEF07E">
      <w:start w:val="1"/>
      <w:numFmt w:val="decimal"/>
      <w:lvlText w:val="%1."/>
      <w:lvlJc w:val="left"/>
      <w:pPr>
        <w:ind w:left="1494" w:hanging="36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12" w15:restartNumberingAfterBreak="0">
    <w:nsid w:val="360352B9"/>
    <w:multiLevelType w:val="hybridMultilevel"/>
    <w:tmpl w:val="E3DAB9EC"/>
    <w:lvl w:ilvl="0" w:tplc="164817D8">
      <w:start w:val="1"/>
      <w:numFmt w:val="bullet"/>
      <w:lvlText w:val=""/>
      <w:lvlJc w:val="left"/>
      <w:pPr>
        <w:ind w:left="720" w:hanging="360"/>
      </w:pPr>
      <w:rPr>
        <w:rFonts w:ascii="Symbol" w:hAnsi="Symbol" w:hint="default"/>
        <w:color w:val="auto"/>
      </w:rPr>
    </w:lvl>
    <w:lvl w:ilvl="1" w:tplc="408EF2EA">
      <w:numFmt w:val="bullet"/>
      <w:lvlText w:val="-"/>
      <w:lvlJc w:val="left"/>
      <w:pPr>
        <w:ind w:left="1199" w:hanging="735"/>
      </w:pPr>
      <w:rPr>
        <w:rFonts w:ascii="Times New Roman" w:eastAsia="Times New Roman" w:hAnsi="Times New Roman" w:cs="Times New Roman" w:hint="default"/>
      </w:rPr>
    </w:lvl>
    <w:lvl w:ilvl="2" w:tplc="04020005">
      <w:start w:val="1"/>
      <w:numFmt w:val="bullet"/>
      <w:lvlText w:val=""/>
      <w:lvlJc w:val="left"/>
      <w:pPr>
        <w:ind w:left="1544" w:hanging="360"/>
      </w:pPr>
      <w:rPr>
        <w:rFonts w:ascii="Wingdings" w:hAnsi="Wingdings" w:hint="default"/>
      </w:rPr>
    </w:lvl>
    <w:lvl w:ilvl="3" w:tplc="04020001">
      <w:start w:val="1"/>
      <w:numFmt w:val="bullet"/>
      <w:lvlText w:val=""/>
      <w:lvlJc w:val="left"/>
      <w:pPr>
        <w:ind w:left="2264" w:hanging="360"/>
      </w:pPr>
      <w:rPr>
        <w:rFonts w:ascii="Symbol" w:hAnsi="Symbol" w:hint="default"/>
      </w:rPr>
    </w:lvl>
    <w:lvl w:ilvl="4" w:tplc="04020003">
      <w:start w:val="1"/>
      <w:numFmt w:val="bullet"/>
      <w:lvlText w:val="o"/>
      <w:lvlJc w:val="left"/>
      <w:pPr>
        <w:ind w:left="2984" w:hanging="360"/>
      </w:pPr>
      <w:rPr>
        <w:rFonts w:ascii="Courier New" w:hAnsi="Courier New" w:cs="Courier New" w:hint="default"/>
      </w:rPr>
    </w:lvl>
    <w:lvl w:ilvl="5" w:tplc="04020005">
      <w:start w:val="1"/>
      <w:numFmt w:val="bullet"/>
      <w:lvlText w:val=""/>
      <w:lvlJc w:val="left"/>
      <w:pPr>
        <w:ind w:left="3704" w:hanging="360"/>
      </w:pPr>
      <w:rPr>
        <w:rFonts w:ascii="Wingdings" w:hAnsi="Wingdings" w:hint="default"/>
      </w:rPr>
    </w:lvl>
    <w:lvl w:ilvl="6" w:tplc="04020001">
      <w:start w:val="1"/>
      <w:numFmt w:val="bullet"/>
      <w:lvlText w:val=""/>
      <w:lvlJc w:val="left"/>
      <w:pPr>
        <w:ind w:left="4424" w:hanging="360"/>
      </w:pPr>
      <w:rPr>
        <w:rFonts w:ascii="Symbol" w:hAnsi="Symbol" w:hint="default"/>
      </w:rPr>
    </w:lvl>
    <w:lvl w:ilvl="7" w:tplc="04020003">
      <w:start w:val="1"/>
      <w:numFmt w:val="bullet"/>
      <w:lvlText w:val="o"/>
      <w:lvlJc w:val="left"/>
      <w:pPr>
        <w:ind w:left="5144" w:hanging="360"/>
      </w:pPr>
      <w:rPr>
        <w:rFonts w:ascii="Courier New" w:hAnsi="Courier New" w:cs="Courier New" w:hint="default"/>
      </w:rPr>
    </w:lvl>
    <w:lvl w:ilvl="8" w:tplc="04020005">
      <w:start w:val="1"/>
      <w:numFmt w:val="bullet"/>
      <w:lvlText w:val=""/>
      <w:lvlJc w:val="left"/>
      <w:pPr>
        <w:ind w:left="5864" w:hanging="360"/>
      </w:pPr>
      <w:rPr>
        <w:rFonts w:ascii="Wingdings" w:hAnsi="Wingdings" w:hint="default"/>
      </w:rPr>
    </w:lvl>
  </w:abstractNum>
  <w:abstractNum w:abstractNumId="13" w15:restartNumberingAfterBreak="0">
    <w:nsid w:val="3B660448"/>
    <w:multiLevelType w:val="hybridMultilevel"/>
    <w:tmpl w:val="D20C8D60"/>
    <w:lvl w:ilvl="0" w:tplc="A314B01C">
      <w:numFmt w:val="bullet"/>
      <w:lvlText w:val="-"/>
      <w:lvlJc w:val="left"/>
      <w:pPr>
        <w:ind w:left="1364" w:hanging="360"/>
      </w:pPr>
      <w:rPr>
        <w:rFonts w:ascii="Times New Roman" w:eastAsia="Times New Roman" w:hAnsi="Times New Roman" w:cs="Times New Roman" w:hint="default"/>
      </w:rPr>
    </w:lvl>
    <w:lvl w:ilvl="1" w:tplc="04020003" w:tentative="1">
      <w:start w:val="1"/>
      <w:numFmt w:val="bullet"/>
      <w:lvlText w:val="o"/>
      <w:lvlJc w:val="left"/>
      <w:pPr>
        <w:ind w:left="2084" w:hanging="360"/>
      </w:pPr>
      <w:rPr>
        <w:rFonts w:ascii="Courier New" w:hAnsi="Courier New" w:cs="Courier New" w:hint="default"/>
      </w:rPr>
    </w:lvl>
    <w:lvl w:ilvl="2" w:tplc="04020005" w:tentative="1">
      <w:start w:val="1"/>
      <w:numFmt w:val="bullet"/>
      <w:lvlText w:val=""/>
      <w:lvlJc w:val="left"/>
      <w:pPr>
        <w:ind w:left="2804" w:hanging="360"/>
      </w:pPr>
      <w:rPr>
        <w:rFonts w:ascii="Wingdings" w:hAnsi="Wingdings" w:hint="default"/>
      </w:rPr>
    </w:lvl>
    <w:lvl w:ilvl="3" w:tplc="04020001" w:tentative="1">
      <w:start w:val="1"/>
      <w:numFmt w:val="bullet"/>
      <w:lvlText w:val=""/>
      <w:lvlJc w:val="left"/>
      <w:pPr>
        <w:ind w:left="3524" w:hanging="360"/>
      </w:pPr>
      <w:rPr>
        <w:rFonts w:ascii="Symbol" w:hAnsi="Symbol" w:hint="default"/>
      </w:rPr>
    </w:lvl>
    <w:lvl w:ilvl="4" w:tplc="04020003" w:tentative="1">
      <w:start w:val="1"/>
      <w:numFmt w:val="bullet"/>
      <w:lvlText w:val="o"/>
      <w:lvlJc w:val="left"/>
      <w:pPr>
        <w:ind w:left="4244" w:hanging="360"/>
      </w:pPr>
      <w:rPr>
        <w:rFonts w:ascii="Courier New" w:hAnsi="Courier New" w:cs="Courier New" w:hint="default"/>
      </w:rPr>
    </w:lvl>
    <w:lvl w:ilvl="5" w:tplc="04020005" w:tentative="1">
      <w:start w:val="1"/>
      <w:numFmt w:val="bullet"/>
      <w:lvlText w:val=""/>
      <w:lvlJc w:val="left"/>
      <w:pPr>
        <w:ind w:left="4964" w:hanging="360"/>
      </w:pPr>
      <w:rPr>
        <w:rFonts w:ascii="Wingdings" w:hAnsi="Wingdings" w:hint="default"/>
      </w:rPr>
    </w:lvl>
    <w:lvl w:ilvl="6" w:tplc="04020001" w:tentative="1">
      <w:start w:val="1"/>
      <w:numFmt w:val="bullet"/>
      <w:lvlText w:val=""/>
      <w:lvlJc w:val="left"/>
      <w:pPr>
        <w:ind w:left="5684" w:hanging="360"/>
      </w:pPr>
      <w:rPr>
        <w:rFonts w:ascii="Symbol" w:hAnsi="Symbol" w:hint="default"/>
      </w:rPr>
    </w:lvl>
    <w:lvl w:ilvl="7" w:tplc="04020003" w:tentative="1">
      <w:start w:val="1"/>
      <w:numFmt w:val="bullet"/>
      <w:lvlText w:val="o"/>
      <w:lvlJc w:val="left"/>
      <w:pPr>
        <w:ind w:left="6404" w:hanging="360"/>
      </w:pPr>
      <w:rPr>
        <w:rFonts w:ascii="Courier New" w:hAnsi="Courier New" w:cs="Courier New" w:hint="default"/>
      </w:rPr>
    </w:lvl>
    <w:lvl w:ilvl="8" w:tplc="04020005" w:tentative="1">
      <w:start w:val="1"/>
      <w:numFmt w:val="bullet"/>
      <w:lvlText w:val=""/>
      <w:lvlJc w:val="left"/>
      <w:pPr>
        <w:ind w:left="7124" w:hanging="360"/>
      </w:pPr>
      <w:rPr>
        <w:rFonts w:ascii="Wingdings" w:hAnsi="Wingdings" w:hint="default"/>
      </w:rPr>
    </w:lvl>
  </w:abstractNum>
  <w:abstractNum w:abstractNumId="14" w15:restartNumberingAfterBreak="0">
    <w:nsid w:val="3F79495B"/>
    <w:multiLevelType w:val="hybridMultilevel"/>
    <w:tmpl w:val="DA0A56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1121C3C"/>
    <w:multiLevelType w:val="hybridMultilevel"/>
    <w:tmpl w:val="C56A2D8E"/>
    <w:lvl w:ilvl="0" w:tplc="C41AB4AE">
      <w:start w:val="3"/>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2074CB5"/>
    <w:multiLevelType w:val="hybridMultilevel"/>
    <w:tmpl w:val="DFF2F0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71A7F3D"/>
    <w:multiLevelType w:val="hybridMultilevel"/>
    <w:tmpl w:val="E3525B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BDC77D7"/>
    <w:multiLevelType w:val="hybridMultilevel"/>
    <w:tmpl w:val="99EEC1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C342BED"/>
    <w:multiLevelType w:val="hybridMultilevel"/>
    <w:tmpl w:val="BB8EAB5E"/>
    <w:lvl w:ilvl="0" w:tplc="04020005">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0" w15:restartNumberingAfterBreak="0">
    <w:nsid w:val="52C1794B"/>
    <w:multiLevelType w:val="hybridMultilevel"/>
    <w:tmpl w:val="EDA8F670"/>
    <w:lvl w:ilvl="0" w:tplc="0402000D">
      <w:start w:val="1"/>
      <w:numFmt w:val="bullet"/>
      <w:lvlText w:val=""/>
      <w:lvlJc w:val="left"/>
      <w:pPr>
        <w:ind w:left="1069" w:hanging="360"/>
      </w:pPr>
      <w:rPr>
        <w:rFonts w:ascii="Wingdings" w:hAnsi="Wingdings"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1" w15:restartNumberingAfterBreak="0">
    <w:nsid w:val="542B2C0D"/>
    <w:multiLevelType w:val="hybridMultilevel"/>
    <w:tmpl w:val="5CC45E7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55073EF9"/>
    <w:multiLevelType w:val="hybridMultilevel"/>
    <w:tmpl w:val="8A903E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54C1239"/>
    <w:multiLevelType w:val="hybridMultilevel"/>
    <w:tmpl w:val="C5E6ADE8"/>
    <w:lvl w:ilvl="0" w:tplc="32F8D054">
      <w:start w:val="1"/>
      <w:numFmt w:val="bullet"/>
      <w:lvlText w:val=""/>
      <w:lvlJc w:val="left"/>
      <w:pPr>
        <w:ind w:left="720" w:hanging="360"/>
      </w:pPr>
      <w:rPr>
        <w:rFonts w:ascii="Symbol" w:hAnsi="Symbol" w:hint="default"/>
        <w:color w:val="auto"/>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4" w15:restartNumberingAfterBreak="0">
    <w:nsid w:val="556E25D3"/>
    <w:multiLevelType w:val="hybridMultilevel"/>
    <w:tmpl w:val="27BA74F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74A67BD"/>
    <w:multiLevelType w:val="multilevel"/>
    <w:tmpl w:val="6D4EEA4A"/>
    <w:lvl w:ilvl="0">
      <w:start w:val="1"/>
      <w:numFmt w:val="decimal"/>
      <w:lvlText w:val="%1."/>
      <w:lvlJc w:val="left"/>
      <w:pPr>
        <w:ind w:left="420" w:hanging="420"/>
      </w:pPr>
      <w:rPr>
        <w:rFonts w:hint="default"/>
      </w:rPr>
    </w:lvl>
    <w:lvl w:ilvl="1">
      <w:start w:val="5"/>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pStyle w:val="Heading91"/>
      <w:lvlText w:val="%1.%2.%3.%4.%5.%6.%7.%8.%9."/>
      <w:lvlJc w:val="left"/>
      <w:pPr>
        <w:ind w:left="1800" w:hanging="1800"/>
      </w:pPr>
      <w:rPr>
        <w:rFonts w:hint="default"/>
      </w:rPr>
    </w:lvl>
  </w:abstractNum>
  <w:abstractNum w:abstractNumId="26" w15:restartNumberingAfterBreak="0">
    <w:nsid w:val="5A4F4D20"/>
    <w:multiLevelType w:val="hybridMultilevel"/>
    <w:tmpl w:val="7BAABD6C"/>
    <w:lvl w:ilvl="0" w:tplc="A314B01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D6711C5"/>
    <w:multiLevelType w:val="hybridMultilevel"/>
    <w:tmpl w:val="B74A2E32"/>
    <w:lvl w:ilvl="0" w:tplc="C1AA3C18">
      <w:start w:val="1"/>
      <w:numFmt w:val="bullet"/>
      <w:lvlText w:val=""/>
      <w:lvlJc w:val="left"/>
      <w:pPr>
        <w:tabs>
          <w:tab w:val="num" w:pos="720"/>
        </w:tabs>
        <w:ind w:left="720" w:hanging="360"/>
      </w:pPr>
      <w:rPr>
        <w:rFonts w:ascii="Wingdings" w:hAnsi="Wingdings" w:hint="default"/>
      </w:rPr>
    </w:lvl>
    <w:lvl w:ilvl="1" w:tplc="E984329A">
      <w:start w:val="171"/>
      <w:numFmt w:val="bullet"/>
      <w:lvlText w:val=""/>
      <w:lvlJc w:val="left"/>
      <w:pPr>
        <w:tabs>
          <w:tab w:val="num" w:pos="1440"/>
        </w:tabs>
        <w:ind w:left="1440" w:hanging="360"/>
      </w:pPr>
      <w:rPr>
        <w:rFonts w:ascii="Wingdings" w:hAnsi="Wingdings" w:hint="default"/>
      </w:rPr>
    </w:lvl>
    <w:lvl w:ilvl="2" w:tplc="B204DBD4">
      <w:start w:val="1"/>
      <w:numFmt w:val="decimal"/>
      <w:lvlText w:val="%3."/>
      <w:lvlJc w:val="left"/>
      <w:pPr>
        <w:tabs>
          <w:tab w:val="num" w:pos="2160"/>
        </w:tabs>
        <w:ind w:left="2160" w:hanging="360"/>
      </w:pPr>
    </w:lvl>
    <w:lvl w:ilvl="3" w:tplc="14C2CBC8">
      <w:start w:val="1"/>
      <w:numFmt w:val="decimal"/>
      <w:lvlText w:val="%4."/>
      <w:lvlJc w:val="left"/>
      <w:pPr>
        <w:tabs>
          <w:tab w:val="num" w:pos="2880"/>
        </w:tabs>
        <w:ind w:left="2880" w:hanging="360"/>
      </w:pPr>
    </w:lvl>
    <w:lvl w:ilvl="4" w:tplc="5B567C66">
      <w:start w:val="1"/>
      <w:numFmt w:val="decimal"/>
      <w:lvlText w:val="%5."/>
      <w:lvlJc w:val="left"/>
      <w:pPr>
        <w:tabs>
          <w:tab w:val="num" w:pos="3600"/>
        </w:tabs>
        <w:ind w:left="3600" w:hanging="360"/>
      </w:pPr>
    </w:lvl>
    <w:lvl w:ilvl="5" w:tplc="C780112A">
      <w:start w:val="1"/>
      <w:numFmt w:val="decimal"/>
      <w:lvlText w:val="%6."/>
      <w:lvlJc w:val="left"/>
      <w:pPr>
        <w:tabs>
          <w:tab w:val="num" w:pos="4320"/>
        </w:tabs>
        <w:ind w:left="4320" w:hanging="360"/>
      </w:pPr>
    </w:lvl>
    <w:lvl w:ilvl="6" w:tplc="D14854A6">
      <w:start w:val="1"/>
      <w:numFmt w:val="decimal"/>
      <w:lvlText w:val="%7."/>
      <w:lvlJc w:val="left"/>
      <w:pPr>
        <w:tabs>
          <w:tab w:val="num" w:pos="5040"/>
        </w:tabs>
        <w:ind w:left="5040" w:hanging="360"/>
      </w:pPr>
    </w:lvl>
    <w:lvl w:ilvl="7" w:tplc="BDEA6292">
      <w:start w:val="1"/>
      <w:numFmt w:val="decimal"/>
      <w:lvlText w:val="%8."/>
      <w:lvlJc w:val="left"/>
      <w:pPr>
        <w:tabs>
          <w:tab w:val="num" w:pos="5760"/>
        </w:tabs>
        <w:ind w:left="5760" w:hanging="360"/>
      </w:pPr>
    </w:lvl>
    <w:lvl w:ilvl="8" w:tplc="D8969560">
      <w:start w:val="1"/>
      <w:numFmt w:val="decimal"/>
      <w:lvlText w:val="%9."/>
      <w:lvlJc w:val="left"/>
      <w:pPr>
        <w:tabs>
          <w:tab w:val="num" w:pos="6480"/>
        </w:tabs>
        <w:ind w:left="6480" w:hanging="360"/>
      </w:pPr>
    </w:lvl>
  </w:abstractNum>
  <w:abstractNum w:abstractNumId="28" w15:restartNumberingAfterBreak="0">
    <w:nsid w:val="5F824D9C"/>
    <w:multiLevelType w:val="hybridMultilevel"/>
    <w:tmpl w:val="633EAE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1734880"/>
    <w:multiLevelType w:val="hybridMultilevel"/>
    <w:tmpl w:val="1A7E96F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0" w15:restartNumberingAfterBreak="0">
    <w:nsid w:val="61EE2678"/>
    <w:multiLevelType w:val="hybridMultilevel"/>
    <w:tmpl w:val="04AC962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2B20AB6"/>
    <w:multiLevelType w:val="hybridMultilevel"/>
    <w:tmpl w:val="3DA4397A"/>
    <w:lvl w:ilvl="0" w:tplc="C41AB4AE">
      <w:start w:val="3"/>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43B06DE"/>
    <w:multiLevelType w:val="hybridMultilevel"/>
    <w:tmpl w:val="25EAEE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4A56106"/>
    <w:multiLevelType w:val="hybridMultilevel"/>
    <w:tmpl w:val="B52E3D08"/>
    <w:lvl w:ilvl="0" w:tplc="060A0E4C">
      <w:start w:val="1"/>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671C6B0D"/>
    <w:multiLevelType w:val="hybridMultilevel"/>
    <w:tmpl w:val="60F86D5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5" w15:restartNumberingAfterBreak="0">
    <w:nsid w:val="6BB978D1"/>
    <w:multiLevelType w:val="hybridMultilevel"/>
    <w:tmpl w:val="91FA8A32"/>
    <w:lvl w:ilvl="0" w:tplc="F0BA9EC8">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F8D4D6C"/>
    <w:multiLevelType w:val="hybridMultilevel"/>
    <w:tmpl w:val="E9FADB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3265B88"/>
    <w:multiLevelType w:val="hybridMultilevel"/>
    <w:tmpl w:val="898C426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8" w15:restartNumberingAfterBreak="0">
    <w:nsid w:val="79B15F8A"/>
    <w:multiLevelType w:val="hybridMultilevel"/>
    <w:tmpl w:val="E4AE7564"/>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9" w15:restartNumberingAfterBreak="0">
    <w:nsid w:val="79F336A1"/>
    <w:multiLevelType w:val="hybridMultilevel"/>
    <w:tmpl w:val="25023B1A"/>
    <w:lvl w:ilvl="0" w:tplc="17CA124E">
      <w:start w:val="1"/>
      <w:numFmt w:val="bullet"/>
      <w:lvlText w:val=""/>
      <w:lvlJc w:val="left"/>
      <w:pPr>
        <w:ind w:left="786"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E9206DF"/>
    <w:multiLevelType w:val="hybridMultilevel"/>
    <w:tmpl w:val="A036A93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1"/>
  </w:num>
  <w:num w:numId="2">
    <w:abstractNumId w:val="34"/>
  </w:num>
  <w:num w:numId="3">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4"/>
  </w:num>
  <w:num w:numId="6">
    <w:abstractNumId w:val="5"/>
  </w:num>
  <w:num w:numId="7">
    <w:abstractNumId w:val="16"/>
  </w:num>
  <w:num w:numId="8">
    <w:abstractNumId w:val="20"/>
  </w:num>
  <w:num w:numId="9">
    <w:abstractNumId w:val="31"/>
  </w:num>
  <w:num w:numId="10">
    <w:abstractNumId w:val="23"/>
  </w:num>
  <w:num w:numId="11">
    <w:abstractNumId w:val="8"/>
  </w:num>
  <w:num w:numId="12">
    <w:abstractNumId w:val="6"/>
  </w:num>
  <w:num w:numId="13">
    <w:abstractNumId w:val="12"/>
  </w:num>
  <w:num w:numId="14">
    <w:abstractNumId w:val="33"/>
  </w:num>
  <w:num w:numId="15">
    <w:abstractNumId w:val="10"/>
  </w:num>
  <w:num w:numId="16">
    <w:abstractNumId w:val="28"/>
  </w:num>
  <w:num w:numId="17">
    <w:abstractNumId w:val="15"/>
  </w:num>
  <w:num w:numId="18">
    <w:abstractNumId w:val="1"/>
  </w:num>
  <w:num w:numId="19">
    <w:abstractNumId w:val="9"/>
  </w:num>
  <w:num w:numId="20">
    <w:abstractNumId w:val="29"/>
  </w:num>
  <w:num w:numId="21">
    <w:abstractNumId w:val="39"/>
  </w:num>
  <w:num w:numId="22">
    <w:abstractNumId w:val="24"/>
  </w:num>
  <w:num w:numId="23">
    <w:abstractNumId w:val="26"/>
  </w:num>
  <w:num w:numId="24">
    <w:abstractNumId w:val="37"/>
  </w:num>
  <w:num w:numId="25">
    <w:abstractNumId w:val="18"/>
  </w:num>
  <w:num w:numId="26">
    <w:abstractNumId w:val="40"/>
  </w:num>
  <w:num w:numId="27">
    <w:abstractNumId w:val="36"/>
  </w:num>
  <w:num w:numId="28">
    <w:abstractNumId w:val="13"/>
  </w:num>
  <w:num w:numId="29">
    <w:abstractNumId w:val="21"/>
  </w:num>
  <w:num w:numId="30">
    <w:abstractNumId w:val="30"/>
  </w:num>
  <w:num w:numId="31">
    <w:abstractNumId w:val="14"/>
  </w:num>
  <w:num w:numId="32">
    <w:abstractNumId w:val="32"/>
  </w:num>
  <w:num w:numId="33">
    <w:abstractNumId w:val="3"/>
  </w:num>
  <w:num w:numId="34">
    <w:abstractNumId w:val="35"/>
  </w:num>
  <w:num w:numId="35">
    <w:abstractNumId w:val="17"/>
  </w:num>
  <w:num w:numId="36">
    <w:abstractNumId w:val="0"/>
  </w:num>
  <w:num w:numId="37">
    <w:abstractNumId w:val="38"/>
  </w:num>
  <w:num w:numId="38">
    <w:abstractNumId w:val="19"/>
  </w:num>
  <w:num w:numId="39">
    <w:abstractNumId w:val="22"/>
  </w:num>
  <w:num w:numId="40">
    <w:abstractNumId w:val="7"/>
  </w:num>
  <w:num w:numId="41">
    <w:abstractNumId w:val="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B47"/>
    <w:rsid w:val="000110B6"/>
    <w:rsid w:val="0006326E"/>
    <w:rsid w:val="0006731B"/>
    <w:rsid w:val="00085BBE"/>
    <w:rsid w:val="000A0636"/>
    <w:rsid w:val="000B5BFE"/>
    <w:rsid w:val="000D5FA6"/>
    <w:rsid w:val="000E74DF"/>
    <w:rsid w:val="00106580"/>
    <w:rsid w:val="00107F8F"/>
    <w:rsid w:val="0011638C"/>
    <w:rsid w:val="00125611"/>
    <w:rsid w:val="00130C13"/>
    <w:rsid w:val="001327EF"/>
    <w:rsid w:val="00146850"/>
    <w:rsid w:val="0019602A"/>
    <w:rsid w:val="001B0A0B"/>
    <w:rsid w:val="001B5E5A"/>
    <w:rsid w:val="001C008F"/>
    <w:rsid w:val="001C69F1"/>
    <w:rsid w:val="001E5EEB"/>
    <w:rsid w:val="001E6160"/>
    <w:rsid w:val="001F4640"/>
    <w:rsid w:val="0020268E"/>
    <w:rsid w:val="00220B18"/>
    <w:rsid w:val="00221B2F"/>
    <w:rsid w:val="00222B47"/>
    <w:rsid w:val="002274C0"/>
    <w:rsid w:val="00251E9F"/>
    <w:rsid w:val="002557DD"/>
    <w:rsid w:val="00255BFB"/>
    <w:rsid w:val="00264725"/>
    <w:rsid w:val="002927BC"/>
    <w:rsid w:val="00296246"/>
    <w:rsid w:val="002969AB"/>
    <w:rsid w:val="002B6855"/>
    <w:rsid w:val="002C1923"/>
    <w:rsid w:val="002C54FE"/>
    <w:rsid w:val="002E0192"/>
    <w:rsid w:val="002E0424"/>
    <w:rsid w:val="002E2032"/>
    <w:rsid w:val="002E2CE9"/>
    <w:rsid w:val="00306FFD"/>
    <w:rsid w:val="0031213D"/>
    <w:rsid w:val="00313D6E"/>
    <w:rsid w:val="00340776"/>
    <w:rsid w:val="003509A3"/>
    <w:rsid w:val="00370BB2"/>
    <w:rsid w:val="00372A69"/>
    <w:rsid w:val="00377EC9"/>
    <w:rsid w:val="003A1559"/>
    <w:rsid w:val="003A3659"/>
    <w:rsid w:val="003A526F"/>
    <w:rsid w:val="003E040B"/>
    <w:rsid w:val="003F3254"/>
    <w:rsid w:val="003F423F"/>
    <w:rsid w:val="003F5850"/>
    <w:rsid w:val="0040110D"/>
    <w:rsid w:val="00404E8E"/>
    <w:rsid w:val="0040660D"/>
    <w:rsid w:val="00406B4D"/>
    <w:rsid w:val="004112D8"/>
    <w:rsid w:val="00420591"/>
    <w:rsid w:val="00431BF8"/>
    <w:rsid w:val="0045771D"/>
    <w:rsid w:val="00466452"/>
    <w:rsid w:val="0047178D"/>
    <w:rsid w:val="00475FB4"/>
    <w:rsid w:val="004957F3"/>
    <w:rsid w:val="004B49A8"/>
    <w:rsid w:val="004B6102"/>
    <w:rsid w:val="004B7ED8"/>
    <w:rsid w:val="004C0007"/>
    <w:rsid w:val="004C7694"/>
    <w:rsid w:val="004D3322"/>
    <w:rsid w:val="004E1D18"/>
    <w:rsid w:val="004E7181"/>
    <w:rsid w:val="005343D5"/>
    <w:rsid w:val="005373EE"/>
    <w:rsid w:val="00543E6F"/>
    <w:rsid w:val="00544B38"/>
    <w:rsid w:val="00555A5D"/>
    <w:rsid w:val="00556F52"/>
    <w:rsid w:val="0057486B"/>
    <w:rsid w:val="00583FDD"/>
    <w:rsid w:val="005B52C6"/>
    <w:rsid w:val="005C3420"/>
    <w:rsid w:val="005C4B5A"/>
    <w:rsid w:val="005D2005"/>
    <w:rsid w:val="005D2C6C"/>
    <w:rsid w:val="005D593D"/>
    <w:rsid w:val="005E6FA4"/>
    <w:rsid w:val="00601C60"/>
    <w:rsid w:val="006223AE"/>
    <w:rsid w:val="00626EAD"/>
    <w:rsid w:val="006311D6"/>
    <w:rsid w:val="0063519F"/>
    <w:rsid w:val="0067060A"/>
    <w:rsid w:val="00684C70"/>
    <w:rsid w:val="00684DAD"/>
    <w:rsid w:val="00687A19"/>
    <w:rsid w:val="00691689"/>
    <w:rsid w:val="00697FD3"/>
    <w:rsid w:val="006A4E87"/>
    <w:rsid w:val="006A6D2E"/>
    <w:rsid w:val="006B0687"/>
    <w:rsid w:val="006B3607"/>
    <w:rsid w:val="006B5E30"/>
    <w:rsid w:val="006D7058"/>
    <w:rsid w:val="006E3FCB"/>
    <w:rsid w:val="00712CAA"/>
    <w:rsid w:val="0071602B"/>
    <w:rsid w:val="007276B5"/>
    <w:rsid w:val="00730162"/>
    <w:rsid w:val="0074780B"/>
    <w:rsid w:val="007617F0"/>
    <w:rsid w:val="00761800"/>
    <w:rsid w:val="00784DB8"/>
    <w:rsid w:val="00793CA3"/>
    <w:rsid w:val="007E4951"/>
    <w:rsid w:val="007E7BA7"/>
    <w:rsid w:val="00820287"/>
    <w:rsid w:val="00831DA3"/>
    <w:rsid w:val="0084407E"/>
    <w:rsid w:val="0086362D"/>
    <w:rsid w:val="00873735"/>
    <w:rsid w:val="00877CA2"/>
    <w:rsid w:val="008A7068"/>
    <w:rsid w:val="008B3314"/>
    <w:rsid w:val="008B78C6"/>
    <w:rsid w:val="008E020B"/>
    <w:rsid w:val="008E3371"/>
    <w:rsid w:val="008E4A72"/>
    <w:rsid w:val="00900714"/>
    <w:rsid w:val="009016FA"/>
    <w:rsid w:val="00906EDB"/>
    <w:rsid w:val="00915BC0"/>
    <w:rsid w:val="009161B6"/>
    <w:rsid w:val="00930214"/>
    <w:rsid w:val="009343BD"/>
    <w:rsid w:val="00943FBF"/>
    <w:rsid w:val="00956503"/>
    <w:rsid w:val="009633F5"/>
    <w:rsid w:val="00987E07"/>
    <w:rsid w:val="00991D63"/>
    <w:rsid w:val="009B2944"/>
    <w:rsid w:val="009B51BC"/>
    <w:rsid w:val="009B596D"/>
    <w:rsid w:val="009E40CD"/>
    <w:rsid w:val="009E68E1"/>
    <w:rsid w:val="009F3527"/>
    <w:rsid w:val="009F3F79"/>
    <w:rsid w:val="00A05B91"/>
    <w:rsid w:val="00A23AC7"/>
    <w:rsid w:val="00A2428B"/>
    <w:rsid w:val="00A26019"/>
    <w:rsid w:val="00A36069"/>
    <w:rsid w:val="00A4739F"/>
    <w:rsid w:val="00A56AD1"/>
    <w:rsid w:val="00A6558D"/>
    <w:rsid w:val="00A97760"/>
    <w:rsid w:val="00AB55C9"/>
    <w:rsid w:val="00AC3CBF"/>
    <w:rsid w:val="00AF101C"/>
    <w:rsid w:val="00AF5797"/>
    <w:rsid w:val="00B13AAB"/>
    <w:rsid w:val="00B146C6"/>
    <w:rsid w:val="00B20EC8"/>
    <w:rsid w:val="00B3493D"/>
    <w:rsid w:val="00B473FF"/>
    <w:rsid w:val="00B47700"/>
    <w:rsid w:val="00B504E2"/>
    <w:rsid w:val="00B656D3"/>
    <w:rsid w:val="00B67DE1"/>
    <w:rsid w:val="00B76D0C"/>
    <w:rsid w:val="00B84684"/>
    <w:rsid w:val="00BA3310"/>
    <w:rsid w:val="00BA44DD"/>
    <w:rsid w:val="00BE0A0F"/>
    <w:rsid w:val="00BE32A6"/>
    <w:rsid w:val="00BF3E9B"/>
    <w:rsid w:val="00BF53DC"/>
    <w:rsid w:val="00C03CE4"/>
    <w:rsid w:val="00C2358E"/>
    <w:rsid w:val="00C27607"/>
    <w:rsid w:val="00C31A9C"/>
    <w:rsid w:val="00C35F95"/>
    <w:rsid w:val="00C44286"/>
    <w:rsid w:val="00C45865"/>
    <w:rsid w:val="00C52BCC"/>
    <w:rsid w:val="00C52F61"/>
    <w:rsid w:val="00C53BE7"/>
    <w:rsid w:val="00C77821"/>
    <w:rsid w:val="00C928FE"/>
    <w:rsid w:val="00CA3507"/>
    <w:rsid w:val="00CD1DC8"/>
    <w:rsid w:val="00CD465A"/>
    <w:rsid w:val="00CE23E2"/>
    <w:rsid w:val="00D21673"/>
    <w:rsid w:val="00D2335E"/>
    <w:rsid w:val="00D24765"/>
    <w:rsid w:val="00D32F9F"/>
    <w:rsid w:val="00D71CFE"/>
    <w:rsid w:val="00D82063"/>
    <w:rsid w:val="00D91898"/>
    <w:rsid w:val="00D948CE"/>
    <w:rsid w:val="00DA6299"/>
    <w:rsid w:val="00DE5B47"/>
    <w:rsid w:val="00DF7A80"/>
    <w:rsid w:val="00E20598"/>
    <w:rsid w:val="00E3211A"/>
    <w:rsid w:val="00E331E6"/>
    <w:rsid w:val="00E50B6C"/>
    <w:rsid w:val="00E5279B"/>
    <w:rsid w:val="00E5365D"/>
    <w:rsid w:val="00E5640C"/>
    <w:rsid w:val="00E6141D"/>
    <w:rsid w:val="00E75DB6"/>
    <w:rsid w:val="00E83B35"/>
    <w:rsid w:val="00E84A68"/>
    <w:rsid w:val="00EA03A0"/>
    <w:rsid w:val="00EA2330"/>
    <w:rsid w:val="00EA5EFF"/>
    <w:rsid w:val="00EA7AC6"/>
    <w:rsid w:val="00EB7BCF"/>
    <w:rsid w:val="00ED336F"/>
    <w:rsid w:val="00ED3BAF"/>
    <w:rsid w:val="00EE1988"/>
    <w:rsid w:val="00F1104A"/>
    <w:rsid w:val="00F46786"/>
    <w:rsid w:val="00F63A76"/>
    <w:rsid w:val="00F64909"/>
    <w:rsid w:val="00F7038D"/>
    <w:rsid w:val="00F73839"/>
    <w:rsid w:val="00F7685C"/>
    <w:rsid w:val="00F779AD"/>
    <w:rsid w:val="00F81C93"/>
    <w:rsid w:val="00F86FDC"/>
    <w:rsid w:val="00F93D16"/>
    <w:rsid w:val="00F9645D"/>
    <w:rsid w:val="00FA602C"/>
    <w:rsid w:val="00FA6A68"/>
    <w:rsid w:val="00FC0A46"/>
    <w:rsid w:val="00FE30F7"/>
    <w:rsid w:val="00FE3A6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FFCE3D"/>
  <w15:docId w15:val="{B20F945F-7A43-40BF-91DC-2D9599298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11D6"/>
    <w:rPr>
      <w:rFonts w:ascii="HebarU" w:hAnsi="HebarU"/>
      <w:sz w:val="24"/>
      <w:lang w:eastAsia="en-US"/>
    </w:rPr>
  </w:style>
  <w:style w:type="paragraph" w:styleId="Heading1">
    <w:name w:val="heading 1"/>
    <w:basedOn w:val="Normal"/>
    <w:next w:val="Normal"/>
    <w:link w:val="Heading1Char"/>
    <w:uiPriority w:val="9"/>
    <w:qFormat/>
    <w:rsid w:val="006311D6"/>
    <w:pPr>
      <w:keepNext/>
      <w:ind w:firstLine="3544"/>
      <w:outlineLvl w:val="0"/>
    </w:pPr>
    <w:rPr>
      <w:rFonts w:ascii="Times New Roman" w:hAnsi="Times New Roman"/>
      <w:b/>
      <w:sz w:val="28"/>
    </w:rPr>
  </w:style>
  <w:style w:type="paragraph" w:styleId="Heading2">
    <w:name w:val="heading 2"/>
    <w:basedOn w:val="Normal"/>
    <w:next w:val="Normal"/>
    <w:link w:val="Heading2Char"/>
    <w:uiPriority w:val="9"/>
    <w:qFormat/>
    <w:rsid w:val="006311D6"/>
    <w:pPr>
      <w:keepNext/>
      <w:outlineLvl w:val="1"/>
    </w:pPr>
    <w:rPr>
      <w:rFonts w:ascii="Arial" w:hAnsi="Arial" w:cs="Arial"/>
      <w:b/>
      <w:bCs/>
      <w:color w:val="000000"/>
      <w:sz w:val="15"/>
      <w:szCs w:val="15"/>
    </w:rPr>
  </w:style>
  <w:style w:type="paragraph" w:styleId="Heading3">
    <w:name w:val="heading 3"/>
    <w:basedOn w:val="Normal"/>
    <w:next w:val="Normal"/>
    <w:link w:val="Heading3Char"/>
    <w:uiPriority w:val="9"/>
    <w:qFormat/>
    <w:rsid w:val="006311D6"/>
    <w:pPr>
      <w:keepNext/>
      <w:ind w:left="3600" w:firstLine="720"/>
      <w:jc w:val="both"/>
      <w:outlineLvl w:val="2"/>
    </w:pPr>
    <w:rPr>
      <w:rFonts w:ascii="Times New Roman" w:hAnsi="Times New Roman"/>
      <w:b/>
      <w:sz w:val="28"/>
    </w:rPr>
  </w:style>
  <w:style w:type="paragraph" w:styleId="Heading4">
    <w:name w:val="heading 4"/>
    <w:basedOn w:val="Normal"/>
    <w:next w:val="Normal"/>
    <w:link w:val="Heading4Char"/>
    <w:uiPriority w:val="9"/>
    <w:qFormat/>
    <w:rsid w:val="006311D6"/>
    <w:pPr>
      <w:keepNext/>
      <w:jc w:val="center"/>
      <w:outlineLvl w:val="3"/>
    </w:pPr>
    <w:rPr>
      <w:rFonts w:ascii="Times New Roman" w:hAnsi="Times New Roman"/>
      <w:b/>
      <w:sz w:val="36"/>
    </w:rPr>
  </w:style>
  <w:style w:type="paragraph" w:styleId="Heading5">
    <w:name w:val="heading 5"/>
    <w:basedOn w:val="Normal"/>
    <w:next w:val="Normal"/>
    <w:link w:val="Heading5Char"/>
    <w:uiPriority w:val="9"/>
    <w:qFormat/>
    <w:rsid w:val="006311D6"/>
    <w:pPr>
      <w:keepNext/>
      <w:ind w:firstLine="3969"/>
      <w:outlineLvl w:val="4"/>
    </w:pPr>
    <w:rPr>
      <w:rFonts w:ascii="Times New Roman" w:hAnsi="Times New Roman"/>
      <w:b/>
      <w:sz w:val="20"/>
    </w:rPr>
  </w:style>
  <w:style w:type="paragraph" w:styleId="Heading6">
    <w:name w:val="heading 6"/>
    <w:basedOn w:val="Normal"/>
    <w:next w:val="Normal"/>
    <w:link w:val="Heading6Char"/>
    <w:uiPriority w:val="9"/>
    <w:qFormat/>
    <w:rsid w:val="006311D6"/>
    <w:pPr>
      <w:keepNext/>
      <w:ind w:left="720"/>
      <w:jc w:val="both"/>
      <w:outlineLvl w:val="5"/>
    </w:pPr>
    <w:rPr>
      <w:rFonts w:ascii="Times New Roman" w:hAnsi="Times New Roman"/>
    </w:rPr>
  </w:style>
  <w:style w:type="paragraph" w:styleId="Heading7">
    <w:name w:val="heading 7"/>
    <w:basedOn w:val="Normal"/>
    <w:next w:val="Normal"/>
    <w:link w:val="Heading7Char"/>
    <w:uiPriority w:val="9"/>
    <w:qFormat/>
    <w:rsid w:val="006311D6"/>
    <w:pPr>
      <w:keepNext/>
      <w:pBdr>
        <w:bottom w:val="single" w:sz="6" w:space="1" w:color="auto"/>
      </w:pBdr>
      <w:outlineLvl w:val="6"/>
    </w:pPr>
    <w:rPr>
      <w:rFonts w:ascii="TimokU" w:hAnsi="TimokU"/>
      <w:b/>
      <w:spacing w:val="56"/>
      <w:kern w:val="144"/>
      <w:sz w:val="28"/>
    </w:rPr>
  </w:style>
  <w:style w:type="paragraph" w:styleId="Heading8">
    <w:name w:val="heading 8"/>
    <w:basedOn w:val="Normal"/>
    <w:next w:val="Normal"/>
    <w:link w:val="Heading8Char"/>
    <w:uiPriority w:val="9"/>
    <w:qFormat/>
    <w:rsid w:val="006311D6"/>
    <w:pPr>
      <w:keepNext/>
      <w:ind w:right="6804"/>
      <w:jc w:val="center"/>
      <w:outlineLvl w:val="7"/>
    </w:pPr>
    <w:rPr>
      <w:rFonts w:ascii="Times New Roman" w:hAnsi="Times New Roman"/>
      <w:i/>
      <w:sz w:val="28"/>
    </w:rPr>
  </w:style>
  <w:style w:type="paragraph" w:styleId="Heading9">
    <w:name w:val="heading 9"/>
    <w:basedOn w:val="Normal"/>
    <w:next w:val="Normal"/>
    <w:link w:val="Heading9Char"/>
    <w:uiPriority w:val="9"/>
    <w:semiHidden/>
    <w:unhideWhenUsed/>
    <w:qFormat/>
    <w:rsid w:val="00761800"/>
    <w:pPr>
      <w:keepNext/>
      <w:keepLines/>
      <w:spacing w:before="40"/>
      <w:outlineLvl w:val="8"/>
    </w:pPr>
    <w:rPr>
      <w:rFonts w:ascii="Times New Roman" w:hAnsi="Times New Roman"/>
      <w:i/>
      <w:iCs/>
      <w:sz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372A69"/>
    <w:rPr>
      <w:rFonts w:ascii="Cambria" w:hAnsi="Cambria" w:cs="Times New Roman"/>
      <w:b/>
      <w:bCs/>
      <w:kern w:val="32"/>
      <w:sz w:val="32"/>
      <w:szCs w:val="32"/>
      <w:lang w:eastAsia="en-US"/>
    </w:rPr>
  </w:style>
  <w:style w:type="character" w:customStyle="1" w:styleId="Heading2Char">
    <w:name w:val="Heading 2 Char"/>
    <w:link w:val="Heading2"/>
    <w:uiPriority w:val="9"/>
    <w:locked/>
    <w:rsid w:val="00372A69"/>
    <w:rPr>
      <w:rFonts w:ascii="Cambria" w:hAnsi="Cambria" w:cs="Times New Roman"/>
      <w:b/>
      <w:bCs/>
      <w:i/>
      <w:iCs/>
      <w:sz w:val="28"/>
      <w:szCs w:val="28"/>
      <w:lang w:eastAsia="en-US"/>
    </w:rPr>
  </w:style>
  <w:style w:type="character" w:customStyle="1" w:styleId="Heading3Char">
    <w:name w:val="Heading 3 Char"/>
    <w:link w:val="Heading3"/>
    <w:uiPriority w:val="9"/>
    <w:locked/>
    <w:rsid w:val="00372A69"/>
    <w:rPr>
      <w:rFonts w:ascii="Cambria" w:hAnsi="Cambria" w:cs="Times New Roman"/>
      <w:b/>
      <w:bCs/>
      <w:sz w:val="26"/>
      <w:szCs w:val="26"/>
      <w:lang w:eastAsia="en-US"/>
    </w:rPr>
  </w:style>
  <w:style w:type="character" w:customStyle="1" w:styleId="Heading4Char">
    <w:name w:val="Heading 4 Char"/>
    <w:link w:val="Heading4"/>
    <w:uiPriority w:val="9"/>
    <w:locked/>
    <w:rsid w:val="00372A69"/>
    <w:rPr>
      <w:rFonts w:ascii="Calibri" w:hAnsi="Calibri" w:cs="Times New Roman"/>
      <w:b/>
      <w:bCs/>
      <w:sz w:val="28"/>
      <w:szCs w:val="28"/>
      <w:lang w:eastAsia="en-US"/>
    </w:rPr>
  </w:style>
  <w:style w:type="character" w:customStyle="1" w:styleId="Heading5Char">
    <w:name w:val="Heading 5 Char"/>
    <w:link w:val="Heading5"/>
    <w:uiPriority w:val="9"/>
    <w:locked/>
    <w:rsid w:val="00372A69"/>
    <w:rPr>
      <w:rFonts w:ascii="Calibri" w:hAnsi="Calibri" w:cs="Times New Roman"/>
      <w:b/>
      <w:bCs/>
      <w:i/>
      <w:iCs/>
      <w:sz w:val="26"/>
      <w:szCs w:val="26"/>
      <w:lang w:eastAsia="en-US"/>
    </w:rPr>
  </w:style>
  <w:style w:type="character" w:customStyle="1" w:styleId="Heading6Char">
    <w:name w:val="Heading 6 Char"/>
    <w:link w:val="Heading6"/>
    <w:uiPriority w:val="9"/>
    <w:locked/>
    <w:rsid w:val="00372A69"/>
    <w:rPr>
      <w:rFonts w:ascii="Calibri" w:hAnsi="Calibri" w:cs="Times New Roman"/>
      <w:b/>
      <w:bCs/>
      <w:lang w:eastAsia="en-US"/>
    </w:rPr>
  </w:style>
  <w:style w:type="character" w:customStyle="1" w:styleId="Heading7Char">
    <w:name w:val="Heading 7 Char"/>
    <w:link w:val="Heading7"/>
    <w:uiPriority w:val="9"/>
    <w:locked/>
    <w:rsid w:val="00372A69"/>
    <w:rPr>
      <w:rFonts w:ascii="Calibri" w:hAnsi="Calibri" w:cs="Times New Roman"/>
      <w:sz w:val="24"/>
      <w:szCs w:val="24"/>
      <w:lang w:eastAsia="en-US"/>
    </w:rPr>
  </w:style>
  <w:style w:type="character" w:customStyle="1" w:styleId="Heading8Char">
    <w:name w:val="Heading 8 Char"/>
    <w:link w:val="Heading8"/>
    <w:uiPriority w:val="9"/>
    <w:locked/>
    <w:rsid w:val="00372A69"/>
    <w:rPr>
      <w:rFonts w:ascii="Calibri" w:hAnsi="Calibri" w:cs="Times New Roman"/>
      <w:i/>
      <w:iCs/>
      <w:sz w:val="24"/>
      <w:szCs w:val="24"/>
      <w:lang w:eastAsia="en-US"/>
    </w:rPr>
  </w:style>
  <w:style w:type="paragraph" w:styleId="EnvelopeAddress">
    <w:name w:val="envelope address"/>
    <w:basedOn w:val="Normal"/>
    <w:uiPriority w:val="99"/>
    <w:rsid w:val="006311D6"/>
    <w:pPr>
      <w:framePr w:w="7920" w:h="1980" w:hRule="exact" w:hSpace="180" w:wrap="auto" w:hAnchor="page" w:xAlign="center" w:yAlign="bottom"/>
      <w:ind w:left="2880"/>
    </w:pPr>
    <w:rPr>
      <w:b/>
      <w:sz w:val="28"/>
    </w:rPr>
  </w:style>
  <w:style w:type="paragraph" w:styleId="Header">
    <w:name w:val="header"/>
    <w:aliases w:val="Header Char2 Char,Header Char1 Char1 Char,Header Char Char Char1 Char,Header Char1 Char Char Char Char,Header Char Char Char Char Char Char,Header Char Char1 Char,Header Char1 Char Char1 Char,Header Char Char Char Char1 Char"/>
    <w:basedOn w:val="Normal"/>
    <w:link w:val="HeaderChar"/>
    <w:uiPriority w:val="99"/>
    <w:rsid w:val="006311D6"/>
    <w:pPr>
      <w:tabs>
        <w:tab w:val="center" w:pos="4153"/>
        <w:tab w:val="right" w:pos="8306"/>
      </w:tabs>
    </w:pPr>
  </w:style>
  <w:style w:type="character" w:customStyle="1" w:styleId="HeaderChar">
    <w:name w:val="Header Char"/>
    <w:aliases w:val="Header Char2 Char Char,Header Char1 Char1 Char Char,Header Char Char Char1 Char Char,Header Char1 Char Char Char Char Char,Header Char Char Char Char Char Char Char,Header Char Char1 Char Char,Header Char1 Char Char1 Char Char"/>
    <w:link w:val="Header"/>
    <w:uiPriority w:val="99"/>
    <w:locked/>
    <w:rsid w:val="00372A69"/>
    <w:rPr>
      <w:rFonts w:ascii="HebarU" w:hAnsi="HebarU" w:cs="Times New Roman"/>
      <w:sz w:val="20"/>
      <w:szCs w:val="20"/>
      <w:lang w:eastAsia="en-US"/>
    </w:rPr>
  </w:style>
  <w:style w:type="paragraph" w:styleId="Footer">
    <w:name w:val="footer"/>
    <w:basedOn w:val="Normal"/>
    <w:link w:val="FooterChar"/>
    <w:uiPriority w:val="99"/>
    <w:rsid w:val="006311D6"/>
    <w:pPr>
      <w:tabs>
        <w:tab w:val="center" w:pos="4153"/>
        <w:tab w:val="right" w:pos="8306"/>
      </w:tabs>
    </w:pPr>
  </w:style>
  <w:style w:type="character" w:customStyle="1" w:styleId="FooterChar">
    <w:name w:val="Footer Char"/>
    <w:link w:val="Footer"/>
    <w:uiPriority w:val="99"/>
    <w:locked/>
    <w:rsid w:val="005D593D"/>
    <w:rPr>
      <w:rFonts w:ascii="HebarU" w:hAnsi="HebarU" w:cs="Times New Roman"/>
      <w:sz w:val="24"/>
      <w:lang w:eastAsia="en-US"/>
    </w:rPr>
  </w:style>
  <w:style w:type="paragraph" w:styleId="BodyTextIndent">
    <w:name w:val="Body Text Indent"/>
    <w:basedOn w:val="Normal"/>
    <w:link w:val="BodyTextIndentChar"/>
    <w:uiPriority w:val="99"/>
    <w:rsid w:val="006311D6"/>
    <w:pPr>
      <w:ind w:left="720" w:firstLine="720"/>
    </w:pPr>
    <w:rPr>
      <w:rFonts w:ascii="Times New Roman" w:hAnsi="Times New Roman"/>
    </w:rPr>
  </w:style>
  <w:style w:type="character" w:customStyle="1" w:styleId="BodyTextIndentChar">
    <w:name w:val="Body Text Indent Char"/>
    <w:link w:val="BodyTextIndent"/>
    <w:uiPriority w:val="99"/>
    <w:locked/>
    <w:rsid w:val="00372A69"/>
    <w:rPr>
      <w:rFonts w:ascii="HebarU" w:hAnsi="HebarU" w:cs="Times New Roman"/>
      <w:sz w:val="20"/>
      <w:szCs w:val="20"/>
      <w:lang w:eastAsia="en-US"/>
    </w:rPr>
  </w:style>
  <w:style w:type="paragraph" w:styleId="BodyTextIndent2">
    <w:name w:val="Body Text Indent 2"/>
    <w:basedOn w:val="Normal"/>
    <w:link w:val="BodyTextIndent2Char"/>
    <w:uiPriority w:val="99"/>
    <w:rsid w:val="006311D6"/>
    <w:pPr>
      <w:spacing w:line="360" w:lineRule="auto"/>
      <w:ind w:left="720" w:firstLine="720"/>
      <w:jc w:val="both"/>
    </w:pPr>
    <w:rPr>
      <w:rFonts w:ascii="Times New Roman" w:hAnsi="Times New Roman"/>
      <w:sz w:val="28"/>
    </w:rPr>
  </w:style>
  <w:style w:type="character" w:customStyle="1" w:styleId="BodyTextIndent2Char">
    <w:name w:val="Body Text Indent 2 Char"/>
    <w:link w:val="BodyTextIndent2"/>
    <w:uiPriority w:val="99"/>
    <w:semiHidden/>
    <w:locked/>
    <w:rsid w:val="00372A69"/>
    <w:rPr>
      <w:rFonts w:ascii="HebarU" w:hAnsi="HebarU" w:cs="Times New Roman"/>
      <w:sz w:val="20"/>
      <w:szCs w:val="20"/>
      <w:lang w:eastAsia="en-US"/>
    </w:rPr>
  </w:style>
  <w:style w:type="paragraph" w:styleId="Caption">
    <w:name w:val="caption"/>
    <w:basedOn w:val="Normal"/>
    <w:next w:val="Normal"/>
    <w:link w:val="CaptionChar"/>
    <w:qFormat/>
    <w:rsid w:val="006311D6"/>
    <w:rPr>
      <w:rFonts w:ascii="TimokU" w:hAnsi="TimokU"/>
      <w:b/>
      <w:caps/>
      <w:sz w:val="22"/>
    </w:rPr>
  </w:style>
  <w:style w:type="character" w:customStyle="1" w:styleId="Heading20">
    <w:name w:val="Heading #2_"/>
    <w:link w:val="Heading21"/>
    <w:uiPriority w:val="99"/>
    <w:locked/>
    <w:rsid w:val="00431BF8"/>
    <w:rPr>
      <w:b/>
      <w:sz w:val="32"/>
      <w:shd w:val="clear" w:color="auto" w:fill="FFFFFF"/>
    </w:rPr>
  </w:style>
  <w:style w:type="character" w:customStyle="1" w:styleId="Heading2Spacing4pt">
    <w:name w:val="Heading #2 + Spacing 4 pt"/>
    <w:uiPriority w:val="99"/>
    <w:rsid w:val="00431BF8"/>
    <w:rPr>
      <w:b/>
      <w:spacing w:val="80"/>
      <w:sz w:val="32"/>
      <w:shd w:val="clear" w:color="auto" w:fill="FFFFFF"/>
    </w:rPr>
  </w:style>
  <w:style w:type="character" w:customStyle="1" w:styleId="Bodytext2">
    <w:name w:val="Body text (2)_"/>
    <w:link w:val="Bodytext21"/>
    <w:uiPriority w:val="99"/>
    <w:locked/>
    <w:rsid w:val="00431BF8"/>
    <w:rPr>
      <w:b/>
      <w:sz w:val="23"/>
      <w:shd w:val="clear" w:color="auto" w:fill="FFFFFF"/>
    </w:rPr>
  </w:style>
  <w:style w:type="character" w:customStyle="1" w:styleId="Bodytext20">
    <w:name w:val="Body text (2)"/>
    <w:uiPriority w:val="99"/>
    <w:rsid w:val="00431BF8"/>
    <w:rPr>
      <w:rFonts w:cs="Times New Roman"/>
      <w:b/>
      <w:bCs/>
      <w:sz w:val="23"/>
      <w:szCs w:val="23"/>
      <w:shd w:val="clear" w:color="auto" w:fill="FFFFFF"/>
    </w:rPr>
  </w:style>
  <w:style w:type="character" w:customStyle="1" w:styleId="Bodytext212pt">
    <w:name w:val="Body text (2) + 12 pt"/>
    <w:uiPriority w:val="99"/>
    <w:rsid w:val="00431BF8"/>
    <w:rPr>
      <w:b/>
      <w:sz w:val="24"/>
      <w:shd w:val="clear" w:color="auto" w:fill="FFFFFF"/>
    </w:rPr>
  </w:style>
  <w:style w:type="paragraph" w:customStyle="1" w:styleId="Heading21">
    <w:name w:val="Heading #21"/>
    <w:basedOn w:val="Normal"/>
    <w:link w:val="Heading20"/>
    <w:uiPriority w:val="99"/>
    <w:rsid w:val="00431BF8"/>
    <w:pPr>
      <w:shd w:val="clear" w:color="auto" w:fill="FFFFFF"/>
      <w:spacing w:before="540" w:after="600" w:line="240" w:lineRule="atLeast"/>
      <w:outlineLvl w:val="1"/>
    </w:pPr>
    <w:rPr>
      <w:rFonts w:ascii="Times New Roman" w:hAnsi="Times New Roman"/>
      <w:b/>
      <w:sz w:val="32"/>
      <w:lang w:eastAsia="bg-BG"/>
    </w:rPr>
  </w:style>
  <w:style w:type="paragraph" w:customStyle="1" w:styleId="Bodytext21">
    <w:name w:val="Body text (2)1"/>
    <w:basedOn w:val="Normal"/>
    <w:link w:val="Bodytext2"/>
    <w:uiPriority w:val="99"/>
    <w:rsid w:val="00431BF8"/>
    <w:pPr>
      <w:shd w:val="clear" w:color="auto" w:fill="FFFFFF"/>
      <w:spacing w:before="120" w:after="60" w:line="240" w:lineRule="atLeast"/>
    </w:pPr>
    <w:rPr>
      <w:rFonts w:ascii="Times New Roman" w:hAnsi="Times New Roman"/>
      <w:b/>
      <w:sz w:val="23"/>
      <w:lang w:eastAsia="bg-BG"/>
    </w:rPr>
  </w:style>
  <w:style w:type="paragraph" w:styleId="BodyText">
    <w:name w:val="Body Text"/>
    <w:basedOn w:val="Normal"/>
    <w:link w:val="BodyTextChar"/>
    <w:uiPriority w:val="99"/>
    <w:rsid w:val="00431BF8"/>
    <w:pPr>
      <w:spacing w:after="120"/>
    </w:pPr>
  </w:style>
  <w:style w:type="character" w:customStyle="1" w:styleId="BodyTextChar">
    <w:name w:val="Body Text Char"/>
    <w:link w:val="BodyText"/>
    <w:uiPriority w:val="99"/>
    <w:locked/>
    <w:rsid w:val="00431BF8"/>
    <w:rPr>
      <w:rFonts w:ascii="HebarU" w:hAnsi="HebarU" w:cs="Times New Roman"/>
      <w:sz w:val="24"/>
      <w:lang w:eastAsia="en-US"/>
    </w:rPr>
  </w:style>
  <w:style w:type="character" w:customStyle="1" w:styleId="Bodytext11">
    <w:name w:val="Body text + 11"/>
    <w:aliases w:val="5 pt,Bold"/>
    <w:uiPriority w:val="99"/>
    <w:rsid w:val="00431BF8"/>
    <w:rPr>
      <w:rFonts w:ascii="Times New Roman" w:hAnsi="Times New Roman"/>
      <w:b/>
      <w:spacing w:val="0"/>
      <w:sz w:val="23"/>
      <w:u w:val="single"/>
    </w:rPr>
  </w:style>
  <w:style w:type="character" w:customStyle="1" w:styleId="Bodytext111">
    <w:name w:val="Body text + 111"/>
    <w:aliases w:val="5 pt1,Bold1"/>
    <w:uiPriority w:val="99"/>
    <w:rsid w:val="00431BF8"/>
    <w:rPr>
      <w:rFonts w:ascii="Times New Roman" w:hAnsi="Times New Roman"/>
      <w:b/>
      <w:noProof/>
      <w:spacing w:val="0"/>
      <w:sz w:val="23"/>
    </w:rPr>
  </w:style>
  <w:style w:type="character" w:customStyle="1" w:styleId="BodytextSpacing1pt">
    <w:name w:val="Body text + Spacing 1 pt"/>
    <w:uiPriority w:val="99"/>
    <w:rsid w:val="00431BF8"/>
    <w:rPr>
      <w:rFonts w:ascii="Times New Roman" w:hAnsi="Times New Roman"/>
      <w:spacing w:val="20"/>
      <w:sz w:val="22"/>
    </w:rPr>
  </w:style>
  <w:style w:type="paragraph" w:styleId="BalloonText">
    <w:name w:val="Balloon Text"/>
    <w:basedOn w:val="Normal"/>
    <w:link w:val="BalloonTextChar"/>
    <w:uiPriority w:val="99"/>
    <w:semiHidden/>
    <w:rsid w:val="00BF53DC"/>
    <w:rPr>
      <w:rFonts w:ascii="Segoe UI" w:hAnsi="Segoe UI"/>
      <w:sz w:val="18"/>
      <w:szCs w:val="18"/>
    </w:rPr>
  </w:style>
  <w:style w:type="character" w:customStyle="1" w:styleId="BalloonTextChar">
    <w:name w:val="Balloon Text Char"/>
    <w:link w:val="BalloonText"/>
    <w:uiPriority w:val="99"/>
    <w:semiHidden/>
    <w:locked/>
    <w:rsid w:val="00BF53DC"/>
    <w:rPr>
      <w:rFonts w:ascii="Segoe UI" w:hAnsi="Segoe UI" w:cs="Times New Roman"/>
      <w:sz w:val="18"/>
      <w:lang w:eastAsia="en-US"/>
    </w:rPr>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D948CE"/>
    <w:pPr>
      <w:ind w:left="720"/>
      <w:contextualSpacing/>
    </w:pPr>
  </w:style>
  <w:style w:type="character" w:styleId="Hyperlink">
    <w:name w:val="Hyperlink"/>
    <w:uiPriority w:val="99"/>
    <w:rsid w:val="00E331E6"/>
    <w:rPr>
      <w:rFonts w:cs="Times New Roman"/>
      <w:color w:val="0563C1"/>
      <w:u w:val="single"/>
    </w:rPr>
  </w:style>
  <w:style w:type="numbering" w:customStyle="1" w:styleId="NoList1">
    <w:name w:val="No List1"/>
    <w:next w:val="NoList"/>
    <w:uiPriority w:val="99"/>
    <w:semiHidden/>
    <w:unhideWhenUsed/>
    <w:rsid w:val="00761800"/>
  </w:style>
  <w:style w:type="character" w:styleId="FollowedHyperlink">
    <w:name w:val="FollowedHyperlink"/>
    <w:basedOn w:val="DefaultParagraphFont"/>
    <w:uiPriority w:val="99"/>
    <w:semiHidden/>
    <w:unhideWhenUsed/>
    <w:locked/>
    <w:rsid w:val="00761800"/>
    <w:rPr>
      <w:color w:val="954F72"/>
      <w:u w:val="single"/>
    </w:rPr>
  </w:style>
  <w:style w:type="paragraph" w:customStyle="1" w:styleId="msonormal0">
    <w:name w:val="msonormal"/>
    <w:basedOn w:val="Normal"/>
    <w:rsid w:val="00761800"/>
    <w:pPr>
      <w:spacing w:before="100" w:beforeAutospacing="1" w:after="100" w:afterAutospacing="1"/>
    </w:pPr>
    <w:rPr>
      <w:rFonts w:ascii="Times New Roman" w:hAnsi="Times New Roman"/>
      <w:szCs w:val="24"/>
      <w:lang w:eastAsia="bg-BG"/>
    </w:rPr>
  </w:style>
  <w:style w:type="paragraph" w:customStyle="1" w:styleId="font5">
    <w:name w:val="font5"/>
    <w:basedOn w:val="Normal"/>
    <w:rsid w:val="00761800"/>
    <w:pPr>
      <w:spacing w:before="100" w:beforeAutospacing="1" w:after="100" w:afterAutospacing="1"/>
    </w:pPr>
    <w:rPr>
      <w:rFonts w:ascii="Times New Roman" w:hAnsi="Times New Roman"/>
      <w:sz w:val="22"/>
      <w:szCs w:val="22"/>
      <w:lang w:eastAsia="bg-BG"/>
    </w:rPr>
  </w:style>
  <w:style w:type="paragraph" w:customStyle="1" w:styleId="font6">
    <w:name w:val="font6"/>
    <w:basedOn w:val="Normal"/>
    <w:rsid w:val="00761800"/>
    <w:pPr>
      <w:spacing w:before="100" w:beforeAutospacing="1" w:after="100" w:afterAutospacing="1"/>
    </w:pPr>
    <w:rPr>
      <w:rFonts w:ascii="Times New Roman" w:hAnsi="Times New Roman"/>
      <w:b/>
      <w:bCs/>
      <w:sz w:val="22"/>
      <w:szCs w:val="22"/>
      <w:lang w:eastAsia="bg-BG"/>
    </w:rPr>
  </w:style>
  <w:style w:type="paragraph" w:customStyle="1" w:styleId="font7">
    <w:name w:val="font7"/>
    <w:basedOn w:val="Normal"/>
    <w:rsid w:val="00761800"/>
    <w:pPr>
      <w:spacing w:before="100" w:beforeAutospacing="1" w:after="100" w:afterAutospacing="1"/>
    </w:pPr>
    <w:rPr>
      <w:rFonts w:ascii="Times New Roman" w:hAnsi="Times New Roman"/>
      <w:color w:val="800000"/>
      <w:sz w:val="22"/>
      <w:szCs w:val="22"/>
      <w:lang w:eastAsia="bg-BG"/>
    </w:rPr>
  </w:style>
  <w:style w:type="paragraph" w:customStyle="1" w:styleId="font8">
    <w:name w:val="font8"/>
    <w:basedOn w:val="Normal"/>
    <w:rsid w:val="00761800"/>
    <w:pPr>
      <w:spacing w:before="100" w:beforeAutospacing="1" w:after="100" w:afterAutospacing="1"/>
    </w:pPr>
    <w:rPr>
      <w:rFonts w:ascii="Times New Roman" w:hAnsi="Times New Roman"/>
      <w:b/>
      <w:bCs/>
      <w:color w:val="800000"/>
      <w:sz w:val="22"/>
      <w:szCs w:val="22"/>
      <w:lang w:eastAsia="bg-BG"/>
    </w:rPr>
  </w:style>
  <w:style w:type="paragraph" w:customStyle="1" w:styleId="font9">
    <w:name w:val="font9"/>
    <w:basedOn w:val="Normal"/>
    <w:rsid w:val="00761800"/>
    <w:pPr>
      <w:spacing w:before="100" w:beforeAutospacing="1" w:after="100" w:afterAutospacing="1"/>
    </w:pPr>
    <w:rPr>
      <w:rFonts w:ascii="Times New Roman" w:hAnsi="Times New Roman"/>
      <w:color w:val="000000"/>
      <w:sz w:val="22"/>
      <w:szCs w:val="22"/>
      <w:lang w:eastAsia="bg-BG"/>
    </w:rPr>
  </w:style>
  <w:style w:type="paragraph" w:customStyle="1" w:styleId="font10">
    <w:name w:val="font10"/>
    <w:basedOn w:val="Normal"/>
    <w:rsid w:val="00761800"/>
    <w:pPr>
      <w:spacing w:before="100" w:beforeAutospacing="1" w:after="100" w:afterAutospacing="1"/>
    </w:pPr>
    <w:rPr>
      <w:rFonts w:ascii="Times New Roman" w:hAnsi="Times New Roman"/>
      <w:b/>
      <w:bCs/>
      <w:color w:val="000000"/>
      <w:sz w:val="22"/>
      <w:szCs w:val="22"/>
      <w:lang w:eastAsia="bg-BG"/>
    </w:rPr>
  </w:style>
  <w:style w:type="paragraph" w:customStyle="1" w:styleId="xl68">
    <w:name w:val="xl68"/>
    <w:basedOn w:val="Normal"/>
    <w:rsid w:val="00761800"/>
    <w:pPr>
      <w:spacing w:before="100" w:beforeAutospacing="1" w:after="100" w:afterAutospacing="1"/>
    </w:pPr>
    <w:rPr>
      <w:rFonts w:ascii="Times New Roman" w:hAnsi="Times New Roman"/>
      <w:szCs w:val="24"/>
      <w:lang w:eastAsia="bg-BG"/>
    </w:rPr>
  </w:style>
  <w:style w:type="paragraph" w:customStyle="1" w:styleId="xl69">
    <w:name w:val="xl69"/>
    <w:basedOn w:val="Normal"/>
    <w:rsid w:val="00761800"/>
    <w:pPr>
      <w:spacing w:before="100" w:beforeAutospacing="1" w:after="100" w:afterAutospacing="1"/>
    </w:pPr>
    <w:rPr>
      <w:rFonts w:ascii="Times New Roman" w:hAnsi="Times New Roman"/>
      <w:szCs w:val="24"/>
      <w:lang w:eastAsia="bg-BG"/>
    </w:rPr>
  </w:style>
  <w:style w:type="paragraph" w:customStyle="1" w:styleId="xl70">
    <w:name w:val="xl70"/>
    <w:basedOn w:val="Normal"/>
    <w:rsid w:val="00761800"/>
    <w:pPr>
      <w:spacing w:before="100" w:beforeAutospacing="1" w:after="100" w:afterAutospacing="1"/>
    </w:pPr>
    <w:rPr>
      <w:rFonts w:ascii="Times New Roman" w:hAnsi="Times New Roman"/>
      <w:color w:val="800000"/>
      <w:szCs w:val="24"/>
      <w:lang w:eastAsia="bg-BG"/>
    </w:rPr>
  </w:style>
  <w:style w:type="paragraph" w:customStyle="1" w:styleId="xl71">
    <w:name w:val="xl71"/>
    <w:basedOn w:val="Normal"/>
    <w:rsid w:val="00761800"/>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olor w:val="800000"/>
      <w:szCs w:val="24"/>
      <w:lang w:eastAsia="bg-BG"/>
    </w:rPr>
  </w:style>
  <w:style w:type="paragraph" w:customStyle="1" w:styleId="xl72">
    <w:name w:val="xl72"/>
    <w:basedOn w:val="Normal"/>
    <w:rsid w:val="00761800"/>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800000"/>
      <w:szCs w:val="24"/>
      <w:lang w:eastAsia="bg-BG"/>
    </w:rPr>
  </w:style>
  <w:style w:type="paragraph" w:customStyle="1" w:styleId="xl73">
    <w:name w:val="xl73"/>
    <w:basedOn w:val="Normal"/>
    <w:rsid w:val="00761800"/>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800000"/>
      <w:szCs w:val="24"/>
      <w:lang w:eastAsia="bg-BG"/>
    </w:rPr>
  </w:style>
  <w:style w:type="paragraph" w:customStyle="1" w:styleId="xl74">
    <w:name w:val="xl74"/>
    <w:basedOn w:val="Normal"/>
    <w:rsid w:val="00761800"/>
    <w:pPr>
      <w:pBdr>
        <w:bottom w:val="single" w:sz="4" w:space="0" w:color="auto"/>
      </w:pBdr>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75">
    <w:name w:val="xl75"/>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76">
    <w:name w:val="xl76"/>
    <w:basedOn w:val="Normal"/>
    <w:rsid w:val="00761800"/>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800000"/>
      <w:szCs w:val="24"/>
      <w:lang w:eastAsia="bg-BG"/>
    </w:rPr>
  </w:style>
  <w:style w:type="paragraph" w:customStyle="1" w:styleId="xl77">
    <w:name w:val="xl77"/>
    <w:basedOn w:val="Normal"/>
    <w:rsid w:val="00761800"/>
    <w:pPr>
      <w:pBdr>
        <w:bottom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78">
    <w:name w:val="xl78"/>
    <w:basedOn w:val="Normal"/>
    <w:rsid w:val="00761800"/>
    <w:pPr>
      <w:pBdr>
        <w:left w:val="single" w:sz="4" w:space="0" w:color="auto"/>
        <w:bottom w:val="single" w:sz="4" w:space="0" w:color="auto"/>
        <w:right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79">
    <w:name w:val="xl79"/>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800000"/>
      <w:szCs w:val="24"/>
      <w:lang w:eastAsia="bg-BG"/>
    </w:rPr>
  </w:style>
  <w:style w:type="paragraph" w:customStyle="1" w:styleId="xl80">
    <w:name w:val="xl80"/>
    <w:basedOn w:val="Normal"/>
    <w:rsid w:val="00761800"/>
    <w:pPr>
      <w:pBdr>
        <w:top w:val="single" w:sz="4" w:space="0" w:color="auto"/>
        <w:left w:val="single" w:sz="4" w:space="7" w:color="auto"/>
        <w:bottom w:val="single" w:sz="4" w:space="0" w:color="auto"/>
      </w:pBdr>
      <w:spacing w:before="100" w:beforeAutospacing="1" w:after="100" w:afterAutospacing="1"/>
      <w:ind w:firstLineChars="100" w:firstLine="100"/>
    </w:pPr>
    <w:rPr>
      <w:rFonts w:ascii="Times New Roman" w:hAnsi="Times New Roman"/>
      <w:i/>
      <w:iCs/>
      <w:color w:val="800000"/>
      <w:szCs w:val="24"/>
      <w:lang w:eastAsia="bg-BG"/>
    </w:rPr>
  </w:style>
  <w:style w:type="paragraph" w:customStyle="1" w:styleId="xl81">
    <w:name w:val="xl81"/>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82">
    <w:name w:val="xl82"/>
    <w:basedOn w:val="Normal"/>
    <w:rsid w:val="00761800"/>
    <w:pPr>
      <w:pBdr>
        <w:top w:val="single" w:sz="4" w:space="0" w:color="auto"/>
        <w:left w:val="single" w:sz="4" w:space="14" w:color="auto"/>
        <w:bottom w:val="single" w:sz="4" w:space="0" w:color="auto"/>
      </w:pBdr>
      <w:spacing w:before="100" w:beforeAutospacing="1" w:after="100" w:afterAutospacing="1"/>
      <w:ind w:firstLineChars="200" w:firstLine="200"/>
    </w:pPr>
    <w:rPr>
      <w:rFonts w:ascii="Times New Roman" w:hAnsi="Times New Roman"/>
      <w:color w:val="800000"/>
      <w:szCs w:val="24"/>
      <w:lang w:eastAsia="bg-BG"/>
    </w:rPr>
  </w:style>
  <w:style w:type="paragraph" w:customStyle="1" w:styleId="xl83">
    <w:name w:val="xl83"/>
    <w:basedOn w:val="Normal"/>
    <w:rsid w:val="00761800"/>
    <w:pPr>
      <w:pBdr>
        <w:top w:val="single" w:sz="4" w:space="0" w:color="auto"/>
        <w:bottom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84">
    <w:name w:val="xl84"/>
    <w:basedOn w:val="Normal"/>
    <w:rsid w:val="00761800"/>
    <w:pPr>
      <w:pBdr>
        <w:top w:val="single" w:sz="4" w:space="0" w:color="auto"/>
        <w:bottom w:val="single" w:sz="4" w:space="0" w:color="auto"/>
      </w:pBdr>
      <w:spacing w:before="100" w:beforeAutospacing="1" w:after="100" w:afterAutospacing="1"/>
      <w:ind w:firstLineChars="100" w:firstLine="100"/>
    </w:pPr>
    <w:rPr>
      <w:rFonts w:ascii="Times New Roman" w:hAnsi="Times New Roman"/>
      <w:i/>
      <w:iCs/>
      <w:color w:val="800000"/>
      <w:szCs w:val="24"/>
      <w:lang w:eastAsia="bg-BG"/>
    </w:rPr>
  </w:style>
  <w:style w:type="paragraph" w:customStyle="1" w:styleId="xl85">
    <w:name w:val="xl85"/>
    <w:basedOn w:val="Normal"/>
    <w:rsid w:val="00761800"/>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pPr>
    <w:rPr>
      <w:rFonts w:ascii="Times New Roman" w:hAnsi="Times New Roman"/>
      <w:color w:val="800000"/>
      <w:szCs w:val="24"/>
      <w:lang w:eastAsia="bg-BG"/>
    </w:rPr>
  </w:style>
  <w:style w:type="paragraph" w:customStyle="1" w:styleId="xl86">
    <w:name w:val="xl86"/>
    <w:basedOn w:val="Normal"/>
    <w:rsid w:val="00761800"/>
    <w:pPr>
      <w:pBdr>
        <w:top w:val="single" w:sz="4" w:space="0" w:color="auto"/>
        <w:left w:val="single" w:sz="4" w:space="0" w:color="auto"/>
        <w:bottom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87">
    <w:name w:val="xl87"/>
    <w:basedOn w:val="Normal"/>
    <w:rsid w:val="00761800"/>
    <w:pPr>
      <w:pBdr>
        <w:top w:val="single" w:sz="4" w:space="0" w:color="auto"/>
        <w:bottom w:val="single" w:sz="4" w:space="0" w:color="auto"/>
      </w:pBdr>
      <w:spacing w:before="100" w:beforeAutospacing="1" w:after="100" w:afterAutospacing="1"/>
      <w:ind w:firstLineChars="100" w:firstLine="100"/>
    </w:pPr>
    <w:rPr>
      <w:rFonts w:ascii="Times New Roman" w:hAnsi="Times New Roman"/>
      <w:color w:val="800000"/>
      <w:szCs w:val="24"/>
      <w:lang w:eastAsia="bg-BG"/>
    </w:rPr>
  </w:style>
  <w:style w:type="paragraph" w:customStyle="1" w:styleId="xl88">
    <w:name w:val="xl88"/>
    <w:basedOn w:val="Normal"/>
    <w:rsid w:val="00761800"/>
    <w:pPr>
      <w:pBdr>
        <w:top w:val="single" w:sz="4" w:space="0" w:color="auto"/>
        <w:left w:val="single" w:sz="4" w:space="0" w:color="auto"/>
        <w:bottom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89">
    <w:name w:val="xl89"/>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800000"/>
      <w:szCs w:val="24"/>
      <w:lang w:eastAsia="bg-BG"/>
    </w:rPr>
  </w:style>
  <w:style w:type="paragraph" w:customStyle="1" w:styleId="xl90">
    <w:name w:val="xl90"/>
    <w:basedOn w:val="Normal"/>
    <w:rsid w:val="00761800"/>
    <w:pPr>
      <w:spacing w:before="100" w:beforeAutospacing="1" w:after="100" w:afterAutospacing="1"/>
    </w:pPr>
    <w:rPr>
      <w:rFonts w:ascii="Times New Roman" w:hAnsi="Times New Roman"/>
      <w:color w:val="800000"/>
      <w:szCs w:val="24"/>
      <w:lang w:eastAsia="bg-BG"/>
    </w:rPr>
  </w:style>
  <w:style w:type="paragraph" w:customStyle="1" w:styleId="xl91">
    <w:name w:val="xl91"/>
    <w:basedOn w:val="Normal"/>
    <w:rsid w:val="00761800"/>
    <w:pPr>
      <w:spacing w:before="100" w:beforeAutospacing="1" w:after="100" w:afterAutospacing="1"/>
    </w:pPr>
    <w:rPr>
      <w:rFonts w:ascii="Times New Roman" w:hAnsi="Times New Roman"/>
      <w:i/>
      <w:iCs/>
      <w:color w:val="800000"/>
      <w:szCs w:val="24"/>
      <w:lang w:eastAsia="bg-BG"/>
    </w:rPr>
  </w:style>
  <w:style w:type="paragraph" w:customStyle="1" w:styleId="xl92">
    <w:name w:val="xl92"/>
    <w:basedOn w:val="Normal"/>
    <w:rsid w:val="00761800"/>
    <w:pPr>
      <w:pBdr>
        <w:top w:val="single" w:sz="4" w:space="0" w:color="auto"/>
        <w:left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93">
    <w:name w:val="xl93"/>
    <w:basedOn w:val="Normal"/>
    <w:rsid w:val="00761800"/>
    <w:pPr>
      <w:pBdr>
        <w:left w:val="single" w:sz="4" w:space="0" w:color="auto"/>
        <w:bottom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94">
    <w:name w:val="xl94"/>
    <w:basedOn w:val="Normal"/>
    <w:rsid w:val="00761800"/>
    <w:pPr>
      <w:pBdr>
        <w:left w:val="single" w:sz="4" w:space="0" w:color="auto"/>
        <w:right w:val="single" w:sz="4" w:space="0" w:color="auto"/>
      </w:pBdr>
      <w:spacing w:before="100" w:beforeAutospacing="1" w:after="100" w:afterAutospacing="1"/>
      <w:jc w:val="center"/>
    </w:pPr>
    <w:rPr>
      <w:rFonts w:ascii="Times New Roman" w:hAnsi="Times New Roman"/>
      <w:color w:val="800000"/>
      <w:szCs w:val="24"/>
      <w:lang w:eastAsia="bg-BG"/>
    </w:rPr>
  </w:style>
  <w:style w:type="paragraph" w:customStyle="1" w:styleId="xl95">
    <w:name w:val="xl95"/>
    <w:basedOn w:val="Normal"/>
    <w:rsid w:val="00761800"/>
    <w:pPr>
      <w:pBdr>
        <w:left w:val="single" w:sz="4" w:space="0" w:color="auto"/>
        <w:bottom w:val="single" w:sz="4" w:space="0" w:color="auto"/>
      </w:pBdr>
      <w:spacing w:before="100" w:beforeAutospacing="1" w:after="100" w:afterAutospacing="1"/>
      <w:textAlignment w:val="center"/>
    </w:pPr>
    <w:rPr>
      <w:rFonts w:ascii="Times New Roman" w:hAnsi="Times New Roman"/>
      <w:color w:val="800000"/>
      <w:szCs w:val="24"/>
      <w:lang w:eastAsia="bg-BG"/>
    </w:rPr>
  </w:style>
  <w:style w:type="paragraph" w:customStyle="1" w:styleId="xl96">
    <w:name w:val="xl96"/>
    <w:basedOn w:val="Normal"/>
    <w:rsid w:val="00761800"/>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97">
    <w:name w:val="xl97"/>
    <w:basedOn w:val="Normal"/>
    <w:rsid w:val="00761800"/>
    <w:pPr>
      <w:pBdr>
        <w:top w:val="single" w:sz="4" w:space="0" w:color="auto"/>
        <w:bottom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98">
    <w:name w:val="xl98"/>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800000"/>
      <w:szCs w:val="24"/>
      <w:lang w:eastAsia="bg-BG"/>
    </w:rPr>
  </w:style>
  <w:style w:type="paragraph" w:customStyle="1" w:styleId="xl99">
    <w:name w:val="xl99"/>
    <w:basedOn w:val="Normal"/>
    <w:rsid w:val="00761800"/>
    <w:pPr>
      <w:pBdr>
        <w:top w:val="single" w:sz="4" w:space="0" w:color="auto"/>
        <w:bottom w:val="single" w:sz="4" w:space="0" w:color="auto"/>
      </w:pBdr>
      <w:spacing w:before="100" w:beforeAutospacing="1" w:after="100" w:afterAutospacing="1"/>
    </w:pPr>
    <w:rPr>
      <w:rFonts w:ascii="Times New Roman" w:hAnsi="Times New Roman"/>
      <w:i/>
      <w:iCs/>
      <w:color w:val="800000"/>
      <w:szCs w:val="24"/>
      <w:lang w:eastAsia="bg-BG"/>
    </w:rPr>
  </w:style>
  <w:style w:type="paragraph" w:customStyle="1" w:styleId="xl100">
    <w:name w:val="xl100"/>
    <w:basedOn w:val="Normal"/>
    <w:rsid w:val="00761800"/>
    <w:pPr>
      <w:pBdr>
        <w:top w:val="single" w:sz="4" w:space="0" w:color="auto"/>
        <w:bottom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101">
    <w:name w:val="xl101"/>
    <w:basedOn w:val="Normal"/>
    <w:rsid w:val="00761800"/>
    <w:pPr>
      <w:spacing w:before="100" w:beforeAutospacing="1" w:after="100" w:afterAutospacing="1"/>
      <w:jc w:val="center"/>
    </w:pPr>
    <w:rPr>
      <w:rFonts w:ascii="Times New Roman" w:hAnsi="Times New Roman"/>
      <w:b/>
      <w:bCs/>
      <w:color w:val="800000"/>
      <w:szCs w:val="24"/>
      <w:u w:val="single"/>
      <w:lang w:eastAsia="bg-BG"/>
    </w:rPr>
  </w:style>
  <w:style w:type="paragraph" w:customStyle="1" w:styleId="xl102">
    <w:name w:val="xl102"/>
    <w:basedOn w:val="Normal"/>
    <w:rsid w:val="00761800"/>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lang w:eastAsia="bg-BG"/>
    </w:rPr>
  </w:style>
  <w:style w:type="paragraph" w:customStyle="1" w:styleId="xl103">
    <w:name w:val="xl103"/>
    <w:basedOn w:val="Normal"/>
    <w:rsid w:val="00761800"/>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lang w:eastAsia="bg-BG"/>
    </w:rPr>
  </w:style>
  <w:style w:type="paragraph" w:customStyle="1" w:styleId="xl104">
    <w:name w:val="xl104"/>
    <w:basedOn w:val="Normal"/>
    <w:rsid w:val="00761800"/>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05">
    <w:name w:val="xl105"/>
    <w:basedOn w:val="Normal"/>
    <w:rsid w:val="00761800"/>
    <w:pPr>
      <w:pBdr>
        <w:bottom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06">
    <w:name w:val="xl106"/>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07">
    <w:name w:val="xl107"/>
    <w:basedOn w:val="Normal"/>
    <w:rsid w:val="00761800"/>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08">
    <w:name w:val="xl108"/>
    <w:basedOn w:val="Normal"/>
    <w:rsid w:val="00761800"/>
    <w:pPr>
      <w:pBdr>
        <w:bottom w:val="single" w:sz="4" w:space="0" w:color="auto"/>
      </w:pBdr>
      <w:spacing w:before="100" w:beforeAutospacing="1" w:after="100" w:afterAutospacing="1"/>
    </w:pPr>
    <w:rPr>
      <w:rFonts w:ascii="Times New Roman" w:hAnsi="Times New Roman"/>
      <w:szCs w:val="24"/>
      <w:lang w:eastAsia="bg-BG"/>
    </w:rPr>
  </w:style>
  <w:style w:type="paragraph" w:customStyle="1" w:styleId="xl109">
    <w:name w:val="xl109"/>
    <w:basedOn w:val="Normal"/>
    <w:rsid w:val="00761800"/>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110">
    <w:name w:val="xl110"/>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11">
    <w:name w:val="xl111"/>
    <w:basedOn w:val="Normal"/>
    <w:rsid w:val="00761800"/>
    <w:pPr>
      <w:pBdr>
        <w:top w:val="single" w:sz="4" w:space="0" w:color="auto"/>
        <w:left w:val="single" w:sz="4" w:space="7" w:color="auto"/>
        <w:bottom w:val="single" w:sz="4" w:space="0" w:color="auto"/>
      </w:pBdr>
      <w:spacing w:before="100" w:beforeAutospacing="1" w:after="100" w:afterAutospacing="1"/>
      <w:ind w:firstLineChars="100" w:firstLine="100"/>
    </w:pPr>
    <w:rPr>
      <w:rFonts w:ascii="Times New Roman" w:hAnsi="Times New Roman"/>
      <w:i/>
      <w:iCs/>
      <w:szCs w:val="24"/>
      <w:lang w:eastAsia="bg-BG"/>
    </w:rPr>
  </w:style>
  <w:style w:type="paragraph" w:customStyle="1" w:styleId="xl112">
    <w:name w:val="xl112"/>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113">
    <w:name w:val="xl113"/>
    <w:basedOn w:val="Normal"/>
    <w:rsid w:val="00761800"/>
    <w:pPr>
      <w:pBdr>
        <w:top w:val="single" w:sz="4" w:space="0" w:color="auto"/>
        <w:left w:val="single" w:sz="4" w:space="14" w:color="auto"/>
        <w:bottom w:val="single" w:sz="4" w:space="0" w:color="auto"/>
      </w:pBdr>
      <w:spacing w:before="100" w:beforeAutospacing="1" w:after="100" w:afterAutospacing="1"/>
      <w:ind w:firstLineChars="200" w:firstLine="200"/>
    </w:pPr>
    <w:rPr>
      <w:rFonts w:ascii="Times New Roman" w:hAnsi="Times New Roman"/>
      <w:szCs w:val="24"/>
      <w:lang w:eastAsia="bg-BG"/>
    </w:rPr>
  </w:style>
  <w:style w:type="paragraph" w:customStyle="1" w:styleId="xl114">
    <w:name w:val="xl114"/>
    <w:basedOn w:val="Normal"/>
    <w:rsid w:val="00761800"/>
    <w:pPr>
      <w:pBdr>
        <w:top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115">
    <w:name w:val="xl115"/>
    <w:basedOn w:val="Normal"/>
    <w:rsid w:val="00761800"/>
    <w:pPr>
      <w:pBdr>
        <w:top w:val="single" w:sz="4" w:space="0" w:color="auto"/>
        <w:bottom w:val="single" w:sz="4" w:space="0" w:color="auto"/>
      </w:pBdr>
      <w:spacing w:before="100" w:beforeAutospacing="1" w:after="100" w:afterAutospacing="1"/>
      <w:ind w:firstLineChars="100" w:firstLine="100"/>
    </w:pPr>
    <w:rPr>
      <w:rFonts w:ascii="Times New Roman" w:hAnsi="Times New Roman"/>
      <w:i/>
      <w:iCs/>
      <w:szCs w:val="24"/>
      <w:lang w:eastAsia="bg-BG"/>
    </w:rPr>
  </w:style>
  <w:style w:type="paragraph" w:customStyle="1" w:styleId="xl116">
    <w:name w:val="xl116"/>
    <w:basedOn w:val="Normal"/>
    <w:rsid w:val="00761800"/>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pPr>
    <w:rPr>
      <w:rFonts w:ascii="Times New Roman" w:hAnsi="Times New Roman"/>
      <w:szCs w:val="24"/>
      <w:lang w:eastAsia="bg-BG"/>
    </w:rPr>
  </w:style>
  <w:style w:type="paragraph" w:customStyle="1" w:styleId="xl117">
    <w:name w:val="xl117"/>
    <w:basedOn w:val="Normal"/>
    <w:rsid w:val="00761800"/>
    <w:pPr>
      <w:pBdr>
        <w:top w:val="single" w:sz="4" w:space="0" w:color="auto"/>
        <w:bottom w:val="single" w:sz="4" w:space="0" w:color="auto"/>
      </w:pBdr>
      <w:spacing w:before="100" w:beforeAutospacing="1" w:after="100" w:afterAutospacing="1"/>
    </w:pPr>
    <w:rPr>
      <w:rFonts w:ascii="Times New Roman" w:hAnsi="Times New Roman"/>
      <w:i/>
      <w:iCs/>
      <w:szCs w:val="24"/>
      <w:lang w:eastAsia="bg-BG"/>
    </w:rPr>
  </w:style>
  <w:style w:type="paragraph" w:customStyle="1" w:styleId="xl118">
    <w:name w:val="xl118"/>
    <w:basedOn w:val="Normal"/>
    <w:rsid w:val="00761800"/>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119">
    <w:name w:val="xl119"/>
    <w:basedOn w:val="Normal"/>
    <w:rsid w:val="00761800"/>
    <w:pPr>
      <w:pBdr>
        <w:top w:val="single" w:sz="4" w:space="0" w:color="auto"/>
        <w:bottom w:val="single" w:sz="4" w:space="0" w:color="auto"/>
      </w:pBdr>
      <w:spacing w:before="100" w:beforeAutospacing="1" w:after="100" w:afterAutospacing="1"/>
      <w:ind w:firstLineChars="100" w:firstLine="100"/>
    </w:pPr>
    <w:rPr>
      <w:rFonts w:ascii="Times New Roman" w:hAnsi="Times New Roman"/>
      <w:szCs w:val="24"/>
      <w:lang w:eastAsia="bg-BG"/>
    </w:rPr>
  </w:style>
  <w:style w:type="paragraph" w:customStyle="1" w:styleId="xl120">
    <w:name w:val="xl120"/>
    <w:basedOn w:val="Normal"/>
    <w:rsid w:val="00761800"/>
    <w:pPr>
      <w:pBdr>
        <w:top w:val="single" w:sz="4" w:space="0" w:color="auto"/>
        <w:left w:val="single" w:sz="4" w:space="0" w:color="auto"/>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121">
    <w:name w:val="xl121"/>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lang w:eastAsia="bg-BG"/>
    </w:rPr>
  </w:style>
  <w:style w:type="paragraph" w:customStyle="1" w:styleId="xl122">
    <w:name w:val="xl122"/>
    <w:basedOn w:val="Normal"/>
    <w:rsid w:val="00761800"/>
    <w:pPr>
      <w:spacing w:before="100" w:beforeAutospacing="1" w:after="100" w:afterAutospacing="1"/>
    </w:pPr>
    <w:rPr>
      <w:rFonts w:ascii="Times New Roman" w:hAnsi="Times New Roman"/>
      <w:szCs w:val="24"/>
      <w:lang w:eastAsia="bg-BG"/>
    </w:rPr>
  </w:style>
  <w:style w:type="paragraph" w:customStyle="1" w:styleId="xl123">
    <w:name w:val="xl123"/>
    <w:basedOn w:val="Normal"/>
    <w:rsid w:val="00761800"/>
    <w:pPr>
      <w:spacing w:before="100" w:beforeAutospacing="1" w:after="100" w:afterAutospacing="1"/>
    </w:pPr>
    <w:rPr>
      <w:rFonts w:ascii="Times New Roman" w:hAnsi="Times New Roman"/>
      <w:i/>
      <w:iCs/>
      <w:szCs w:val="24"/>
      <w:lang w:eastAsia="bg-BG"/>
    </w:rPr>
  </w:style>
  <w:style w:type="paragraph" w:customStyle="1" w:styleId="xl124">
    <w:name w:val="xl124"/>
    <w:basedOn w:val="Normal"/>
    <w:rsid w:val="00761800"/>
    <w:pPr>
      <w:pBdr>
        <w:top w:val="single" w:sz="4" w:space="0" w:color="auto"/>
        <w:left w:val="single" w:sz="4" w:space="0" w:color="auto"/>
      </w:pBdr>
      <w:spacing w:before="100" w:beforeAutospacing="1" w:after="100" w:afterAutospacing="1"/>
    </w:pPr>
    <w:rPr>
      <w:rFonts w:ascii="Times New Roman" w:hAnsi="Times New Roman"/>
      <w:szCs w:val="24"/>
      <w:lang w:eastAsia="bg-BG"/>
    </w:rPr>
  </w:style>
  <w:style w:type="paragraph" w:customStyle="1" w:styleId="xl125">
    <w:name w:val="xl125"/>
    <w:basedOn w:val="Normal"/>
    <w:rsid w:val="00761800"/>
    <w:pPr>
      <w:pBdr>
        <w:left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126">
    <w:name w:val="xl126"/>
    <w:basedOn w:val="Normal"/>
    <w:rsid w:val="00761800"/>
    <w:pPr>
      <w:pBdr>
        <w:left w:val="single" w:sz="4" w:space="0" w:color="auto"/>
        <w:right w:val="single" w:sz="4" w:space="0" w:color="auto"/>
      </w:pBdr>
      <w:spacing w:before="100" w:beforeAutospacing="1" w:after="100" w:afterAutospacing="1"/>
      <w:jc w:val="center"/>
    </w:pPr>
    <w:rPr>
      <w:rFonts w:ascii="Times New Roman" w:hAnsi="Times New Roman"/>
      <w:szCs w:val="24"/>
      <w:lang w:eastAsia="bg-BG"/>
    </w:rPr>
  </w:style>
  <w:style w:type="paragraph" w:customStyle="1" w:styleId="xl127">
    <w:name w:val="xl127"/>
    <w:basedOn w:val="Normal"/>
    <w:rsid w:val="00761800"/>
    <w:pPr>
      <w:pBdr>
        <w:left w:val="single" w:sz="4" w:space="0" w:color="auto"/>
        <w:bottom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28">
    <w:name w:val="xl128"/>
    <w:basedOn w:val="Normal"/>
    <w:rsid w:val="00761800"/>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29">
    <w:name w:val="xl129"/>
    <w:basedOn w:val="Normal"/>
    <w:rsid w:val="00761800"/>
    <w:pPr>
      <w:pBdr>
        <w:bottom w:val="single" w:sz="4" w:space="0" w:color="auto"/>
      </w:pBdr>
      <w:spacing w:before="100" w:beforeAutospacing="1" w:after="100" w:afterAutospacing="1"/>
    </w:pPr>
    <w:rPr>
      <w:rFonts w:ascii="Times New Roman" w:hAnsi="Times New Roman"/>
      <w:szCs w:val="24"/>
      <w:lang w:eastAsia="bg-BG"/>
    </w:rPr>
  </w:style>
  <w:style w:type="paragraph" w:customStyle="1" w:styleId="xl130">
    <w:name w:val="xl130"/>
    <w:basedOn w:val="Normal"/>
    <w:rsid w:val="00761800"/>
    <w:pPr>
      <w:pBdr>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lang w:eastAsia="bg-BG"/>
    </w:rPr>
  </w:style>
  <w:style w:type="paragraph" w:customStyle="1" w:styleId="xl131">
    <w:name w:val="xl131"/>
    <w:basedOn w:val="Normal"/>
    <w:rsid w:val="00761800"/>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132">
    <w:name w:val="xl132"/>
    <w:basedOn w:val="Normal"/>
    <w:rsid w:val="00761800"/>
    <w:pPr>
      <w:pBdr>
        <w:top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133">
    <w:name w:val="xl133"/>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lang w:eastAsia="bg-BG"/>
    </w:rPr>
  </w:style>
  <w:style w:type="paragraph" w:customStyle="1" w:styleId="xl134">
    <w:name w:val="xl134"/>
    <w:basedOn w:val="Normal"/>
    <w:rsid w:val="00761800"/>
    <w:pPr>
      <w:spacing w:before="100" w:beforeAutospacing="1" w:after="100" w:afterAutospacing="1"/>
    </w:pPr>
    <w:rPr>
      <w:rFonts w:ascii="Times New Roman" w:hAnsi="Times New Roman"/>
      <w:szCs w:val="24"/>
      <w:lang w:eastAsia="bg-BG"/>
    </w:rPr>
  </w:style>
  <w:style w:type="paragraph" w:customStyle="1" w:styleId="xl135">
    <w:name w:val="xl135"/>
    <w:basedOn w:val="Normal"/>
    <w:rsid w:val="00761800"/>
    <w:pPr>
      <w:pBdr>
        <w:top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136">
    <w:name w:val="xl136"/>
    <w:basedOn w:val="Normal"/>
    <w:rsid w:val="00761800"/>
    <w:pPr>
      <w:spacing w:before="100" w:beforeAutospacing="1" w:after="100" w:afterAutospacing="1"/>
    </w:pPr>
    <w:rPr>
      <w:rFonts w:ascii="Times New Roman" w:hAnsi="Times New Roman"/>
      <w:szCs w:val="24"/>
      <w:lang w:eastAsia="bg-BG"/>
    </w:rPr>
  </w:style>
  <w:style w:type="paragraph" w:customStyle="1" w:styleId="xl137">
    <w:name w:val="xl137"/>
    <w:basedOn w:val="Normal"/>
    <w:rsid w:val="00761800"/>
    <w:pPr>
      <w:spacing w:before="100" w:beforeAutospacing="1" w:after="100" w:afterAutospacing="1"/>
      <w:jc w:val="right"/>
    </w:pPr>
    <w:rPr>
      <w:rFonts w:ascii="Times New Roman" w:hAnsi="Times New Roman"/>
      <w:szCs w:val="24"/>
      <w:lang w:eastAsia="bg-BG"/>
    </w:rPr>
  </w:style>
  <w:style w:type="paragraph" w:customStyle="1" w:styleId="xl138">
    <w:name w:val="xl138"/>
    <w:basedOn w:val="Normal"/>
    <w:rsid w:val="00761800"/>
    <w:pPr>
      <w:spacing w:before="100" w:beforeAutospacing="1" w:after="100" w:afterAutospacing="1"/>
    </w:pPr>
    <w:rPr>
      <w:rFonts w:ascii="Times New Roman" w:hAnsi="Times New Roman"/>
      <w:szCs w:val="24"/>
      <w:lang w:eastAsia="bg-BG"/>
    </w:rPr>
  </w:style>
  <w:style w:type="paragraph" w:customStyle="1" w:styleId="xl139">
    <w:name w:val="xl139"/>
    <w:basedOn w:val="Normal"/>
    <w:rsid w:val="00761800"/>
    <w:pPr>
      <w:spacing w:before="100" w:beforeAutospacing="1" w:after="100" w:afterAutospacing="1"/>
      <w:jc w:val="right"/>
    </w:pPr>
    <w:rPr>
      <w:rFonts w:ascii="Times New Roman" w:hAnsi="Times New Roman"/>
      <w:szCs w:val="24"/>
      <w:lang w:eastAsia="bg-BG"/>
    </w:rPr>
  </w:style>
  <w:style w:type="paragraph" w:customStyle="1" w:styleId="xl140">
    <w:name w:val="xl140"/>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lang w:eastAsia="bg-BG"/>
    </w:rPr>
  </w:style>
  <w:style w:type="paragraph" w:customStyle="1" w:styleId="xl141">
    <w:name w:val="xl141"/>
    <w:basedOn w:val="Normal"/>
    <w:rsid w:val="00761800"/>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Cs w:val="24"/>
      <w:lang w:eastAsia="bg-BG"/>
    </w:rPr>
  </w:style>
  <w:style w:type="paragraph" w:customStyle="1" w:styleId="xl142">
    <w:name w:val="xl142"/>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lang w:eastAsia="bg-BG"/>
    </w:rPr>
  </w:style>
  <w:style w:type="paragraph" w:customStyle="1" w:styleId="xl143">
    <w:name w:val="xl143"/>
    <w:basedOn w:val="Normal"/>
    <w:rsid w:val="00761800"/>
    <w:pPr>
      <w:spacing w:before="100" w:beforeAutospacing="1" w:after="100" w:afterAutospacing="1"/>
    </w:pPr>
    <w:rPr>
      <w:rFonts w:ascii="Times New Roman" w:hAnsi="Times New Roman"/>
      <w:szCs w:val="24"/>
      <w:lang w:eastAsia="bg-BG"/>
    </w:rPr>
  </w:style>
  <w:style w:type="paragraph" w:customStyle="1" w:styleId="xl144">
    <w:name w:val="xl144"/>
    <w:basedOn w:val="Normal"/>
    <w:rsid w:val="00761800"/>
    <w:pPr>
      <w:spacing w:before="100" w:beforeAutospacing="1" w:after="100" w:afterAutospacing="1"/>
      <w:textAlignment w:val="top"/>
    </w:pPr>
    <w:rPr>
      <w:rFonts w:ascii="Times New Roman" w:hAnsi="Times New Roman"/>
      <w:szCs w:val="24"/>
      <w:lang w:eastAsia="bg-BG"/>
    </w:rPr>
  </w:style>
  <w:style w:type="paragraph" w:customStyle="1" w:styleId="xl145">
    <w:name w:val="xl145"/>
    <w:basedOn w:val="Normal"/>
    <w:rsid w:val="00761800"/>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lang w:eastAsia="bg-BG"/>
    </w:rPr>
  </w:style>
  <w:style w:type="paragraph" w:customStyle="1" w:styleId="xl146">
    <w:name w:val="xl146"/>
    <w:basedOn w:val="Normal"/>
    <w:rsid w:val="00761800"/>
    <w:pPr>
      <w:pBdr>
        <w:left w:val="single" w:sz="4" w:space="0" w:color="auto"/>
        <w:right w:val="single" w:sz="4" w:space="0" w:color="auto"/>
      </w:pBdr>
      <w:spacing w:before="100" w:beforeAutospacing="1" w:after="100" w:afterAutospacing="1"/>
      <w:jc w:val="center"/>
    </w:pPr>
    <w:rPr>
      <w:rFonts w:ascii="Times New Roman" w:hAnsi="Times New Roman"/>
      <w:szCs w:val="24"/>
      <w:lang w:eastAsia="bg-BG"/>
    </w:rPr>
  </w:style>
  <w:style w:type="paragraph" w:customStyle="1" w:styleId="xl147">
    <w:name w:val="xl147"/>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148">
    <w:name w:val="xl148"/>
    <w:basedOn w:val="Normal"/>
    <w:rsid w:val="00761800"/>
    <w:pPr>
      <w:pBdr>
        <w:top w:val="single" w:sz="4" w:space="0" w:color="auto"/>
        <w:bottom w:val="single" w:sz="4" w:space="0" w:color="auto"/>
      </w:pBdr>
      <w:spacing w:before="100" w:beforeAutospacing="1" w:after="100" w:afterAutospacing="1"/>
      <w:jc w:val="center"/>
    </w:pPr>
    <w:rPr>
      <w:rFonts w:ascii="Times New Roman" w:hAnsi="Times New Roman"/>
      <w:szCs w:val="24"/>
      <w:lang w:eastAsia="bg-BG"/>
    </w:rPr>
  </w:style>
  <w:style w:type="paragraph" w:customStyle="1" w:styleId="xl149">
    <w:name w:val="xl149"/>
    <w:basedOn w:val="Normal"/>
    <w:rsid w:val="00761800"/>
    <w:pPr>
      <w:spacing w:before="100" w:beforeAutospacing="1" w:after="100" w:afterAutospacing="1"/>
    </w:pPr>
    <w:rPr>
      <w:rFonts w:ascii="Times New Roman" w:hAnsi="Times New Roman"/>
      <w:i/>
      <w:iCs/>
      <w:szCs w:val="24"/>
      <w:lang w:eastAsia="bg-BG"/>
    </w:rPr>
  </w:style>
  <w:style w:type="paragraph" w:customStyle="1" w:styleId="xl150">
    <w:name w:val="xl150"/>
    <w:basedOn w:val="Normal"/>
    <w:rsid w:val="00761800"/>
    <w:pPr>
      <w:spacing w:before="100" w:beforeAutospacing="1" w:after="100" w:afterAutospacing="1"/>
    </w:pPr>
    <w:rPr>
      <w:rFonts w:ascii="Times New Roman" w:hAnsi="Times New Roman"/>
      <w:color w:val="FF0000"/>
      <w:szCs w:val="24"/>
      <w:lang w:eastAsia="bg-BG"/>
    </w:rPr>
  </w:style>
  <w:style w:type="paragraph" w:customStyle="1" w:styleId="xl151">
    <w:name w:val="xl151"/>
    <w:basedOn w:val="Normal"/>
    <w:rsid w:val="00761800"/>
    <w:pPr>
      <w:spacing w:before="100" w:beforeAutospacing="1" w:after="100" w:afterAutospacing="1"/>
      <w:textAlignment w:val="top"/>
    </w:pPr>
    <w:rPr>
      <w:rFonts w:ascii="Times New Roman" w:hAnsi="Times New Roman"/>
      <w:szCs w:val="24"/>
      <w:lang w:eastAsia="bg-BG"/>
    </w:rPr>
  </w:style>
  <w:style w:type="paragraph" w:customStyle="1" w:styleId="xl152">
    <w:name w:val="xl152"/>
    <w:basedOn w:val="Normal"/>
    <w:rsid w:val="00761800"/>
    <w:pPr>
      <w:spacing w:before="100" w:beforeAutospacing="1" w:after="100" w:afterAutospacing="1"/>
    </w:pPr>
    <w:rPr>
      <w:rFonts w:ascii="Times New Roman" w:hAnsi="Times New Roman"/>
      <w:szCs w:val="24"/>
      <w:lang w:eastAsia="bg-BG"/>
    </w:rPr>
  </w:style>
  <w:style w:type="paragraph" w:customStyle="1" w:styleId="xl153">
    <w:name w:val="xl153"/>
    <w:basedOn w:val="Normal"/>
    <w:rsid w:val="00761800"/>
    <w:pPr>
      <w:pBdr>
        <w:top w:val="single" w:sz="4" w:space="0" w:color="auto"/>
        <w:bottom w:val="single" w:sz="4" w:space="0" w:color="auto"/>
      </w:pBdr>
      <w:spacing w:before="100" w:beforeAutospacing="1" w:after="100" w:afterAutospacing="1"/>
      <w:jc w:val="center"/>
    </w:pPr>
    <w:rPr>
      <w:rFonts w:ascii="Times New Roman" w:hAnsi="Times New Roman"/>
      <w:szCs w:val="24"/>
      <w:lang w:eastAsia="bg-BG"/>
    </w:rPr>
  </w:style>
  <w:style w:type="paragraph" w:customStyle="1" w:styleId="xl154">
    <w:name w:val="xl154"/>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55">
    <w:name w:val="xl155"/>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56">
    <w:name w:val="xl156"/>
    <w:basedOn w:val="Normal"/>
    <w:rsid w:val="00761800"/>
    <w:pPr>
      <w:pBdr>
        <w:top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157">
    <w:name w:val="xl157"/>
    <w:basedOn w:val="Normal"/>
    <w:rsid w:val="00761800"/>
    <w:pPr>
      <w:pBdr>
        <w:top w:val="single" w:sz="4" w:space="0" w:color="auto"/>
      </w:pBdr>
      <w:spacing w:before="100" w:beforeAutospacing="1" w:after="100" w:afterAutospacing="1"/>
    </w:pPr>
    <w:rPr>
      <w:rFonts w:ascii="Times New Roman" w:hAnsi="Times New Roman"/>
      <w:szCs w:val="24"/>
      <w:lang w:eastAsia="bg-BG"/>
    </w:rPr>
  </w:style>
  <w:style w:type="paragraph" w:customStyle="1" w:styleId="xl158">
    <w:name w:val="xl158"/>
    <w:basedOn w:val="Normal"/>
    <w:rsid w:val="00761800"/>
    <w:pPr>
      <w:pBdr>
        <w:top w:val="single" w:sz="4" w:space="0" w:color="auto"/>
      </w:pBdr>
      <w:spacing w:before="100" w:beforeAutospacing="1" w:after="100" w:afterAutospacing="1"/>
      <w:jc w:val="right"/>
    </w:pPr>
    <w:rPr>
      <w:rFonts w:ascii="Times New Roman" w:hAnsi="Times New Roman"/>
      <w:szCs w:val="24"/>
      <w:lang w:eastAsia="bg-BG"/>
    </w:rPr>
  </w:style>
  <w:style w:type="paragraph" w:customStyle="1" w:styleId="xl159">
    <w:name w:val="xl159"/>
    <w:basedOn w:val="Normal"/>
    <w:rsid w:val="00761800"/>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4"/>
      <w:lang w:eastAsia="bg-BG"/>
    </w:rPr>
  </w:style>
  <w:style w:type="paragraph" w:customStyle="1" w:styleId="xl160">
    <w:name w:val="xl160"/>
    <w:basedOn w:val="Normal"/>
    <w:rsid w:val="00761800"/>
    <w:pPr>
      <w:pBdr>
        <w:top w:val="single" w:sz="4" w:space="0" w:color="auto"/>
        <w:left w:val="single" w:sz="4" w:space="7" w:color="auto"/>
        <w:bottom w:val="single" w:sz="4" w:space="0" w:color="auto"/>
      </w:pBdr>
      <w:spacing w:before="100" w:beforeAutospacing="1" w:after="100" w:afterAutospacing="1"/>
      <w:ind w:firstLineChars="100" w:firstLine="100"/>
    </w:pPr>
    <w:rPr>
      <w:rFonts w:ascii="Times New Roman" w:hAnsi="Times New Roman"/>
      <w:szCs w:val="24"/>
      <w:lang w:eastAsia="bg-BG"/>
    </w:rPr>
  </w:style>
  <w:style w:type="paragraph" w:customStyle="1" w:styleId="xl161">
    <w:name w:val="xl161"/>
    <w:basedOn w:val="Normal"/>
    <w:rsid w:val="00761800"/>
    <w:pPr>
      <w:pBdr>
        <w:top w:val="single" w:sz="4" w:space="0" w:color="auto"/>
        <w:left w:val="single" w:sz="4" w:space="0" w:color="auto"/>
        <w:bottom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62">
    <w:name w:val="xl162"/>
    <w:basedOn w:val="Normal"/>
    <w:rsid w:val="00761800"/>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163">
    <w:name w:val="xl163"/>
    <w:basedOn w:val="Normal"/>
    <w:rsid w:val="00761800"/>
    <w:pPr>
      <w:pBdr>
        <w:top w:val="single" w:sz="4" w:space="0" w:color="auto"/>
        <w:bottom w:val="single" w:sz="4" w:space="0" w:color="auto"/>
      </w:pBdr>
      <w:spacing w:before="100" w:beforeAutospacing="1" w:after="100" w:afterAutospacing="1"/>
      <w:ind w:firstLineChars="200" w:firstLine="200"/>
    </w:pPr>
    <w:rPr>
      <w:rFonts w:ascii="Times New Roman" w:hAnsi="Times New Roman"/>
      <w:szCs w:val="24"/>
      <w:lang w:eastAsia="bg-BG"/>
    </w:rPr>
  </w:style>
  <w:style w:type="paragraph" w:customStyle="1" w:styleId="xl164">
    <w:name w:val="xl164"/>
    <w:basedOn w:val="Normal"/>
    <w:rsid w:val="00761800"/>
    <w:pPr>
      <w:pBdr>
        <w:top w:val="single" w:sz="4" w:space="0" w:color="auto"/>
        <w:bottom w:val="single" w:sz="4" w:space="0" w:color="auto"/>
      </w:pBdr>
      <w:spacing w:before="100" w:beforeAutospacing="1" w:after="100" w:afterAutospacing="1"/>
      <w:ind w:firstLineChars="300" w:firstLine="300"/>
    </w:pPr>
    <w:rPr>
      <w:rFonts w:ascii="Times New Roman" w:hAnsi="Times New Roman"/>
      <w:szCs w:val="24"/>
      <w:lang w:eastAsia="bg-BG"/>
    </w:rPr>
  </w:style>
  <w:style w:type="paragraph" w:customStyle="1" w:styleId="xl165">
    <w:name w:val="xl165"/>
    <w:basedOn w:val="Normal"/>
    <w:rsid w:val="00761800"/>
    <w:pPr>
      <w:pBdr>
        <w:top w:val="single" w:sz="4" w:space="0" w:color="auto"/>
        <w:left w:val="single" w:sz="4" w:space="0" w:color="auto"/>
        <w:bottom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66">
    <w:name w:val="xl166"/>
    <w:basedOn w:val="Normal"/>
    <w:rsid w:val="00761800"/>
    <w:pPr>
      <w:pBdr>
        <w:top w:val="single" w:sz="4" w:space="0" w:color="auto"/>
        <w:left w:val="single" w:sz="4" w:space="0" w:color="auto"/>
        <w:bottom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67">
    <w:name w:val="xl167"/>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68">
    <w:name w:val="xl168"/>
    <w:basedOn w:val="Normal"/>
    <w:rsid w:val="00761800"/>
    <w:pPr>
      <w:pBdr>
        <w:left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169">
    <w:name w:val="xl169"/>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170">
    <w:name w:val="xl170"/>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71">
    <w:name w:val="xl171"/>
    <w:basedOn w:val="Normal"/>
    <w:rsid w:val="00761800"/>
    <w:pPr>
      <w:pBdr>
        <w:top w:val="single" w:sz="4" w:space="0" w:color="auto"/>
        <w:bottom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72">
    <w:name w:val="xl172"/>
    <w:basedOn w:val="Normal"/>
    <w:rsid w:val="00761800"/>
    <w:pPr>
      <w:pBdr>
        <w:top w:val="single" w:sz="4" w:space="0" w:color="auto"/>
        <w:left w:val="single" w:sz="4" w:space="7" w:color="auto"/>
        <w:bottom w:val="single" w:sz="4" w:space="0" w:color="auto"/>
      </w:pBdr>
      <w:spacing w:before="100" w:beforeAutospacing="1" w:after="100" w:afterAutospacing="1"/>
      <w:ind w:firstLineChars="100" w:firstLine="100"/>
      <w:textAlignment w:val="top"/>
    </w:pPr>
    <w:rPr>
      <w:rFonts w:ascii="Times New Roman" w:hAnsi="Times New Roman"/>
      <w:szCs w:val="24"/>
      <w:lang w:eastAsia="bg-BG"/>
    </w:rPr>
  </w:style>
  <w:style w:type="paragraph" w:customStyle="1" w:styleId="xl173">
    <w:name w:val="xl173"/>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lang w:eastAsia="bg-BG"/>
    </w:rPr>
  </w:style>
  <w:style w:type="paragraph" w:customStyle="1" w:styleId="xl174">
    <w:name w:val="xl174"/>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i/>
      <w:iCs/>
      <w:szCs w:val="24"/>
      <w:lang w:eastAsia="bg-BG"/>
    </w:rPr>
  </w:style>
  <w:style w:type="paragraph" w:customStyle="1" w:styleId="xl175">
    <w:name w:val="xl175"/>
    <w:basedOn w:val="Normal"/>
    <w:rsid w:val="00761800"/>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rFonts w:ascii="Times New Roman" w:hAnsi="Times New Roman"/>
      <w:i/>
      <w:iCs/>
      <w:szCs w:val="24"/>
      <w:lang w:eastAsia="bg-BG"/>
    </w:rPr>
  </w:style>
  <w:style w:type="paragraph" w:customStyle="1" w:styleId="xl176">
    <w:name w:val="xl176"/>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i/>
      <w:iCs/>
      <w:szCs w:val="24"/>
      <w:lang w:eastAsia="bg-BG"/>
    </w:rPr>
  </w:style>
  <w:style w:type="paragraph" w:customStyle="1" w:styleId="xl177">
    <w:name w:val="xl177"/>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4"/>
      <w:lang w:eastAsia="bg-BG"/>
    </w:rPr>
  </w:style>
  <w:style w:type="paragraph" w:customStyle="1" w:styleId="xl178">
    <w:name w:val="xl178"/>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79">
    <w:name w:val="xl179"/>
    <w:basedOn w:val="Normal"/>
    <w:rsid w:val="00761800"/>
    <w:pPr>
      <w:pBdr>
        <w:top w:val="single" w:sz="4" w:space="0" w:color="auto"/>
        <w:bottom w:val="single" w:sz="4" w:space="0" w:color="auto"/>
      </w:pBdr>
      <w:spacing w:before="100" w:beforeAutospacing="1" w:after="100" w:afterAutospacing="1"/>
    </w:pPr>
    <w:rPr>
      <w:rFonts w:ascii="Times New Roman" w:hAnsi="Times New Roman"/>
      <w:i/>
      <w:iCs/>
      <w:szCs w:val="24"/>
      <w:lang w:eastAsia="bg-BG"/>
    </w:rPr>
  </w:style>
  <w:style w:type="paragraph" w:customStyle="1" w:styleId="xl180">
    <w:name w:val="xl180"/>
    <w:basedOn w:val="Normal"/>
    <w:rsid w:val="00761800"/>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181">
    <w:name w:val="xl181"/>
    <w:basedOn w:val="Normal"/>
    <w:rsid w:val="00761800"/>
    <w:pPr>
      <w:pBdr>
        <w:top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182">
    <w:name w:val="xl182"/>
    <w:basedOn w:val="Normal"/>
    <w:rsid w:val="00761800"/>
    <w:pPr>
      <w:pBdr>
        <w:top w:val="single" w:sz="4" w:space="0" w:color="auto"/>
        <w:left w:val="single" w:sz="4" w:space="27" w:color="auto"/>
        <w:bottom w:val="single" w:sz="4" w:space="0" w:color="auto"/>
      </w:pBdr>
      <w:spacing w:before="100" w:beforeAutospacing="1" w:after="100" w:afterAutospacing="1"/>
      <w:ind w:firstLineChars="400" w:firstLine="400"/>
    </w:pPr>
    <w:rPr>
      <w:rFonts w:ascii="Times New Roman" w:hAnsi="Times New Roman"/>
      <w:szCs w:val="24"/>
      <w:lang w:eastAsia="bg-BG"/>
    </w:rPr>
  </w:style>
  <w:style w:type="paragraph" w:customStyle="1" w:styleId="xl183">
    <w:name w:val="xl183"/>
    <w:basedOn w:val="Normal"/>
    <w:rsid w:val="00761800"/>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textAlignment w:val="center"/>
    </w:pPr>
    <w:rPr>
      <w:rFonts w:ascii="Times New Roman" w:hAnsi="Times New Roman"/>
      <w:i/>
      <w:iCs/>
      <w:szCs w:val="24"/>
      <w:lang w:eastAsia="bg-BG"/>
    </w:rPr>
  </w:style>
  <w:style w:type="paragraph" w:customStyle="1" w:styleId="xl184">
    <w:name w:val="xl184"/>
    <w:basedOn w:val="Normal"/>
    <w:rsid w:val="00761800"/>
    <w:pPr>
      <w:pBdr>
        <w:top w:val="single" w:sz="4" w:space="0" w:color="auto"/>
        <w:bottom w:val="single" w:sz="4" w:space="0" w:color="auto"/>
        <w:right w:val="single" w:sz="4" w:space="0" w:color="auto"/>
      </w:pBdr>
      <w:spacing w:before="100" w:beforeAutospacing="1" w:after="100" w:afterAutospacing="1"/>
    </w:pPr>
    <w:rPr>
      <w:rFonts w:ascii="Times New Roman" w:hAnsi="Times New Roman"/>
      <w:i/>
      <w:iCs/>
      <w:szCs w:val="24"/>
      <w:lang w:eastAsia="bg-BG"/>
    </w:rPr>
  </w:style>
  <w:style w:type="paragraph" w:customStyle="1" w:styleId="xl185">
    <w:name w:val="xl185"/>
    <w:basedOn w:val="Normal"/>
    <w:rsid w:val="00761800"/>
    <w:pPr>
      <w:pBdr>
        <w:top w:val="single" w:sz="4" w:space="0" w:color="auto"/>
        <w:left w:val="single" w:sz="4" w:space="27" w:color="auto"/>
        <w:bottom w:val="single" w:sz="4" w:space="0" w:color="auto"/>
        <w:right w:val="single" w:sz="4" w:space="0" w:color="auto"/>
      </w:pBdr>
      <w:spacing w:before="100" w:beforeAutospacing="1" w:after="100" w:afterAutospacing="1"/>
      <w:ind w:firstLineChars="400" w:firstLine="400"/>
    </w:pPr>
    <w:rPr>
      <w:rFonts w:ascii="Times New Roman" w:hAnsi="Times New Roman"/>
      <w:szCs w:val="24"/>
      <w:lang w:eastAsia="bg-BG"/>
    </w:rPr>
  </w:style>
  <w:style w:type="paragraph" w:customStyle="1" w:styleId="xl186">
    <w:name w:val="xl186"/>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4"/>
      <w:lang w:eastAsia="bg-BG"/>
    </w:rPr>
  </w:style>
  <w:style w:type="paragraph" w:customStyle="1" w:styleId="xl187">
    <w:name w:val="xl187"/>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88">
    <w:name w:val="xl188"/>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lang w:eastAsia="bg-BG"/>
    </w:rPr>
  </w:style>
  <w:style w:type="paragraph" w:customStyle="1" w:styleId="xl189">
    <w:name w:val="xl189"/>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lang w:eastAsia="bg-BG"/>
    </w:rPr>
  </w:style>
  <w:style w:type="paragraph" w:customStyle="1" w:styleId="xl190">
    <w:name w:val="xl190"/>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191">
    <w:name w:val="xl191"/>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i/>
      <w:iCs/>
      <w:szCs w:val="24"/>
      <w:lang w:eastAsia="bg-BG"/>
    </w:rPr>
  </w:style>
  <w:style w:type="paragraph" w:customStyle="1" w:styleId="xl192">
    <w:name w:val="xl192"/>
    <w:basedOn w:val="Normal"/>
    <w:rsid w:val="00761800"/>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93">
    <w:name w:val="xl193"/>
    <w:basedOn w:val="Normal"/>
    <w:rsid w:val="00761800"/>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94">
    <w:name w:val="xl194"/>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lang w:eastAsia="bg-BG"/>
    </w:rPr>
  </w:style>
  <w:style w:type="paragraph" w:customStyle="1" w:styleId="xl195">
    <w:name w:val="xl195"/>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i/>
      <w:iCs/>
      <w:szCs w:val="24"/>
      <w:lang w:eastAsia="bg-BG"/>
    </w:rPr>
  </w:style>
  <w:style w:type="paragraph" w:customStyle="1" w:styleId="xl196">
    <w:name w:val="xl196"/>
    <w:basedOn w:val="Normal"/>
    <w:rsid w:val="00761800"/>
    <w:pPr>
      <w:pBdr>
        <w:left w:val="single" w:sz="4" w:space="14" w:color="auto"/>
        <w:bottom w:val="single" w:sz="4" w:space="0" w:color="auto"/>
      </w:pBdr>
      <w:spacing w:before="100" w:beforeAutospacing="1" w:after="100" w:afterAutospacing="1"/>
      <w:ind w:firstLineChars="200" w:firstLine="200"/>
    </w:pPr>
    <w:rPr>
      <w:rFonts w:ascii="Times New Roman" w:hAnsi="Times New Roman"/>
      <w:szCs w:val="24"/>
      <w:lang w:eastAsia="bg-BG"/>
    </w:rPr>
  </w:style>
  <w:style w:type="paragraph" w:customStyle="1" w:styleId="xl197">
    <w:name w:val="xl197"/>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198">
    <w:name w:val="xl198"/>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szCs w:val="24"/>
      <w:lang w:eastAsia="bg-BG"/>
    </w:rPr>
  </w:style>
  <w:style w:type="paragraph" w:customStyle="1" w:styleId="xl199">
    <w:name w:val="xl199"/>
    <w:basedOn w:val="Normal"/>
    <w:rsid w:val="00761800"/>
    <w:pPr>
      <w:pBdr>
        <w:top w:val="single" w:sz="4" w:space="0" w:color="auto"/>
        <w:bottom w:val="single" w:sz="4" w:space="0" w:color="auto"/>
      </w:pBdr>
      <w:spacing w:before="100" w:beforeAutospacing="1" w:after="100" w:afterAutospacing="1"/>
      <w:ind w:firstLineChars="500" w:firstLine="500"/>
    </w:pPr>
    <w:rPr>
      <w:rFonts w:ascii="Times New Roman" w:hAnsi="Times New Roman"/>
      <w:i/>
      <w:iCs/>
      <w:szCs w:val="24"/>
      <w:lang w:eastAsia="bg-BG"/>
    </w:rPr>
  </w:style>
  <w:style w:type="paragraph" w:customStyle="1" w:styleId="xl200">
    <w:name w:val="xl200"/>
    <w:basedOn w:val="Normal"/>
    <w:rsid w:val="00761800"/>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rFonts w:ascii="Times New Roman" w:hAnsi="Times New Roman"/>
      <w:szCs w:val="24"/>
      <w:lang w:eastAsia="bg-BG"/>
    </w:rPr>
  </w:style>
  <w:style w:type="paragraph" w:customStyle="1" w:styleId="xl201">
    <w:name w:val="xl201"/>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202">
    <w:name w:val="xl202"/>
    <w:basedOn w:val="Normal"/>
    <w:rsid w:val="00761800"/>
    <w:pPr>
      <w:pBdr>
        <w:top w:val="single" w:sz="4" w:space="0" w:color="auto"/>
        <w:bottom w:val="single" w:sz="4" w:space="0" w:color="auto"/>
      </w:pBdr>
      <w:spacing w:before="100" w:beforeAutospacing="1" w:after="100" w:afterAutospacing="1"/>
      <w:ind w:firstLineChars="100" w:firstLine="100"/>
    </w:pPr>
    <w:rPr>
      <w:rFonts w:ascii="Times New Roman" w:hAnsi="Times New Roman"/>
      <w:i/>
      <w:iCs/>
      <w:szCs w:val="24"/>
      <w:lang w:eastAsia="bg-BG"/>
    </w:rPr>
  </w:style>
  <w:style w:type="paragraph" w:customStyle="1" w:styleId="xl203">
    <w:name w:val="xl203"/>
    <w:basedOn w:val="Normal"/>
    <w:rsid w:val="00761800"/>
    <w:pPr>
      <w:pBdr>
        <w:top w:val="single" w:sz="4" w:space="0" w:color="auto"/>
        <w:left w:val="single" w:sz="4" w:space="31" w:color="auto"/>
        <w:bottom w:val="single" w:sz="4" w:space="0" w:color="auto"/>
        <w:right w:val="single" w:sz="4" w:space="0" w:color="auto"/>
      </w:pBdr>
      <w:spacing w:before="100" w:beforeAutospacing="1" w:after="100" w:afterAutospacing="1"/>
      <w:ind w:firstLineChars="700" w:firstLine="700"/>
    </w:pPr>
    <w:rPr>
      <w:rFonts w:ascii="Times New Roman" w:hAnsi="Times New Roman"/>
      <w:szCs w:val="24"/>
      <w:lang w:eastAsia="bg-BG"/>
    </w:rPr>
  </w:style>
  <w:style w:type="paragraph" w:customStyle="1" w:styleId="xl204">
    <w:name w:val="xl204"/>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205">
    <w:name w:val="xl205"/>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4"/>
      <w:lang w:eastAsia="bg-BG"/>
    </w:rPr>
  </w:style>
  <w:style w:type="paragraph" w:customStyle="1" w:styleId="xl206">
    <w:name w:val="xl206"/>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207">
    <w:name w:val="xl207"/>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4"/>
      <w:lang w:eastAsia="bg-BG"/>
    </w:rPr>
  </w:style>
  <w:style w:type="paragraph" w:customStyle="1" w:styleId="xl208">
    <w:name w:val="xl208"/>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209">
    <w:name w:val="xl209"/>
    <w:basedOn w:val="Normal"/>
    <w:rsid w:val="00761800"/>
    <w:pPr>
      <w:pBdr>
        <w:top w:val="single" w:sz="4" w:space="0" w:color="auto"/>
        <w:bottom w:val="single" w:sz="4" w:space="0" w:color="auto"/>
      </w:pBdr>
      <w:spacing w:before="100" w:beforeAutospacing="1" w:after="100" w:afterAutospacing="1"/>
      <w:ind w:firstLineChars="500" w:firstLine="500"/>
    </w:pPr>
    <w:rPr>
      <w:rFonts w:ascii="Times New Roman" w:hAnsi="Times New Roman"/>
      <w:i/>
      <w:iCs/>
      <w:szCs w:val="24"/>
      <w:lang w:eastAsia="bg-BG"/>
    </w:rPr>
  </w:style>
  <w:style w:type="paragraph" w:customStyle="1" w:styleId="xl210">
    <w:name w:val="xl210"/>
    <w:basedOn w:val="Normal"/>
    <w:rsid w:val="00761800"/>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211">
    <w:name w:val="xl211"/>
    <w:basedOn w:val="Normal"/>
    <w:rsid w:val="00761800"/>
    <w:pPr>
      <w:pBdr>
        <w:top w:val="single" w:sz="4" w:space="0" w:color="auto"/>
        <w:left w:val="single" w:sz="4" w:space="14" w:color="auto"/>
        <w:bottom w:val="single" w:sz="4" w:space="0" w:color="auto"/>
      </w:pBdr>
      <w:spacing w:before="100" w:beforeAutospacing="1" w:after="100" w:afterAutospacing="1"/>
      <w:ind w:firstLineChars="200" w:firstLine="200"/>
    </w:pPr>
    <w:rPr>
      <w:rFonts w:ascii="Times New Roman" w:hAnsi="Times New Roman"/>
      <w:i/>
      <w:iCs/>
      <w:szCs w:val="24"/>
      <w:lang w:eastAsia="bg-BG"/>
    </w:rPr>
  </w:style>
  <w:style w:type="paragraph" w:customStyle="1" w:styleId="xl212">
    <w:name w:val="xl212"/>
    <w:basedOn w:val="Normal"/>
    <w:rsid w:val="00761800"/>
    <w:pPr>
      <w:pBdr>
        <w:top w:val="single" w:sz="4" w:space="0" w:color="auto"/>
        <w:left w:val="single" w:sz="4" w:space="31" w:color="auto"/>
        <w:bottom w:val="single" w:sz="4" w:space="0" w:color="auto"/>
        <w:right w:val="single" w:sz="4" w:space="0" w:color="auto"/>
      </w:pBdr>
      <w:spacing w:before="100" w:beforeAutospacing="1" w:after="100" w:afterAutospacing="1"/>
      <w:ind w:firstLineChars="800" w:firstLine="800"/>
    </w:pPr>
    <w:rPr>
      <w:rFonts w:ascii="Times New Roman" w:hAnsi="Times New Roman"/>
      <w:szCs w:val="24"/>
      <w:lang w:eastAsia="bg-BG"/>
    </w:rPr>
  </w:style>
  <w:style w:type="paragraph" w:customStyle="1" w:styleId="xl213">
    <w:name w:val="xl213"/>
    <w:basedOn w:val="Normal"/>
    <w:rsid w:val="00761800"/>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214">
    <w:name w:val="xl214"/>
    <w:basedOn w:val="Normal"/>
    <w:rsid w:val="0076180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215">
    <w:name w:val="xl215"/>
    <w:basedOn w:val="Normal"/>
    <w:rsid w:val="007618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216">
    <w:name w:val="xl216"/>
    <w:basedOn w:val="Normal"/>
    <w:rsid w:val="00761800"/>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217">
    <w:name w:val="xl217"/>
    <w:basedOn w:val="Normal"/>
    <w:rsid w:val="00761800"/>
    <w:pPr>
      <w:pBdr>
        <w:top w:val="single" w:sz="4" w:space="0" w:color="auto"/>
        <w:bottom w:val="single" w:sz="4" w:space="0" w:color="auto"/>
      </w:pBdr>
      <w:spacing w:before="100" w:beforeAutospacing="1" w:after="100" w:afterAutospacing="1"/>
    </w:pPr>
    <w:rPr>
      <w:rFonts w:ascii="Times New Roman" w:hAnsi="Times New Roman"/>
      <w:i/>
      <w:iCs/>
      <w:szCs w:val="24"/>
      <w:lang w:eastAsia="bg-BG"/>
    </w:rPr>
  </w:style>
  <w:style w:type="paragraph" w:customStyle="1" w:styleId="xl218">
    <w:name w:val="xl218"/>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219">
    <w:name w:val="xl219"/>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220">
    <w:name w:val="xl220"/>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21">
    <w:name w:val="xl221"/>
    <w:basedOn w:val="Normal"/>
    <w:rsid w:val="00761800"/>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pPr>
    <w:rPr>
      <w:rFonts w:ascii="Times New Roman" w:hAnsi="Times New Roman"/>
      <w:szCs w:val="24"/>
      <w:lang w:eastAsia="bg-BG"/>
    </w:rPr>
  </w:style>
  <w:style w:type="paragraph" w:customStyle="1" w:styleId="xl222">
    <w:name w:val="xl222"/>
    <w:basedOn w:val="Normal"/>
    <w:rsid w:val="00761800"/>
    <w:pPr>
      <w:spacing w:before="100" w:beforeAutospacing="1" w:after="100" w:afterAutospacing="1"/>
      <w:ind w:firstLineChars="200" w:firstLine="200"/>
    </w:pPr>
    <w:rPr>
      <w:rFonts w:ascii="Times New Roman" w:hAnsi="Times New Roman"/>
      <w:szCs w:val="24"/>
      <w:lang w:eastAsia="bg-BG"/>
    </w:rPr>
  </w:style>
  <w:style w:type="paragraph" w:customStyle="1" w:styleId="xl223">
    <w:name w:val="xl223"/>
    <w:basedOn w:val="Normal"/>
    <w:rsid w:val="00761800"/>
    <w:pPr>
      <w:pBdr>
        <w:top w:val="single" w:sz="4" w:space="0" w:color="auto"/>
        <w:left w:val="single" w:sz="4" w:space="7" w:color="auto"/>
        <w:bottom w:val="single" w:sz="4" w:space="0" w:color="auto"/>
      </w:pBdr>
      <w:spacing w:before="100" w:beforeAutospacing="1" w:after="100" w:afterAutospacing="1"/>
      <w:ind w:firstLineChars="100" w:firstLine="100"/>
    </w:pPr>
    <w:rPr>
      <w:rFonts w:ascii="Times New Roman" w:hAnsi="Times New Roman"/>
      <w:szCs w:val="24"/>
      <w:lang w:eastAsia="bg-BG"/>
    </w:rPr>
  </w:style>
  <w:style w:type="paragraph" w:customStyle="1" w:styleId="xl224">
    <w:name w:val="xl224"/>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lang w:eastAsia="bg-BG"/>
    </w:rPr>
  </w:style>
  <w:style w:type="paragraph" w:customStyle="1" w:styleId="xl225">
    <w:name w:val="xl225"/>
    <w:basedOn w:val="Normal"/>
    <w:rsid w:val="00761800"/>
    <w:pPr>
      <w:pBdr>
        <w:top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226">
    <w:name w:val="xl226"/>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227">
    <w:name w:val="xl227"/>
    <w:basedOn w:val="Normal"/>
    <w:rsid w:val="00761800"/>
    <w:pPr>
      <w:spacing w:before="100" w:beforeAutospacing="1" w:after="100" w:afterAutospacing="1"/>
    </w:pPr>
    <w:rPr>
      <w:rFonts w:ascii="Times New Roman" w:hAnsi="Times New Roman"/>
      <w:szCs w:val="24"/>
      <w:lang w:eastAsia="bg-BG"/>
    </w:rPr>
  </w:style>
  <w:style w:type="paragraph" w:customStyle="1" w:styleId="xl228">
    <w:name w:val="xl228"/>
    <w:basedOn w:val="Normal"/>
    <w:rsid w:val="00761800"/>
    <w:pPr>
      <w:spacing w:before="100" w:beforeAutospacing="1" w:after="100" w:afterAutospacing="1"/>
      <w:jc w:val="right"/>
    </w:pPr>
    <w:rPr>
      <w:rFonts w:ascii="Times New Roman" w:hAnsi="Times New Roman"/>
      <w:szCs w:val="24"/>
      <w:lang w:eastAsia="bg-BG"/>
    </w:rPr>
  </w:style>
  <w:style w:type="paragraph" w:customStyle="1" w:styleId="xl229">
    <w:name w:val="xl229"/>
    <w:basedOn w:val="Normal"/>
    <w:rsid w:val="00761800"/>
    <w:pPr>
      <w:spacing w:before="100" w:beforeAutospacing="1" w:after="100" w:afterAutospacing="1"/>
    </w:pPr>
    <w:rPr>
      <w:rFonts w:ascii="Times New Roman" w:hAnsi="Times New Roman"/>
      <w:i/>
      <w:iCs/>
      <w:szCs w:val="24"/>
      <w:lang w:eastAsia="bg-BG"/>
    </w:rPr>
  </w:style>
  <w:style w:type="paragraph" w:customStyle="1" w:styleId="xl230">
    <w:name w:val="xl230"/>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231">
    <w:name w:val="xl231"/>
    <w:basedOn w:val="Normal"/>
    <w:rsid w:val="00761800"/>
    <w:pPr>
      <w:pBdr>
        <w:top w:val="single" w:sz="4" w:space="0" w:color="auto"/>
        <w:left w:val="single" w:sz="4" w:space="0" w:color="auto"/>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32">
    <w:name w:val="xl232"/>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33">
    <w:name w:val="xl233"/>
    <w:basedOn w:val="Normal"/>
    <w:rsid w:val="00761800"/>
    <w:pPr>
      <w:pBdr>
        <w:top w:val="single" w:sz="4" w:space="0" w:color="auto"/>
        <w:left w:val="single" w:sz="4" w:space="7" w:color="auto"/>
        <w:bottom w:val="single" w:sz="4" w:space="0" w:color="auto"/>
      </w:pBdr>
      <w:shd w:val="clear" w:color="000000" w:fill="FFFFFF"/>
      <w:spacing w:before="100" w:beforeAutospacing="1" w:after="100" w:afterAutospacing="1"/>
      <w:ind w:firstLineChars="100" w:firstLine="100"/>
    </w:pPr>
    <w:rPr>
      <w:rFonts w:ascii="Times New Roman" w:hAnsi="Times New Roman"/>
      <w:i/>
      <w:iCs/>
      <w:szCs w:val="24"/>
      <w:lang w:eastAsia="bg-BG"/>
    </w:rPr>
  </w:style>
  <w:style w:type="paragraph" w:customStyle="1" w:styleId="xl234">
    <w:name w:val="xl234"/>
    <w:basedOn w:val="Normal"/>
    <w:rsid w:val="00761800"/>
    <w:pPr>
      <w:pBdr>
        <w:top w:val="single" w:sz="4" w:space="0" w:color="auto"/>
        <w:left w:val="single" w:sz="4" w:space="14" w:color="auto"/>
        <w:bottom w:val="single" w:sz="4" w:space="0" w:color="auto"/>
      </w:pBdr>
      <w:shd w:val="clear" w:color="000000" w:fill="FFFFFF"/>
      <w:spacing w:before="100" w:beforeAutospacing="1" w:after="100" w:afterAutospacing="1"/>
      <w:ind w:firstLineChars="200" w:firstLine="200"/>
    </w:pPr>
    <w:rPr>
      <w:rFonts w:ascii="Times New Roman" w:hAnsi="Times New Roman"/>
      <w:szCs w:val="24"/>
      <w:lang w:eastAsia="bg-BG"/>
    </w:rPr>
  </w:style>
  <w:style w:type="paragraph" w:customStyle="1" w:styleId="xl235">
    <w:name w:val="xl235"/>
    <w:basedOn w:val="Normal"/>
    <w:rsid w:val="00761800"/>
    <w:pPr>
      <w:pBdr>
        <w:top w:val="single" w:sz="4" w:space="0" w:color="auto"/>
        <w:left w:val="single" w:sz="4" w:space="0" w:color="auto"/>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36">
    <w:name w:val="xl236"/>
    <w:basedOn w:val="Normal"/>
    <w:rsid w:val="00761800"/>
    <w:pPr>
      <w:pBdr>
        <w:top w:val="single" w:sz="4" w:space="0" w:color="auto"/>
        <w:bottom w:val="single" w:sz="4" w:space="0" w:color="auto"/>
      </w:pBdr>
      <w:shd w:val="clear" w:color="000000" w:fill="FFFFFF"/>
      <w:spacing w:before="100" w:beforeAutospacing="1" w:after="100" w:afterAutospacing="1"/>
      <w:ind w:firstLineChars="100" w:firstLine="100"/>
    </w:pPr>
    <w:rPr>
      <w:rFonts w:ascii="Times New Roman" w:hAnsi="Times New Roman"/>
      <w:i/>
      <w:iCs/>
      <w:szCs w:val="24"/>
      <w:lang w:eastAsia="bg-BG"/>
    </w:rPr>
  </w:style>
  <w:style w:type="paragraph" w:customStyle="1" w:styleId="xl237">
    <w:name w:val="xl237"/>
    <w:basedOn w:val="Normal"/>
    <w:rsid w:val="00761800"/>
    <w:pPr>
      <w:pBdr>
        <w:top w:val="single" w:sz="4" w:space="0" w:color="auto"/>
        <w:bottom w:val="single" w:sz="4" w:space="0" w:color="auto"/>
      </w:pBdr>
      <w:shd w:val="clear" w:color="000000" w:fill="FFFFFF"/>
      <w:spacing w:before="100" w:beforeAutospacing="1" w:after="100" w:afterAutospacing="1"/>
      <w:ind w:firstLineChars="200" w:firstLine="200"/>
    </w:pPr>
    <w:rPr>
      <w:rFonts w:ascii="Times New Roman" w:hAnsi="Times New Roman"/>
      <w:szCs w:val="24"/>
      <w:lang w:eastAsia="bg-BG"/>
    </w:rPr>
  </w:style>
  <w:style w:type="paragraph" w:customStyle="1" w:styleId="xl238">
    <w:name w:val="xl238"/>
    <w:basedOn w:val="Normal"/>
    <w:rsid w:val="00761800"/>
    <w:pPr>
      <w:pBdr>
        <w:top w:val="single" w:sz="4" w:space="0" w:color="auto"/>
        <w:bottom w:val="single" w:sz="4" w:space="0" w:color="auto"/>
      </w:pBdr>
      <w:shd w:val="clear" w:color="000000" w:fill="FFFFFF"/>
      <w:spacing w:before="100" w:beforeAutospacing="1" w:after="100" w:afterAutospacing="1"/>
      <w:ind w:firstLineChars="300" w:firstLine="300"/>
    </w:pPr>
    <w:rPr>
      <w:rFonts w:ascii="Times New Roman" w:hAnsi="Times New Roman"/>
      <w:szCs w:val="24"/>
      <w:lang w:eastAsia="bg-BG"/>
    </w:rPr>
  </w:style>
  <w:style w:type="paragraph" w:customStyle="1" w:styleId="xl239">
    <w:name w:val="xl239"/>
    <w:basedOn w:val="Normal"/>
    <w:rsid w:val="00761800"/>
    <w:pPr>
      <w:pBdr>
        <w:top w:val="single" w:sz="4" w:space="0" w:color="auto"/>
        <w:left w:val="single" w:sz="4" w:space="27" w:color="auto"/>
        <w:bottom w:val="single" w:sz="4" w:space="0" w:color="auto"/>
      </w:pBdr>
      <w:shd w:val="clear" w:color="000000" w:fill="FFFFFF"/>
      <w:spacing w:before="100" w:beforeAutospacing="1" w:after="100" w:afterAutospacing="1"/>
      <w:ind w:firstLineChars="400" w:firstLine="400"/>
    </w:pPr>
    <w:rPr>
      <w:rFonts w:ascii="Times New Roman" w:hAnsi="Times New Roman"/>
      <w:szCs w:val="24"/>
      <w:lang w:eastAsia="bg-BG"/>
    </w:rPr>
  </w:style>
  <w:style w:type="paragraph" w:customStyle="1" w:styleId="xl240">
    <w:name w:val="xl240"/>
    <w:basedOn w:val="Normal"/>
    <w:rsid w:val="00761800"/>
    <w:pPr>
      <w:pBdr>
        <w:top w:val="single" w:sz="4" w:space="0" w:color="auto"/>
        <w:left w:val="single" w:sz="4" w:space="14" w:color="auto"/>
        <w:bottom w:val="single" w:sz="4" w:space="0" w:color="auto"/>
        <w:right w:val="single" w:sz="4" w:space="0" w:color="auto"/>
      </w:pBdr>
      <w:shd w:val="clear" w:color="000000" w:fill="FFFFFF"/>
      <w:spacing w:before="100" w:beforeAutospacing="1" w:after="100" w:afterAutospacing="1"/>
      <w:ind w:firstLineChars="200" w:firstLine="200"/>
    </w:pPr>
    <w:rPr>
      <w:rFonts w:ascii="Times New Roman" w:hAnsi="Times New Roman"/>
      <w:szCs w:val="24"/>
      <w:lang w:eastAsia="bg-BG"/>
    </w:rPr>
  </w:style>
  <w:style w:type="paragraph" w:customStyle="1" w:styleId="xl241">
    <w:name w:val="xl241"/>
    <w:basedOn w:val="Normal"/>
    <w:rsid w:val="00761800"/>
    <w:pPr>
      <w:pBdr>
        <w:top w:val="single" w:sz="4" w:space="0" w:color="auto"/>
        <w:left w:val="single" w:sz="4" w:space="7" w:color="auto"/>
        <w:bottom w:val="single" w:sz="4" w:space="0" w:color="auto"/>
      </w:pBdr>
      <w:shd w:val="clear" w:color="000000" w:fill="FFFFFF"/>
      <w:spacing w:before="100" w:beforeAutospacing="1" w:after="100" w:afterAutospacing="1"/>
      <w:ind w:firstLineChars="100" w:firstLine="100"/>
    </w:pPr>
    <w:rPr>
      <w:rFonts w:ascii="Times New Roman" w:hAnsi="Times New Roman"/>
      <w:szCs w:val="24"/>
      <w:lang w:eastAsia="bg-BG"/>
    </w:rPr>
  </w:style>
  <w:style w:type="paragraph" w:customStyle="1" w:styleId="xl242">
    <w:name w:val="xl242"/>
    <w:basedOn w:val="Normal"/>
    <w:rsid w:val="00761800"/>
    <w:pPr>
      <w:pBdr>
        <w:top w:val="single" w:sz="4" w:space="0" w:color="auto"/>
        <w:bottom w:val="single" w:sz="4" w:space="0" w:color="auto"/>
      </w:pBdr>
      <w:shd w:val="clear" w:color="000000" w:fill="FFFFFF"/>
      <w:spacing w:before="100" w:beforeAutospacing="1" w:after="100" w:afterAutospacing="1"/>
    </w:pPr>
    <w:rPr>
      <w:rFonts w:ascii="Times New Roman" w:hAnsi="Times New Roman"/>
      <w:i/>
      <w:iCs/>
      <w:szCs w:val="24"/>
      <w:lang w:eastAsia="bg-BG"/>
    </w:rPr>
  </w:style>
  <w:style w:type="paragraph" w:customStyle="1" w:styleId="xl243">
    <w:name w:val="xl243"/>
    <w:basedOn w:val="Normal"/>
    <w:rsid w:val="00761800"/>
    <w:pPr>
      <w:pBdr>
        <w:top w:val="single" w:sz="4" w:space="0" w:color="auto"/>
        <w:left w:val="single" w:sz="4" w:space="27" w:color="auto"/>
        <w:bottom w:val="single" w:sz="4" w:space="0" w:color="auto"/>
        <w:right w:val="single" w:sz="4" w:space="0" w:color="auto"/>
      </w:pBdr>
      <w:shd w:val="clear" w:color="000000" w:fill="FFFFFF"/>
      <w:spacing w:before="100" w:beforeAutospacing="1" w:after="100" w:afterAutospacing="1"/>
      <w:ind w:firstLineChars="400" w:firstLine="400"/>
    </w:pPr>
    <w:rPr>
      <w:rFonts w:ascii="Times New Roman" w:hAnsi="Times New Roman"/>
      <w:szCs w:val="24"/>
      <w:lang w:eastAsia="bg-BG"/>
    </w:rPr>
  </w:style>
  <w:style w:type="paragraph" w:customStyle="1" w:styleId="xl244">
    <w:name w:val="xl244"/>
    <w:basedOn w:val="Normal"/>
    <w:rsid w:val="00761800"/>
    <w:pPr>
      <w:shd w:val="clear" w:color="000000" w:fill="FFFFFF"/>
      <w:spacing w:before="100" w:beforeAutospacing="1" w:after="100" w:afterAutospacing="1"/>
    </w:pPr>
    <w:rPr>
      <w:rFonts w:ascii="Times New Roman" w:hAnsi="Times New Roman"/>
      <w:szCs w:val="24"/>
      <w:lang w:eastAsia="bg-BG"/>
    </w:rPr>
  </w:style>
  <w:style w:type="paragraph" w:customStyle="1" w:styleId="xl245">
    <w:name w:val="xl245"/>
    <w:basedOn w:val="Normal"/>
    <w:rsid w:val="00761800"/>
    <w:pPr>
      <w:shd w:val="clear" w:color="000000" w:fill="FFFFFF"/>
      <w:spacing w:before="100" w:beforeAutospacing="1" w:after="100" w:afterAutospacing="1"/>
    </w:pPr>
    <w:rPr>
      <w:rFonts w:ascii="Times New Roman" w:hAnsi="Times New Roman"/>
      <w:szCs w:val="24"/>
      <w:lang w:eastAsia="bg-BG"/>
    </w:rPr>
  </w:style>
  <w:style w:type="paragraph" w:customStyle="1" w:styleId="xl246">
    <w:name w:val="xl246"/>
    <w:basedOn w:val="Normal"/>
    <w:rsid w:val="00761800"/>
    <w:pP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247">
    <w:name w:val="xl247"/>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48">
    <w:name w:val="xl248"/>
    <w:basedOn w:val="Normal"/>
    <w:rsid w:val="00761800"/>
    <w:pPr>
      <w:pBdr>
        <w:left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49">
    <w:name w:val="xl249"/>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50">
    <w:name w:val="xl250"/>
    <w:basedOn w:val="Normal"/>
    <w:rsid w:val="00761800"/>
    <w:pPr>
      <w:pBdr>
        <w:top w:val="single" w:sz="4" w:space="0" w:color="auto"/>
        <w:bottom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51">
    <w:name w:val="xl251"/>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52">
    <w:name w:val="xl252"/>
    <w:basedOn w:val="Normal"/>
    <w:rsid w:val="00761800"/>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szCs w:val="24"/>
      <w:lang w:eastAsia="bg-BG"/>
    </w:rPr>
  </w:style>
  <w:style w:type="paragraph" w:customStyle="1" w:styleId="xl253">
    <w:name w:val="xl253"/>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54">
    <w:name w:val="xl254"/>
    <w:basedOn w:val="Normal"/>
    <w:rsid w:val="00761800"/>
    <w:pPr>
      <w:pBdr>
        <w:top w:val="single" w:sz="4" w:space="0" w:color="auto"/>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55">
    <w:name w:val="xl255"/>
    <w:basedOn w:val="Normal"/>
    <w:rsid w:val="00761800"/>
    <w:pPr>
      <w:pBdr>
        <w:top w:val="single" w:sz="4" w:space="0" w:color="auto"/>
        <w:bottom w:val="single" w:sz="4" w:space="0" w:color="auto"/>
      </w:pBdr>
      <w:spacing w:before="100" w:beforeAutospacing="1" w:after="100" w:afterAutospacing="1"/>
      <w:ind w:firstLineChars="600" w:firstLine="600"/>
    </w:pPr>
    <w:rPr>
      <w:rFonts w:ascii="Times New Roman" w:hAnsi="Times New Roman"/>
      <w:i/>
      <w:iCs/>
      <w:szCs w:val="24"/>
      <w:lang w:eastAsia="bg-BG"/>
    </w:rPr>
  </w:style>
  <w:style w:type="paragraph" w:customStyle="1" w:styleId="xl256">
    <w:name w:val="xl256"/>
    <w:basedOn w:val="Normal"/>
    <w:rsid w:val="00761800"/>
    <w:pPr>
      <w:pBdr>
        <w:top w:val="single" w:sz="4" w:space="0" w:color="auto"/>
        <w:left w:val="single" w:sz="4" w:space="0" w:color="auto"/>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57">
    <w:name w:val="xl257"/>
    <w:basedOn w:val="Normal"/>
    <w:rsid w:val="00761800"/>
    <w:pPr>
      <w:pBdr>
        <w:top w:val="single" w:sz="4" w:space="0" w:color="auto"/>
        <w:left w:val="single" w:sz="4" w:space="7" w:color="auto"/>
        <w:bottom w:val="single" w:sz="4" w:space="0" w:color="auto"/>
      </w:pBdr>
      <w:shd w:val="clear" w:color="000000" w:fill="FFFFFF"/>
      <w:spacing w:before="100" w:beforeAutospacing="1" w:after="100" w:afterAutospacing="1"/>
      <w:ind w:firstLineChars="100" w:firstLine="100"/>
    </w:pPr>
    <w:rPr>
      <w:rFonts w:ascii="Times New Roman" w:hAnsi="Times New Roman"/>
      <w:i/>
      <w:iCs/>
      <w:szCs w:val="24"/>
      <w:lang w:eastAsia="bg-BG"/>
    </w:rPr>
  </w:style>
  <w:style w:type="paragraph" w:customStyle="1" w:styleId="xl258">
    <w:name w:val="xl258"/>
    <w:basedOn w:val="Normal"/>
    <w:rsid w:val="00761800"/>
    <w:pPr>
      <w:pBdr>
        <w:top w:val="single" w:sz="4" w:space="0" w:color="auto"/>
        <w:left w:val="single" w:sz="4" w:space="14" w:color="auto"/>
        <w:bottom w:val="single" w:sz="4" w:space="0" w:color="auto"/>
      </w:pBdr>
      <w:shd w:val="clear" w:color="000000" w:fill="FFFFFF"/>
      <w:spacing w:before="100" w:beforeAutospacing="1" w:after="100" w:afterAutospacing="1"/>
      <w:ind w:firstLineChars="200" w:firstLine="200"/>
    </w:pPr>
    <w:rPr>
      <w:rFonts w:ascii="Times New Roman" w:hAnsi="Times New Roman"/>
      <w:szCs w:val="24"/>
      <w:lang w:eastAsia="bg-BG"/>
    </w:rPr>
  </w:style>
  <w:style w:type="paragraph" w:customStyle="1" w:styleId="xl259">
    <w:name w:val="xl259"/>
    <w:basedOn w:val="Normal"/>
    <w:rsid w:val="00761800"/>
    <w:pPr>
      <w:pBdr>
        <w:top w:val="single" w:sz="4" w:space="0" w:color="auto"/>
        <w:left w:val="single" w:sz="4" w:space="0" w:color="auto"/>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60">
    <w:name w:val="xl260"/>
    <w:basedOn w:val="Normal"/>
    <w:rsid w:val="00761800"/>
    <w:pPr>
      <w:pBdr>
        <w:top w:val="single" w:sz="4" w:space="0" w:color="auto"/>
        <w:bottom w:val="single" w:sz="4" w:space="0" w:color="auto"/>
      </w:pBdr>
      <w:shd w:val="clear" w:color="000000" w:fill="FFFFFF"/>
      <w:spacing w:before="100" w:beforeAutospacing="1" w:after="100" w:afterAutospacing="1"/>
      <w:ind w:firstLineChars="100" w:firstLine="100"/>
    </w:pPr>
    <w:rPr>
      <w:rFonts w:ascii="Times New Roman" w:hAnsi="Times New Roman"/>
      <w:i/>
      <w:iCs/>
      <w:szCs w:val="24"/>
      <w:lang w:eastAsia="bg-BG"/>
    </w:rPr>
  </w:style>
  <w:style w:type="paragraph" w:customStyle="1" w:styleId="xl261">
    <w:name w:val="xl261"/>
    <w:basedOn w:val="Normal"/>
    <w:rsid w:val="00761800"/>
    <w:pPr>
      <w:pBdr>
        <w:top w:val="single" w:sz="4" w:space="0" w:color="auto"/>
        <w:bottom w:val="single" w:sz="4" w:space="0" w:color="auto"/>
      </w:pBdr>
      <w:shd w:val="clear" w:color="000000" w:fill="FFFFFF"/>
      <w:spacing w:before="100" w:beforeAutospacing="1" w:after="100" w:afterAutospacing="1"/>
      <w:ind w:firstLineChars="200" w:firstLine="200"/>
    </w:pPr>
    <w:rPr>
      <w:rFonts w:ascii="Times New Roman" w:hAnsi="Times New Roman"/>
      <w:szCs w:val="24"/>
      <w:lang w:eastAsia="bg-BG"/>
    </w:rPr>
  </w:style>
  <w:style w:type="paragraph" w:customStyle="1" w:styleId="xl262">
    <w:name w:val="xl262"/>
    <w:basedOn w:val="Normal"/>
    <w:rsid w:val="00761800"/>
    <w:pPr>
      <w:pBdr>
        <w:top w:val="single" w:sz="4" w:space="0" w:color="auto"/>
        <w:bottom w:val="single" w:sz="4" w:space="0" w:color="auto"/>
      </w:pBdr>
      <w:shd w:val="clear" w:color="000000" w:fill="FFFFFF"/>
      <w:spacing w:before="100" w:beforeAutospacing="1" w:after="100" w:afterAutospacing="1"/>
      <w:ind w:firstLineChars="300" w:firstLine="300"/>
    </w:pPr>
    <w:rPr>
      <w:rFonts w:ascii="Times New Roman" w:hAnsi="Times New Roman"/>
      <w:szCs w:val="24"/>
      <w:lang w:eastAsia="bg-BG"/>
    </w:rPr>
  </w:style>
  <w:style w:type="paragraph" w:customStyle="1" w:styleId="xl263">
    <w:name w:val="xl263"/>
    <w:basedOn w:val="Normal"/>
    <w:rsid w:val="00761800"/>
    <w:pPr>
      <w:pBdr>
        <w:top w:val="single" w:sz="4" w:space="0" w:color="auto"/>
        <w:left w:val="single" w:sz="4" w:space="27" w:color="auto"/>
        <w:bottom w:val="single" w:sz="4" w:space="0" w:color="auto"/>
      </w:pBdr>
      <w:shd w:val="clear" w:color="000000" w:fill="FFFFFF"/>
      <w:spacing w:before="100" w:beforeAutospacing="1" w:after="100" w:afterAutospacing="1"/>
      <w:ind w:firstLineChars="400" w:firstLine="400"/>
    </w:pPr>
    <w:rPr>
      <w:rFonts w:ascii="Times New Roman" w:hAnsi="Times New Roman"/>
      <w:szCs w:val="24"/>
      <w:lang w:eastAsia="bg-BG"/>
    </w:rPr>
  </w:style>
  <w:style w:type="paragraph" w:customStyle="1" w:styleId="xl264">
    <w:name w:val="xl264"/>
    <w:basedOn w:val="Normal"/>
    <w:rsid w:val="00761800"/>
    <w:pPr>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ind w:firstLineChars="500" w:firstLine="500"/>
      <w:textAlignment w:val="center"/>
    </w:pPr>
    <w:rPr>
      <w:rFonts w:ascii="Times New Roman" w:hAnsi="Times New Roman"/>
      <w:i/>
      <w:iCs/>
      <w:szCs w:val="24"/>
      <w:lang w:eastAsia="bg-BG"/>
    </w:rPr>
  </w:style>
  <w:style w:type="paragraph" w:customStyle="1" w:styleId="xl265">
    <w:name w:val="xl265"/>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i/>
      <w:iCs/>
      <w:szCs w:val="24"/>
      <w:lang w:eastAsia="bg-BG"/>
    </w:rPr>
  </w:style>
  <w:style w:type="paragraph" w:customStyle="1" w:styleId="xl266">
    <w:name w:val="xl266"/>
    <w:basedOn w:val="Normal"/>
    <w:rsid w:val="00761800"/>
    <w:pPr>
      <w:pBdr>
        <w:left w:val="single" w:sz="4" w:space="14" w:color="auto"/>
        <w:bottom w:val="single" w:sz="4" w:space="0" w:color="auto"/>
      </w:pBdr>
      <w:shd w:val="clear" w:color="000000" w:fill="FFFFFF"/>
      <w:spacing w:before="100" w:beforeAutospacing="1" w:after="100" w:afterAutospacing="1"/>
      <w:ind w:firstLineChars="200" w:firstLine="200"/>
    </w:pPr>
    <w:rPr>
      <w:rFonts w:ascii="Times New Roman" w:hAnsi="Times New Roman"/>
      <w:szCs w:val="24"/>
      <w:lang w:eastAsia="bg-BG"/>
    </w:rPr>
  </w:style>
  <w:style w:type="paragraph" w:customStyle="1" w:styleId="xl267">
    <w:name w:val="xl267"/>
    <w:basedOn w:val="Normal"/>
    <w:rsid w:val="00761800"/>
    <w:pPr>
      <w:pBdr>
        <w:top w:val="single" w:sz="4" w:space="0" w:color="auto"/>
        <w:left w:val="single" w:sz="4" w:space="14" w:color="auto"/>
        <w:bottom w:val="single" w:sz="4" w:space="0" w:color="auto"/>
        <w:right w:val="single" w:sz="4" w:space="0" w:color="auto"/>
      </w:pBdr>
      <w:shd w:val="clear" w:color="000000" w:fill="FFFFFF"/>
      <w:spacing w:before="100" w:beforeAutospacing="1" w:after="100" w:afterAutospacing="1"/>
      <w:ind w:firstLineChars="200" w:firstLine="200"/>
    </w:pPr>
    <w:rPr>
      <w:rFonts w:ascii="Times New Roman" w:hAnsi="Times New Roman"/>
      <w:szCs w:val="24"/>
      <w:lang w:eastAsia="bg-BG"/>
    </w:rPr>
  </w:style>
  <w:style w:type="paragraph" w:customStyle="1" w:styleId="xl268">
    <w:name w:val="xl268"/>
    <w:basedOn w:val="Normal"/>
    <w:rsid w:val="00761800"/>
    <w:pPr>
      <w:pBdr>
        <w:top w:val="single" w:sz="4" w:space="0" w:color="auto"/>
        <w:left w:val="single" w:sz="4" w:space="7" w:color="auto"/>
        <w:bottom w:val="single" w:sz="4" w:space="0" w:color="auto"/>
      </w:pBdr>
      <w:shd w:val="clear" w:color="000000" w:fill="FFFFFF"/>
      <w:spacing w:before="100" w:beforeAutospacing="1" w:after="100" w:afterAutospacing="1"/>
      <w:ind w:firstLineChars="100" w:firstLine="100"/>
    </w:pPr>
    <w:rPr>
      <w:rFonts w:ascii="Times New Roman" w:hAnsi="Times New Roman"/>
      <w:szCs w:val="24"/>
      <w:lang w:eastAsia="bg-BG"/>
    </w:rPr>
  </w:style>
  <w:style w:type="paragraph" w:customStyle="1" w:styleId="xl269">
    <w:name w:val="xl269"/>
    <w:basedOn w:val="Normal"/>
    <w:rsid w:val="00761800"/>
    <w:pPr>
      <w:pBdr>
        <w:top w:val="single" w:sz="4" w:space="0" w:color="auto"/>
        <w:bottom w:val="single" w:sz="4" w:space="0" w:color="auto"/>
      </w:pBdr>
      <w:shd w:val="clear" w:color="000000" w:fill="FFFFFF"/>
      <w:spacing w:before="100" w:beforeAutospacing="1" w:after="100" w:afterAutospacing="1"/>
    </w:pPr>
    <w:rPr>
      <w:rFonts w:ascii="Times New Roman" w:hAnsi="Times New Roman"/>
      <w:i/>
      <w:iCs/>
      <w:szCs w:val="24"/>
      <w:lang w:eastAsia="bg-BG"/>
    </w:rPr>
  </w:style>
  <w:style w:type="paragraph" w:customStyle="1" w:styleId="xl270">
    <w:name w:val="xl270"/>
    <w:basedOn w:val="Normal"/>
    <w:rsid w:val="00761800"/>
    <w:pPr>
      <w:pBdr>
        <w:top w:val="single" w:sz="4" w:space="0" w:color="auto"/>
        <w:left w:val="single" w:sz="4" w:space="27" w:color="auto"/>
        <w:bottom w:val="single" w:sz="4" w:space="0" w:color="auto"/>
        <w:right w:val="single" w:sz="4" w:space="0" w:color="auto"/>
      </w:pBdr>
      <w:shd w:val="clear" w:color="000000" w:fill="FFFFFF"/>
      <w:spacing w:before="100" w:beforeAutospacing="1" w:after="100" w:afterAutospacing="1"/>
      <w:ind w:firstLineChars="400" w:firstLine="400"/>
    </w:pPr>
    <w:rPr>
      <w:rFonts w:ascii="Times New Roman" w:hAnsi="Times New Roman"/>
      <w:szCs w:val="24"/>
      <w:lang w:eastAsia="bg-BG"/>
    </w:rPr>
  </w:style>
  <w:style w:type="paragraph" w:customStyle="1" w:styleId="xl271">
    <w:name w:val="xl271"/>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szCs w:val="24"/>
      <w:lang w:eastAsia="bg-BG"/>
    </w:rPr>
  </w:style>
  <w:style w:type="paragraph" w:customStyle="1" w:styleId="xl272">
    <w:name w:val="xl272"/>
    <w:basedOn w:val="Normal"/>
    <w:rsid w:val="00761800"/>
    <w:pPr>
      <w:shd w:val="clear" w:color="000000" w:fill="FFFFFF"/>
      <w:spacing w:before="100" w:beforeAutospacing="1" w:after="100" w:afterAutospacing="1"/>
    </w:pPr>
    <w:rPr>
      <w:rFonts w:ascii="Times New Roman" w:hAnsi="Times New Roman"/>
      <w:szCs w:val="24"/>
      <w:lang w:eastAsia="bg-BG"/>
    </w:rPr>
  </w:style>
  <w:style w:type="paragraph" w:customStyle="1" w:styleId="xl273">
    <w:name w:val="xl273"/>
    <w:basedOn w:val="Normal"/>
    <w:rsid w:val="00761800"/>
    <w:pPr>
      <w:shd w:val="clear" w:color="000000" w:fill="FFFFFF"/>
      <w:spacing w:before="100" w:beforeAutospacing="1" w:after="100" w:afterAutospacing="1"/>
    </w:pPr>
    <w:rPr>
      <w:rFonts w:ascii="Times New Roman" w:hAnsi="Times New Roman"/>
      <w:szCs w:val="24"/>
      <w:lang w:eastAsia="bg-BG"/>
    </w:rPr>
  </w:style>
  <w:style w:type="paragraph" w:customStyle="1" w:styleId="xl274">
    <w:name w:val="xl274"/>
    <w:basedOn w:val="Normal"/>
    <w:rsid w:val="00761800"/>
    <w:pP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275">
    <w:name w:val="xl275"/>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76">
    <w:name w:val="xl276"/>
    <w:basedOn w:val="Normal"/>
    <w:rsid w:val="00761800"/>
    <w:pPr>
      <w:pBdr>
        <w:left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77">
    <w:name w:val="xl277"/>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78">
    <w:name w:val="xl278"/>
    <w:basedOn w:val="Normal"/>
    <w:rsid w:val="00761800"/>
    <w:pPr>
      <w:pBdr>
        <w:top w:val="single" w:sz="4" w:space="0" w:color="auto"/>
        <w:bottom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79">
    <w:name w:val="xl279"/>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80">
    <w:name w:val="xl280"/>
    <w:basedOn w:val="Normal"/>
    <w:rsid w:val="00761800"/>
    <w:pPr>
      <w:pBdr>
        <w:top w:val="single" w:sz="4" w:space="0" w:color="auto"/>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81">
    <w:name w:val="xl281"/>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82">
    <w:name w:val="xl282"/>
    <w:basedOn w:val="Normal"/>
    <w:rsid w:val="00761800"/>
    <w:pPr>
      <w:pBdr>
        <w:left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83">
    <w:name w:val="xl283"/>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284">
    <w:name w:val="xl284"/>
    <w:basedOn w:val="Normal"/>
    <w:rsid w:val="00761800"/>
    <w:pPr>
      <w:shd w:val="clear" w:color="000000" w:fill="FFFFFF"/>
      <w:spacing w:before="100" w:beforeAutospacing="1" w:after="100" w:afterAutospacing="1"/>
    </w:pPr>
    <w:rPr>
      <w:rFonts w:ascii="Times New Roman" w:hAnsi="Times New Roman"/>
      <w:szCs w:val="24"/>
      <w:lang w:eastAsia="bg-BG"/>
    </w:rPr>
  </w:style>
  <w:style w:type="paragraph" w:customStyle="1" w:styleId="xl285">
    <w:name w:val="xl285"/>
    <w:basedOn w:val="Normal"/>
    <w:rsid w:val="00761800"/>
    <w:pPr>
      <w:shd w:val="clear" w:color="000000" w:fill="FFFFFF"/>
      <w:spacing w:before="100" w:beforeAutospacing="1" w:after="100" w:afterAutospacing="1"/>
      <w:jc w:val="right"/>
    </w:pPr>
    <w:rPr>
      <w:rFonts w:ascii="Times New Roman" w:hAnsi="Times New Roman"/>
      <w:szCs w:val="24"/>
      <w:lang w:eastAsia="bg-BG"/>
    </w:rPr>
  </w:style>
  <w:style w:type="paragraph" w:customStyle="1" w:styleId="xl286">
    <w:name w:val="xl286"/>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87">
    <w:name w:val="xl287"/>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88">
    <w:name w:val="xl288"/>
    <w:basedOn w:val="Normal"/>
    <w:rsid w:val="00761800"/>
    <w:pPr>
      <w:shd w:val="clear" w:color="000000" w:fill="FFFFFF"/>
      <w:spacing w:before="100" w:beforeAutospacing="1" w:after="100" w:afterAutospacing="1"/>
    </w:pPr>
    <w:rPr>
      <w:rFonts w:ascii="Times New Roman" w:hAnsi="Times New Roman"/>
      <w:szCs w:val="24"/>
      <w:lang w:eastAsia="bg-BG"/>
    </w:rPr>
  </w:style>
  <w:style w:type="paragraph" w:customStyle="1" w:styleId="xl289">
    <w:name w:val="xl289"/>
    <w:basedOn w:val="Normal"/>
    <w:rsid w:val="00761800"/>
    <w:pPr>
      <w:shd w:val="clear" w:color="000000" w:fill="FFFFFF"/>
      <w:spacing w:before="100" w:beforeAutospacing="1" w:after="100" w:afterAutospacing="1"/>
      <w:jc w:val="center"/>
    </w:pPr>
    <w:rPr>
      <w:rFonts w:ascii="Times New Roman" w:hAnsi="Times New Roman"/>
      <w:szCs w:val="24"/>
      <w:u w:val="single"/>
      <w:lang w:eastAsia="bg-BG"/>
    </w:rPr>
  </w:style>
  <w:style w:type="paragraph" w:customStyle="1" w:styleId="xl290">
    <w:name w:val="xl290"/>
    <w:basedOn w:val="Normal"/>
    <w:rsid w:val="00761800"/>
    <w:pPr>
      <w:shd w:val="clear" w:color="000000" w:fill="FFFFFF"/>
      <w:spacing w:before="100" w:beforeAutospacing="1" w:after="100" w:afterAutospacing="1"/>
    </w:pPr>
    <w:rPr>
      <w:rFonts w:ascii="Times New Roman" w:hAnsi="Times New Roman"/>
      <w:szCs w:val="24"/>
      <w:lang w:eastAsia="bg-BG"/>
    </w:rPr>
  </w:style>
  <w:style w:type="paragraph" w:customStyle="1" w:styleId="xl291">
    <w:name w:val="xl291"/>
    <w:basedOn w:val="Normal"/>
    <w:rsid w:val="00761800"/>
    <w:pPr>
      <w:shd w:val="clear" w:color="000000" w:fill="FFFFFF"/>
      <w:spacing w:before="100" w:beforeAutospacing="1" w:after="100" w:afterAutospacing="1"/>
    </w:pPr>
    <w:rPr>
      <w:rFonts w:ascii="Times New Roman" w:hAnsi="Times New Roman"/>
      <w:szCs w:val="24"/>
      <w:lang w:eastAsia="bg-BG"/>
    </w:rPr>
  </w:style>
  <w:style w:type="paragraph" w:customStyle="1" w:styleId="xl292">
    <w:name w:val="xl292"/>
    <w:basedOn w:val="Normal"/>
    <w:rsid w:val="00761800"/>
    <w:pP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93">
    <w:name w:val="xl293"/>
    <w:basedOn w:val="Normal"/>
    <w:rsid w:val="00761800"/>
    <w:pPr>
      <w:shd w:val="clear" w:color="000000" w:fill="FFFFFF"/>
      <w:spacing w:before="100" w:beforeAutospacing="1" w:after="100" w:afterAutospacing="1"/>
      <w:jc w:val="center"/>
    </w:pPr>
    <w:rPr>
      <w:rFonts w:ascii="Times New Roman" w:hAnsi="Times New Roman"/>
      <w:b/>
      <w:bCs/>
      <w:szCs w:val="24"/>
      <w:lang w:eastAsia="bg-BG"/>
    </w:rPr>
  </w:style>
  <w:style w:type="paragraph" w:customStyle="1" w:styleId="xl294">
    <w:name w:val="xl294"/>
    <w:basedOn w:val="Normal"/>
    <w:rsid w:val="00761800"/>
    <w:pP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95">
    <w:name w:val="xl295"/>
    <w:basedOn w:val="Normal"/>
    <w:rsid w:val="00761800"/>
    <w:pPr>
      <w:pBdr>
        <w:bottom w:val="double" w:sz="6"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96">
    <w:name w:val="xl296"/>
    <w:basedOn w:val="Normal"/>
    <w:rsid w:val="00761800"/>
    <w:pPr>
      <w:pBdr>
        <w:bottom w:val="double" w:sz="6" w:space="0" w:color="auto"/>
      </w:pBdr>
      <w:shd w:val="clear" w:color="000000" w:fill="FFFFFF"/>
      <w:spacing w:before="100" w:beforeAutospacing="1" w:after="100" w:afterAutospacing="1"/>
      <w:jc w:val="center"/>
    </w:pPr>
    <w:rPr>
      <w:rFonts w:ascii="Times New Roman" w:hAnsi="Times New Roman"/>
      <w:b/>
      <w:bCs/>
      <w:szCs w:val="24"/>
      <w:lang w:eastAsia="bg-BG"/>
    </w:rPr>
  </w:style>
  <w:style w:type="paragraph" w:customStyle="1" w:styleId="xl297">
    <w:name w:val="xl297"/>
    <w:basedOn w:val="Normal"/>
    <w:rsid w:val="00761800"/>
    <w:pPr>
      <w:shd w:val="clear" w:color="000000" w:fill="FFFFFF"/>
      <w:spacing w:before="100" w:beforeAutospacing="1" w:after="100" w:afterAutospacing="1"/>
    </w:pPr>
    <w:rPr>
      <w:rFonts w:ascii="Times New Roman" w:hAnsi="Times New Roman"/>
      <w:szCs w:val="24"/>
      <w:lang w:eastAsia="bg-BG"/>
    </w:rPr>
  </w:style>
  <w:style w:type="paragraph" w:customStyle="1" w:styleId="xl298">
    <w:name w:val="xl298"/>
    <w:basedOn w:val="Normal"/>
    <w:rsid w:val="00761800"/>
    <w:pPr>
      <w:shd w:val="clear" w:color="000000" w:fill="FFC000"/>
      <w:spacing w:before="100" w:beforeAutospacing="1" w:after="100" w:afterAutospacing="1"/>
    </w:pPr>
    <w:rPr>
      <w:rFonts w:ascii="Times New Roman" w:hAnsi="Times New Roman"/>
      <w:b/>
      <w:bCs/>
      <w:color w:val="800000"/>
      <w:szCs w:val="24"/>
      <w:u w:val="single"/>
      <w:lang w:eastAsia="bg-BG"/>
    </w:rPr>
  </w:style>
  <w:style w:type="paragraph" w:customStyle="1" w:styleId="xl299">
    <w:name w:val="xl299"/>
    <w:basedOn w:val="Normal"/>
    <w:rsid w:val="00761800"/>
    <w:pPr>
      <w:shd w:val="clear" w:color="000000" w:fill="FFC000"/>
      <w:spacing w:before="100" w:beforeAutospacing="1" w:after="100" w:afterAutospacing="1"/>
      <w:jc w:val="center"/>
    </w:pPr>
    <w:rPr>
      <w:rFonts w:ascii="Times New Roman" w:hAnsi="Times New Roman"/>
      <w:b/>
      <w:bCs/>
      <w:color w:val="800000"/>
      <w:szCs w:val="24"/>
      <w:u w:val="single"/>
      <w:lang w:eastAsia="bg-BG"/>
    </w:rPr>
  </w:style>
  <w:style w:type="paragraph" w:customStyle="1" w:styleId="xl300">
    <w:name w:val="xl300"/>
    <w:basedOn w:val="Normal"/>
    <w:rsid w:val="00761800"/>
    <w:pPr>
      <w:shd w:val="clear" w:color="000000" w:fill="FFC000"/>
      <w:spacing w:before="100" w:beforeAutospacing="1" w:after="100" w:afterAutospacing="1"/>
    </w:pPr>
    <w:rPr>
      <w:rFonts w:ascii="Times New Roman" w:hAnsi="Times New Roman"/>
      <w:color w:val="800000"/>
      <w:szCs w:val="24"/>
      <w:lang w:eastAsia="bg-BG"/>
    </w:rPr>
  </w:style>
  <w:style w:type="paragraph" w:customStyle="1" w:styleId="xl301">
    <w:name w:val="xl301"/>
    <w:basedOn w:val="Normal"/>
    <w:rsid w:val="00761800"/>
    <w:pPr>
      <w:shd w:val="clear" w:color="000000" w:fill="FFFFFF"/>
      <w:spacing w:before="100" w:beforeAutospacing="1" w:after="100" w:afterAutospacing="1"/>
    </w:pPr>
    <w:rPr>
      <w:rFonts w:ascii="Times New Roman" w:hAnsi="Times New Roman"/>
      <w:b/>
      <w:bCs/>
      <w:szCs w:val="24"/>
      <w:u w:val="single"/>
      <w:lang w:eastAsia="bg-BG"/>
    </w:rPr>
  </w:style>
  <w:style w:type="paragraph" w:customStyle="1" w:styleId="xl302">
    <w:name w:val="xl302"/>
    <w:basedOn w:val="Normal"/>
    <w:rsid w:val="00761800"/>
    <w:pPr>
      <w:shd w:val="clear" w:color="000000" w:fill="FFFFFF"/>
      <w:spacing w:before="100" w:beforeAutospacing="1" w:after="100" w:afterAutospacing="1"/>
      <w:jc w:val="center"/>
    </w:pPr>
    <w:rPr>
      <w:rFonts w:ascii="Times New Roman" w:hAnsi="Times New Roman"/>
      <w:b/>
      <w:bCs/>
      <w:szCs w:val="24"/>
      <w:u w:val="single"/>
      <w:lang w:eastAsia="bg-BG"/>
    </w:rPr>
  </w:style>
  <w:style w:type="paragraph" w:customStyle="1" w:styleId="xl303">
    <w:name w:val="xl303"/>
    <w:basedOn w:val="Normal"/>
    <w:rsid w:val="00761800"/>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800000"/>
      <w:szCs w:val="24"/>
      <w:lang w:eastAsia="bg-BG"/>
    </w:rPr>
  </w:style>
  <w:style w:type="paragraph" w:customStyle="1" w:styleId="xl304">
    <w:name w:val="xl304"/>
    <w:basedOn w:val="Normal"/>
    <w:rsid w:val="00761800"/>
    <w:pPr>
      <w:pBdr>
        <w:bottom w:val="single" w:sz="4" w:space="0" w:color="auto"/>
      </w:pBdr>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305">
    <w:name w:val="xl305"/>
    <w:basedOn w:val="Normal"/>
    <w:rsid w:val="007618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306">
    <w:name w:val="xl306"/>
    <w:basedOn w:val="Normal"/>
    <w:rsid w:val="00761800"/>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800000"/>
      <w:szCs w:val="24"/>
      <w:lang w:eastAsia="bg-BG"/>
    </w:rPr>
  </w:style>
  <w:style w:type="paragraph" w:customStyle="1" w:styleId="xl307">
    <w:name w:val="xl307"/>
    <w:basedOn w:val="Normal"/>
    <w:rsid w:val="00761800"/>
    <w:pPr>
      <w:pBdr>
        <w:bottom w:val="single" w:sz="4" w:space="0" w:color="auto"/>
      </w:pBdr>
      <w:spacing w:before="100" w:beforeAutospacing="1" w:after="100" w:afterAutospacing="1"/>
      <w:textAlignment w:val="top"/>
    </w:pPr>
    <w:rPr>
      <w:rFonts w:ascii="Times New Roman" w:hAnsi="Times New Roman"/>
      <w:color w:val="800000"/>
      <w:szCs w:val="24"/>
      <w:lang w:eastAsia="bg-BG"/>
    </w:rPr>
  </w:style>
  <w:style w:type="paragraph" w:customStyle="1" w:styleId="xl308">
    <w:name w:val="xl308"/>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i/>
      <w:iCs/>
      <w:color w:val="800000"/>
      <w:szCs w:val="24"/>
      <w:lang w:eastAsia="bg-BG"/>
    </w:rPr>
  </w:style>
  <w:style w:type="paragraph" w:customStyle="1" w:styleId="xl309">
    <w:name w:val="xl309"/>
    <w:basedOn w:val="Normal"/>
    <w:rsid w:val="00761800"/>
    <w:pPr>
      <w:pBdr>
        <w:top w:val="single" w:sz="4" w:space="0" w:color="auto"/>
        <w:bottom w:val="single" w:sz="4" w:space="0" w:color="auto"/>
      </w:pBdr>
      <w:spacing w:before="100" w:beforeAutospacing="1" w:after="100" w:afterAutospacing="1"/>
      <w:ind w:firstLineChars="100" w:firstLine="100"/>
      <w:textAlignment w:val="top"/>
    </w:pPr>
    <w:rPr>
      <w:rFonts w:ascii="Times New Roman" w:hAnsi="Times New Roman"/>
      <w:i/>
      <w:iCs/>
      <w:color w:val="800000"/>
      <w:szCs w:val="24"/>
      <w:lang w:eastAsia="bg-BG"/>
    </w:rPr>
  </w:style>
  <w:style w:type="paragraph" w:customStyle="1" w:styleId="xl310">
    <w:name w:val="xl310"/>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800000"/>
      <w:szCs w:val="24"/>
      <w:lang w:eastAsia="bg-BG"/>
    </w:rPr>
  </w:style>
  <w:style w:type="paragraph" w:customStyle="1" w:styleId="xl311">
    <w:name w:val="xl311"/>
    <w:basedOn w:val="Normal"/>
    <w:rsid w:val="00761800"/>
    <w:pPr>
      <w:pBdr>
        <w:top w:val="single" w:sz="4" w:space="0" w:color="auto"/>
        <w:bottom w:val="single" w:sz="4" w:space="0" w:color="auto"/>
      </w:pBdr>
      <w:spacing w:before="100" w:beforeAutospacing="1" w:after="100" w:afterAutospacing="1"/>
      <w:ind w:firstLineChars="200" w:firstLine="200"/>
      <w:textAlignment w:val="top"/>
    </w:pPr>
    <w:rPr>
      <w:rFonts w:ascii="Times New Roman" w:hAnsi="Times New Roman"/>
      <w:color w:val="800000"/>
      <w:szCs w:val="24"/>
      <w:lang w:eastAsia="bg-BG"/>
    </w:rPr>
  </w:style>
  <w:style w:type="paragraph" w:customStyle="1" w:styleId="xl312">
    <w:name w:val="xl312"/>
    <w:basedOn w:val="Normal"/>
    <w:rsid w:val="00761800"/>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800000"/>
      <w:szCs w:val="24"/>
      <w:lang w:eastAsia="bg-BG"/>
    </w:rPr>
  </w:style>
  <w:style w:type="paragraph" w:customStyle="1" w:styleId="xl313">
    <w:name w:val="xl313"/>
    <w:basedOn w:val="Normal"/>
    <w:rsid w:val="00761800"/>
    <w:pPr>
      <w:pBdr>
        <w:bottom w:val="single" w:sz="4" w:space="0" w:color="auto"/>
      </w:pBdr>
      <w:spacing w:before="100" w:beforeAutospacing="1" w:after="100" w:afterAutospacing="1"/>
      <w:ind w:firstLineChars="200" w:firstLine="200"/>
      <w:textAlignment w:val="top"/>
    </w:pPr>
    <w:rPr>
      <w:rFonts w:ascii="Times New Roman" w:hAnsi="Times New Roman"/>
      <w:color w:val="800000"/>
      <w:szCs w:val="24"/>
      <w:lang w:eastAsia="bg-BG"/>
    </w:rPr>
  </w:style>
  <w:style w:type="paragraph" w:customStyle="1" w:styleId="xl314">
    <w:name w:val="xl314"/>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800000"/>
      <w:szCs w:val="24"/>
      <w:lang w:eastAsia="bg-BG"/>
    </w:rPr>
  </w:style>
  <w:style w:type="paragraph" w:customStyle="1" w:styleId="xl315">
    <w:name w:val="xl315"/>
    <w:basedOn w:val="Normal"/>
    <w:rsid w:val="00761800"/>
    <w:pPr>
      <w:pBdr>
        <w:top w:val="single" w:sz="4" w:space="0" w:color="auto"/>
        <w:bottom w:val="single" w:sz="4" w:space="0" w:color="auto"/>
      </w:pBdr>
      <w:spacing w:before="100" w:beforeAutospacing="1" w:after="100" w:afterAutospacing="1"/>
      <w:textAlignment w:val="top"/>
    </w:pPr>
    <w:rPr>
      <w:rFonts w:ascii="Times New Roman" w:hAnsi="Times New Roman"/>
      <w:color w:val="800000"/>
      <w:szCs w:val="24"/>
      <w:lang w:eastAsia="bg-BG"/>
    </w:rPr>
  </w:style>
  <w:style w:type="paragraph" w:customStyle="1" w:styleId="xl316">
    <w:name w:val="xl316"/>
    <w:basedOn w:val="Normal"/>
    <w:rsid w:val="00761800"/>
    <w:pPr>
      <w:pBdr>
        <w:top w:val="single" w:sz="4" w:space="0" w:color="auto"/>
        <w:bottom w:val="single" w:sz="4" w:space="0" w:color="auto"/>
      </w:pBdr>
      <w:spacing w:before="100" w:beforeAutospacing="1" w:after="100" w:afterAutospacing="1"/>
      <w:textAlignment w:val="top"/>
    </w:pPr>
    <w:rPr>
      <w:rFonts w:ascii="Times New Roman" w:hAnsi="Times New Roman"/>
      <w:i/>
      <w:iCs/>
      <w:color w:val="800000"/>
      <w:szCs w:val="24"/>
      <w:lang w:eastAsia="bg-BG"/>
    </w:rPr>
  </w:style>
  <w:style w:type="paragraph" w:customStyle="1" w:styleId="xl317">
    <w:name w:val="xl317"/>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800000"/>
      <w:szCs w:val="24"/>
      <w:lang w:eastAsia="bg-BG"/>
    </w:rPr>
  </w:style>
  <w:style w:type="paragraph" w:customStyle="1" w:styleId="xl318">
    <w:name w:val="xl318"/>
    <w:basedOn w:val="Normal"/>
    <w:rsid w:val="00761800"/>
    <w:pPr>
      <w:pBdr>
        <w:top w:val="single" w:sz="4" w:space="0" w:color="auto"/>
        <w:bottom w:val="single" w:sz="4" w:space="0" w:color="auto"/>
      </w:pBdr>
      <w:shd w:val="clear" w:color="000000" w:fill="FFFFFF"/>
      <w:spacing w:before="100" w:beforeAutospacing="1" w:after="100" w:afterAutospacing="1"/>
      <w:ind w:firstLineChars="200" w:firstLine="200"/>
      <w:textAlignment w:val="top"/>
    </w:pPr>
    <w:rPr>
      <w:rFonts w:ascii="Times New Roman" w:hAnsi="Times New Roman"/>
      <w:color w:val="800000"/>
      <w:szCs w:val="24"/>
      <w:lang w:eastAsia="bg-BG"/>
    </w:rPr>
  </w:style>
  <w:style w:type="paragraph" w:customStyle="1" w:styleId="xl319">
    <w:name w:val="xl319"/>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320">
    <w:name w:val="xl320"/>
    <w:basedOn w:val="Normal"/>
    <w:rsid w:val="00761800"/>
    <w:pPr>
      <w:pBdr>
        <w:top w:val="single" w:sz="4" w:space="0" w:color="auto"/>
        <w:bottom w:val="single" w:sz="4" w:space="0" w:color="auto"/>
      </w:pBdr>
      <w:shd w:val="clear" w:color="000000" w:fill="FFFFFF"/>
      <w:spacing w:before="100" w:beforeAutospacing="1" w:after="100" w:afterAutospacing="1"/>
      <w:ind w:firstLineChars="300" w:firstLine="300"/>
      <w:textAlignment w:val="top"/>
    </w:pPr>
    <w:rPr>
      <w:rFonts w:ascii="Times New Roman" w:hAnsi="Times New Roman"/>
      <w:color w:val="800000"/>
      <w:szCs w:val="24"/>
      <w:lang w:eastAsia="bg-BG"/>
    </w:rPr>
  </w:style>
  <w:style w:type="paragraph" w:customStyle="1" w:styleId="xl321">
    <w:name w:val="xl321"/>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i/>
      <w:iCs/>
      <w:color w:val="800000"/>
      <w:szCs w:val="24"/>
      <w:lang w:eastAsia="bg-BG"/>
    </w:rPr>
  </w:style>
  <w:style w:type="paragraph" w:customStyle="1" w:styleId="xl322">
    <w:name w:val="xl322"/>
    <w:basedOn w:val="Normal"/>
    <w:rsid w:val="00761800"/>
    <w:pPr>
      <w:pBdr>
        <w:top w:val="single" w:sz="4" w:space="0" w:color="auto"/>
        <w:bottom w:val="single" w:sz="4" w:space="0" w:color="auto"/>
      </w:pBdr>
      <w:shd w:val="clear" w:color="000000" w:fill="FFFFFF"/>
      <w:spacing w:before="100" w:beforeAutospacing="1" w:after="100" w:afterAutospacing="1"/>
      <w:textAlignment w:val="top"/>
    </w:pPr>
    <w:rPr>
      <w:rFonts w:ascii="Times New Roman" w:hAnsi="Times New Roman"/>
      <w:i/>
      <w:iCs/>
      <w:color w:val="800000"/>
      <w:szCs w:val="24"/>
      <w:lang w:eastAsia="bg-BG"/>
    </w:rPr>
  </w:style>
  <w:style w:type="paragraph" w:customStyle="1" w:styleId="xl323">
    <w:name w:val="xl323"/>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800000"/>
      <w:szCs w:val="24"/>
      <w:lang w:eastAsia="bg-BG"/>
    </w:rPr>
  </w:style>
  <w:style w:type="paragraph" w:customStyle="1" w:styleId="xl324">
    <w:name w:val="xl324"/>
    <w:basedOn w:val="Normal"/>
    <w:rsid w:val="00761800"/>
    <w:pPr>
      <w:pBdr>
        <w:top w:val="single" w:sz="4" w:space="0" w:color="auto"/>
        <w:bottom w:val="single" w:sz="4" w:space="0" w:color="auto"/>
      </w:pBdr>
      <w:shd w:val="clear" w:color="000000" w:fill="FFFFFF"/>
      <w:spacing w:before="100" w:beforeAutospacing="1" w:after="100" w:afterAutospacing="1"/>
      <w:jc w:val="center"/>
    </w:pPr>
    <w:rPr>
      <w:rFonts w:ascii="Times New Roman" w:hAnsi="Times New Roman"/>
      <w:color w:val="800000"/>
      <w:szCs w:val="24"/>
      <w:lang w:eastAsia="bg-BG"/>
    </w:rPr>
  </w:style>
  <w:style w:type="paragraph" w:customStyle="1" w:styleId="xl325">
    <w:name w:val="xl325"/>
    <w:basedOn w:val="Normal"/>
    <w:rsid w:val="00761800"/>
    <w:pPr>
      <w:pBdr>
        <w:top w:val="single" w:sz="4" w:space="0" w:color="auto"/>
        <w:bottom w:val="single" w:sz="4" w:space="0" w:color="auto"/>
      </w:pBdr>
      <w:spacing w:before="100" w:beforeAutospacing="1" w:after="100" w:afterAutospacing="1"/>
      <w:textAlignment w:val="top"/>
    </w:pPr>
    <w:rPr>
      <w:rFonts w:ascii="Times New Roman" w:hAnsi="Times New Roman"/>
      <w:color w:val="800000"/>
      <w:szCs w:val="24"/>
      <w:lang w:eastAsia="bg-BG"/>
    </w:rPr>
  </w:style>
  <w:style w:type="paragraph" w:customStyle="1" w:styleId="xl326">
    <w:name w:val="xl326"/>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i/>
      <w:iCs/>
      <w:color w:val="800000"/>
      <w:szCs w:val="24"/>
      <w:lang w:eastAsia="bg-BG"/>
    </w:rPr>
  </w:style>
  <w:style w:type="paragraph" w:customStyle="1" w:styleId="xl327">
    <w:name w:val="xl327"/>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800000"/>
      <w:szCs w:val="24"/>
      <w:lang w:eastAsia="bg-BG"/>
    </w:rPr>
  </w:style>
  <w:style w:type="paragraph" w:customStyle="1" w:styleId="xl328">
    <w:name w:val="xl328"/>
    <w:basedOn w:val="Normal"/>
    <w:rsid w:val="00761800"/>
    <w:pPr>
      <w:pBdr>
        <w:top w:val="single" w:sz="4" w:space="0" w:color="auto"/>
        <w:bottom w:val="single" w:sz="4" w:space="0" w:color="auto"/>
      </w:pBdr>
      <w:shd w:val="clear" w:color="000000" w:fill="FFFFFF"/>
      <w:spacing w:before="100" w:beforeAutospacing="1" w:after="100" w:afterAutospacing="1"/>
      <w:textAlignment w:val="top"/>
    </w:pPr>
    <w:rPr>
      <w:rFonts w:ascii="Times New Roman" w:hAnsi="Times New Roman"/>
      <w:color w:val="800000"/>
      <w:szCs w:val="24"/>
      <w:lang w:eastAsia="bg-BG"/>
    </w:rPr>
  </w:style>
  <w:style w:type="paragraph" w:customStyle="1" w:styleId="xl329">
    <w:name w:val="xl329"/>
    <w:basedOn w:val="Normal"/>
    <w:rsid w:val="00761800"/>
    <w:pPr>
      <w:pBdr>
        <w:top w:val="single" w:sz="4" w:space="0" w:color="auto"/>
        <w:bottom w:val="single" w:sz="4" w:space="0" w:color="auto"/>
      </w:pBdr>
      <w:shd w:val="clear" w:color="000000" w:fill="FFFFFF"/>
      <w:spacing w:before="100" w:beforeAutospacing="1" w:after="100" w:afterAutospacing="1"/>
    </w:pPr>
    <w:rPr>
      <w:rFonts w:ascii="Times New Roman" w:hAnsi="Times New Roman"/>
      <w:i/>
      <w:iCs/>
      <w:color w:val="800000"/>
      <w:szCs w:val="24"/>
      <w:lang w:eastAsia="bg-BG"/>
    </w:rPr>
  </w:style>
  <w:style w:type="paragraph" w:customStyle="1" w:styleId="xl330">
    <w:name w:val="xl330"/>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i/>
      <w:iCs/>
      <w:color w:val="800000"/>
      <w:szCs w:val="24"/>
      <w:lang w:eastAsia="bg-BG"/>
    </w:rPr>
  </w:style>
  <w:style w:type="paragraph" w:customStyle="1" w:styleId="xl331">
    <w:name w:val="xl331"/>
    <w:basedOn w:val="Normal"/>
    <w:rsid w:val="00761800"/>
    <w:pPr>
      <w:pBdr>
        <w:top w:val="single" w:sz="4" w:space="0" w:color="auto"/>
        <w:bottom w:val="single" w:sz="4" w:space="0" w:color="auto"/>
      </w:pBdr>
      <w:shd w:val="clear" w:color="000000" w:fill="FFFFFF"/>
      <w:spacing w:before="100" w:beforeAutospacing="1" w:after="100" w:afterAutospacing="1"/>
      <w:ind w:firstLineChars="200" w:firstLine="200"/>
    </w:pPr>
    <w:rPr>
      <w:rFonts w:ascii="Times New Roman" w:hAnsi="Times New Roman"/>
      <w:color w:val="800000"/>
      <w:szCs w:val="24"/>
      <w:lang w:eastAsia="bg-BG"/>
    </w:rPr>
  </w:style>
  <w:style w:type="paragraph" w:customStyle="1" w:styleId="xl332">
    <w:name w:val="xl332"/>
    <w:basedOn w:val="Normal"/>
    <w:rsid w:val="00761800"/>
    <w:pPr>
      <w:pBdr>
        <w:top w:val="single" w:sz="4" w:space="0" w:color="auto"/>
        <w:bottom w:val="single" w:sz="4" w:space="0" w:color="auto"/>
      </w:pBdr>
      <w:shd w:val="clear" w:color="000000" w:fill="FFFFFF"/>
      <w:spacing w:before="100" w:beforeAutospacing="1" w:after="100" w:afterAutospacing="1"/>
      <w:textAlignment w:val="top"/>
    </w:pPr>
    <w:rPr>
      <w:rFonts w:ascii="Times New Roman" w:hAnsi="Times New Roman"/>
      <w:color w:val="800000"/>
      <w:szCs w:val="24"/>
      <w:lang w:eastAsia="bg-BG"/>
    </w:rPr>
  </w:style>
  <w:style w:type="paragraph" w:customStyle="1" w:styleId="xl333">
    <w:name w:val="xl333"/>
    <w:basedOn w:val="Normal"/>
    <w:rsid w:val="00761800"/>
    <w:pPr>
      <w:spacing w:before="100" w:beforeAutospacing="1" w:after="100" w:afterAutospacing="1"/>
    </w:pPr>
    <w:rPr>
      <w:rFonts w:ascii="Times New Roman" w:hAnsi="Times New Roman"/>
      <w:b/>
      <w:bCs/>
      <w:szCs w:val="24"/>
      <w:lang w:eastAsia="bg-BG"/>
    </w:rPr>
  </w:style>
  <w:style w:type="paragraph" w:customStyle="1" w:styleId="xl334">
    <w:name w:val="xl334"/>
    <w:basedOn w:val="Normal"/>
    <w:rsid w:val="00761800"/>
    <w:pPr>
      <w:spacing w:before="100" w:beforeAutospacing="1" w:after="100" w:afterAutospacing="1"/>
      <w:jc w:val="center"/>
    </w:pPr>
    <w:rPr>
      <w:rFonts w:ascii="Times New Roman" w:hAnsi="Times New Roman"/>
      <w:b/>
      <w:bCs/>
      <w:szCs w:val="24"/>
      <w:u w:val="single"/>
      <w:lang w:eastAsia="bg-BG"/>
    </w:rPr>
  </w:style>
  <w:style w:type="paragraph" w:customStyle="1" w:styleId="xl335">
    <w:name w:val="xl335"/>
    <w:basedOn w:val="Normal"/>
    <w:rsid w:val="00761800"/>
    <w:pPr>
      <w:spacing w:before="100" w:beforeAutospacing="1" w:after="100" w:afterAutospacing="1"/>
    </w:pPr>
    <w:rPr>
      <w:rFonts w:ascii="Times New Roman" w:hAnsi="Times New Roman"/>
      <w:szCs w:val="24"/>
      <w:lang w:eastAsia="bg-BG"/>
    </w:rPr>
  </w:style>
  <w:style w:type="paragraph" w:customStyle="1" w:styleId="xl336">
    <w:name w:val="xl336"/>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337">
    <w:name w:val="xl337"/>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338">
    <w:name w:val="xl338"/>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lang w:eastAsia="bg-BG"/>
    </w:rPr>
  </w:style>
  <w:style w:type="paragraph" w:customStyle="1" w:styleId="xl339">
    <w:name w:val="xl339"/>
    <w:basedOn w:val="Normal"/>
    <w:rsid w:val="00761800"/>
    <w:pPr>
      <w:pBdr>
        <w:bottom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340">
    <w:name w:val="xl340"/>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341">
    <w:name w:val="xl341"/>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342">
    <w:name w:val="xl342"/>
    <w:basedOn w:val="Normal"/>
    <w:rsid w:val="00761800"/>
    <w:pPr>
      <w:pBdr>
        <w:bottom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343">
    <w:name w:val="xl343"/>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i/>
      <w:iCs/>
      <w:szCs w:val="24"/>
      <w:lang w:eastAsia="bg-BG"/>
    </w:rPr>
  </w:style>
  <w:style w:type="paragraph" w:customStyle="1" w:styleId="xl344">
    <w:name w:val="xl344"/>
    <w:basedOn w:val="Normal"/>
    <w:rsid w:val="00761800"/>
    <w:pPr>
      <w:pBdr>
        <w:top w:val="single" w:sz="4" w:space="0" w:color="auto"/>
        <w:bottom w:val="single" w:sz="4" w:space="0" w:color="auto"/>
      </w:pBdr>
      <w:shd w:val="clear" w:color="000000" w:fill="FFFFFF"/>
      <w:spacing w:before="100" w:beforeAutospacing="1" w:after="100" w:afterAutospacing="1"/>
      <w:ind w:firstLineChars="100" w:firstLine="100"/>
      <w:textAlignment w:val="top"/>
    </w:pPr>
    <w:rPr>
      <w:rFonts w:ascii="Times New Roman" w:hAnsi="Times New Roman"/>
      <w:i/>
      <w:iCs/>
      <w:szCs w:val="24"/>
      <w:lang w:eastAsia="bg-BG"/>
    </w:rPr>
  </w:style>
  <w:style w:type="paragraph" w:customStyle="1" w:styleId="xl345">
    <w:name w:val="xl345"/>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346">
    <w:name w:val="xl346"/>
    <w:basedOn w:val="Normal"/>
    <w:rsid w:val="00761800"/>
    <w:pPr>
      <w:pBdr>
        <w:top w:val="single" w:sz="4" w:space="0" w:color="auto"/>
        <w:bottom w:val="single" w:sz="4" w:space="0" w:color="auto"/>
      </w:pBdr>
      <w:shd w:val="clear" w:color="000000" w:fill="FFFFFF"/>
      <w:spacing w:before="100" w:beforeAutospacing="1" w:after="100" w:afterAutospacing="1"/>
      <w:ind w:firstLineChars="200" w:firstLine="200"/>
      <w:textAlignment w:val="top"/>
    </w:pPr>
    <w:rPr>
      <w:rFonts w:ascii="Times New Roman" w:hAnsi="Times New Roman"/>
      <w:szCs w:val="24"/>
      <w:lang w:eastAsia="bg-BG"/>
    </w:rPr>
  </w:style>
  <w:style w:type="paragraph" w:customStyle="1" w:styleId="xl347">
    <w:name w:val="xl347"/>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348">
    <w:name w:val="xl348"/>
    <w:basedOn w:val="Normal"/>
    <w:rsid w:val="00761800"/>
    <w:pPr>
      <w:pBdr>
        <w:bottom w:val="single" w:sz="4" w:space="0" w:color="auto"/>
      </w:pBdr>
      <w:shd w:val="clear" w:color="000000" w:fill="FFFFFF"/>
      <w:spacing w:before="100" w:beforeAutospacing="1" w:after="100" w:afterAutospacing="1"/>
      <w:ind w:firstLineChars="200" w:firstLine="200"/>
      <w:textAlignment w:val="top"/>
    </w:pPr>
    <w:rPr>
      <w:rFonts w:ascii="Times New Roman" w:hAnsi="Times New Roman"/>
      <w:szCs w:val="24"/>
      <w:lang w:eastAsia="bg-BG"/>
    </w:rPr>
  </w:style>
  <w:style w:type="paragraph" w:customStyle="1" w:styleId="xl349">
    <w:name w:val="xl349"/>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350">
    <w:name w:val="xl350"/>
    <w:basedOn w:val="Normal"/>
    <w:rsid w:val="00761800"/>
    <w:pPr>
      <w:shd w:val="clear" w:color="000000" w:fill="FFFFFF"/>
      <w:spacing w:before="100" w:beforeAutospacing="1" w:after="100" w:afterAutospacing="1"/>
    </w:pPr>
    <w:rPr>
      <w:rFonts w:ascii="Times New Roman" w:hAnsi="Times New Roman"/>
      <w:szCs w:val="24"/>
      <w:lang w:eastAsia="bg-BG"/>
    </w:rPr>
  </w:style>
  <w:style w:type="paragraph" w:customStyle="1" w:styleId="xl351">
    <w:name w:val="xl351"/>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352">
    <w:name w:val="xl352"/>
    <w:basedOn w:val="Normal"/>
    <w:rsid w:val="00761800"/>
    <w:pPr>
      <w:pBdr>
        <w:top w:val="single" w:sz="4" w:space="0" w:color="auto"/>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353">
    <w:name w:val="xl353"/>
    <w:basedOn w:val="Normal"/>
    <w:rsid w:val="00761800"/>
    <w:pPr>
      <w:pBdr>
        <w:top w:val="single" w:sz="4" w:space="0" w:color="auto"/>
        <w:bottom w:val="single" w:sz="4" w:space="0" w:color="auto"/>
      </w:pBdr>
      <w:shd w:val="clear" w:color="000000" w:fill="FFFFFF"/>
      <w:spacing w:before="100" w:beforeAutospacing="1" w:after="100" w:afterAutospacing="1"/>
    </w:pPr>
    <w:rPr>
      <w:rFonts w:ascii="Times New Roman" w:hAnsi="Times New Roman"/>
      <w:i/>
      <w:iCs/>
      <w:szCs w:val="24"/>
      <w:lang w:eastAsia="bg-BG"/>
    </w:rPr>
  </w:style>
  <w:style w:type="paragraph" w:customStyle="1" w:styleId="xl354">
    <w:name w:val="xl354"/>
    <w:basedOn w:val="Normal"/>
    <w:rsid w:val="00761800"/>
    <w:pPr>
      <w:pBdr>
        <w:top w:val="single" w:sz="4" w:space="0" w:color="auto"/>
        <w:bottom w:val="single" w:sz="4" w:space="0" w:color="auto"/>
      </w:pBdr>
      <w:shd w:val="clear" w:color="000000" w:fill="FFFFFF"/>
      <w:spacing w:before="100" w:beforeAutospacing="1" w:after="100" w:afterAutospacing="1"/>
      <w:ind w:firstLineChars="200" w:firstLine="200"/>
    </w:pPr>
    <w:rPr>
      <w:rFonts w:ascii="Times New Roman" w:hAnsi="Times New Roman"/>
      <w:szCs w:val="24"/>
      <w:lang w:eastAsia="bg-BG"/>
    </w:rPr>
  </w:style>
  <w:style w:type="paragraph" w:customStyle="1" w:styleId="xl355">
    <w:name w:val="xl355"/>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356">
    <w:name w:val="xl356"/>
    <w:basedOn w:val="Normal"/>
    <w:rsid w:val="00761800"/>
    <w:pPr>
      <w:pBdr>
        <w:top w:val="single" w:sz="4" w:space="0" w:color="auto"/>
        <w:bottom w:val="single" w:sz="4" w:space="0" w:color="auto"/>
      </w:pBdr>
      <w:spacing w:before="100" w:beforeAutospacing="1" w:after="100" w:afterAutospacing="1"/>
      <w:ind w:firstLineChars="200" w:firstLine="200"/>
    </w:pPr>
    <w:rPr>
      <w:rFonts w:ascii="Times New Roman" w:hAnsi="Times New Roman"/>
      <w:szCs w:val="24"/>
      <w:lang w:eastAsia="bg-BG"/>
    </w:rPr>
  </w:style>
  <w:style w:type="paragraph" w:customStyle="1" w:styleId="xl357">
    <w:name w:val="xl357"/>
    <w:basedOn w:val="Normal"/>
    <w:rsid w:val="00761800"/>
    <w:pPr>
      <w:pBdr>
        <w:top w:val="single" w:sz="4" w:space="0" w:color="auto"/>
        <w:bottom w:val="single" w:sz="4" w:space="0" w:color="auto"/>
      </w:pBdr>
      <w:shd w:val="clear" w:color="000000" w:fill="FFFFFF"/>
      <w:spacing w:before="100" w:beforeAutospacing="1" w:after="100" w:afterAutospacing="1"/>
      <w:ind w:firstLineChars="300" w:firstLine="300"/>
      <w:textAlignment w:val="top"/>
    </w:pPr>
    <w:rPr>
      <w:rFonts w:ascii="Times New Roman" w:hAnsi="Times New Roman"/>
      <w:szCs w:val="24"/>
      <w:lang w:eastAsia="bg-BG"/>
    </w:rPr>
  </w:style>
  <w:style w:type="paragraph" w:customStyle="1" w:styleId="xl358">
    <w:name w:val="xl358"/>
    <w:basedOn w:val="Normal"/>
    <w:rsid w:val="00761800"/>
    <w:pPr>
      <w:pBdr>
        <w:top w:val="single" w:sz="4" w:space="0" w:color="auto"/>
        <w:bottom w:val="single" w:sz="4" w:space="0" w:color="auto"/>
      </w:pBdr>
      <w:shd w:val="clear" w:color="000000" w:fill="FFFFFF"/>
      <w:spacing w:before="100" w:beforeAutospacing="1" w:after="100" w:afterAutospacing="1"/>
      <w:ind w:firstLineChars="300" w:firstLine="300"/>
    </w:pPr>
    <w:rPr>
      <w:rFonts w:ascii="Times New Roman" w:hAnsi="Times New Roman"/>
      <w:szCs w:val="24"/>
      <w:lang w:eastAsia="bg-BG"/>
    </w:rPr>
  </w:style>
  <w:style w:type="paragraph" w:customStyle="1" w:styleId="xl359">
    <w:name w:val="xl359"/>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360">
    <w:name w:val="xl360"/>
    <w:basedOn w:val="Normal"/>
    <w:rsid w:val="00761800"/>
    <w:pPr>
      <w:pBdr>
        <w:top w:val="single" w:sz="4" w:space="0" w:color="auto"/>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361">
    <w:name w:val="xl361"/>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i/>
      <w:iCs/>
      <w:szCs w:val="24"/>
      <w:lang w:eastAsia="bg-BG"/>
    </w:rPr>
  </w:style>
  <w:style w:type="paragraph" w:customStyle="1" w:styleId="xl362">
    <w:name w:val="xl362"/>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363">
    <w:name w:val="xl363"/>
    <w:basedOn w:val="Normal"/>
    <w:rsid w:val="00761800"/>
    <w:pPr>
      <w:pBdr>
        <w:top w:val="single" w:sz="4" w:space="0" w:color="auto"/>
        <w:bottom w:val="single" w:sz="4" w:space="0" w:color="auto"/>
      </w:pBdr>
      <w:shd w:val="clear" w:color="000000" w:fill="FFFFFF"/>
      <w:spacing w:before="100" w:beforeAutospacing="1" w:after="100" w:afterAutospacing="1"/>
    </w:pPr>
    <w:rPr>
      <w:rFonts w:ascii="Times New Roman" w:hAnsi="Times New Roman"/>
      <w:i/>
      <w:iCs/>
      <w:szCs w:val="24"/>
      <w:lang w:eastAsia="bg-BG"/>
    </w:rPr>
  </w:style>
  <w:style w:type="paragraph" w:customStyle="1" w:styleId="xl364">
    <w:name w:val="xl364"/>
    <w:basedOn w:val="Normal"/>
    <w:rsid w:val="00761800"/>
    <w:pPr>
      <w:pBdr>
        <w:top w:val="single" w:sz="4" w:space="0" w:color="auto"/>
        <w:bottom w:val="single" w:sz="4" w:space="0" w:color="auto"/>
      </w:pBdr>
      <w:shd w:val="clear" w:color="000000" w:fill="FFFFFF"/>
      <w:spacing w:before="100" w:beforeAutospacing="1" w:after="100" w:afterAutospacing="1"/>
      <w:textAlignment w:val="top"/>
    </w:pPr>
    <w:rPr>
      <w:rFonts w:ascii="Times New Roman" w:hAnsi="Times New Roman"/>
      <w:i/>
      <w:iCs/>
      <w:szCs w:val="24"/>
      <w:lang w:eastAsia="bg-BG"/>
    </w:rPr>
  </w:style>
  <w:style w:type="paragraph" w:customStyle="1" w:styleId="xl365">
    <w:name w:val="xl365"/>
    <w:basedOn w:val="Normal"/>
    <w:rsid w:val="00761800"/>
    <w:pPr>
      <w:pBdr>
        <w:top w:val="single" w:sz="4" w:space="0" w:color="auto"/>
        <w:bottom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366">
    <w:name w:val="xl366"/>
    <w:basedOn w:val="Normal"/>
    <w:rsid w:val="00761800"/>
    <w:pPr>
      <w:pBdr>
        <w:top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367">
    <w:name w:val="xl367"/>
    <w:basedOn w:val="Normal"/>
    <w:rsid w:val="00761800"/>
    <w:pPr>
      <w:pBdr>
        <w:top w:val="single" w:sz="4" w:space="0" w:color="auto"/>
      </w:pBdr>
      <w:shd w:val="clear" w:color="000000" w:fill="FFFFFF"/>
      <w:spacing w:before="100" w:beforeAutospacing="1" w:after="100" w:afterAutospacing="1"/>
      <w:ind w:firstLineChars="200" w:firstLine="200"/>
    </w:pPr>
    <w:rPr>
      <w:rFonts w:ascii="Times New Roman" w:hAnsi="Times New Roman"/>
      <w:szCs w:val="24"/>
      <w:lang w:eastAsia="bg-BG"/>
    </w:rPr>
  </w:style>
  <w:style w:type="paragraph" w:customStyle="1" w:styleId="xl368">
    <w:name w:val="xl368"/>
    <w:basedOn w:val="Normal"/>
    <w:rsid w:val="00761800"/>
    <w:pPr>
      <w:pBdr>
        <w:top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369">
    <w:name w:val="xl369"/>
    <w:basedOn w:val="Normal"/>
    <w:rsid w:val="00761800"/>
    <w:pPr>
      <w:pBdr>
        <w:top w:val="single" w:sz="4" w:space="0" w:color="auto"/>
        <w:left w:val="single" w:sz="4" w:space="0" w:color="auto"/>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370">
    <w:name w:val="xl370"/>
    <w:basedOn w:val="Normal"/>
    <w:rsid w:val="00761800"/>
    <w:pPr>
      <w:pBdr>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371">
    <w:name w:val="xl371"/>
    <w:basedOn w:val="Normal"/>
    <w:rsid w:val="00761800"/>
    <w:pPr>
      <w:shd w:val="clear" w:color="000000" w:fill="FFFFFF"/>
      <w:spacing w:before="100" w:beforeAutospacing="1" w:after="100" w:afterAutospacing="1"/>
      <w:jc w:val="both"/>
      <w:textAlignment w:val="top"/>
    </w:pPr>
    <w:rPr>
      <w:rFonts w:ascii="Times New Roman" w:hAnsi="Times New Roman"/>
      <w:szCs w:val="24"/>
      <w:lang w:eastAsia="bg-BG"/>
    </w:rPr>
  </w:style>
  <w:style w:type="paragraph" w:customStyle="1" w:styleId="xl372">
    <w:name w:val="xl372"/>
    <w:basedOn w:val="Normal"/>
    <w:rsid w:val="00761800"/>
    <w:pPr>
      <w:pBdr>
        <w:top w:val="single" w:sz="4" w:space="0" w:color="auto"/>
        <w:left w:val="single" w:sz="4" w:space="7" w:color="auto"/>
        <w:bottom w:val="single" w:sz="4" w:space="0" w:color="auto"/>
      </w:pBdr>
      <w:spacing w:before="100" w:beforeAutospacing="1" w:after="100" w:afterAutospacing="1"/>
      <w:ind w:firstLineChars="100" w:firstLine="100"/>
      <w:textAlignment w:val="center"/>
    </w:pPr>
    <w:rPr>
      <w:rFonts w:ascii="Times New Roman" w:hAnsi="Times New Roman"/>
      <w:szCs w:val="24"/>
      <w:lang w:eastAsia="bg-BG"/>
    </w:rPr>
  </w:style>
  <w:style w:type="paragraph" w:customStyle="1" w:styleId="xl373">
    <w:name w:val="xl373"/>
    <w:basedOn w:val="Normal"/>
    <w:rsid w:val="00761800"/>
    <w:pPr>
      <w:spacing w:before="100" w:beforeAutospacing="1" w:after="100" w:afterAutospacing="1"/>
    </w:pPr>
    <w:rPr>
      <w:rFonts w:ascii="Times New Roman" w:hAnsi="Times New Roman"/>
      <w:szCs w:val="24"/>
      <w:lang w:eastAsia="bg-BG"/>
    </w:rPr>
  </w:style>
  <w:style w:type="paragraph" w:customStyle="1" w:styleId="xl374">
    <w:name w:val="xl374"/>
    <w:basedOn w:val="Normal"/>
    <w:rsid w:val="00761800"/>
    <w:pPr>
      <w:spacing w:before="100" w:beforeAutospacing="1" w:after="100" w:afterAutospacing="1"/>
      <w:jc w:val="center"/>
    </w:pPr>
    <w:rPr>
      <w:rFonts w:ascii="Times New Roman" w:hAnsi="Times New Roman"/>
      <w:b/>
      <w:bCs/>
      <w:color w:val="800000"/>
      <w:szCs w:val="24"/>
      <w:u w:val="single"/>
      <w:lang w:eastAsia="bg-BG"/>
    </w:rPr>
  </w:style>
  <w:style w:type="paragraph" w:customStyle="1" w:styleId="xl375">
    <w:name w:val="xl375"/>
    <w:basedOn w:val="Normal"/>
    <w:rsid w:val="00761800"/>
    <w:pPr>
      <w:pBdr>
        <w:bottom w:val="single" w:sz="4" w:space="0" w:color="auto"/>
      </w:pBdr>
      <w:spacing w:before="100" w:beforeAutospacing="1" w:after="100" w:afterAutospacing="1"/>
      <w:ind w:firstLineChars="500" w:firstLine="500"/>
    </w:pPr>
    <w:rPr>
      <w:rFonts w:ascii="Times New Roman" w:hAnsi="Times New Roman"/>
      <w:i/>
      <w:iCs/>
      <w:szCs w:val="24"/>
      <w:lang w:eastAsia="bg-BG"/>
    </w:rPr>
  </w:style>
  <w:style w:type="paragraph" w:customStyle="1" w:styleId="xl376">
    <w:name w:val="xl376"/>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800000"/>
      <w:szCs w:val="24"/>
      <w:lang w:eastAsia="bg-BG"/>
    </w:rPr>
  </w:style>
  <w:style w:type="paragraph" w:customStyle="1" w:styleId="xl377">
    <w:name w:val="xl377"/>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378">
    <w:name w:val="xl378"/>
    <w:basedOn w:val="Normal"/>
    <w:rsid w:val="00761800"/>
    <w:pPr>
      <w:pBdr>
        <w:top w:val="single" w:sz="4" w:space="0" w:color="auto"/>
        <w:bottom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379">
    <w:name w:val="xl379"/>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380">
    <w:name w:val="xl380"/>
    <w:basedOn w:val="Normal"/>
    <w:rsid w:val="00761800"/>
    <w:pPr>
      <w:pBdr>
        <w:top w:val="single" w:sz="4" w:space="0" w:color="auto"/>
        <w:bottom w:val="single" w:sz="4" w:space="0" w:color="auto"/>
      </w:pBdr>
      <w:spacing w:before="100" w:beforeAutospacing="1" w:after="100" w:afterAutospacing="1"/>
    </w:pPr>
    <w:rPr>
      <w:rFonts w:ascii="Times New Roman" w:hAnsi="Times New Roman"/>
      <w:szCs w:val="24"/>
      <w:lang w:eastAsia="bg-BG"/>
    </w:rPr>
  </w:style>
  <w:style w:type="paragraph" w:customStyle="1" w:styleId="xl381">
    <w:name w:val="xl381"/>
    <w:basedOn w:val="Normal"/>
    <w:rsid w:val="00761800"/>
    <w:pPr>
      <w:shd w:val="clear" w:color="000000" w:fill="FFFFFF"/>
      <w:spacing w:before="100" w:beforeAutospacing="1" w:after="100" w:afterAutospacing="1"/>
      <w:ind w:firstLineChars="100" w:firstLine="100"/>
      <w:jc w:val="right"/>
    </w:pPr>
    <w:rPr>
      <w:rFonts w:ascii="Times New Roman" w:hAnsi="Times New Roman"/>
      <w:b/>
      <w:bCs/>
      <w:szCs w:val="24"/>
      <w:lang w:eastAsia="bg-BG"/>
    </w:rPr>
  </w:style>
  <w:style w:type="paragraph" w:customStyle="1" w:styleId="xl382">
    <w:name w:val="xl382"/>
    <w:basedOn w:val="Normal"/>
    <w:rsid w:val="0076180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383">
    <w:name w:val="xl383"/>
    <w:basedOn w:val="Normal"/>
    <w:rsid w:val="007618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384">
    <w:name w:val="xl384"/>
    <w:basedOn w:val="Normal"/>
    <w:rsid w:val="00761800"/>
    <w:pPr>
      <w:spacing w:before="100" w:beforeAutospacing="1" w:after="100" w:afterAutospacing="1"/>
    </w:pPr>
    <w:rPr>
      <w:rFonts w:ascii="Times New Roman" w:hAnsi="Times New Roman"/>
      <w:szCs w:val="24"/>
      <w:lang w:eastAsia="bg-BG"/>
    </w:rPr>
  </w:style>
  <w:style w:type="paragraph" w:customStyle="1" w:styleId="xl385">
    <w:name w:val="xl385"/>
    <w:basedOn w:val="Normal"/>
    <w:rsid w:val="00761800"/>
    <w:pPr>
      <w:spacing w:before="100" w:beforeAutospacing="1" w:after="100" w:afterAutospacing="1"/>
    </w:pPr>
    <w:rPr>
      <w:rFonts w:ascii="Times New Roman" w:hAnsi="Times New Roman"/>
      <w:szCs w:val="24"/>
      <w:lang w:eastAsia="bg-BG"/>
    </w:rPr>
  </w:style>
  <w:style w:type="paragraph" w:customStyle="1" w:styleId="xl386">
    <w:name w:val="xl386"/>
    <w:basedOn w:val="Normal"/>
    <w:rsid w:val="0076180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387">
    <w:name w:val="xl387"/>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388">
    <w:name w:val="xl388"/>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lang w:eastAsia="bg-BG"/>
    </w:rPr>
  </w:style>
  <w:style w:type="paragraph" w:customStyle="1" w:styleId="xl389">
    <w:name w:val="xl389"/>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390">
    <w:name w:val="xl390"/>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391">
    <w:name w:val="xl391"/>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392">
    <w:name w:val="xl392"/>
    <w:basedOn w:val="Normal"/>
    <w:rsid w:val="00761800"/>
    <w:pPr>
      <w:pBdr>
        <w:top w:val="single" w:sz="4" w:space="0" w:color="auto"/>
        <w:bottom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393">
    <w:name w:val="xl393"/>
    <w:basedOn w:val="Normal"/>
    <w:rsid w:val="00761800"/>
    <w:pPr>
      <w:spacing w:before="100" w:beforeAutospacing="1" w:after="100" w:afterAutospacing="1"/>
      <w:jc w:val="both"/>
      <w:textAlignment w:val="top"/>
    </w:pPr>
    <w:rPr>
      <w:rFonts w:ascii="Times New Roman" w:hAnsi="Times New Roman"/>
      <w:color w:val="FF0000"/>
      <w:szCs w:val="24"/>
      <w:lang w:eastAsia="bg-BG"/>
    </w:rPr>
  </w:style>
  <w:style w:type="paragraph" w:customStyle="1" w:styleId="xl394">
    <w:name w:val="xl394"/>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olor w:val="800000"/>
      <w:szCs w:val="24"/>
      <w:lang w:eastAsia="bg-BG"/>
    </w:rPr>
  </w:style>
  <w:style w:type="paragraph" w:customStyle="1" w:styleId="xl395">
    <w:name w:val="xl395"/>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i/>
      <w:iCs/>
      <w:color w:val="800000"/>
      <w:szCs w:val="24"/>
      <w:lang w:eastAsia="bg-BG"/>
    </w:rPr>
  </w:style>
  <w:style w:type="paragraph" w:customStyle="1" w:styleId="xl396">
    <w:name w:val="xl396"/>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i/>
      <w:iCs/>
      <w:color w:val="800000"/>
      <w:szCs w:val="24"/>
      <w:lang w:eastAsia="bg-BG"/>
    </w:rPr>
  </w:style>
  <w:style w:type="paragraph" w:customStyle="1" w:styleId="xl397">
    <w:name w:val="xl397"/>
    <w:basedOn w:val="Normal"/>
    <w:rsid w:val="00761800"/>
    <w:pPr>
      <w:spacing w:before="100" w:beforeAutospacing="1" w:after="100" w:afterAutospacing="1"/>
    </w:pPr>
    <w:rPr>
      <w:rFonts w:ascii="Times New Roman" w:hAnsi="Times New Roman"/>
      <w:color w:val="800000"/>
      <w:szCs w:val="24"/>
      <w:lang w:eastAsia="bg-BG"/>
    </w:rPr>
  </w:style>
  <w:style w:type="paragraph" w:customStyle="1" w:styleId="xl398">
    <w:name w:val="xl398"/>
    <w:basedOn w:val="Normal"/>
    <w:rsid w:val="007618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olor w:val="800000"/>
      <w:szCs w:val="24"/>
      <w:lang w:eastAsia="bg-BG"/>
    </w:rPr>
  </w:style>
  <w:style w:type="paragraph" w:customStyle="1" w:styleId="xl399">
    <w:name w:val="xl399"/>
    <w:basedOn w:val="Normal"/>
    <w:rsid w:val="00761800"/>
    <w:pPr>
      <w:pBdr>
        <w:top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400">
    <w:name w:val="xl400"/>
    <w:basedOn w:val="Normal"/>
    <w:rsid w:val="00761800"/>
    <w:pPr>
      <w:pBdr>
        <w:top w:val="single" w:sz="4" w:space="0" w:color="auto"/>
      </w:pBdr>
      <w:spacing w:before="100" w:beforeAutospacing="1" w:after="100" w:afterAutospacing="1"/>
      <w:ind w:firstLineChars="200" w:firstLine="200"/>
    </w:pPr>
    <w:rPr>
      <w:rFonts w:ascii="Times New Roman" w:hAnsi="Times New Roman"/>
      <w:color w:val="800000"/>
      <w:szCs w:val="24"/>
      <w:lang w:eastAsia="bg-BG"/>
    </w:rPr>
  </w:style>
  <w:style w:type="paragraph" w:customStyle="1" w:styleId="xl401">
    <w:name w:val="xl401"/>
    <w:basedOn w:val="Normal"/>
    <w:rsid w:val="00761800"/>
    <w:pPr>
      <w:pBdr>
        <w:top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402">
    <w:name w:val="xl402"/>
    <w:basedOn w:val="Normal"/>
    <w:rsid w:val="00761800"/>
    <w:pPr>
      <w:spacing w:before="100" w:beforeAutospacing="1" w:after="100" w:afterAutospacing="1"/>
    </w:pPr>
    <w:rPr>
      <w:rFonts w:ascii="Times New Roman" w:hAnsi="Times New Roman"/>
      <w:color w:val="800000"/>
      <w:szCs w:val="24"/>
      <w:lang w:eastAsia="bg-BG"/>
    </w:rPr>
  </w:style>
  <w:style w:type="paragraph" w:customStyle="1" w:styleId="xl403">
    <w:name w:val="xl403"/>
    <w:basedOn w:val="Normal"/>
    <w:rsid w:val="0076180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404">
    <w:name w:val="xl404"/>
    <w:basedOn w:val="Normal"/>
    <w:rsid w:val="00761800"/>
    <w:pPr>
      <w:pBdr>
        <w:top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405">
    <w:name w:val="xl405"/>
    <w:basedOn w:val="Normal"/>
    <w:rsid w:val="00761800"/>
    <w:pPr>
      <w:pBdr>
        <w:top w:val="single" w:sz="4" w:space="0" w:color="auto"/>
      </w:pBdr>
      <w:spacing w:before="100" w:beforeAutospacing="1" w:after="100" w:afterAutospacing="1"/>
      <w:jc w:val="right"/>
    </w:pPr>
    <w:rPr>
      <w:rFonts w:ascii="Times New Roman" w:hAnsi="Times New Roman"/>
      <w:color w:val="800000"/>
      <w:szCs w:val="24"/>
      <w:lang w:eastAsia="bg-BG"/>
    </w:rPr>
  </w:style>
  <w:style w:type="paragraph" w:customStyle="1" w:styleId="xl406">
    <w:name w:val="xl406"/>
    <w:basedOn w:val="Normal"/>
    <w:rsid w:val="00761800"/>
    <w:pPr>
      <w:spacing w:before="100" w:beforeAutospacing="1" w:after="100" w:afterAutospacing="1"/>
    </w:pPr>
    <w:rPr>
      <w:rFonts w:ascii="Times New Roman" w:hAnsi="Times New Roman"/>
      <w:szCs w:val="24"/>
      <w:lang w:eastAsia="bg-BG"/>
    </w:rPr>
  </w:style>
  <w:style w:type="paragraph" w:customStyle="1" w:styleId="xl407">
    <w:name w:val="xl407"/>
    <w:basedOn w:val="Normal"/>
    <w:rsid w:val="0076180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408">
    <w:name w:val="xl408"/>
    <w:basedOn w:val="Normal"/>
    <w:rsid w:val="007618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409">
    <w:name w:val="xl409"/>
    <w:basedOn w:val="Normal"/>
    <w:rsid w:val="00761800"/>
    <w:pPr>
      <w:pBdr>
        <w:bottom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410">
    <w:name w:val="xl410"/>
    <w:basedOn w:val="Normal"/>
    <w:rsid w:val="00761800"/>
    <w:pPr>
      <w:pBdr>
        <w:bottom w:val="single" w:sz="4" w:space="0" w:color="auto"/>
      </w:pBdr>
      <w:spacing w:before="100" w:beforeAutospacing="1" w:after="100" w:afterAutospacing="1"/>
    </w:pPr>
    <w:rPr>
      <w:rFonts w:ascii="Times New Roman" w:hAnsi="Times New Roman"/>
      <w:szCs w:val="24"/>
      <w:lang w:eastAsia="bg-BG"/>
    </w:rPr>
  </w:style>
  <w:style w:type="paragraph" w:customStyle="1" w:styleId="xl411">
    <w:name w:val="xl411"/>
    <w:basedOn w:val="Normal"/>
    <w:rsid w:val="00761800"/>
    <w:pPr>
      <w:pBdr>
        <w:bottom w:val="single" w:sz="4" w:space="0" w:color="auto"/>
      </w:pBdr>
      <w:spacing w:before="100" w:beforeAutospacing="1" w:after="100" w:afterAutospacing="1"/>
      <w:jc w:val="both"/>
      <w:textAlignment w:val="top"/>
    </w:pPr>
    <w:rPr>
      <w:rFonts w:ascii="Times New Roman" w:hAnsi="Times New Roman"/>
      <w:szCs w:val="24"/>
      <w:lang w:eastAsia="bg-BG"/>
    </w:rPr>
  </w:style>
  <w:style w:type="paragraph" w:customStyle="1" w:styleId="xl412">
    <w:name w:val="xl412"/>
    <w:basedOn w:val="Normal"/>
    <w:rsid w:val="00761800"/>
    <w:pPr>
      <w:spacing w:before="100" w:beforeAutospacing="1" w:after="100" w:afterAutospacing="1"/>
      <w:jc w:val="both"/>
      <w:textAlignment w:val="top"/>
    </w:pPr>
    <w:rPr>
      <w:rFonts w:ascii="Times New Roman" w:hAnsi="Times New Roman"/>
      <w:szCs w:val="24"/>
      <w:lang w:eastAsia="bg-BG"/>
    </w:rPr>
  </w:style>
  <w:style w:type="paragraph" w:customStyle="1" w:styleId="xl413">
    <w:name w:val="xl413"/>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414">
    <w:name w:val="xl414"/>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415">
    <w:name w:val="xl415"/>
    <w:basedOn w:val="Normal"/>
    <w:rsid w:val="00761800"/>
    <w:pPr>
      <w:pBdr>
        <w:bottom w:val="single" w:sz="4" w:space="0" w:color="auto"/>
      </w:pBdr>
      <w:shd w:val="clear" w:color="000000" w:fill="FFFFFF"/>
      <w:spacing w:before="100" w:beforeAutospacing="1" w:after="100" w:afterAutospacing="1"/>
    </w:pPr>
    <w:rPr>
      <w:rFonts w:ascii="Times New Roman" w:hAnsi="Times New Roman"/>
      <w:color w:val="800000"/>
      <w:szCs w:val="24"/>
      <w:lang w:eastAsia="bg-BG"/>
    </w:rPr>
  </w:style>
  <w:style w:type="paragraph" w:customStyle="1" w:styleId="xl416">
    <w:name w:val="xl416"/>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417">
    <w:name w:val="xl417"/>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418">
    <w:name w:val="xl418"/>
    <w:basedOn w:val="Normal"/>
    <w:rsid w:val="0076180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419">
    <w:name w:val="xl419"/>
    <w:basedOn w:val="Normal"/>
    <w:rsid w:val="007618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420">
    <w:name w:val="xl420"/>
    <w:basedOn w:val="Normal"/>
    <w:rsid w:val="00761800"/>
    <w:pPr>
      <w:pBdr>
        <w:bottom w:val="single" w:sz="4" w:space="0" w:color="auto"/>
      </w:pBdr>
      <w:spacing w:before="100" w:beforeAutospacing="1" w:after="100" w:afterAutospacing="1"/>
    </w:pPr>
    <w:rPr>
      <w:rFonts w:ascii="Times New Roman" w:hAnsi="Times New Roman"/>
      <w:color w:val="800000"/>
      <w:szCs w:val="24"/>
      <w:lang w:eastAsia="bg-BG"/>
    </w:rPr>
  </w:style>
  <w:style w:type="paragraph" w:customStyle="1" w:styleId="xl421">
    <w:name w:val="xl421"/>
    <w:basedOn w:val="Normal"/>
    <w:rsid w:val="00761800"/>
    <w:pPr>
      <w:pBdr>
        <w:bottom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422">
    <w:name w:val="xl422"/>
    <w:basedOn w:val="Normal"/>
    <w:rsid w:val="00761800"/>
    <w:pPr>
      <w:spacing w:before="100" w:beforeAutospacing="1" w:after="100" w:afterAutospacing="1"/>
      <w:jc w:val="both"/>
      <w:textAlignment w:val="top"/>
    </w:pPr>
    <w:rPr>
      <w:rFonts w:ascii="Times New Roman" w:hAnsi="Times New Roman"/>
      <w:color w:val="800000"/>
      <w:szCs w:val="24"/>
      <w:lang w:eastAsia="bg-BG"/>
    </w:rPr>
  </w:style>
  <w:style w:type="paragraph" w:customStyle="1" w:styleId="xl423">
    <w:name w:val="xl423"/>
    <w:basedOn w:val="Normal"/>
    <w:rsid w:val="0076180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424">
    <w:name w:val="xl424"/>
    <w:basedOn w:val="Normal"/>
    <w:rsid w:val="007618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425">
    <w:name w:val="xl425"/>
    <w:basedOn w:val="Normal"/>
    <w:rsid w:val="00761800"/>
    <w:pPr>
      <w:pBdr>
        <w:top w:val="single" w:sz="4" w:space="0" w:color="auto"/>
        <w:right w:val="single" w:sz="4" w:space="0" w:color="auto"/>
      </w:pBdr>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426">
    <w:name w:val="xl426"/>
    <w:basedOn w:val="Normal"/>
    <w:rsid w:val="00761800"/>
    <w:pPr>
      <w:pBdr>
        <w:bottom w:val="single" w:sz="4" w:space="0" w:color="auto"/>
        <w:right w:val="single" w:sz="4" w:space="0" w:color="auto"/>
      </w:pBdr>
      <w:spacing w:before="100" w:beforeAutospacing="1" w:after="100" w:afterAutospacing="1"/>
      <w:jc w:val="center"/>
      <w:textAlignment w:val="center"/>
    </w:pPr>
    <w:rPr>
      <w:rFonts w:ascii="Times New Roman" w:hAnsi="Times New Roman"/>
      <w:color w:val="800000"/>
      <w:szCs w:val="24"/>
      <w:lang w:eastAsia="bg-BG"/>
    </w:rPr>
  </w:style>
  <w:style w:type="paragraph" w:customStyle="1" w:styleId="xl427">
    <w:name w:val="xl427"/>
    <w:basedOn w:val="Normal"/>
    <w:rsid w:val="00761800"/>
    <w:pPr>
      <w:spacing w:before="100" w:beforeAutospacing="1" w:after="100" w:afterAutospacing="1"/>
    </w:pPr>
    <w:rPr>
      <w:rFonts w:ascii="Times New Roman" w:hAnsi="Times New Roman"/>
      <w:color w:val="800000"/>
      <w:szCs w:val="24"/>
      <w:lang w:eastAsia="bg-BG"/>
    </w:rPr>
  </w:style>
  <w:style w:type="paragraph" w:customStyle="1" w:styleId="xl428">
    <w:name w:val="xl428"/>
    <w:basedOn w:val="Normal"/>
    <w:rsid w:val="00761800"/>
    <w:pPr>
      <w:pBdr>
        <w:top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429">
    <w:name w:val="xl429"/>
    <w:basedOn w:val="Normal"/>
    <w:rsid w:val="00761800"/>
    <w:pPr>
      <w:pBdr>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430">
    <w:name w:val="xl430"/>
    <w:basedOn w:val="Normal"/>
    <w:rsid w:val="00761800"/>
    <w:pPr>
      <w:spacing w:before="100" w:beforeAutospacing="1" w:after="100" w:afterAutospacing="1"/>
      <w:jc w:val="both"/>
      <w:textAlignment w:val="top"/>
    </w:pPr>
    <w:rPr>
      <w:rFonts w:ascii="Times New Roman" w:hAnsi="Times New Roman"/>
      <w:color w:val="800000"/>
      <w:szCs w:val="24"/>
      <w:lang w:eastAsia="bg-BG"/>
    </w:rPr>
  </w:style>
  <w:style w:type="paragraph" w:customStyle="1" w:styleId="xl431">
    <w:name w:val="xl431"/>
    <w:basedOn w:val="Normal"/>
    <w:rsid w:val="00761800"/>
    <w:pPr>
      <w:spacing w:before="100" w:beforeAutospacing="1" w:after="100" w:afterAutospacing="1"/>
      <w:jc w:val="both"/>
      <w:textAlignment w:val="top"/>
    </w:pPr>
    <w:rPr>
      <w:rFonts w:ascii="Times New Roman" w:hAnsi="Times New Roman"/>
      <w:color w:val="FF0000"/>
      <w:szCs w:val="24"/>
      <w:lang w:eastAsia="bg-BG"/>
    </w:rPr>
  </w:style>
  <w:style w:type="paragraph" w:customStyle="1" w:styleId="xl432">
    <w:name w:val="xl432"/>
    <w:basedOn w:val="Normal"/>
    <w:rsid w:val="00761800"/>
    <w:pPr>
      <w:pBdr>
        <w:bottom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433">
    <w:name w:val="xl433"/>
    <w:basedOn w:val="Normal"/>
    <w:rsid w:val="00761800"/>
    <w:pPr>
      <w:spacing w:before="100" w:beforeAutospacing="1" w:after="100" w:afterAutospacing="1"/>
      <w:jc w:val="both"/>
      <w:textAlignment w:val="top"/>
    </w:pPr>
    <w:rPr>
      <w:rFonts w:ascii="Times New Roman" w:hAnsi="Times New Roman"/>
      <w:szCs w:val="24"/>
      <w:lang w:eastAsia="bg-BG"/>
    </w:rPr>
  </w:style>
  <w:style w:type="paragraph" w:customStyle="1" w:styleId="xl434">
    <w:name w:val="xl434"/>
    <w:basedOn w:val="Normal"/>
    <w:rsid w:val="00761800"/>
    <w:pPr>
      <w:spacing w:before="100" w:beforeAutospacing="1" w:after="100" w:afterAutospacing="1"/>
      <w:jc w:val="both"/>
      <w:textAlignment w:val="top"/>
    </w:pPr>
    <w:rPr>
      <w:rFonts w:ascii="Times New Roman" w:hAnsi="Times New Roman"/>
      <w:szCs w:val="24"/>
      <w:lang w:eastAsia="bg-BG"/>
    </w:rPr>
  </w:style>
  <w:style w:type="paragraph" w:customStyle="1" w:styleId="xl435">
    <w:name w:val="xl435"/>
    <w:basedOn w:val="Normal"/>
    <w:rsid w:val="00761800"/>
    <w:pPr>
      <w:pBdr>
        <w:bottom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436">
    <w:name w:val="xl436"/>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437">
    <w:name w:val="xl437"/>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438">
    <w:name w:val="xl438"/>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439">
    <w:name w:val="xl439"/>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440">
    <w:name w:val="xl440"/>
    <w:basedOn w:val="Normal"/>
    <w:rsid w:val="00761800"/>
    <w:pPr>
      <w:pBdr>
        <w:bottom w:val="single" w:sz="4" w:space="0" w:color="auto"/>
      </w:pBdr>
      <w:shd w:val="clear" w:color="000000" w:fill="FFFFFF"/>
      <w:spacing w:before="100" w:beforeAutospacing="1" w:after="100" w:afterAutospacing="1"/>
      <w:textAlignment w:val="top"/>
    </w:pPr>
    <w:rPr>
      <w:rFonts w:ascii="Times New Roman" w:hAnsi="Times New Roman"/>
      <w:szCs w:val="24"/>
      <w:lang w:eastAsia="bg-BG"/>
    </w:rPr>
  </w:style>
  <w:style w:type="paragraph" w:customStyle="1" w:styleId="xl441">
    <w:name w:val="xl441"/>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442">
    <w:name w:val="xl442"/>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443">
    <w:name w:val="xl443"/>
    <w:basedOn w:val="Normal"/>
    <w:rsid w:val="0076180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444">
    <w:name w:val="xl444"/>
    <w:basedOn w:val="Normal"/>
    <w:rsid w:val="0076180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eastAsia="bg-BG"/>
    </w:rPr>
  </w:style>
  <w:style w:type="paragraph" w:customStyle="1" w:styleId="xl445">
    <w:name w:val="xl445"/>
    <w:basedOn w:val="Normal"/>
    <w:rsid w:val="00761800"/>
    <w:pPr>
      <w:spacing w:before="100" w:beforeAutospacing="1" w:after="100" w:afterAutospacing="1"/>
      <w:textAlignment w:val="top"/>
    </w:pPr>
    <w:rPr>
      <w:rFonts w:ascii="Times New Roman" w:hAnsi="Times New Roman"/>
      <w:szCs w:val="24"/>
      <w:lang w:eastAsia="bg-BG"/>
    </w:rPr>
  </w:style>
  <w:style w:type="paragraph" w:customStyle="1" w:styleId="xl446">
    <w:name w:val="xl446"/>
    <w:basedOn w:val="Normal"/>
    <w:rsid w:val="00761800"/>
    <w:pPr>
      <w:spacing w:before="100" w:beforeAutospacing="1" w:after="100" w:afterAutospacing="1"/>
      <w:textAlignment w:val="top"/>
    </w:pPr>
    <w:rPr>
      <w:rFonts w:ascii="Times New Roman" w:hAnsi="Times New Roman"/>
      <w:szCs w:val="24"/>
      <w:lang w:eastAsia="bg-BG"/>
    </w:rPr>
  </w:style>
  <w:style w:type="paragraph" w:customStyle="1" w:styleId="xl447">
    <w:name w:val="xl447"/>
    <w:basedOn w:val="Normal"/>
    <w:rsid w:val="00761800"/>
    <w:pPr>
      <w:spacing w:before="100" w:beforeAutospacing="1" w:after="100" w:afterAutospacing="1"/>
      <w:textAlignment w:val="top"/>
    </w:pPr>
    <w:rPr>
      <w:rFonts w:ascii="Times New Roman" w:hAnsi="Times New Roman"/>
      <w:szCs w:val="24"/>
      <w:lang w:eastAsia="bg-BG"/>
    </w:rPr>
  </w:style>
  <w:style w:type="paragraph" w:customStyle="1" w:styleId="xl448">
    <w:name w:val="xl448"/>
    <w:basedOn w:val="Normal"/>
    <w:rsid w:val="00761800"/>
    <w:pPr>
      <w:shd w:val="clear" w:color="000000" w:fill="FFFFFF"/>
      <w:spacing w:before="100" w:beforeAutospacing="1" w:after="100" w:afterAutospacing="1"/>
      <w:jc w:val="both"/>
      <w:textAlignment w:val="top"/>
    </w:pPr>
    <w:rPr>
      <w:rFonts w:ascii="Times New Roman" w:hAnsi="Times New Roman"/>
      <w:szCs w:val="24"/>
      <w:lang w:eastAsia="bg-BG"/>
    </w:rPr>
  </w:style>
  <w:style w:type="paragraph" w:customStyle="1" w:styleId="xl449">
    <w:name w:val="xl449"/>
    <w:basedOn w:val="Normal"/>
    <w:rsid w:val="00761800"/>
    <w:pPr>
      <w:shd w:val="clear" w:color="000000" w:fill="FFFFFF"/>
      <w:spacing w:before="100" w:beforeAutospacing="1" w:after="100" w:afterAutospacing="1"/>
      <w:jc w:val="both"/>
      <w:textAlignment w:val="top"/>
    </w:pPr>
    <w:rPr>
      <w:rFonts w:ascii="Times New Roman" w:hAnsi="Times New Roman"/>
      <w:szCs w:val="24"/>
      <w:lang w:eastAsia="bg-BG"/>
    </w:rPr>
  </w:style>
  <w:style w:type="paragraph" w:customStyle="1" w:styleId="xl450">
    <w:name w:val="xl450"/>
    <w:basedOn w:val="Normal"/>
    <w:rsid w:val="00761800"/>
    <w:pPr>
      <w:spacing w:before="100" w:beforeAutospacing="1" w:after="100" w:afterAutospacing="1"/>
      <w:textAlignment w:val="top"/>
    </w:pPr>
    <w:rPr>
      <w:rFonts w:ascii="Times New Roman" w:hAnsi="Times New Roman"/>
      <w:color w:val="FF0000"/>
      <w:szCs w:val="24"/>
      <w:lang w:eastAsia="bg-BG"/>
    </w:rPr>
  </w:style>
  <w:style w:type="paragraph" w:customStyle="1" w:styleId="xl451">
    <w:name w:val="xl451"/>
    <w:basedOn w:val="Normal"/>
    <w:rsid w:val="00761800"/>
    <w:pPr>
      <w:spacing w:before="100" w:beforeAutospacing="1" w:after="100" w:afterAutospacing="1"/>
      <w:jc w:val="both"/>
    </w:pPr>
    <w:rPr>
      <w:rFonts w:ascii="Times New Roman" w:hAnsi="Times New Roman"/>
      <w:szCs w:val="24"/>
      <w:lang w:eastAsia="bg-BG"/>
    </w:rPr>
  </w:style>
  <w:style w:type="paragraph" w:customStyle="1" w:styleId="xl452">
    <w:name w:val="xl452"/>
    <w:basedOn w:val="Normal"/>
    <w:rsid w:val="00761800"/>
    <w:pPr>
      <w:spacing w:before="100" w:beforeAutospacing="1" w:after="100" w:afterAutospacing="1"/>
      <w:jc w:val="both"/>
    </w:pPr>
    <w:rPr>
      <w:rFonts w:ascii="Times New Roman" w:hAnsi="Times New Roman"/>
      <w:szCs w:val="24"/>
      <w:lang w:eastAsia="bg-BG"/>
    </w:rPr>
  </w:style>
  <w:style w:type="numbering" w:customStyle="1" w:styleId="NoList11">
    <w:name w:val="No List11"/>
    <w:next w:val="NoList"/>
    <w:uiPriority w:val="99"/>
    <w:semiHidden/>
    <w:unhideWhenUsed/>
    <w:rsid w:val="00761800"/>
  </w:style>
  <w:style w:type="table" w:styleId="TableGrid">
    <w:name w:val="Table Grid"/>
    <w:basedOn w:val="TableNormal"/>
    <w:uiPriority w:val="39"/>
    <w:rsid w:val="007618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locked/>
    <w:rsid w:val="00761800"/>
    <w:pPr>
      <w:spacing w:before="100" w:beforeAutospacing="1" w:after="100" w:afterAutospacing="1"/>
    </w:pPr>
    <w:rPr>
      <w:rFonts w:ascii="Times New Roman" w:hAnsi="Times New Roman"/>
      <w:szCs w:val="24"/>
      <w:lang w:eastAsia="bg-BG"/>
    </w:rPr>
  </w:style>
  <w:style w:type="paragraph" w:styleId="PlainText">
    <w:name w:val="Plain Text"/>
    <w:basedOn w:val="Normal"/>
    <w:link w:val="PlainTextChar"/>
    <w:uiPriority w:val="99"/>
    <w:unhideWhenUsed/>
    <w:locked/>
    <w:rsid w:val="00761800"/>
    <w:rPr>
      <w:rFonts w:ascii="Calibri" w:eastAsia="Calibri" w:hAnsi="Calibri"/>
      <w:sz w:val="22"/>
      <w:szCs w:val="21"/>
    </w:rPr>
  </w:style>
  <w:style w:type="character" w:customStyle="1" w:styleId="PlainTextChar">
    <w:name w:val="Plain Text Char"/>
    <w:basedOn w:val="DefaultParagraphFont"/>
    <w:link w:val="PlainText"/>
    <w:uiPriority w:val="99"/>
    <w:rsid w:val="00761800"/>
    <w:rPr>
      <w:rFonts w:ascii="Calibri" w:eastAsia="Calibri" w:hAnsi="Calibri"/>
      <w:sz w:val="22"/>
      <w:szCs w:val="21"/>
      <w:lang w:eastAsia="en-US"/>
    </w:rPr>
  </w:style>
  <w:style w:type="paragraph" w:styleId="CommentText">
    <w:name w:val="annotation text"/>
    <w:basedOn w:val="Normal"/>
    <w:link w:val="CommentTextChar"/>
    <w:uiPriority w:val="99"/>
    <w:unhideWhenUsed/>
    <w:locked/>
    <w:rsid w:val="00761800"/>
    <w:pPr>
      <w:spacing w:after="160"/>
    </w:pPr>
    <w:rPr>
      <w:rFonts w:ascii="Calibri" w:eastAsia="Calibri" w:hAnsi="Calibri"/>
      <w:sz w:val="20"/>
    </w:rPr>
  </w:style>
  <w:style w:type="character" w:customStyle="1" w:styleId="CommentTextChar">
    <w:name w:val="Comment Text Char"/>
    <w:basedOn w:val="DefaultParagraphFont"/>
    <w:link w:val="CommentText"/>
    <w:uiPriority w:val="99"/>
    <w:rsid w:val="00761800"/>
    <w:rPr>
      <w:rFonts w:ascii="Calibri" w:eastAsia="Calibri" w:hAnsi="Calibri"/>
      <w:lang w:eastAsia="en-US"/>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basedOn w:val="DefaultParagraphFont"/>
    <w:link w:val="ListParagraph"/>
    <w:uiPriority w:val="34"/>
    <w:qFormat/>
    <w:locked/>
    <w:rsid w:val="00761800"/>
    <w:rPr>
      <w:rFonts w:ascii="HebarU" w:hAnsi="HebarU"/>
      <w:sz w:val="24"/>
      <w:lang w:eastAsia="en-US"/>
    </w:rPr>
  </w:style>
  <w:style w:type="paragraph" w:customStyle="1" w:styleId="Default">
    <w:name w:val="Default"/>
    <w:rsid w:val="00761800"/>
    <w:pPr>
      <w:autoSpaceDE w:val="0"/>
      <w:autoSpaceDN w:val="0"/>
      <w:adjustRightInd w:val="0"/>
      <w:spacing w:after="200" w:line="276" w:lineRule="auto"/>
    </w:pPr>
    <w:rPr>
      <w:rFonts w:ascii="Calibri" w:eastAsia="Batang" w:hAnsi="Calibri" w:cs="Calibri"/>
      <w:color w:val="000000"/>
      <w:sz w:val="24"/>
      <w:szCs w:val="24"/>
      <w:lang w:eastAsia="en-US"/>
    </w:rPr>
  </w:style>
  <w:style w:type="paragraph" w:customStyle="1" w:styleId="xl65">
    <w:name w:val="xl65"/>
    <w:basedOn w:val="Normal"/>
    <w:rsid w:val="00761800"/>
    <w:pPr>
      <w:spacing w:before="100" w:beforeAutospacing="1" w:after="100" w:afterAutospacing="1"/>
      <w:jc w:val="right"/>
      <w:textAlignment w:val="center"/>
    </w:pPr>
    <w:rPr>
      <w:rFonts w:ascii="Times New Roman" w:hAnsi="Times New Roman"/>
      <w:b/>
      <w:bCs/>
      <w:sz w:val="20"/>
      <w:lang w:eastAsia="bg-BG"/>
    </w:rPr>
  </w:style>
  <w:style w:type="paragraph" w:customStyle="1" w:styleId="xl66">
    <w:name w:val="xl66"/>
    <w:basedOn w:val="Normal"/>
    <w:rsid w:val="00761800"/>
    <w:pPr>
      <w:spacing w:before="100" w:beforeAutospacing="1" w:after="100" w:afterAutospacing="1"/>
    </w:pPr>
    <w:rPr>
      <w:rFonts w:ascii="Times New Roman" w:hAnsi="Times New Roman"/>
      <w:sz w:val="20"/>
      <w:lang w:eastAsia="bg-BG"/>
    </w:rPr>
  </w:style>
  <w:style w:type="paragraph" w:customStyle="1" w:styleId="xl67">
    <w:name w:val="xl67"/>
    <w:basedOn w:val="Normal"/>
    <w:rsid w:val="00761800"/>
    <w:pPr>
      <w:spacing w:before="100" w:beforeAutospacing="1" w:after="100" w:afterAutospacing="1"/>
      <w:textAlignment w:val="center"/>
    </w:pPr>
    <w:rPr>
      <w:rFonts w:ascii="Times New Roman" w:hAnsi="Times New Roman"/>
      <w:sz w:val="20"/>
      <w:lang w:eastAsia="bg-BG"/>
    </w:rPr>
  </w:style>
  <w:style w:type="character" w:styleId="CommentReference">
    <w:name w:val="annotation reference"/>
    <w:basedOn w:val="DefaultParagraphFont"/>
    <w:uiPriority w:val="99"/>
    <w:unhideWhenUsed/>
    <w:locked/>
    <w:rsid w:val="00761800"/>
    <w:rPr>
      <w:sz w:val="16"/>
      <w:szCs w:val="16"/>
    </w:rPr>
  </w:style>
  <w:style w:type="paragraph" w:customStyle="1" w:styleId="CommentSubject1">
    <w:name w:val="Comment Subject1"/>
    <w:basedOn w:val="CommentText"/>
    <w:next w:val="CommentText"/>
    <w:uiPriority w:val="99"/>
    <w:semiHidden/>
    <w:unhideWhenUsed/>
    <w:rsid w:val="00761800"/>
    <w:rPr>
      <w:b/>
      <w:bCs/>
    </w:rPr>
  </w:style>
  <w:style w:type="character" w:customStyle="1" w:styleId="CommentSubjectChar">
    <w:name w:val="Comment Subject Char"/>
    <w:basedOn w:val="CommentTextChar"/>
    <w:link w:val="CommentSubject"/>
    <w:uiPriority w:val="99"/>
    <w:rsid w:val="00761800"/>
    <w:rPr>
      <w:rFonts w:ascii="Calibri" w:eastAsia="Calibri" w:hAnsi="Calibri" w:cs="Times New Roman"/>
      <w:b/>
      <w:bCs/>
      <w:sz w:val="20"/>
      <w:szCs w:val="20"/>
      <w:lang w:eastAsia="en-US"/>
    </w:rPr>
  </w:style>
  <w:style w:type="paragraph" w:styleId="Revision">
    <w:name w:val="Revision"/>
    <w:hidden/>
    <w:uiPriority w:val="99"/>
    <w:semiHidden/>
    <w:rsid w:val="00761800"/>
    <w:rPr>
      <w:rFonts w:ascii="Calibri" w:eastAsia="Calibri" w:hAnsi="Calibri"/>
      <w:sz w:val="22"/>
      <w:szCs w:val="22"/>
      <w:lang w:eastAsia="en-US"/>
    </w:rPr>
  </w:style>
  <w:style w:type="paragraph" w:styleId="CommentSubject">
    <w:name w:val="annotation subject"/>
    <w:basedOn w:val="CommentText"/>
    <w:next w:val="CommentText"/>
    <w:link w:val="CommentSubjectChar"/>
    <w:uiPriority w:val="99"/>
    <w:unhideWhenUsed/>
    <w:locked/>
    <w:rsid w:val="00761800"/>
    <w:pPr>
      <w:spacing w:after="0"/>
    </w:pPr>
    <w:rPr>
      <w:b/>
      <w:bCs/>
    </w:rPr>
  </w:style>
  <w:style w:type="character" w:customStyle="1" w:styleId="CommentSubjectChar1">
    <w:name w:val="Comment Subject Char1"/>
    <w:basedOn w:val="CommentTextChar"/>
    <w:uiPriority w:val="99"/>
    <w:semiHidden/>
    <w:rsid w:val="00761800"/>
    <w:rPr>
      <w:rFonts w:ascii="Calibri" w:eastAsia="Calibri" w:hAnsi="Calibri"/>
      <w:b/>
      <w:bCs/>
      <w:lang w:eastAsia="en-US"/>
    </w:rPr>
  </w:style>
  <w:style w:type="paragraph" w:customStyle="1" w:styleId="Heading91">
    <w:name w:val="Heading 91"/>
    <w:basedOn w:val="Normal"/>
    <w:next w:val="Normal"/>
    <w:uiPriority w:val="9"/>
    <w:semiHidden/>
    <w:unhideWhenUsed/>
    <w:qFormat/>
    <w:rsid w:val="00761800"/>
    <w:pPr>
      <w:keepNext/>
      <w:keepLines/>
      <w:numPr>
        <w:ilvl w:val="8"/>
        <w:numId w:val="4"/>
      </w:numPr>
      <w:tabs>
        <w:tab w:val="num" w:pos="1800"/>
      </w:tabs>
      <w:spacing w:before="200"/>
      <w:ind w:left="1584" w:hanging="1584"/>
      <w:jc w:val="both"/>
      <w:outlineLvl w:val="8"/>
    </w:pPr>
    <w:rPr>
      <w:rFonts w:ascii="Times New Roman" w:hAnsi="Times New Roman"/>
      <w:i/>
      <w:iCs/>
      <w:sz w:val="20"/>
      <w:lang w:eastAsia="bg-BG"/>
    </w:rPr>
  </w:style>
  <w:style w:type="numbering" w:customStyle="1" w:styleId="NoList2">
    <w:name w:val="No List2"/>
    <w:next w:val="NoList"/>
    <w:uiPriority w:val="99"/>
    <w:semiHidden/>
    <w:unhideWhenUsed/>
    <w:rsid w:val="00761800"/>
  </w:style>
  <w:style w:type="paragraph" w:styleId="FootnoteText">
    <w:name w:val="footnote text"/>
    <w:aliases w:val="Fußnotentext arial,Footnote1,Footnote2,Footnote3,stile 1,Footnote4,Footnote5,Footnote6,Footnote7,Footnote8,Footnote9,Footnote10,Footnote11,Footnote21,Footnote31,Footnote41,Footnote51,Footnote61,Footnote71,Footnote81,Footnote91,single spa"/>
    <w:basedOn w:val="Normal"/>
    <w:link w:val="FootnoteTextChar1"/>
    <w:qFormat/>
    <w:locked/>
    <w:rsid w:val="00761800"/>
    <w:pPr>
      <w:spacing w:after="40"/>
      <w:ind w:left="284" w:hanging="284"/>
      <w:jc w:val="both"/>
    </w:pPr>
    <w:rPr>
      <w:rFonts w:ascii="Times New Roman" w:hAnsi="Times New Roman"/>
      <w:sz w:val="20"/>
      <w:lang w:eastAsia="bg-BG"/>
    </w:rPr>
  </w:style>
  <w:style w:type="character" w:customStyle="1" w:styleId="FootnoteTextChar">
    <w:name w:val="Footnote Text Char"/>
    <w:aliases w:val="Fußnotentext arial Char,Footnote1 Char,Footnote2 Char,Footnote3 Char,stile 1 Char,Footnote4 Char,Footnote5 Char,Footnote6 Char,Footnote7 Char,Footnote8 Char,Footnote9 Char,Footnote10 Char,Footnote11 Char,Footnote21 Char"/>
    <w:basedOn w:val="DefaultParagraphFont"/>
    <w:uiPriority w:val="99"/>
    <w:rsid w:val="00761800"/>
    <w:rPr>
      <w:rFonts w:ascii="HebarU" w:hAnsi="HebarU"/>
      <w:lang w:eastAsia="en-US"/>
    </w:rPr>
  </w:style>
  <w:style w:type="character" w:customStyle="1" w:styleId="FootnoteTextChar1">
    <w:name w:val="Footnote Text Char1"/>
    <w:aliases w:val="Fußnotentext arial Char1,Footnote1 Char1,Footnote2 Char1,Footnote3 Char1,stile 1 Char1,Footnote4 Char1,Footnote5 Char1,Footnote6 Char1,Footnote7 Char1,Footnote8 Char1,Footnote9 Char1,Footnote10 Char1,Footnote11 Char1,Footnote21 Char1"/>
    <w:link w:val="FootnoteText"/>
    <w:locked/>
    <w:rsid w:val="00761800"/>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
    <w:uiPriority w:val="99"/>
    <w:qFormat/>
    <w:locked/>
    <w:rsid w:val="00761800"/>
    <w:rPr>
      <w:rFonts w:ascii="Times New Roman" w:hAnsi="Times New Roman" w:cs="Times New Roman"/>
      <w:color w:val="auto"/>
      <w:spacing w:val="0"/>
      <w:w w:val="100"/>
      <w:kern w:val="0"/>
      <w:position w:val="2"/>
      <w:sz w:val="18"/>
      <w:u w:val="none"/>
      <w:effect w:val="none"/>
      <w:vertAlign w:val="superscript"/>
      <w:lang w:val="bg-BG" w:eastAsia="en-US"/>
    </w:rPr>
  </w:style>
  <w:style w:type="table" w:customStyle="1" w:styleId="TableGrid1">
    <w:name w:val="Table Grid1"/>
    <w:basedOn w:val="TableNormal"/>
    <w:next w:val="TableGrid"/>
    <w:uiPriority w:val="39"/>
    <w:rsid w:val="00761800"/>
    <w:pPr>
      <w:spacing w:after="200" w:line="276"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link w:val="Caption"/>
    <w:locked/>
    <w:rsid w:val="00761800"/>
    <w:rPr>
      <w:rFonts w:ascii="TimokU" w:hAnsi="TimokU"/>
      <w:b/>
      <w:caps/>
      <w:sz w:val="22"/>
      <w:lang w:eastAsia="en-US"/>
    </w:rPr>
  </w:style>
  <w:style w:type="character" w:customStyle="1" w:styleId="HeaderChar1">
    <w:name w:val="Header Char1"/>
    <w:aliases w:val="Header Char2 Char Char2,Header Char1 Char1 Char Char2,Header Char Char Char1 Char Char2,Header Char1 Char Char Char Char Char2,Header Char Char Char Char Char Char Char2,Header Char Char1 Char Char2,Header Char1 Char Char1 Char Char1"/>
    <w:uiPriority w:val="99"/>
    <w:locked/>
    <w:rsid w:val="00761800"/>
    <w:rPr>
      <w:rFonts w:ascii="Arial" w:hAnsi="Arial"/>
      <w:smallCaps/>
      <w:noProof/>
      <w:color w:val="404040"/>
      <w:spacing w:val="10"/>
      <w:sz w:val="18"/>
      <w:szCs w:val="20"/>
      <w:lang w:val="en-US" w:eastAsia="en-US"/>
    </w:rPr>
  </w:style>
  <w:style w:type="paragraph" w:styleId="BodyTextIndent3">
    <w:name w:val="Body Text Indent 3"/>
    <w:basedOn w:val="Normal"/>
    <w:link w:val="BodyTextIndent3Char"/>
    <w:uiPriority w:val="99"/>
    <w:locked/>
    <w:rsid w:val="00761800"/>
    <w:pPr>
      <w:spacing w:after="120"/>
      <w:ind w:left="283"/>
      <w:jc w:val="both"/>
    </w:pPr>
    <w:rPr>
      <w:rFonts w:ascii="Times New Roman" w:hAnsi="Times New Roman"/>
      <w:sz w:val="16"/>
      <w:szCs w:val="16"/>
      <w:lang w:eastAsia="bg-BG"/>
    </w:rPr>
  </w:style>
  <w:style w:type="character" w:customStyle="1" w:styleId="BodyTextIndent3Char">
    <w:name w:val="Body Text Indent 3 Char"/>
    <w:basedOn w:val="DefaultParagraphFont"/>
    <w:link w:val="BodyTextIndent3"/>
    <w:uiPriority w:val="99"/>
    <w:rsid w:val="00761800"/>
    <w:rPr>
      <w:sz w:val="16"/>
      <w:szCs w:val="16"/>
    </w:rPr>
  </w:style>
  <w:style w:type="paragraph" w:customStyle="1" w:styleId="Style">
    <w:name w:val="Style"/>
    <w:link w:val="StyleChar"/>
    <w:uiPriority w:val="99"/>
    <w:rsid w:val="00761800"/>
    <w:pPr>
      <w:widowControl w:val="0"/>
      <w:autoSpaceDE w:val="0"/>
      <w:autoSpaceDN w:val="0"/>
      <w:adjustRightInd w:val="0"/>
      <w:spacing w:after="200" w:line="276" w:lineRule="auto"/>
      <w:ind w:left="140" w:right="140" w:firstLine="840"/>
      <w:jc w:val="both"/>
    </w:pPr>
    <w:rPr>
      <w:rFonts w:ascii="Arial Narrow" w:hAnsi="Arial Narrow"/>
      <w:sz w:val="22"/>
      <w:szCs w:val="22"/>
    </w:rPr>
  </w:style>
  <w:style w:type="character" w:customStyle="1" w:styleId="StyleChar">
    <w:name w:val="Style Char"/>
    <w:link w:val="Style"/>
    <w:uiPriority w:val="99"/>
    <w:locked/>
    <w:rsid w:val="00761800"/>
    <w:rPr>
      <w:rFonts w:ascii="Arial Narrow" w:hAnsi="Arial Narrow"/>
      <w:sz w:val="22"/>
      <w:szCs w:val="22"/>
    </w:rPr>
  </w:style>
  <w:style w:type="character" w:styleId="Emphasis">
    <w:name w:val="Emphasis"/>
    <w:basedOn w:val="DefaultParagraphFont"/>
    <w:uiPriority w:val="20"/>
    <w:qFormat/>
    <w:rsid w:val="00761800"/>
    <w:rPr>
      <w:i/>
      <w:iCs/>
    </w:rPr>
  </w:style>
  <w:style w:type="paragraph" w:customStyle="1" w:styleId="TOCHeading1">
    <w:name w:val="TOC Heading1"/>
    <w:basedOn w:val="Heading1"/>
    <w:next w:val="Normal"/>
    <w:uiPriority w:val="39"/>
    <w:qFormat/>
    <w:rsid w:val="00761800"/>
    <w:pPr>
      <w:keepLines/>
      <w:spacing w:before="480"/>
      <w:ind w:firstLine="0"/>
      <w:jc w:val="both"/>
      <w:outlineLvl w:val="9"/>
    </w:pPr>
    <w:rPr>
      <w:bCs/>
      <w:color w:val="E65B01"/>
      <w:szCs w:val="28"/>
      <w:lang w:eastAsia="bg-BG"/>
    </w:rPr>
  </w:style>
  <w:style w:type="paragraph" w:styleId="TOC2">
    <w:name w:val="toc 2"/>
    <w:basedOn w:val="Normal"/>
    <w:next w:val="Normal"/>
    <w:autoRedefine/>
    <w:uiPriority w:val="39"/>
    <w:rsid w:val="00761800"/>
    <w:pPr>
      <w:tabs>
        <w:tab w:val="left" w:pos="284"/>
        <w:tab w:val="left" w:pos="400"/>
        <w:tab w:val="right" w:leader="dot" w:pos="9060"/>
      </w:tabs>
      <w:spacing w:before="120" w:after="60"/>
      <w:ind w:left="687" w:hanging="403"/>
    </w:pPr>
    <w:rPr>
      <w:rFonts w:ascii="Times New Roman" w:hAnsi="Times New Roman"/>
      <w:bCs/>
      <w:caps/>
      <w:noProof/>
      <w:sz w:val="18"/>
      <w:szCs w:val="22"/>
      <w:lang w:val="en-US" w:eastAsia="bg-BG"/>
    </w:rPr>
  </w:style>
  <w:style w:type="paragraph" w:styleId="TOC3">
    <w:name w:val="toc 3"/>
    <w:basedOn w:val="Normal"/>
    <w:next w:val="Normal"/>
    <w:autoRedefine/>
    <w:uiPriority w:val="39"/>
    <w:rsid w:val="00761800"/>
    <w:pPr>
      <w:tabs>
        <w:tab w:val="left" w:pos="543"/>
        <w:tab w:val="right" w:leader="dot" w:pos="9060"/>
      </w:tabs>
      <w:ind w:left="1224" w:hanging="544"/>
    </w:pPr>
    <w:rPr>
      <w:rFonts w:ascii="Times New Roman" w:hAnsi="Times New Roman"/>
      <w:caps/>
      <w:noProof/>
      <w:w w:val="90"/>
      <w:sz w:val="20"/>
      <w:szCs w:val="22"/>
      <w:lang w:val="ru-RU" w:eastAsia="zh-CN"/>
    </w:rPr>
  </w:style>
  <w:style w:type="paragraph" w:customStyle="1" w:styleId="TOC11">
    <w:name w:val="TOC 11"/>
    <w:basedOn w:val="Normal"/>
    <w:next w:val="Normal"/>
    <w:uiPriority w:val="39"/>
    <w:unhideWhenUsed/>
    <w:locked/>
    <w:rsid w:val="00761800"/>
    <w:pPr>
      <w:tabs>
        <w:tab w:val="right" w:leader="dot" w:pos="9060"/>
      </w:tabs>
      <w:spacing w:before="240" w:after="200"/>
      <w:outlineLvl w:val="0"/>
    </w:pPr>
    <w:rPr>
      <w:rFonts w:ascii="Times New Roman" w:hAnsi="Times New Roman"/>
      <w:b/>
      <w:noProof/>
      <w:color w:val="852010"/>
      <w:sz w:val="22"/>
      <w:szCs w:val="22"/>
      <w:lang w:eastAsia="bg-BG"/>
      <w14:scene3d>
        <w14:camera w14:prst="orthographicFront"/>
        <w14:lightRig w14:rig="threePt" w14:dir="t">
          <w14:rot w14:lat="0" w14:lon="0" w14:rev="0"/>
        </w14:lightRig>
      </w14:scene3d>
    </w:rPr>
  </w:style>
  <w:style w:type="character" w:customStyle="1" w:styleId="HeaderChar2">
    <w:name w:val="Header Char2"/>
    <w:aliases w:val="Header Char Char1,Header Char2 Char Char1,Header Char1 Char1 Char Char1,Header Char Char Char1 Char Char1,Header Char1 Char Char Char Char Char1,Header Char Char Char Char Char Char Char1,Header Char Char1 Char Char1"/>
    <w:uiPriority w:val="99"/>
    <w:locked/>
    <w:rsid w:val="00761800"/>
    <w:rPr>
      <w:sz w:val="24"/>
      <w:lang w:val="bg-BG" w:eastAsia="en-US"/>
    </w:rPr>
  </w:style>
  <w:style w:type="character" w:styleId="PageNumber">
    <w:name w:val="page number"/>
    <w:uiPriority w:val="99"/>
    <w:locked/>
    <w:rsid w:val="00761800"/>
    <w:rPr>
      <w:rFonts w:cs="Times New Roman"/>
    </w:rPr>
  </w:style>
  <w:style w:type="character" w:customStyle="1" w:styleId="scnt">
    <w:name w:val="scnt"/>
    <w:uiPriority w:val="99"/>
    <w:rsid w:val="00761800"/>
    <w:rPr>
      <w:rFonts w:cs="Times New Roman"/>
    </w:rPr>
  </w:style>
  <w:style w:type="paragraph" w:customStyle="1" w:styleId="source">
    <w:name w:val="source"/>
    <w:basedOn w:val="Normal"/>
    <w:uiPriority w:val="99"/>
    <w:rsid w:val="00761800"/>
    <w:pPr>
      <w:keepLines/>
      <w:spacing w:before="60" w:after="240"/>
      <w:ind w:right="1134"/>
      <w:contextualSpacing/>
      <w:jc w:val="right"/>
    </w:pPr>
    <w:rPr>
      <w:rFonts w:ascii="Verdana" w:hAnsi="Verdana" w:cs="Arial"/>
      <w:w w:val="90"/>
      <w:sz w:val="16"/>
      <w:lang w:eastAsia="bg-BG"/>
    </w:rPr>
  </w:style>
  <w:style w:type="paragraph" w:customStyle="1" w:styleId="tabletextleft">
    <w:name w:val="table text left"/>
    <w:basedOn w:val="Normal"/>
    <w:link w:val="tabletextleftChar"/>
    <w:rsid w:val="00761800"/>
    <w:pPr>
      <w:spacing w:after="120"/>
    </w:pPr>
    <w:rPr>
      <w:rFonts w:ascii="Times New Roman" w:hAnsi="Times New Roman"/>
      <w:w w:val="90"/>
      <w:sz w:val="20"/>
      <w:lang w:eastAsia="bg-BG"/>
    </w:rPr>
  </w:style>
  <w:style w:type="character" w:customStyle="1" w:styleId="tabletextleftChar">
    <w:name w:val="table text left Char"/>
    <w:link w:val="tabletextleft"/>
    <w:locked/>
    <w:rsid w:val="00761800"/>
    <w:rPr>
      <w:w w:val="90"/>
    </w:rPr>
  </w:style>
  <w:style w:type="paragraph" w:customStyle="1" w:styleId="Style10ptCentered">
    <w:name w:val="Style 10 pt Centered"/>
    <w:basedOn w:val="Normal"/>
    <w:uiPriority w:val="99"/>
    <w:rsid w:val="00761800"/>
    <w:pPr>
      <w:spacing w:after="120"/>
      <w:jc w:val="center"/>
    </w:pPr>
    <w:rPr>
      <w:rFonts w:ascii="Verdana" w:hAnsi="Verdana"/>
      <w:w w:val="90"/>
      <w:sz w:val="20"/>
      <w:lang w:eastAsia="bg-BG"/>
    </w:rPr>
  </w:style>
  <w:style w:type="paragraph" w:styleId="BlockText">
    <w:name w:val="Block Text"/>
    <w:basedOn w:val="Normal"/>
    <w:uiPriority w:val="99"/>
    <w:locked/>
    <w:rsid w:val="00761800"/>
    <w:pPr>
      <w:spacing w:after="120"/>
      <w:ind w:left="1440" w:right="1440"/>
      <w:jc w:val="both"/>
    </w:pPr>
    <w:rPr>
      <w:rFonts w:ascii="Times New Roman" w:hAnsi="Times New Roman"/>
      <w:szCs w:val="22"/>
      <w:lang w:eastAsia="bg-BG"/>
    </w:rPr>
  </w:style>
  <w:style w:type="paragraph" w:customStyle="1" w:styleId="StyleHeading3TimesNewRomanAuto">
    <w:name w:val="Style Heading 3 + Times New Roman Auto"/>
    <w:basedOn w:val="Heading3"/>
    <w:link w:val="StyleHeading3TimesNewRomanAutoChar"/>
    <w:uiPriority w:val="99"/>
    <w:rsid w:val="00761800"/>
    <w:pPr>
      <w:numPr>
        <w:ilvl w:val="2"/>
      </w:numPr>
      <w:spacing w:before="240" w:after="180"/>
      <w:ind w:left="-567" w:firstLine="720"/>
      <w:jc w:val="left"/>
    </w:pPr>
    <w:rPr>
      <w:rFonts w:eastAsia="Calibri"/>
      <w:b w:val="0"/>
      <w:i/>
      <w:caps/>
      <w:sz w:val="26"/>
      <w:lang w:eastAsia="bg-BG"/>
    </w:rPr>
  </w:style>
  <w:style w:type="character" w:customStyle="1" w:styleId="StyleHeading3TimesNewRomanAutoChar">
    <w:name w:val="Style Heading 3 + Times New Roman Auto Char"/>
    <w:link w:val="StyleHeading3TimesNewRomanAuto"/>
    <w:uiPriority w:val="99"/>
    <w:locked/>
    <w:rsid w:val="00761800"/>
    <w:rPr>
      <w:rFonts w:eastAsia="Calibri"/>
      <w:i/>
      <w:caps/>
      <w:sz w:val="26"/>
    </w:rPr>
  </w:style>
  <w:style w:type="paragraph" w:styleId="TOC4">
    <w:name w:val="toc 4"/>
    <w:basedOn w:val="Normal"/>
    <w:next w:val="Normal"/>
    <w:autoRedefine/>
    <w:uiPriority w:val="39"/>
    <w:rsid w:val="00761800"/>
    <w:pPr>
      <w:tabs>
        <w:tab w:val="left" w:pos="993"/>
        <w:tab w:val="left" w:pos="1134"/>
        <w:tab w:val="left" w:pos="1276"/>
        <w:tab w:val="right" w:leader="dot" w:pos="9070"/>
      </w:tabs>
      <w:spacing w:after="60"/>
      <w:jc w:val="both"/>
    </w:pPr>
    <w:rPr>
      <w:rFonts w:ascii="Times New Roman" w:hAnsi="Times New Roman"/>
      <w:spacing w:val="12"/>
      <w:sz w:val="32"/>
      <w:szCs w:val="32"/>
      <w:lang w:eastAsia="bg-BG"/>
    </w:rPr>
  </w:style>
  <w:style w:type="paragraph" w:styleId="TOC5">
    <w:name w:val="toc 5"/>
    <w:basedOn w:val="Normal"/>
    <w:next w:val="Normal"/>
    <w:autoRedefine/>
    <w:uiPriority w:val="39"/>
    <w:rsid w:val="00761800"/>
    <w:rPr>
      <w:rFonts w:ascii="Times New Roman" w:hAnsi="Times New Roman"/>
      <w:szCs w:val="22"/>
      <w:lang w:eastAsia="bg-BG"/>
    </w:rPr>
  </w:style>
  <w:style w:type="paragraph" w:styleId="TOC6">
    <w:name w:val="toc 6"/>
    <w:basedOn w:val="Normal"/>
    <w:next w:val="Normal"/>
    <w:autoRedefine/>
    <w:uiPriority w:val="39"/>
    <w:rsid w:val="00761800"/>
    <w:rPr>
      <w:rFonts w:ascii="Times New Roman" w:hAnsi="Times New Roman"/>
      <w:szCs w:val="22"/>
      <w:lang w:eastAsia="bg-BG"/>
    </w:rPr>
  </w:style>
  <w:style w:type="paragraph" w:styleId="TOC7">
    <w:name w:val="toc 7"/>
    <w:basedOn w:val="Normal"/>
    <w:next w:val="Normal"/>
    <w:autoRedefine/>
    <w:uiPriority w:val="39"/>
    <w:rsid w:val="00761800"/>
    <w:rPr>
      <w:rFonts w:ascii="Times New Roman" w:hAnsi="Times New Roman"/>
      <w:szCs w:val="22"/>
      <w:lang w:eastAsia="bg-BG"/>
    </w:rPr>
  </w:style>
  <w:style w:type="paragraph" w:styleId="TOC8">
    <w:name w:val="toc 8"/>
    <w:basedOn w:val="Normal"/>
    <w:next w:val="Normal"/>
    <w:autoRedefine/>
    <w:uiPriority w:val="39"/>
    <w:rsid w:val="00761800"/>
    <w:rPr>
      <w:rFonts w:ascii="Times New Roman" w:hAnsi="Times New Roman"/>
      <w:szCs w:val="22"/>
      <w:lang w:eastAsia="bg-BG"/>
    </w:rPr>
  </w:style>
  <w:style w:type="paragraph" w:styleId="TOC9">
    <w:name w:val="toc 9"/>
    <w:basedOn w:val="Normal"/>
    <w:next w:val="Normal"/>
    <w:autoRedefine/>
    <w:uiPriority w:val="39"/>
    <w:rsid w:val="00761800"/>
    <w:rPr>
      <w:rFonts w:ascii="Times New Roman" w:hAnsi="Times New Roman"/>
      <w:szCs w:val="22"/>
      <w:lang w:eastAsia="bg-BG"/>
    </w:rPr>
  </w:style>
  <w:style w:type="paragraph" w:styleId="NoSpacing">
    <w:name w:val="No Spacing"/>
    <w:link w:val="NoSpacingChar"/>
    <w:uiPriority w:val="1"/>
    <w:qFormat/>
    <w:rsid w:val="00761800"/>
    <w:rPr>
      <w:sz w:val="22"/>
      <w:szCs w:val="22"/>
    </w:rPr>
  </w:style>
  <w:style w:type="character" w:customStyle="1" w:styleId="NoSpacingChar">
    <w:name w:val="No Spacing Char"/>
    <w:basedOn w:val="DefaultParagraphFont"/>
    <w:link w:val="NoSpacing"/>
    <w:uiPriority w:val="1"/>
    <w:locked/>
    <w:rsid w:val="00761800"/>
    <w:rPr>
      <w:sz w:val="22"/>
      <w:szCs w:val="22"/>
    </w:rPr>
  </w:style>
  <w:style w:type="paragraph" w:customStyle="1" w:styleId="CharCharCharCharCharChar">
    <w:name w:val="Char Char Char Char Знак Char Char Знак"/>
    <w:basedOn w:val="Normal"/>
    <w:uiPriority w:val="99"/>
    <w:rsid w:val="00761800"/>
    <w:pPr>
      <w:tabs>
        <w:tab w:val="left" w:pos="709"/>
      </w:tabs>
    </w:pPr>
    <w:rPr>
      <w:rFonts w:ascii="Tahoma" w:hAnsi="Tahoma"/>
      <w:szCs w:val="24"/>
      <w:lang w:val="pl-PL" w:eastAsia="pl-PL"/>
    </w:rPr>
  </w:style>
  <w:style w:type="character" w:customStyle="1" w:styleId="apple-style-span">
    <w:name w:val="apple-style-span"/>
    <w:uiPriority w:val="99"/>
    <w:rsid w:val="00761800"/>
    <w:rPr>
      <w:rFonts w:cs="Times New Roman"/>
    </w:rPr>
  </w:style>
  <w:style w:type="paragraph" w:customStyle="1" w:styleId="StyleHeading2TimesNewRomanNotBoldUnderlineAfter6pt">
    <w:name w:val="Style Heading 2 + Times New Roman Not Bold Underline After:  6 pt"/>
    <w:basedOn w:val="Heading2"/>
    <w:autoRedefine/>
    <w:uiPriority w:val="99"/>
    <w:rsid w:val="00761800"/>
    <w:pPr>
      <w:tabs>
        <w:tab w:val="left" w:pos="426"/>
      </w:tabs>
      <w:spacing w:before="120" w:after="120"/>
      <w:jc w:val="center"/>
    </w:pPr>
    <w:rPr>
      <w:rFonts w:ascii="Times New Roman" w:hAnsi="Times New Roman" w:cs="Times New Roman"/>
      <w:bCs w:val="0"/>
      <w:iCs/>
      <w:caps/>
      <w:spacing w:val="10"/>
      <w:w w:val="90"/>
      <w:sz w:val="24"/>
      <w:szCs w:val="24"/>
      <w:lang w:eastAsia="bg-BG"/>
    </w:rPr>
  </w:style>
  <w:style w:type="paragraph" w:customStyle="1" w:styleId="CharCharCharChar">
    <w:name w:val="Char Char Char Char"/>
    <w:basedOn w:val="Normal"/>
    <w:uiPriority w:val="99"/>
    <w:rsid w:val="00761800"/>
    <w:pPr>
      <w:spacing w:after="160" w:line="240" w:lineRule="exact"/>
    </w:pPr>
    <w:rPr>
      <w:rFonts w:ascii="Tahoma" w:hAnsi="Tahoma"/>
      <w:sz w:val="20"/>
      <w:lang w:val="en-US" w:eastAsia="bg-BG"/>
    </w:rPr>
  </w:style>
  <w:style w:type="character" w:customStyle="1" w:styleId="longtext">
    <w:name w:val="long_text"/>
    <w:uiPriority w:val="99"/>
    <w:rsid w:val="00761800"/>
    <w:rPr>
      <w:rFonts w:cs="Times New Roman"/>
    </w:rPr>
  </w:style>
  <w:style w:type="character" w:customStyle="1" w:styleId="hps">
    <w:name w:val="hps"/>
    <w:uiPriority w:val="99"/>
    <w:rsid w:val="00761800"/>
    <w:rPr>
      <w:rFonts w:cs="Times New Roman"/>
    </w:rPr>
  </w:style>
  <w:style w:type="table" w:customStyle="1" w:styleId="TableGrid11">
    <w:name w:val="Table Grid11"/>
    <w:uiPriority w:val="99"/>
    <w:rsid w:val="00761800"/>
    <w:pPr>
      <w:spacing w:after="200" w:line="276" w:lineRule="auto"/>
    </w:pPr>
    <w:rPr>
      <w:rFonts w:eastAsia="Batang"/>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1">
    <w:name w:val="Title1"/>
    <w:basedOn w:val="Normal"/>
    <w:next w:val="Normal"/>
    <w:uiPriority w:val="10"/>
    <w:qFormat/>
    <w:rsid w:val="00761800"/>
    <w:pPr>
      <w:pBdr>
        <w:bottom w:val="single" w:sz="8" w:space="4" w:color="FE8637"/>
      </w:pBdr>
      <w:spacing w:after="300"/>
      <w:contextualSpacing/>
      <w:jc w:val="both"/>
    </w:pPr>
    <w:rPr>
      <w:rFonts w:ascii="Times New Roman" w:hAnsi="Times New Roman"/>
      <w:color w:val="852010"/>
      <w:spacing w:val="5"/>
      <w:kern w:val="28"/>
      <w:sz w:val="52"/>
      <w:szCs w:val="52"/>
      <w:lang w:eastAsia="bg-BG"/>
    </w:rPr>
  </w:style>
  <w:style w:type="character" w:customStyle="1" w:styleId="TitleChar">
    <w:name w:val="Title Char"/>
    <w:basedOn w:val="DefaultParagraphFont"/>
    <w:link w:val="Title"/>
    <w:uiPriority w:val="10"/>
    <w:locked/>
    <w:rsid w:val="00761800"/>
    <w:rPr>
      <w:rFonts w:ascii="Times New Roman" w:eastAsia="Times New Roman" w:hAnsi="Times New Roman" w:cs="Times New Roman"/>
      <w:color w:val="852010"/>
      <w:spacing w:val="5"/>
      <w:kern w:val="28"/>
      <w:sz w:val="52"/>
      <w:szCs w:val="52"/>
    </w:rPr>
  </w:style>
  <w:style w:type="paragraph" w:customStyle="1" w:styleId="CharCharCharCharCharChar0">
    <w:name w:val="Char Char Char Char Char Char"/>
    <w:basedOn w:val="Normal"/>
    <w:uiPriority w:val="99"/>
    <w:rsid w:val="00761800"/>
    <w:pPr>
      <w:spacing w:before="120" w:after="160" w:line="240" w:lineRule="exact"/>
    </w:pPr>
    <w:rPr>
      <w:rFonts w:ascii="Tahoma" w:hAnsi="Tahoma"/>
      <w:sz w:val="20"/>
      <w:lang w:val="en-US" w:eastAsia="bg-BG"/>
    </w:rPr>
  </w:style>
  <w:style w:type="paragraph" w:customStyle="1" w:styleId="Char">
    <w:name w:val="Char"/>
    <w:basedOn w:val="Normal"/>
    <w:uiPriority w:val="99"/>
    <w:rsid w:val="00761800"/>
    <w:pPr>
      <w:spacing w:after="160" w:line="240" w:lineRule="exact"/>
    </w:pPr>
    <w:rPr>
      <w:rFonts w:ascii="Tahoma" w:hAnsi="Tahoma"/>
      <w:sz w:val="20"/>
      <w:lang w:val="en-US" w:eastAsia="bg-BG"/>
    </w:rPr>
  </w:style>
  <w:style w:type="paragraph" w:styleId="BodyText22">
    <w:name w:val="Body Text 2"/>
    <w:basedOn w:val="Normal"/>
    <w:link w:val="BodyText2Char"/>
    <w:uiPriority w:val="99"/>
    <w:locked/>
    <w:rsid w:val="00761800"/>
    <w:pPr>
      <w:spacing w:after="120" w:line="480" w:lineRule="auto"/>
      <w:jc w:val="both"/>
    </w:pPr>
    <w:rPr>
      <w:rFonts w:ascii="Times New Roman" w:hAnsi="Times New Roman"/>
      <w:szCs w:val="22"/>
      <w:lang w:eastAsia="bg-BG"/>
    </w:rPr>
  </w:style>
  <w:style w:type="character" w:customStyle="1" w:styleId="BodyText2Char">
    <w:name w:val="Body Text 2 Char"/>
    <w:basedOn w:val="DefaultParagraphFont"/>
    <w:link w:val="BodyText22"/>
    <w:uiPriority w:val="99"/>
    <w:rsid w:val="00761800"/>
    <w:rPr>
      <w:sz w:val="24"/>
      <w:szCs w:val="22"/>
    </w:rPr>
  </w:style>
  <w:style w:type="paragraph" w:customStyle="1" w:styleId="Text1">
    <w:name w:val="Text 1"/>
    <w:basedOn w:val="Normal"/>
    <w:uiPriority w:val="99"/>
    <w:rsid w:val="00761800"/>
    <w:pPr>
      <w:spacing w:before="120" w:after="120"/>
      <w:ind w:left="850"/>
      <w:jc w:val="both"/>
    </w:pPr>
    <w:rPr>
      <w:rFonts w:ascii="Times New Roman" w:hAnsi="Times New Roman"/>
      <w:szCs w:val="24"/>
      <w:lang w:eastAsia="bg-BG"/>
    </w:rPr>
  </w:style>
  <w:style w:type="paragraph" w:styleId="BodyText3">
    <w:name w:val="Body Text 3"/>
    <w:basedOn w:val="Normal"/>
    <w:link w:val="BodyText3Char"/>
    <w:uiPriority w:val="99"/>
    <w:locked/>
    <w:rsid w:val="00761800"/>
    <w:pPr>
      <w:spacing w:after="120"/>
      <w:jc w:val="both"/>
    </w:pPr>
    <w:rPr>
      <w:rFonts w:ascii="Times New Roman" w:hAnsi="Times New Roman"/>
      <w:sz w:val="16"/>
      <w:szCs w:val="16"/>
      <w:lang w:eastAsia="bg-BG"/>
    </w:rPr>
  </w:style>
  <w:style w:type="character" w:customStyle="1" w:styleId="BodyText3Char">
    <w:name w:val="Body Text 3 Char"/>
    <w:basedOn w:val="DefaultParagraphFont"/>
    <w:link w:val="BodyText3"/>
    <w:uiPriority w:val="99"/>
    <w:rsid w:val="00761800"/>
    <w:rPr>
      <w:sz w:val="16"/>
      <w:szCs w:val="16"/>
    </w:rPr>
  </w:style>
  <w:style w:type="table" w:styleId="ColorfulList">
    <w:name w:val="Colorful List"/>
    <w:basedOn w:val="TableNormal"/>
    <w:uiPriority w:val="72"/>
    <w:rsid w:val="00761800"/>
    <w:pPr>
      <w:spacing w:after="200" w:line="276" w:lineRule="auto"/>
    </w:pPr>
    <w:rPr>
      <w:color w:val="000000"/>
      <w:sz w:val="22"/>
      <w:szCs w:val="22"/>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ghtShading">
    <w:name w:val="Light Shading"/>
    <w:basedOn w:val="TableNormal"/>
    <w:uiPriority w:val="60"/>
    <w:rsid w:val="00761800"/>
    <w:pPr>
      <w:spacing w:after="200" w:line="276" w:lineRule="auto"/>
    </w:pPr>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2-Accent42">
    <w:name w:val="Medium Grid 2 - Accent 42"/>
    <w:basedOn w:val="TableNormal"/>
    <w:next w:val="MediumGrid2-Accent4"/>
    <w:uiPriority w:val="68"/>
    <w:rsid w:val="00761800"/>
    <w:pPr>
      <w:spacing w:after="200" w:line="276" w:lineRule="auto"/>
    </w:pPr>
    <w:rPr>
      <w:rFonts w:ascii="Cambria" w:hAnsi="Cambria"/>
      <w:color w:val="000000"/>
      <w:sz w:val="22"/>
      <w:szCs w:val="22"/>
      <w:lang w:val="en-US" w:eastAsia="ja-JP"/>
    </w:rPr>
    <w:tblPr>
      <w:tblStyleRowBandSize w:val="1"/>
      <w:tblStyleColBandSize w:val="1"/>
      <w:tblBorders>
        <w:top w:val="single" w:sz="8" w:space="0" w:color="838383"/>
        <w:left w:val="single" w:sz="8" w:space="0" w:color="838383"/>
        <w:bottom w:val="single" w:sz="8" w:space="0" w:color="838383"/>
        <w:right w:val="single" w:sz="8" w:space="0" w:color="838383"/>
        <w:insideH w:val="single" w:sz="8" w:space="0" w:color="838383"/>
        <w:insideV w:val="single" w:sz="8" w:space="0" w:color="838383"/>
      </w:tblBorders>
    </w:tblPr>
    <w:tcPr>
      <w:shd w:val="clear" w:color="auto" w:fill="E0E0E0"/>
    </w:tcPr>
    <w:tblStylePr w:type="firstRow">
      <w:rPr>
        <w:b/>
        <w:bCs/>
        <w:color w:val="000000"/>
      </w:rPr>
      <w:tblPr/>
      <w:tcPr>
        <w:shd w:val="clear" w:color="auto" w:fill="F2F2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6E6E6"/>
      </w:tcPr>
    </w:tblStylePr>
    <w:tblStylePr w:type="band1Vert">
      <w:tblPr/>
      <w:tcPr>
        <w:shd w:val="clear" w:color="auto" w:fill="C1C1C1"/>
      </w:tcPr>
    </w:tblStylePr>
    <w:tblStylePr w:type="band1Horz">
      <w:tblPr/>
      <w:tcPr>
        <w:tcBorders>
          <w:insideH w:val="single" w:sz="6" w:space="0" w:color="838383"/>
          <w:insideV w:val="single" w:sz="6" w:space="0" w:color="838383"/>
        </w:tcBorders>
        <w:shd w:val="clear" w:color="auto" w:fill="C1C1C1"/>
      </w:tcPr>
    </w:tblStylePr>
    <w:tblStylePr w:type="nwCell">
      <w:tblPr/>
      <w:tcPr>
        <w:shd w:val="clear" w:color="auto" w:fill="FFFFFF"/>
      </w:tcPr>
    </w:tblStylePr>
  </w:style>
  <w:style w:type="table" w:styleId="MediumGrid2-Accent4">
    <w:name w:val="Medium Grid 2 Accent 4"/>
    <w:basedOn w:val="TableNormal"/>
    <w:uiPriority w:val="68"/>
    <w:rsid w:val="00761800"/>
    <w:pPr>
      <w:spacing w:after="200" w:line="276" w:lineRule="auto"/>
    </w:pPr>
    <w:rPr>
      <w:rFonts w:ascii="Cambria" w:hAnsi="Cambria"/>
      <w:color w:val="000000"/>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761800"/>
    <w:pPr>
      <w:spacing w:after="200" w:line="276" w:lineRule="auto"/>
    </w:pPr>
    <w:rPr>
      <w:rFonts w:ascii="Cambria" w:hAnsi="Cambria"/>
      <w:color w:val="000000"/>
      <w:sz w:val="22"/>
      <w:szCs w:val="22"/>
      <w:lang w:val="en-US" w:eastAsia="ja-JP"/>
    </w:rPr>
    <w:tblPr>
      <w:tblStyleRowBandSize w:val="1"/>
      <w:tblStyleColBandSize w:val="1"/>
      <w:tblBorders>
        <w:top w:val="single" w:sz="8" w:space="0" w:color="838383"/>
        <w:left w:val="single" w:sz="8" w:space="0" w:color="838383"/>
        <w:bottom w:val="single" w:sz="8" w:space="0" w:color="838383"/>
        <w:right w:val="single" w:sz="8" w:space="0" w:color="838383"/>
        <w:insideH w:val="single" w:sz="8" w:space="0" w:color="838383"/>
        <w:insideV w:val="single" w:sz="8" w:space="0" w:color="838383"/>
      </w:tblBorders>
    </w:tblPr>
    <w:tcPr>
      <w:shd w:val="clear" w:color="auto" w:fill="E0E0E0"/>
    </w:tcPr>
    <w:tblStylePr w:type="firstRow">
      <w:rPr>
        <w:b/>
        <w:bCs/>
        <w:color w:val="000000"/>
      </w:rPr>
      <w:tblPr/>
      <w:tcPr>
        <w:shd w:val="clear" w:color="auto" w:fill="F2F2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6E6E6"/>
      </w:tcPr>
    </w:tblStylePr>
    <w:tblStylePr w:type="band1Vert">
      <w:tblPr/>
      <w:tcPr>
        <w:shd w:val="clear" w:color="auto" w:fill="C1C1C1"/>
      </w:tcPr>
    </w:tblStylePr>
    <w:tblStylePr w:type="band1Horz">
      <w:tblPr/>
      <w:tcPr>
        <w:tcBorders>
          <w:insideH w:val="single" w:sz="6" w:space="0" w:color="838383"/>
          <w:insideV w:val="single" w:sz="6" w:space="0" w:color="838383"/>
        </w:tcBorders>
        <w:shd w:val="clear" w:color="auto" w:fill="C1C1C1"/>
      </w:tcPr>
    </w:tblStylePr>
    <w:tblStylePr w:type="nwCell">
      <w:tblPr/>
      <w:tcPr>
        <w:shd w:val="clear" w:color="auto" w:fill="FFFFFF"/>
      </w:tcPr>
    </w:tblStylePr>
  </w:style>
  <w:style w:type="table" w:customStyle="1" w:styleId="LightShading-Accent61">
    <w:name w:val="Light Shading - Accent 61"/>
    <w:basedOn w:val="TableNormal"/>
    <w:next w:val="LightShading-Accent6"/>
    <w:uiPriority w:val="99"/>
    <w:rsid w:val="00761800"/>
    <w:pPr>
      <w:spacing w:after="200" w:line="276" w:lineRule="auto"/>
    </w:pPr>
    <w:rPr>
      <w:rFonts w:eastAsia="MS Mincho"/>
      <w:color w:val="000000"/>
      <w:sz w:val="22"/>
      <w:szCs w:val="22"/>
      <w:lang w:val="en-GB" w:eastAsia="en-GB" w:bidi="en-GB"/>
    </w:rPr>
    <w:tblPr>
      <w:tblStyleRowBandSize w:val="1"/>
      <w:tblStyleColBandSize w:val="1"/>
      <w:tblInd w:w="113" w:type="dxa"/>
      <w:tblBorders>
        <w:top w:val="single" w:sz="8" w:space="0" w:color="777C84"/>
        <w:bottom w:val="single" w:sz="8" w:space="0" w:color="777C84"/>
      </w:tblBorders>
    </w:tblPr>
    <w:tblStylePr w:type="firstRow">
      <w:pPr>
        <w:spacing w:before="0" w:after="0" w:line="240" w:lineRule="auto"/>
      </w:pPr>
      <w:rPr>
        <w:b/>
        <w:bCs/>
      </w:rPr>
      <w:tblPr/>
      <w:tcPr>
        <w:tcBorders>
          <w:top w:val="single" w:sz="8" w:space="0" w:color="777C84"/>
          <w:left w:val="nil"/>
          <w:bottom w:val="single" w:sz="8" w:space="0" w:color="777C84"/>
          <w:right w:val="nil"/>
          <w:insideH w:val="nil"/>
          <w:insideV w:val="nil"/>
        </w:tcBorders>
      </w:tcPr>
    </w:tblStylePr>
    <w:tblStylePr w:type="lastRow">
      <w:pPr>
        <w:spacing w:before="0" w:after="0" w:line="240" w:lineRule="auto"/>
      </w:pPr>
      <w:rPr>
        <w:b/>
        <w:bCs/>
      </w:rPr>
      <w:tblPr/>
      <w:tcPr>
        <w:tcBorders>
          <w:top w:val="single" w:sz="8" w:space="0" w:color="777C84"/>
          <w:left w:val="nil"/>
          <w:bottom w:val="single" w:sz="8" w:space="0" w:color="777C8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EE0"/>
      </w:tcPr>
    </w:tblStylePr>
    <w:tblStylePr w:type="band1Horz">
      <w:tblPr/>
      <w:tcPr>
        <w:tcBorders>
          <w:left w:val="nil"/>
          <w:right w:val="nil"/>
          <w:insideH w:val="nil"/>
          <w:insideV w:val="nil"/>
        </w:tcBorders>
        <w:shd w:val="clear" w:color="auto" w:fill="DDDEE0"/>
      </w:tcPr>
    </w:tblStylePr>
  </w:style>
  <w:style w:type="table" w:styleId="LightShading-Accent6">
    <w:name w:val="Light Shading Accent 6"/>
    <w:basedOn w:val="TableNormal"/>
    <w:uiPriority w:val="60"/>
    <w:rsid w:val="00761800"/>
    <w:pPr>
      <w:spacing w:after="200" w:line="276" w:lineRule="auto"/>
    </w:pPr>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Shading1-Accent21">
    <w:name w:val="Medium Shading 1 - Accent 21"/>
    <w:basedOn w:val="TableNormal"/>
    <w:next w:val="MediumShading1-Accent2"/>
    <w:uiPriority w:val="63"/>
    <w:rsid w:val="00761800"/>
    <w:pPr>
      <w:spacing w:after="200" w:line="276" w:lineRule="auto"/>
    </w:pPr>
    <w:rPr>
      <w:sz w:val="22"/>
      <w:szCs w:val="22"/>
    </w:rPr>
    <w:tblPr>
      <w:tblStyleRowBandSize w:val="1"/>
      <w:tblStyleColBandSize w:val="1"/>
      <w:tblBorders>
        <w:top w:val="single" w:sz="8" w:space="0" w:color="73A2DE"/>
        <w:left w:val="single" w:sz="8" w:space="0" w:color="73A2DE"/>
        <w:bottom w:val="single" w:sz="8" w:space="0" w:color="73A2DE"/>
        <w:right w:val="single" w:sz="8" w:space="0" w:color="73A2DE"/>
        <w:insideH w:val="single" w:sz="8" w:space="0" w:color="73A2DE"/>
      </w:tblBorders>
    </w:tblPr>
    <w:tblStylePr w:type="firstRow">
      <w:pPr>
        <w:spacing w:before="0" w:after="0" w:line="240" w:lineRule="auto"/>
      </w:pPr>
      <w:rPr>
        <w:b/>
        <w:bCs/>
        <w:color w:val="FFFFFF"/>
      </w:rPr>
      <w:tblPr/>
      <w:tcPr>
        <w:tcBorders>
          <w:top w:val="single" w:sz="8" w:space="0" w:color="73A2DE"/>
          <w:left w:val="single" w:sz="8" w:space="0" w:color="73A2DE"/>
          <w:bottom w:val="single" w:sz="8" w:space="0" w:color="73A2DE"/>
          <w:right w:val="single" w:sz="8" w:space="0" w:color="73A2DE"/>
          <w:insideH w:val="nil"/>
          <w:insideV w:val="nil"/>
        </w:tcBorders>
        <w:shd w:val="clear" w:color="auto" w:fill="4584D3"/>
      </w:tcPr>
    </w:tblStylePr>
    <w:tblStylePr w:type="lastRow">
      <w:pPr>
        <w:spacing w:before="0" w:after="0" w:line="240" w:lineRule="auto"/>
      </w:pPr>
      <w:rPr>
        <w:b/>
        <w:bCs/>
      </w:rPr>
      <w:tblPr/>
      <w:tcPr>
        <w:tcBorders>
          <w:top w:val="double" w:sz="6" w:space="0" w:color="73A2DE"/>
          <w:left w:val="single" w:sz="8" w:space="0" w:color="73A2DE"/>
          <w:bottom w:val="single" w:sz="8" w:space="0" w:color="73A2DE"/>
          <w:right w:val="single" w:sz="8" w:space="0" w:color="73A2DE"/>
          <w:insideH w:val="nil"/>
          <w:insideV w:val="nil"/>
        </w:tcBorders>
      </w:tcPr>
    </w:tblStylePr>
    <w:tblStylePr w:type="firstCol">
      <w:rPr>
        <w:b/>
        <w:bCs/>
      </w:rPr>
    </w:tblStylePr>
    <w:tblStylePr w:type="lastCol">
      <w:rPr>
        <w:b/>
        <w:bCs/>
      </w:rPr>
    </w:tblStylePr>
    <w:tblStylePr w:type="band1Vert">
      <w:tblPr/>
      <w:tcPr>
        <w:shd w:val="clear" w:color="auto" w:fill="D0E0F4"/>
      </w:tcPr>
    </w:tblStylePr>
    <w:tblStylePr w:type="band1Horz">
      <w:tblPr/>
      <w:tcPr>
        <w:tcBorders>
          <w:insideH w:val="nil"/>
          <w:insideV w:val="nil"/>
        </w:tcBorders>
        <w:shd w:val="clear" w:color="auto" w:fill="D0E0F4"/>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61800"/>
    <w:pPr>
      <w:spacing w:after="200" w:line="276" w:lineRule="auto"/>
    </w:pPr>
    <w:rPr>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TableGrid2">
    <w:name w:val="Table Grid2"/>
    <w:basedOn w:val="TableNormal"/>
    <w:next w:val="TableGrid"/>
    <w:uiPriority w:val="59"/>
    <w:rsid w:val="00761800"/>
    <w:pPr>
      <w:spacing w:after="200" w:line="276"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761800"/>
  </w:style>
  <w:style w:type="paragraph" w:styleId="EndnoteText">
    <w:name w:val="endnote text"/>
    <w:basedOn w:val="Normal"/>
    <w:link w:val="EndnoteTextChar"/>
    <w:locked/>
    <w:rsid w:val="00761800"/>
    <w:pPr>
      <w:spacing w:after="200"/>
      <w:jc w:val="both"/>
    </w:pPr>
    <w:rPr>
      <w:rFonts w:ascii="Times New Roman" w:eastAsia="Batang" w:hAnsi="Times New Roman"/>
      <w:sz w:val="20"/>
      <w:lang w:eastAsia="bg-BG"/>
    </w:rPr>
  </w:style>
  <w:style w:type="character" w:customStyle="1" w:styleId="EndnoteTextChar">
    <w:name w:val="Endnote Text Char"/>
    <w:basedOn w:val="DefaultParagraphFont"/>
    <w:link w:val="EndnoteText"/>
    <w:rsid w:val="00761800"/>
    <w:rPr>
      <w:rFonts w:eastAsia="Batang"/>
    </w:rPr>
  </w:style>
  <w:style w:type="character" w:styleId="EndnoteReference">
    <w:name w:val="endnote reference"/>
    <w:locked/>
    <w:rsid w:val="00761800"/>
    <w:rPr>
      <w:vertAlign w:val="superscript"/>
    </w:rPr>
  </w:style>
  <w:style w:type="table" w:customStyle="1" w:styleId="MediumShading1-Accent211">
    <w:name w:val="Medium Shading 1 - Accent 211"/>
    <w:basedOn w:val="TableNormal"/>
    <w:next w:val="MediumShading1-Accent2"/>
    <w:uiPriority w:val="63"/>
    <w:rsid w:val="00761800"/>
    <w:pPr>
      <w:spacing w:after="200" w:line="276" w:lineRule="auto"/>
    </w:pPr>
    <w:rPr>
      <w:sz w:val="22"/>
      <w:szCs w:val="22"/>
    </w:rPr>
    <w:tblPr>
      <w:tblStyleRowBandSize w:val="1"/>
      <w:tblStyleColBandSize w:val="1"/>
      <w:tblBorders>
        <w:top w:val="single" w:sz="8" w:space="0" w:color="73A2DE"/>
        <w:left w:val="single" w:sz="8" w:space="0" w:color="73A2DE"/>
        <w:bottom w:val="single" w:sz="8" w:space="0" w:color="73A2DE"/>
        <w:right w:val="single" w:sz="8" w:space="0" w:color="73A2DE"/>
        <w:insideH w:val="single" w:sz="8" w:space="0" w:color="73A2DE"/>
      </w:tblBorders>
    </w:tblPr>
    <w:tblStylePr w:type="firstRow">
      <w:pPr>
        <w:spacing w:before="0" w:after="0" w:line="240" w:lineRule="auto"/>
      </w:pPr>
      <w:rPr>
        <w:b/>
        <w:bCs/>
        <w:color w:val="FFFFFF"/>
      </w:rPr>
      <w:tblPr/>
      <w:tcPr>
        <w:tcBorders>
          <w:top w:val="single" w:sz="8" w:space="0" w:color="73A2DE"/>
          <w:left w:val="single" w:sz="8" w:space="0" w:color="73A2DE"/>
          <w:bottom w:val="single" w:sz="8" w:space="0" w:color="73A2DE"/>
          <w:right w:val="single" w:sz="8" w:space="0" w:color="73A2DE"/>
          <w:insideH w:val="nil"/>
          <w:insideV w:val="nil"/>
        </w:tcBorders>
        <w:shd w:val="clear" w:color="auto" w:fill="4584D3"/>
      </w:tcPr>
    </w:tblStylePr>
    <w:tblStylePr w:type="lastRow">
      <w:pPr>
        <w:spacing w:before="0" w:after="0" w:line="240" w:lineRule="auto"/>
      </w:pPr>
      <w:rPr>
        <w:b/>
        <w:bCs/>
      </w:rPr>
      <w:tblPr/>
      <w:tcPr>
        <w:tcBorders>
          <w:top w:val="double" w:sz="6" w:space="0" w:color="73A2DE"/>
          <w:left w:val="single" w:sz="8" w:space="0" w:color="73A2DE"/>
          <w:bottom w:val="single" w:sz="8" w:space="0" w:color="73A2DE"/>
          <w:right w:val="single" w:sz="8" w:space="0" w:color="73A2DE"/>
          <w:insideH w:val="nil"/>
          <w:insideV w:val="nil"/>
        </w:tcBorders>
      </w:tcPr>
    </w:tblStylePr>
    <w:tblStylePr w:type="firstCol">
      <w:rPr>
        <w:b/>
        <w:bCs/>
      </w:rPr>
    </w:tblStylePr>
    <w:tblStylePr w:type="lastCol">
      <w:rPr>
        <w:b/>
        <w:bCs/>
      </w:rPr>
    </w:tblStylePr>
    <w:tblStylePr w:type="band1Vert">
      <w:tblPr/>
      <w:tcPr>
        <w:shd w:val="clear" w:color="auto" w:fill="D0E0F4"/>
      </w:tcPr>
    </w:tblStylePr>
    <w:tblStylePr w:type="band1Horz">
      <w:tblPr/>
      <w:tcPr>
        <w:tcBorders>
          <w:insideH w:val="nil"/>
          <w:insideV w:val="nil"/>
        </w:tcBorders>
        <w:shd w:val="clear" w:color="auto" w:fill="D0E0F4"/>
      </w:tcPr>
    </w:tblStylePr>
    <w:tblStylePr w:type="band2Horz">
      <w:tblPr/>
      <w:tcPr>
        <w:tcBorders>
          <w:insideH w:val="nil"/>
          <w:insideV w:val="nil"/>
        </w:tcBorders>
      </w:tcPr>
    </w:tblStylePr>
  </w:style>
  <w:style w:type="paragraph" w:styleId="TableofFigures">
    <w:name w:val="table of figures"/>
    <w:basedOn w:val="Normal"/>
    <w:next w:val="Normal"/>
    <w:uiPriority w:val="99"/>
    <w:unhideWhenUsed/>
    <w:locked/>
    <w:rsid w:val="00761800"/>
    <w:pPr>
      <w:jc w:val="both"/>
    </w:pPr>
    <w:rPr>
      <w:rFonts w:ascii="Times New Roman" w:hAnsi="Times New Roman"/>
      <w:szCs w:val="22"/>
      <w:lang w:eastAsia="en-GB"/>
    </w:rPr>
  </w:style>
  <w:style w:type="table" w:customStyle="1" w:styleId="TableGrid3">
    <w:name w:val="Table Grid3"/>
    <w:basedOn w:val="TableNormal"/>
    <w:next w:val="TableGrid"/>
    <w:uiPriority w:val="59"/>
    <w:rsid w:val="00761800"/>
    <w:pPr>
      <w:spacing w:after="200" w:line="276"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61800"/>
    <w:pPr>
      <w:spacing w:after="200" w:line="276"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graf">
    <w:name w:val="text_graf"/>
    <w:basedOn w:val="Normal"/>
    <w:qFormat/>
    <w:rsid w:val="00761800"/>
    <w:pPr>
      <w:spacing w:after="60"/>
      <w:ind w:left="567"/>
      <w:jc w:val="both"/>
    </w:pPr>
    <w:rPr>
      <w:rFonts w:ascii="Times New Roman" w:hAnsi="Times New Roman"/>
      <w:sz w:val="20"/>
      <w:szCs w:val="22"/>
      <w:lang w:eastAsia="bg-BG"/>
    </w:rPr>
  </w:style>
  <w:style w:type="paragraph" w:customStyle="1" w:styleId="Source0">
    <w:name w:val="Source"/>
    <w:basedOn w:val="Normal"/>
    <w:qFormat/>
    <w:rsid w:val="00761800"/>
    <w:pPr>
      <w:spacing w:before="60" w:after="200"/>
      <w:jc w:val="right"/>
    </w:pPr>
    <w:rPr>
      <w:rFonts w:ascii="Times New Roman" w:hAnsi="Times New Roman"/>
      <w:sz w:val="20"/>
      <w:szCs w:val="22"/>
      <w:lang w:eastAsia="bg-BG"/>
    </w:rPr>
  </w:style>
  <w:style w:type="paragraph" w:customStyle="1" w:styleId="texttable">
    <w:name w:val="text_table"/>
    <w:basedOn w:val="Normal"/>
    <w:qFormat/>
    <w:rsid w:val="00761800"/>
    <w:pPr>
      <w:spacing w:before="40" w:after="40"/>
    </w:pPr>
    <w:rPr>
      <w:rFonts w:ascii="Times New Roman" w:hAnsi="Times New Roman"/>
      <w:bCs/>
      <w:sz w:val="20"/>
      <w:lang w:eastAsia="bg-BG"/>
    </w:rPr>
  </w:style>
  <w:style w:type="paragraph" w:customStyle="1" w:styleId="a">
    <w:name w:val="Първи ред"/>
    <w:basedOn w:val="Normal"/>
    <w:qFormat/>
    <w:rsid w:val="00761800"/>
    <w:pPr>
      <w:spacing w:after="200"/>
      <w:ind w:firstLine="578"/>
      <w:jc w:val="both"/>
    </w:pPr>
    <w:rPr>
      <w:rFonts w:ascii="Times New Roman" w:hAnsi="Times New Roman"/>
      <w:szCs w:val="22"/>
      <w:lang w:eastAsia="zh-CN"/>
    </w:rPr>
  </w:style>
  <w:style w:type="character" w:customStyle="1" w:styleId="Heading9Char">
    <w:name w:val="Heading 9 Char"/>
    <w:basedOn w:val="DefaultParagraphFont"/>
    <w:link w:val="Heading9"/>
    <w:uiPriority w:val="9"/>
    <w:semiHidden/>
    <w:rsid w:val="00761800"/>
    <w:rPr>
      <w:rFonts w:ascii="Times New Roman" w:eastAsia="Times New Roman" w:hAnsi="Times New Roman" w:cs="Times New Roman"/>
      <w:i/>
      <w:iCs/>
      <w:sz w:val="20"/>
      <w:szCs w:val="20"/>
    </w:rPr>
  </w:style>
  <w:style w:type="paragraph" w:customStyle="1" w:styleId="Subtitle1">
    <w:name w:val="Subtitle1"/>
    <w:basedOn w:val="Normal"/>
    <w:next w:val="Normal"/>
    <w:uiPriority w:val="11"/>
    <w:qFormat/>
    <w:rsid w:val="00761800"/>
    <w:pPr>
      <w:numPr>
        <w:ilvl w:val="1"/>
      </w:numPr>
      <w:spacing w:after="200"/>
      <w:jc w:val="both"/>
    </w:pPr>
    <w:rPr>
      <w:rFonts w:ascii="Times New Roman" w:hAnsi="Times New Roman"/>
      <w:i/>
      <w:iCs/>
      <w:color w:val="FE8637"/>
      <w:spacing w:val="15"/>
      <w:szCs w:val="24"/>
      <w:lang w:eastAsia="bg-BG"/>
    </w:rPr>
  </w:style>
  <w:style w:type="character" w:customStyle="1" w:styleId="SubtitleChar">
    <w:name w:val="Subtitle Char"/>
    <w:basedOn w:val="DefaultParagraphFont"/>
    <w:link w:val="Subtitle"/>
    <w:uiPriority w:val="11"/>
    <w:rsid w:val="00761800"/>
    <w:rPr>
      <w:rFonts w:ascii="Times New Roman" w:eastAsia="Times New Roman" w:hAnsi="Times New Roman" w:cs="Times New Roman"/>
      <w:i/>
      <w:iCs/>
      <w:color w:val="FE8637"/>
      <w:spacing w:val="15"/>
      <w:sz w:val="24"/>
      <w:szCs w:val="24"/>
    </w:rPr>
  </w:style>
  <w:style w:type="character" w:styleId="Strong">
    <w:name w:val="Strong"/>
    <w:basedOn w:val="DefaultParagraphFont"/>
    <w:uiPriority w:val="22"/>
    <w:qFormat/>
    <w:rsid w:val="00761800"/>
    <w:rPr>
      <w:b/>
      <w:bCs/>
    </w:rPr>
  </w:style>
  <w:style w:type="paragraph" w:customStyle="1" w:styleId="Quote1">
    <w:name w:val="Quote1"/>
    <w:basedOn w:val="Normal"/>
    <w:next w:val="Normal"/>
    <w:uiPriority w:val="29"/>
    <w:qFormat/>
    <w:rsid w:val="00761800"/>
    <w:pPr>
      <w:spacing w:after="200"/>
      <w:jc w:val="both"/>
    </w:pPr>
    <w:rPr>
      <w:rFonts w:ascii="Times New Roman" w:hAnsi="Times New Roman"/>
      <w:i/>
      <w:iCs/>
      <w:color w:val="000000"/>
      <w:sz w:val="22"/>
      <w:szCs w:val="22"/>
      <w:lang w:eastAsia="bg-BG"/>
    </w:rPr>
  </w:style>
  <w:style w:type="character" w:customStyle="1" w:styleId="QuoteChar">
    <w:name w:val="Quote Char"/>
    <w:basedOn w:val="DefaultParagraphFont"/>
    <w:link w:val="Quote"/>
    <w:uiPriority w:val="29"/>
    <w:rsid w:val="00761800"/>
    <w:rPr>
      <w:i/>
      <w:iCs/>
      <w:color w:val="000000"/>
    </w:rPr>
  </w:style>
  <w:style w:type="paragraph" w:customStyle="1" w:styleId="IntenseQuote1">
    <w:name w:val="Intense Quote1"/>
    <w:basedOn w:val="Normal"/>
    <w:next w:val="Normal"/>
    <w:uiPriority w:val="30"/>
    <w:qFormat/>
    <w:rsid w:val="00761800"/>
    <w:pPr>
      <w:pBdr>
        <w:bottom w:val="single" w:sz="4" w:space="4" w:color="FE8637"/>
      </w:pBdr>
      <w:spacing w:before="200" w:after="280"/>
      <w:ind w:left="936" w:right="936"/>
      <w:jc w:val="both"/>
    </w:pPr>
    <w:rPr>
      <w:rFonts w:ascii="Times New Roman" w:hAnsi="Times New Roman"/>
      <w:b/>
      <w:bCs/>
      <w:i/>
      <w:iCs/>
      <w:color w:val="FE8637"/>
      <w:sz w:val="22"/>
      <w:szCs w:val="22"/>
      <w:lang w:eastAsia="bg-BG"/>
    </w:rPr>
  </w:style>
  <w:style w:type="character" w:customStyle="1" w:styleId="IntenseQuoteChar">
    <w:name w:val="Intense Quote Char"/>
    <w:basedOn w:val="DefaultParagraphFont"/>
    <w:link w:val="IntenseQuote"/>
    <w:uiPriority w:val="30"/>
    <w:rsid w:val="00761800"/>
    <w:rPr>
      <w:b/>
      <w:bCs/>
      <w:i/>
      <w:iCs/>
      <w:color w:val="FE8637"/>
    </w:rPr>
  </w:style>
  <w:style w:type="character" w:customStyle="1" w:styleId="SubtleEmphasis1">
    <w:name w:val="Subtle Emphasis1"/>
    <w:basedOn w:val="DefaultParagraphFont"/>
    <w:uiPriority w:val="19"/>
    <w:qFormat/>
    <w:rsid w:val="00761800"/>
    <w:rPr>
      <w:i/>
      <w:iCs/>
      <w:color w:val="808080"/>
    </w:rPr>
  </w:style>
  <w:style w:type="character" w:customStyle="1" w:styleId="IntenseEmphasis1">
    <w:name w:val="Intense Emphasis1"/>
    <w:basedOn w:val="DefaultParagraphFont"/>
    <w:uiPriority w:val="21"/>
    <w:qFormat/>
    <w:rsid w:val="00761800"/>
    <w:rPr>
      <w:b/>
      <w:bCs/>
      <w:i/>
      <w:iCs/>
      <w:color w:val="FE8637"/>
    </w:rPr>
  </w:style>
  <w:style w:type="character" w:customStyle="1" w:styleId="SubtleReference1">
    <w:name w:val="Subtle Reference1"/>
    <w:basedOn w:val="DefaultParagraphFont"/>
    <w:uiPriority w:val="31"/>
    <w:qFormat/>
    <w:rsid w:val="00761800"/>
    <w:rPr>
      <w:smallCaps/>
      <w:color w:val="7598D9"/>
      <w:u w:val="single"/>
    </w:rPr>
  </w:style>
  <w:style w:type="character" w:customStyle="1" w:styleId="IntenseReference1">
    <w:name w:val="Intense Reference1"/>
    <w:basedOn w:val="DefaultParagraphFont"/>
    <w:uiPriority w:val="32"/>
    <w:qFormat/>
    <w:rsid w:val="00761800"/>
    <w:rPr>
      <w:b/>
      <w:bCs/>
      <w:smallCaps/>
      <w:color w:val="7598D9"/>
      <w:spacing w:val="5"/>
      <w:u w:val="single"/>
    </w:rPr>
  </w:style>
  <w:style w:type="character" w:styleId="BookTitle">
    <w:name w:val="Book Title"/>
    <w:basedOn w:val="DefaultParagraphFont"/>
    <w:uiPriority w:val="33"/>
    <w:qFormat/>
    <w:rsid w:val="00761800"/>
    <w:rPr>
      <w:b/>
      <w:bCs/>
      <w:smallCaps/>
      <w:spacing w:val="5"/>
    </w:rPr>
  </w:style>
  <w:style w:type="table" w:customStyle="1" w:styleId="LightGrid-Accent11">
    <w:name w:val="Light Grid - Accent 11"/>
    <w:basedOn w:val="TableNormal"/>
    <w:next w:val="LightGrid-Accent1"/>
    <w:uiPriority w:val="62"/>
    <w:rsid w:val="00761800"/>
    <w:rPr>
      <w:sz w:val="22"/>
      <w:szCs w:val="22"/>
    </w:rPr>
    <w:tblPr>
      <w:tblStyleRowBandSize w:val="1"/>
      <w:tblStyleColBandSize w:val="1"/>
      <w:tblBorders>
        <w:top w:val="single" w:sz="8" w:space="0" w:color="FE8637"/>
        <w:left w:val="single" w:sz="8" w:space="0" w:color="FE8637"/>
        <w:bottom w:val="single" w:sz="8" w:space="0" w:color="FE8637"/>
        <w:right w:val="single" w:sz="8" w:space="0" w:color="FE8637"/>
        <w:insideH w:val="single" w:sz="8" w:space="0" w:color="FE8637"/>
        <w:insideV w:val="single" w:sz="8" w:space="0" w:color="FE8637"/>
      </w:tblBorders>
    </w:tblPr>
    <w:tblStylePr w:type="firstRow">
      <w:pPr>
        <w:spacing w:before="0" w:after="0" w:line="240" w:lineRule="auto"/>
      </w:pPr>
      <w:rPr>
        <w:rFonts w:ascii="Times New Roman" w:eastAsia="Times New Roman" w:hAnsi="Times New Roman" w:cs="Times New Roman"/>
        <w:b/>
        <w:bCs/>
      </w:rPr>
      <w:tblPr/>
      <w:tcPr>
        <w:tcBorders>
          <w:top w:val="single" w:sz="8" w:space="0" w:color="FE8637"/>
          <w:left w:val="single" w:sz="8" w:space="0" w:color="FE8637"/>
          <w:bottom w:val="single" w:sz="18" w:space="0" w:color="FE8637"/>
          <w:right w:val="single" w:sz="8" w:space="0" w:color="FE8637"/>
          <w:insideH w:val="nil"/>
          <w:insideV w:val="single" w:sz="8" w:space="0" w:color="FE8637"/>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E8637"/>
          <w:left w:val="single" w:sz="8" w:space="0" w:color="FE8637"/>
          <w:bottom w:val="single" w:sz="8" w:space="0" w:color="FE8637"/>
          <w:right w:val="single" w:sz="8" w:space="0" w:color="FE8637"/>
          <w:insideH w:val="nil"/>
          <w:insideV w:val="single" w:sz="8" w:space="0" w:color="FE8637"/>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E8637"/>
          <w:left w:val="single" w:sz="8" w:space="0" w:color="FE8637"/>
          <w:bottom w:val="single" w:sz="8" w:space="0" w:color="FE8637"/>
          <w:right w:val="single" w:sz="8" w:space="0" w:color="FE8637"/>
        </w:tcBorders>
      </w:tcPr>
    </w:tblStylePr>
    <w:tblStylePr w:type="band1Vert">
      <w:tblPr/>
      <w:tcPr>
        <w:tcBorders>
          <w:top w:val="single" w:sz="8" w:space="0" w:color="FE8637"/>
          <w:left w:val="single" w:sz="8" w:space="0" w:color="FE8637"/>
          <w:bottom w:val="single" w:sz="8" w:space="0" w:color="FE8637"/>
          <w:right w:val="single" w:sz="8" w:space="0" w:color="FE8637"/>
        </w:tcBorders>
        <w:shd w:val="clear" w:color="auto" w:fill="FEE1CD"/>
      </w:tcPr>
    </w:tblStylePr>
    <w:tblStylePr w:type="band1Horz">
      <w:tblPr/>
      <w:tcPr>
        <w:tcBorders>
          <w:top w:val="single" w:sz="8" w:space="0" w:color="FE8637"/>
          <w:left w:val="single" w:sz="8" w:space="0" w:color="FE8637"/>
          <w:bottom w:val="single" w:sz="8" w:space="0" w:color="FE8637"/>
          <w:right w:val="single" w:sz="8" w:space="0" w:color="FE8637"/>
          <w:insideV w:val="single" w:sz="8" w:space="0" w:color="FE8637"/>
        </w:tcBorders>
        <w:shd w:val="clear" w:color="auto" w:fill="FEE1CD"/>
      </w:tcPr>
    </w:tblStylePr>
    <w:tblStylePr w:type="band2Horz">
      <w:tblPr/>
      <w:tcPr>
        <w:tcBorders>
          <w:top w:val="single" w:sz="8" w:space="0" w:color="FE8637"/>
          <w:left w:val="single" w:sz="8" w:space="0" w:color="FE8637"/>
          <w:bottom w:val="single" w:sz="8" w:space="0" w:color="FE8637"/>
          <w:right w:val="single" w:sz="8" w:space="0" w:color="FE8637"/>
          <w:insideV w:val="single" w:sz="8" w:space="0" w:color="FE8637"/>
        </w:tcBorders>
      </w:tcPr>
    </w:tblStylePr>
  </w:style>
  <w:style w:type="table" w:customStyle="1" w:styleId="MediumList1-Accent31">
    <w:name w:val="Medium List 1 - Accent 31"/>
    <w:basedOn w:val="TableNormal"/>
    <w:next w:val="MediumList1-Accent3"/>
    <w:uiPriority w:val="65"/>
    <w:rsid w:val="00761800"/>
    <w:rPr>
      <w:color w:val="000000"/>
      <w:sz w:val="22"/>
      <w:szCs w:val="22"/>
    </w:rPr>
    <w:tblPr>
      <w:tblStyleRowBandSize w:val="1"/>
      <w:tblStyleColBandSize w:val="1"/>
      <w:tblBorders>
        <w:top w:val="single" w:sz="8" w:space="0" w:color="B32C16"/>
        <w:bottom w:val="single" w:sz="8" w:space="0" w:color="B32C16"/>
      </w:tblBorders>
    </w:tblPr>
    <w:tblStylePr w:type="firstRow">
      <w:rPr>
        <w:rFonts w:ascii="Times New Roman" w:eastAsia="Times New Roman" w:hAnsi="Times New Roman" w:cs="Times New Roman"/>
      </w:rPr>
      <w:tblPr/>
      <w:tcPr>
        <w:tcBorders>
          <w:top w:val="nil"/>
          <w:bottom w:val="single" w:sz="8" w:space="0" w:color="B32C16"/>
        </w:tcBorders>
      </w:tcPr>
    </w:tblStylePr>
    <w:tblStylePr w:type="lastRow">
      <w:rPr>
        <w:b/>
        <w:bCs/>
        <w:color w:val="575F6D"/>
      </w:rPr>
      <w:tblPr/>
      <w:tcPr>
        <w:tcBorders>
          <w:top w:val="single" w:sz="8" w:space="0" w:color="B32C16"/>
          <w:bottom w:val="single" w:sz="8" w:space="0" w:color="B32C16"/>
        </w:tcBorders>
      </w:tcPr>
    </w:tblStylePr>
    <w:tblStylePr w:type="firstCol">
      <w:rPr>
        <w:b/>
        <w:bCs/>
      </w:rPr>
    </w:tblStylePr>
    <w:tblStylePr w:type="lastCol">
      <w:rPr>
        <w:b/>
        <w:bCs/>
      </w:rPr>
      <w:tblPr/>
      <w:tcPr>
        <w:tcBorders>
          <w:top w:val="single" w:sz="8" w:space="0" w:color="B32C16"/>
          <w:bottom w:val="single" w:sz="8" w:space="0" w:color="B32C16"/>
        </w:tcBorders>
      </w:tcPr>
    </w:tblStylePr>
    <w:tblStylePr w:type="band1Vert">
      <w:tblPr/>
      <w:tcPr>
        <w:shd w:val="clear" w:color="auto" w:fill="F6C2BA"/>
      </w:tcPr>
    </w:tblStylePr>
    <w:tblStylePr w:type="band1Horz">
      <w:tblPr/>
      <w:tcPr>
        <w:shd w:val="clear" w:color="auto" w:fill="F6C2BA"/>
      </w:tcPr>
    </w:tblStylePr>
  </w:style>
  <w:style w:type="table" w:customStyle="1" w:styleId="LightShading-Accent31">
    <w:name w:val="Light Shading - Accent 31"/>
    <w:basedOn w:val="TableNormal"/>
    <w:next w:val="LightShading-Accent3"/>
    <w:uiPriority w:val="60"/>
    <w:rsid w:val="00761800"/>
    <w:rPr>
      <w:color w:val="852010"/>
      <w:sz w:val="22"/>
      <w:szCs w:val="22"/>
    </w:rPr>
    <w:tblPr>
      <w:tblStyleRowBandSize w:val="1"/>
      <w:tblStyleColBandSize w:val="1"/>
      <w:tblBorders>
        <w:top w:val="single" w:sz="8" w:space="0" w:color="B32C16"/>
        <w:bottom w:val="single" w:sz="8" w:space="0" w:color="B32C16"/>
      </w:tblBorders>
    </w:tblPr>
    <w:tblStylePr w:type="firstRow">
      <w:pPr>
        <w:spacing w:before="0" w:after="0" w:line="240" w:lineRule="auto"/>
      </w:pPr>
      <w:rPr>
        <w:b/>
        <w:bCs/>
      </w:rPr>
      <w:tblPr/>
      <w:tcPr>
        <w:tcBorders>
          <w:top w:val="single" w:sz="8" w:space="0" w:color="B32C16"/>
          <w:left w:val="nil"/>
          <w:bottom w:val="single" w:sz="8" w:space="0" w:color="B32C16"/>
          <w:right w:val="nil"/>
          <w:insideH w:val="nil"/>
          <w:insideV w:val="nil"/>
        </w:tcBorders>
      </w:tcPr>
    </w:tblStylePr>
    <w:tblStylePr w:type="lastRow">
      <w:pPr>
        <w:spacing w:before="0" w:after="0" w:line="240" w:lineRule="auto"/>
      </w:pPr>
      <w:rPr>
        <w:b/>
        <w:bCs/>
      </w:rPr>
      <w:tblPr/>
      <w:tcPr>
        <w:tcBorders>
          <w:top w:val="single" w:sz="8" w:space="0" w:color="B32C16"/>
          <w:left w:val="nil"/>
          <w:bottom w:val="single" w:sz="8" w:space="0" w:color="B32C1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C2BA"/>
      </w:tcPr>
    </w:tblStylePr>
    <w:tblStylePr w:type="band1Horz">
      <w:tblPr/>
      <w:tcPr>
        <w:tcBorders>
          <w:left w:val="nil"/>
          <w:right w:val="nil"/>
          <w:insideH w:val="nil"/>
          <w:insideV w:val="nil"/>
        </w:tcBorders>
        <w:shd w:val="clear" w:color="auto" w:fill="F6C2BA"/>
      </w:tcPr>
    </w:tblStylePr>
  </w:style>
  <w:style w:type="table" w:customStyle="1" w:styleId="GridTable5Dark-Accent11">
    <w:name w:val="Grid Table 5 Dark - Accent 11"/>
    <w:basedOn w:val="TableNormal"/>
    <w:uiPriority w:val="50"/>
    <w:rsid w:val="00761800"/>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EE6D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E863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E863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E863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E8637"/>
      </w:tcPr>
    </w:tblStylePr>
    <w:tblStylePr w:type="band1Vert">
      <w:tblPr/>
      <w:tcPr>
        <w:shd w:val="clear" w:color="auto" w:fill="FECEAE"/>
      </w:tcPr>
    </w:tblStylePr>
    <w:tblStylePr w:type="band1Horz">
      <w:tblPr/>
      <w:tcPr>
        <w:shd w:val="clear" w:color="auto" w:fill="FECEAE"/>
      </w:tcPr>
    </w:tblStylePr>
  </w:style>
  <w:style w:type="table" w:customStyle="1" w:styleId="MediumShading1-Accent22">
    <w:name w:val="Medium Shading 1 - Accent 22"/>
    <w:basedOn w:val="TableNormal"/>
    <w:next w:val="MediumShading1-Accent2"/>
    <w:uiPriority w:val="63"/>
    <w:rsid w:val="00761800"/>
    <w:pPr>
      <w:spacing w:after="200" w:line="276" w:lineRule="auto"/>
    </w:pPr>
    <w:rPr>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FontStyle14">
    <w:name w:val="Font Style14"/>
    <w:basedOn w:val="DefaultParagraphFont"/>
    <w:uiPriority w:val="99"/>
    <w:rsid w:val="00761800"/>
    <w:rPr>
      <w:rFonts w:ascii="Times New Roman" w:hAnsi="Times New Roman" w:cs="Times New Roman"/>
      <w:sz w:val="22"/>
      <w:szCs w:val="22"/>
    </w:rPr>
  </w:style>
  <w:style w:type="numbering" w:customStyle="1" w:styleId="NoList21">
    <w:name w:val="No List21"/>
    <w:next w:val="NoList"/>
    <w:uiPriority w:val="99"/>
    <w:semiHidden/>
    <w:unhideWhenUsed/>
    <w:rsid w:val="00761800"/>
  </w:style>
  <w:style w:type="table" w:customStyle="1" w:styleId="GridTable6Colorful-Accent11">
    <w:name w:val="Grid Table 6 Colorful - Accent 11"/>
    <w:basedOn w:val="TableNormal"/>
    <w:next w:val="GridTable6Colorful-Accent1"/>
    <w:uiPriority w:val="51"/>
    <w:rsid w:val="00761800"/>
    <w:rPr>
      <w:rFonts w:eastAsia="Calibri"/>
      <w:color w:val="2E74B5"/>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2">
    <w:name w:val="Grid Table 6 Colorful - Accent 12"/>
    <w:basedOn w:val="TableNormal"/>
    <w:next w:val="GridTable6Colorful-Accent1"/>
    <w:uiPriority w:val="51"/>
    <w:rsid w:val="00761800"/>
    <w:rPr>
      <w:color w:val="E65B01"/>
      <w:sz w:val="22"/>
      <w:szCs w:val="22"/>
    </w:rPr>
    <w:tblPr>
      <w:tblStyleRowBandSize w:val="1"/>
      <w:tblStyleColBandSize w:val="1"/>
      <w:tblBorders>
        <w:top w:val="single" w:sz="4" w:space="0" w:color="FEB686"/>
        <w:left w:val="single" w:sz="4" w:space="0" w:color="FEB686"/>
        <w:bottom w:val="single" w:sz="4" w:space="0" w:color="FEB686"/>
        <w:right w:val="single" w:sz="4" w:space="0" w:color="FEB686"/>
        <w:insideH w:val="single" w:sz="4" w:space="0" w:color="FEB686"/>
        <w:insideV w:val="single" w:sz="4" w:space="0" w:color="FEB686"/>
      </w:tblBorders>
    </w:tblPr>
    <w:tblStylePr w:type="firstRow">
      <w:rPr>
        <w:b/>
        <w:bCs/>
      </w:rPr>
      <w:tblPr/>
      <w:tcPr>
        <w:tcBorders>
          <w:bottom w:val="single" w:sz="12" w:space="0" w:color="FEB686"/>
        </w:tcBorders>
      </w:tcPr>
    </w:tblStylePr>
    <w:tblStylePr w:type="lastRow">
      <w:rPr>
        <w:b/>
        <w:bCs/>
      </w:rPr>
      <w:tblPr/>
      <w:tcPr>
        <w:tcBorders>
          <w:top w:val="double" w:sz="4" w:space="0" w:color="FEB686"/>
        </w:tcBorders>
      </w:tcPr>
    </w:tblStylePr>
    <w:tblStylePr w:type="firstCol">
      <w:rPr>
        <w:b/>
        <w:bCs/>
      </w:rPr>
    </w:tblStylePr>
    <w:tblStylePr w:type="lastCol">
      <w:rPr>
        <w:b/>
        <w:bCs/>
      </w:rPr>
    </w:tblStylePr>
    <w:tblStylePr w:type="band1Vert">
      <w:tblPr/>
      <w:tcPr>
        <w:shd w:val="clear" w:color="auto" w:fill="FEE6D6"/>
      </w:tcPr>
    </w:tblStylePr>
    <w:tblStylePr w:type="band1Horz">
      <w:tblPr/>
      <w:tcPr>
        <w:shd w:val="clear" w:color="auto" w:fill="FEE6D6"/>
      </w:tcPr>
    </w:tblStylePr>
  </w:style>
  <w:style w:type="paragraph" w:customStyle="1" w:styleId="a0">
    <w:name w:val="табл"/>
    <w:basedOn w:val="Normal"/>
    <w:qFormat/>
    <w:rsid w:val="00761800"/>
    <w:pPr>
      <w:jc w:val="both"/>
    </w:pPr>
    <w:rPr>
      <w:rFonts w:ascii="Calibri" w:hAnsi="Calibri"/>
      <w:color w:val="262626"/>
      <w:sz w:val="16"/>
      <w:szCs w:val="14"/>
      <w:lang w:val="en-GB" w:eastAsia="ja-JP"/>
    </w:rPr>
  </w:style>
  <w:style w:type="numbering" w:customStyle="1" w:styleId="NoList3">
    <w:name w:val="No List3"/>
    <w:next w:val="NoList"/>
    <w:uiPriority w:val="99"/>
    <w:semiHidden/>
    <w:unhideWhenUsed/>
    <w:rsid w:val="00761800"/>
  </w:style>
  <w:style w:type="table" w:customStyle="1" w:styleId="TableGrid5">
    <w:name w:val="Table Grid5"/>
    <w:basedOn w:val="TableNormal"/>
    <w:next w:val="TableGrid"/>
    <w:uiPriority w:val="59"/>
    <w:rsid w:val="0076180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761800"/>
    <w:rPr>
      <w:sz w:val="22"/>
      <w:szCs w:val="22"/>
    </w:rPr>
    <w:tblPr>
      <w:tblCellMar>
        <w:top w:w="0" w:type="dxa"/>
        <w:left w:w="0" w:type="dxa"/>
        <w:bottom w:w="0" w:type="dxa"/>
        <w:right w:w="0" w:type="dxa"/>
      </w:tblCellMar>
    </w:tblPr>
  </w:style>
  <w:style w:type="table" w:customStyle="1" w:styleId="TableGrid110">
    <w:name w:val="TableGrid11"/>
    <w:rsid w:val="00761800"/>
    <w:rPr>
      <w:sz w:val="22"/>
      <w:szCs w:val="22"/>
    </w:rPr>
    <w:tblPr>
      <w:tblCellMar>
        <w:top w:w="0" w:type="dxa"/>
        <w:left w:w="0" w:type="dxa"/>
        <w:bottom w:w="0" w:type="dxa"/>
        <w:right w:w="0" w:type="dxa"/>
      </w:tblCellMar>
    </w:tblPr>
  </w:style>
  <w:style w:type="table" w:customStyle="1" w:styleId="TableGrid0">
    <w:name w:val="TableGrid"/>
    <w:rsid w:val="00761800"/>
    <w:rPr>
      <w:sz w:val="22"/>
      <w:szCs w:val="22"/>
    </w:rPr>
    <w:tblPr>
      <w:tblCellMar>
        <w:top w:w="0" w:type="dxa"/>
        <w:left w:w="0" w:type="dxa"/>
        <w:bottom w:w="0" w:type="dxa"/>
        <w:right w:w="0" w:type="dxa"/>
      </w:tblCellMar>
    </w:tblPr>
  </w:style>
  <w:style w:type="table" w:customStyle="1" w:styleId="TableGrid26">
    <w:name w:val="Table Grid26"/>
    <w:basedOn w:val="TableNormal"/>
    <w:next w:val="TableGrid"/>
    <w:uiPriority w:val="59"/>
    <w:rsid w:val="00761800"/>
    <w:pPr>
      <w:spacing w:after="200" w:line="276"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761800"/>
    <w:pPr>
      <w:spacing w:after="200" w:line="276"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761800"/>
    <w:pPr>
      <w:spacing w:after="200" w:line="276"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761800"/>
    <w:pPr>
      <w:spacing w:after="200" w:line="276"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761800"/>
  </w:style>
  <w:style w:type="numbering" w:customStyle="1" w:styleId="NoList5">
    <w:name w:val="No List5"/>
    <w:next w:val="NoList"/>
    <w:uiPriority w:val="99"/>
    <w:semiHidden/>
    <w:unhideWhenUsed/>
    <w:rsid w:val="00761800"/>
  </w:style>
  <w:style w:type="numbering" w:customStyle="1" w:styleId="NoList6">
    <w:name w:val="No List6"/>
    <w:next w:val="NoList"/>
    <w:uiPriority w:val="99"/>
    <w:semiHidden/>
    <w:unhideWhenUsed/>
    <w:rsid w:val="00761800"/>
  </w:style>
  <w:style w:type="numbering" w:customStyle="1" w:styleId="NoList7">
    <w:name w:val="No List7"/>
    <w:next w:val="NoList"/>
    <w:uiPriority w:val="99"/>
    <w:semiHidden/>
    <w:unhideWhenUsed/>
    <w:rsid w:val="00761800"/>
  </w:style>
  <w:style w:type="table" w:customStyle="1" w:styleId="TableGrid261">
    <w:name w:val="Table Grid261"/>
    <w:basedOn w:val="TableNormal"/>
    <w:next w:val="TableGrid"/>
    <w:uiPriority w:val="59"/>
    <w:rsid w:val="00761800"/>
    <w:pPr>
      <w:spacing w:after="200" w:line="276"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uiPriority w:val="59"/>
    <w:rsid w:val="00761800"/>
    <w:pPr>
      <w:spacing w:after="200" w:line="276"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uiPriority w:val="59"/>
    <w:rsid w:val="00761800"/>
    <w:pPr>
      <w:spacing w:after="200" w:line="276"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59"/>
    <w:rsid w:val="00761800"/>
    <w:pPr>
      <w:spacing w:after="200" w:line="276"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6180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761800"/>
  </w:style>
  <w:style w:type="paragraph" w:customStyle="1" w:styleId="m">
    <w:name w:val="m"/>
    <w:basedOn w:val="Normal"/>
    <w:rsid w:val="00761800"/>
    <w:pPr>
      <w:spacing w:before="100" w:beforeAutospacing="1" w:after="100" w:afterAutospacing="1"/>
    </w:pPr>
    <w:rPr>
      <w:rFonts w:ascii="Times New Roman" w:hAnsi="Times New Roman"/>
      <w:szCs w:val="24"/>
      <w:lang w:eastAsia="bg-BG"/>
    </w:rPr>
  </w:style>
  <w:style w:type="numbering" w:customStyle="1" w:styleId="NoList9">
    <w:name w:val="No List9"/>
    <w:next w:val="NoList"/>
    <w:uiPriority w:val="99"/>
    <w:semiHidden/>
    <w:unhideWhenUsed/>
    <w:rsid w:val="00761800"/>
  </w:style>
  <w:style w:type="table" w:customStyle="1" w:styleId="TableGrid7">
    <w:name w:val="Table Grid7"/>
    <w:basedOn w:val="TableNormal"/>
    <w:next w:val="TableGrid"/>
    <w:uiPriority w:val="39"/>
    <w:rsid w:val="00761800"/>
    <w:pPr>
      <w:spacing w:after="200" w:line="276"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8">
    <w:name w:val="Style18"/>
    <w:basedOn w:val="TableNormal"/>
    <w:uiPriority w:val="99"/>
    <w:rsid w:val="00761800"/>
    <w:pPr>
      <w:spacing w:after="120"/>
      <w:jc w:val="both"/>
    </w:pPr>
    <w:rPr>
      <w:rFonts w:eastAsia="MS Mincho"/>
      <w:sz w:val="18"/>
      <w:szCs w:val="22"/>
    </w:rPr>
    <w:tblPr>
      <w:tblBorders>
        <w:top w:val="single" w:sz="2" w:space="0" w:color="7F7F7F"/>
        <w:bottom w:val="single" w:sz="2" w:space="0" w:color="7F7F7F"/>
        <w:insideH w:val="single" w:sz="2" w:space="0" w:color="7F7F7F"/>
        <w:insideV w:val="single" w:sz="2" w:space="0" w:color="7F7F7F"/>
      </w:tblBorders>
    </w:tblPr>
  </w:style>
  <w:style w:type="numbering" w:customStyle="1" w:styleId="NoList10">
    <w:name w:val="No List10"/>
    <w:next w:val="NoList"/>
    <w:uiPriority w:val="99"/>
    <w:semiHidden/>
    <w:unhideWhenUsed/>
    <w:rsid w:val="00761800"/>
  </w:style>
  <w:style w:type="table" w:customStyle="1" w:styleId="TableGrid20">
    <w:name w:val="TableGrid2"/>
    <w:rsid w:val="00761800"/>
    <w:rPr>
      <w:sz w:val="22"/>
      <w:szCs w:val="22"/>
    </w:rPr>
    <w:tblPr>
      <w:tblCellMar>
        <w:top w:w="0" w:type="dxa"/>
        <w:left w:w="0" w:type="dxa"/>
        <w:bottom w:w="0" w:type="dxa"/>
        <w:right w:w="0" w:type="dxa"/>
      </w:tblCellMar>
    </w:tblPr>
  </w:style>
  <w:style w:type="table" w:customStyle="1" w:styleId="GridTable5Dark-Accent111">
    <w:name w:val="Grid Table 5 Dark - Accent 111"/>
    <w:basedOn w:val="TableNormal"/>
    <w:uiPriority w:val="50"/>
    <w:rsid w:val="00761800"/>
    <w:pPr>
      <w:spacing w:after="120"/>
      <w:jc w:val="both"/>
    </w:pPr>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oList111">
    <w:name w:val="No List111"/>
    <w:next w:val="NoList"/>
    <w:uiPriority w:val="99"/>
    <w:semiHidden/>
    <w:unhideWhenUsed/>
    <w:rsid w:val="00761800"/>
  </w:style>
  <w:style w:type="numbering" w:customStyle="1" w:styleId="NoList121">
    <w:name w:val="No List121"/>
    <w:next w:val="NoList"/>
    <w:uiPriority w:val="99"/>
    <w:semiHidden/>
    <w:unhideWhenUsed/>
    <w:rsid w:val="00761800"/>
  </w:style>
  <w:style w:type="numbering" w:customStyle="1" w:styleId="NoList13">
    <w:name w:val="No List13"/>
    <w:next w:val="NoList"/>
    <w:uiPriority w:val="99"/>
    <w:semiHidden/>
    <w:unhideWhenUsed/>
    <w:rsid w:val="00761800"/>
  </w:style>
  <w:style w:type="table" w:customStyle="1" w:styleId="TableGrid30">
    <w:name w:val="TableGrid3"/>
    <w:rsid w:val="00761800"/>
    <w:rPr>
      <w:sz w:val="22"/>
      <w:szCs w:val="22"/>
    </w:rPr>
    <w:tblPr>
      <w:tblCellMar>
        <w:top w:w="0" w:type="dxa"/>
        <w:left w:w="0" w:type="dxa"/>
        <w:bottom w:w="0" w:type="dxa"/>
        <w:right w:w="0" w:type="dxa"/>
      </w:tblCellMar>
    </w:tblPr>
  </w:style>
  <w:style w:type="numbering" w:customStyle="1" w:styleId="NoList14">
    <w:name w:val="No List14"/>
    <w:next w:val="NoList"/>
    <w:uiPriority w:val="99"/>
    <w:semiHidden/>
    <w:unhideWhenUsed/>
    <w:rsid w:val="00761800"/>
  </w:style>
  <w:style w:type="paragraph" w:styleId="Title">
    <w:name w:val="Title"/>
    <w:basedOn w:val="Normal"/>
    <w:next w:val="Normal"/>
    <w:link w:val="TitleChar"/>
    <w:uiPriority w:val="10"/>
    <w:qFormat/>
    <w:rsid w:val="00761800"/>
    <w:pPr>
      <w:contextualSpacing/>
    </w:pPr>
    <w:rPr>
      <w:rFonts w:ascii="Times New Roman" w:hAnsi="Times New Roman"/>
      <w:color w:val="852010"/>
      <w:spacing w:val="5"/>
      <w:kern w:val="28"/>
      <w:sz w:val="52"/>
      <w:szCs w:val="52"/>
      <w:lang w:eastAsia="bg-BG"/>
    </w:rPr>
  </w:style>
  <w:style w:type="character" w:customStyle="1" w:styleId="TitleChar1">
    <w:name w:val="Title Char1"/>
    <w:basedOn w:val="DefaultParagraphFont"/>
    <w:rsid w:val="00761800"/>
    <w:rPr>
      <w:rFonts w:asciiTheme="majorHAnsi" w:eastAsiaTheme="majorEastAsia" w:hAnsiTheme="majorHAnsi" w:cstheme="majorBidi"/>
      <w:spacing w:val="-10"/>
      <w:kern w:val="28"/>
      <w:sz w:val="56"/>
      <w:szCs w:val="56"/>
      <w:lang w:eastAsia="en-US"/>
    </w:rPr>
  </w:style>
  <w:style w:type="character" w:customStyle="1" w:styleId="Heading9Char1">
    <w:name w:val="Heading 9 Char1"/>
    <w:basedOn w:val="DefaultParagraphFont"/>
    <w:semiHidden/>
    <w:rsid w:val="00761800"/>
    <w:rPr>
      <w:rFonts w:asciiTheme="majorHAnsi" w:eastAsiaTheme="majorEastAsia" w:hAnsiTheme="majorHAnsi" w:cstheme="majorBidi"/>
      <w:i/>
      <w:iCs/>
      <w:color w:val="272727" w:themeColor="text1" w:themeTint="D8"/>
      <w:sz w:val="21"/>
      <w:szCs w:val="21"/>
      <w:lang w:eastAsia="en-US"/>
    </w:rPr>
  </w:style>
  <w:style w:type="paragraph" w:styleId="Subtitle">
    <w:name w:val="Subtitle"/>
    <w:basedOn w:val="Normal"/>
    <w:next w:val="Normal"/>
    <w:link w:val="SubtitleChar"/>
    <w:uiPriority w:val="11"/>
    <w:qFormat/>
    <w:rsid w:val="00761800"/>
    <w:pPr>
      <w:numPr>
        <w:ilvl w:val="1"/>
      </w:numPr>
      <w:spacing w:after="160"/>
    </w:pPr>
    <w:rPr>
      <w:rFonts w:ascii="Times New Roman" w:hAnsi="Times New Roman"/>
      <w:i/>
      <w:iCs/>
      <w:color w:val="FE8637"/>
      <w:spacing w:val="15"/>
      <w:szCs w:val="24"/>
      <w:lang w:eastAsia="bg-BG"/>
    </w:rPr>
  </w:style>
  <w:style w:type="character" w:customStyle="1" w:styleId="SubtitleChar1">
    <w:name w:val="Subtitle Char1"/>
    <w:basedOn w:val="DefaultParagraphFont"/>
    <w:rsid w:val="00761800"/>
    <w:rPr>
      <w:rFonts w:asciiTheme="minorHAnsi" w:eastAsiaTheme="minorEastAsia" w:hAnsiTheme="minorHAnsi" w:cstheme="minorBidi"/>
      <w:color w:val="5A5A5A" w:themeColor="text1" w:themeTint="A5"/>
      <w:spacing w:val="15"/>
      <w:sz w:val="22"/>
      <w:szCs w:val="22"/>
      <w:lang w:eastAsia="en-US"/>
    </w:rPr>
  </w:style>
  <w:style w:type="paragraph" w:styleId="Quote">
    <w:name w:val="Quote"/>
    <w:basedOn w:val="Normal"/>
    <w:next w:val="Normal"/>
    <w:link w:val="QuoteChar"/>
    <w:uiPriority w:val="29"/>
    <w:qFormat/>
    <w:rsid w:val="00761800"/>
    <w:pPr>
      <w:spacing w:before="200" w:after="160"/>
      <w:ind w:left="864" w:right="864"/>
      <w:jc w:val="center"/>
    </w:pPr>
    <w:rPr>
      <w:rFonts w:ascii="Times New Roman" w:hAnsi="Times New Roman"/>
      <w:i/>
      <w:iCs/>
      <w:color w:val="000000"/>
      <w:sz w:val="20"/>
      <w:lang w:eastAsia="bg-BG"/>
    </w:rPr>
  </w:style>
  <w:style w:type="character" w:customStyle="1" w:styleId="QuoteChar1">
    <w:name w:val="Quote Char1"/>
    <w:basedOn w:val="DefaultParagraphFont"/>
    <w:uiPriority w:val="29"/>
    <w:rsid w:val="00761800"/>
    <w:rPr>
      <w:rFonts w:ascii="HebarU" w:hAnsi="HebarU"/>
      <w:i/>
      <w:iCs/>
      <w:color w:val="404040" w:themeColor="text1" w:themeTint="BF"/>
      <w:sz w:val="24"/>
      <w:lang w:eastAsia="en-US"/>
    </w:rPr>
  </w:style>
  <w:style w:type="paragraph" w:styleId="IntenseQuote">
    <w:name w:val="Intense Quote"/>
    <w:basedOn w:val="Normal"/>
    <w:next w:val="Normal"/>
    <w:link w:val="IntenseQuoteChar"/>
    <w:uiPriority w:val="30"/>
    <w:qFormat/>
    <w:rsid w:val="00761800"/>
    <w:pPr>
      <w:pBdr>
        <w:top w:val="single" w:sz="4" w:space="10" w:color="4F81BD" w:themeColor="accent1"/>
        <w:bottom w:val="single" w:sz="4" w:space="10" w:color="4F81BD" w:themeColor="accent1"/>
      </w:pBdr>
      <w:spacing w:before="360" w:after="360"/>
      <w:ind w:left="864" w:right="864"/>
      <w:jc w:val="center"/>
    </w:pPr>
    <w:rPr>
      <w:rFonts w:ascii="Times New Roman" w:hAnsi="Times New Roman"/>
      <w:b/>
      <w:bCs/>
      <w:i/>
      <w:iCs/>
      <w:color w:val="FE8637"/>
      <w:sz w:val="20"/>
      <w:lang w:eastAsia="bg-BG"/>
    </w:rPr>
  </w:style>
  <w:style w:type="character" w:customStyle="1" w:styleId="IntenseQuoteChar1">
    <w:name w:val="Intense Quote Char1"/>
    <w:basedOn w:val="DefaultParagraphFont"/>
    <w:uiPriority w:val="30"/>
    <w:rsid w:val="00761800"/>
    <w:rPr>
      <w:rFonts w:ascii="HebarU" w:hAnsi="HebarU"/>
      <w:i/>
      <w:iCs/>
      <w:color w:val="4F81BD" w:themeColor="accent1"/>
      <w:sz w:val="24"/>
      <w:lang w:eastAsia="en-US"/>
    </w:rPr>
  </w:style>
  <w:style w:type="character" w:styleId="SubtleEmphasis">
    <w:name w:val="Subtle Emphasis"/>
    <w:basedOn w:val="DefaultParagraphFont"/>
    <w:uiPriority w:val="19"/>
    <w:qFormat/>
    <w:rsid w:val="00761800"/>
    <w:rPr>
      <w:i/>
      <w:iCs/>
      <w:color w:val="404040" w:themeColor="text1" w:themeTint="BF"/>
    </w:rPr>
  </w:style>
  <w:style w:type="character" w:styleId="IntenseEmphasis">
    <w:name w:val="Intense Emphasis"/>
    <w:basedOn w:val="DefaultParagraphFont"/>
    <w:uiPriority w:val="21"/>
    <w:qFormat/>
    <w:rsid w:val="00761800"/>
    <w:rPr>
      <w:i/>
      <w:iCs/>
      <w:color w:val="4F81BD" w:themeColor="accent1"/>
    </w:rPr>
  </w:style>
  <w:style w:type="character" w:styleId="SubtleReference">
    <w:name w:val="Subtle Reference"/>
    <w:basedOn w:val="DefaultParagraphFont"/>
    <w:uiPriority w:val="31"/>
    <w:qFormat/>
    <w:rsid w:val="00761800"/>
    <w:rPr>
      <w:smallCaps/>
      <w:color w:val="5A5A5A" w:themeColor="text1" w:themeTint="A5"/>
    </w:rPr>
  </w:style>
  <w:style w:type="character" w:styleId="IntenseReference">
    <w:name w:val="Intense Reference"/>
    <w:basedOn w:val="DefaultParagraphFont"/>
    <w:uiPriority w:val="32"/>
    <w:qFormat/>
    <w:rsid w:val="00761800"/>
    <w:rPr>
      <w:b/>
      <w:bCs/>
      <w:smallCaps/>
      <w:color w:val="4F81BD" w:themeColor="accent1"/>
      <w:spacing w:val="5"/>
    </w:rPr>
  </w:style>
  <w:style w:type="table" w:styleId="LightGrid-Accent1">
    <w:name w:val="Light Grid Accent 1"/>
    <w:basedOn w:val="TableNormal"/>
    <w:uiPriority w:val="62"/>
    <w:semiHidden/>
    <w:unhideWhenUsed/>
    <w:rsid w:val="0076180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List1-Accent3">
    <w:name w:val="Medium List 1 Accent 3"/>
    <w:basedOn w:val="TableNormal"/>
    <w:uiPriority w:val="65"/>
    <w:semiHidden/>
    <w:unhideWhenUsed/>
    <w:rsid w:val="00761800"/>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ghtShading-Accent3">
    <w:name w:val="Light Shading Accent 3"/>
    <w:basedOn w:val="TableNormal"/>
    <w:uiPriority w:val="60"/>
    <w:semiHidden/>
    <w:unhideWhenUsed/>
    <w:rsid w:val="00761800"/>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ridTable6Colorful-Accent1">
    <w:name w:val="Grid Table 6 Colorful Accent 1"/>
    <w:basedOn w:val="TableNormal"/>
    <w:uiPriority w:val="51"/>
    <w:rsid w:val="00761800"/>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019161">
      <w:marLeft w:val="0"/>
      <w:marRight w:val="0"/>
      <w:marTop w:val="0"/>
      <w:marBottom w:val="0"/>
      <w:divBdr>
        <w:top w:val="none" w:sz="0" w:space="0" w:color="auto"/>
        <w:left w:val="none" w:sz="0" w:space="0" w:color="auto"/>
        <w:bottom w:val="none" w:sz="0" w:space="0" w:color="auto"/>
        <w:right w:val="none" w:sz="0" w:space="0" w:color="auto"/>
      </w:divBdr>
      <w:divsChild>
        <w:div w:id="683019165">
          <w:marLeft w:val="0"/>
          <w:marRight w:val="0"/>
          <w:marTop w:val="0"/>
          <w:marBottom w:val="0"/>
          <w:divBdr>
            <w:top w:val="none" w:sz="0" w:space="0" w:color="auto"/>
            <w:left w:val="none" w:sz="0" w:space="0" w:color="auto"/>
            <w:bottom w:val="none" w:sz="0" w:space="0" w:color="auto"/>
            <w:right w:val="none" w:sz="0" w:space="0" w:color="auto"/>
          </w:divBdr>
        </w:div>
      </w:divsChild>
    </w:div>
    <w:div w:id="683019162">
      <w:marLeft w:val="0"/>
      <w:marRight w:val="0"/>
      <w:marTop w:val="0"/>
      <w:marBottom w:val="0"/>
      <w:divBdr>
        <w:top w:val="none" w:sz="0" w:space="0" w:color="auto"/>
        <w:left w:val="none" w:sz="0" w:space="0" w:color="auto"/>
        <w:bottom w:val="none" w:sz="0" w:space="0" w:color="auto"/>
        <w:right w:val="none" w:sz="0" w:space="0" w:color="auto"/>
      </w:divBdr>
      <w:divsChild>
        <w:div w:id="683019163">
          <w:marLeft w:val="0"/>
          <w:marRight w:val="0"/>
          <w:marTop w:val="0"/>
          <w:marBottom w:val="0"/>
          <w:divBdr>
            <w:top w:val="none" w:sz="0" w:space="0" w:color="auto"/>
            <w:left w:val="none" w:sz="0" w:space="0" w:color="auto"/>
            <w:bottom w:val="none" w:sz="0" w:space="0" w:color="auto"/>
            <w:right w:val="none" w:sz="0" w:space="0" w:color="auto"/>
          </w:divBdr>
        </w:div>
      </w:divsChild>
    </w:div>
    <w:div w:id="68301916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5.xml"/><Relationship Id="rId26" Type="http://schemas.openxmlformats.org/officeDocument/2006/relationships/header" Target="header6.xml"/><Relationship Id="rId39" Type="http://schemas.openxmlformats.org/officeDocument/2006/relationships/header" Target="header10.xml"/><Relationship Id="rId21" Type="http://schemas.openxmlformats.org/officeDocument/2006/relationships/header" Target="header5.xml"/><Relationship Id="rId34" Type="http://schemas.openxmlformats.org/officeDocument/2006/relationships/header" Target="header8.xml"/><Relationship Id="rId42" Type="http://schemas.openxmlformats.org/officeDocument/2006/relationships/image" Target="media/image16.png"/><Relationship Id="rId47" Type="http://schemas.openxmlformats.org/officeDocument/2006/relationships/image" Target="media/image17.png"/><Relationship Id="rId50" Type="http://schemas.openxmlformats.org/officeDocument/2006/relationships/image" Target="media/image19.emf"/><Relationship Id="rId55" Type="http://schemas.openxmlformats.org/officeDocument/2006/relationships/theme" Target="theme/theme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hyperlink" Target="https://translate.google.com/website?sl=en&amp;tl=bg&amp;hl=bg&amp;client=sge&amp;u=https://www.imf.org/en/Publications/WEO/Issues/2023/01/31/world-economic-outlook-update-january-2023" TargetMode="External"/><Relationship Id="rId11" Type="http://schemas.openxmlformats.org/officeDocument/2006/relationships/hyperlink" Target="javascript:y1()" TargetMode="External"/><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header" Target="header9.xml"/><Relationship Id="rId40" Type="http://schemas.openxmlformats.org/officeDocument/2006/relationships/footer" Target="footer8.xml"/><Relationship Id="rId45" Type="http://schemas.openxmlformats.org/officeDocument/2006/relationships/header" Target="header13.xml"/><Relationship Id="rId53" Type="http://schemas.openxmlformats.org/officeDocument/2006/relationships/image" Target="media/image22.emf"/><Relationship Id="rId5" Type="http://schemas.openxmlformats.org/officeDocument/2006/relationships/footnotes" Target="footnotes.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image" Target="media/image10.png"/><Relationship Id="rId44" Type="http://schemas.openxmlformats.org/officeDocument/2006/relationships/header" Target="header12.xml"/><Relationship Id="rId52" Type="http://schemas.openxmlformats.org/officeDocument/2006/relationships/image" Target="media/image21.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footer" Target="footer6.xml"/><Relationship Id="rId30" Type="http://schemas.openxmlformats.org/officeDocument/2006/relationships/image" Target="media/image9.png"/><Relationship Id="rId35" Type="http://schemas.openxmlformats.org/officeDocument/2006/relationships/image" Target="media/image13.png"/><Relationship Id="rId43" Type="http://schemas.openxmlformats.org/officeDocument/2006/relationships/header" Target="header11.xml"/><Relationship Id="rId48" Type="http://schemas.openxmlformats.org/officeDocument/2006/relationships/image" Target="media/image18.png"/><Relationship Id="rId8" Type="http://schemas.openxmlformats.org/officeDocument/2006/relationships/image" Target="media/image2.emf"/><Relationship Id="rId51" Type="http://schemas.openxmlformats.org/officeDocument/2006/relationships/image" Target="media/image20.emf"/><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footer" Target="footer7.xml"/><Relationship Id="rId46" Type="http://schemas.openxmlformats.org/officeDocument/2006/relationships/footer" Target="footer9.xml"/><Relationship Id="rId20" Type="http://schemas.openxmlformats.org/officeDocument/2006/relationships/image" Target="media/image4.png"/><Relationship Id="rId41" Type="http://schemas.openxmlformats.org/officeDocument/2006/relationships/image" Target="media/image15.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header" Target="header7.xml"/><Relationship Id="rId36" Type="http://schemas.openxmlformats.org/officeDocument/2006/relationships/image" Target="media/image14.png"/><Relationship Id="rId49" Type="http://schemas.openxmlformats.org/officeDocument/2006/relationships/footer" Target="footer10.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databrowser/view/gov_cl_liab__custom_18387252/default/table" TargetMode="External"/><Relationship Id="rId1" Type="http://schemas.openxmlformats.org/officeDocument/2006/relationships/hyperlink" Target="https://eur-lex.europa.eu/legal-content/BG/TXT/PDF/?uri=OJ:L_2024012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aneva\Desktop\&#1064;&#1040;&#1041;&#1051;&#1054;&#1053;-&#1053;&#105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ШАБЛОН-НС.dotx</Template>
  <TotalTime>26</TotalTime>
  <Pages>1</Pages>
  <Words>131239</Words>
  <Characters>748066</Characters>
  <Application>Microsoft Office Word</Application>
  <DocSecurity>0</DocSecurity>
  <Lines>6233</Lines>
  <Paragraphs>1755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Р Е П У Б Л И К А   Б Ъ Л Г А Р И Я</vt:lpstr>
      <vt:lpstr>Р Е П У Б Л И К А   Б Ъ Л Г А Р И Я</vt:lpstr>
    </vt:vector>
  </TitlesOfParts>
  <Company>Counsil of Ministers</Company>
  <LinksUpToDate>false</LinksUpToDate>
  <CharactersWithSpaces>877550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Б Ъ Л Г А Р И Я</dc:title>
  <dc:subject/>
  <dc:creator>Миглена Петрова</dc:creator>
  <cp:keywords/>
  <dc:description/>
  <cp:lastModifiedBy>Радостина Кирилова</cp:lastModifiedBy>
  <cp:revision>6</cp:revision>
  <cp:lastPrinted>2026-07-01T15:14:00Z</cp:lastPrinted>
  <dcterms:created xsi:type="dcterms:W3CDTF">2026-07-01T15:02:00Z</dcterms:created>
  <dcterms:modified xsi:type="dcterms:W3CDTF">2026-07-01T15:33:00Z</dcterms:modified>
</cp:coreProperties>
</file>